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62</w:t>
      </w:r>
      <w:r>
        <w:rPr>
          <w:rtl w:val="true"/>
        </w:rPr>
        <w:t xml:space="preserve"> </w:t>
      </w:r>
      <w:r>
        <w:rPr>
          <w:rtl w:val="true"/>
        </w:rPr>
        <w:t>گفت و شنودی در باب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834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3834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38348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238350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238352_2035185390">
            <w:r>
              <w:rPr>
                <w:webHidden/>
                <w:rStyle w:val="IndexLink"/>
                <w:rtl w:val="true"/>
              </w:rPr>
              <w:t>منحصر کردن دین در شئون فردی</w:t>
            </w:r>
            <w:r>
              <w:rPr>
                <w:rStyle w:val="IndexLink"/>
                <w:rtl w:val="true"/>
              </w:rPr>
              <w:tab/>
            </w:r>
            <w:r>
              <w:rPr>
                <w:rStyle w:val="IndexLink"/>
              </w:rPr>
              <w:t>10</w:t>
            </w:r>
          </w:hyperlink>
        </w:p>
        <w:p>
          <w:pPr>
            <w:pStyle w:val="Contents2"/>
            <w:tabs>
              <w:tab w:val="clear" w:pos="8743"/>
              <w:tab w:val="right" w:pos="9026" w:leader="dot"/>
            </w:tabs>
            <w:rPr/>
          </w:pPr>
          <w:hyperlink w:anchor="__RefHeading___Toc3238354_2035185390">
            <w:r>
              <w:rPr>
                <w:webHidden/>
                <w:rStyle w:val="IndexLink"/>
                <w:rtl w:val="true"/>
              </w:rPr>
              <w:t>عوامل بی توجهی عملی به دین</w:t>
            </w:r>
            <w:r>
              <w:rPr>
                <w:rStyle w:val="IndexLink"/>
                <w:rtl w:val="true"/>
              </w:rPr>
              <w:tab/>
            </w:r>
            <w:r>
              <w:rPr>
                <w:rStyle w:val="IndexLink"/>
              </w:rPr>
              <w:t>11</w:t>
            </w:r>
          </w:hyperlink>
        </w:p>
        <w:p>
          <w:pPr>
            <w:pStyle w:val="Contents2"/>
            <w:tabs>
              <w:tab w:val="clear" w:pos="8743"/>
              <w:tab w:val="right" w:pos="9026" w:leader="dot"/>
            </w:tabs>
            <w:rPr/>
          </w:pPr>
          <w:hyperlink w:anchor="__RefHeading___Toc3238356_2035185390">
            <w:r>
              <w:rPr>
                <w:webHidden/>
                <w:rStyle w:val="IndexLink"/>
                <w:rtl w:val="true"/>
              </w:rPr>
              <w:t>اهمیت تقلید</w:t>
            </w:r>
            <w:r>
              <w:rPr>
                <w:rStyle w:val="IndexLink"/>
                <w:rtl w:val="true"/>
              </w:rPr>
              <w:tab/>
            </w:r>
            <w:r>
              <w:rPr>
                <w:rStyle w:val="IndexLink"/>
              </w:rPr>
              <w:t>12</w:t>
            </w:r>
          </w:hyperlink>
        </w:p>
        <w:p>
          <w:pPr>
            <w:pStyle w:val="Contents2"/>
            <w:tabs>
              <w:tab w:val="clear" w:pos="8743"/>
              <w:tab w:val="right" w:pos="9026" w:leader="dot"/>
            </w:tabs>
            <w:rPr/>
          </w:pPr>
          <w:hyperlink w:anchor="__RefHeading___Toc3238358_2035185390">
            <w:r>
              <w:rPr>
                <w:webHidden/>
                <w:rStyle w:val="IndexLink"/>
                <w:rtl w:val="true"/>
              </w:rPr>
              <w:t>در کجا نمی توان تقلید کرد؟</w:t>
            </w:r>
            <w:r>
              <w:rPr>
                <w:rStyle w:val="IndexLink"/>
                <w:rtl w:val="true"/>
              </w:rPr>
              <w:tab/>
            </w:r>
            <w:r>
              <w:rPr>
                <w:rStyle w:val="IndexLink"/>
              </w:rPr>
              <w:t>24</w:t>
            </w:r>
          </w:hyperlink>
        </w:p>
        <w:p>
          <w:pPr>
            <w:pStyle w:val="Contents2"/>
            <w:tabs>
              <w:tab w:val="clear" w:pos="8743"/>
              <w:tab w:val="right" w:pos="9026" w:leader="dot"/>
            </w:tabs>
            <w:rPr/>
          </w:pPr>
          <w:hyperlink w:anchor="__RefHeading___Toc3238360_2035185390">
            <w:r>
              <w:rPr>
                <w:webHidden/>
                <w:rStyle w:val="IndexLink"/>
                <w:rtl w:val="true"/>
              </w:rPr>
              <w:t>حکم بازی شطرنج</w:t>
            </w:r>
            <w:r>
              <w:rPr>
                <w:rStyle w:val="IndexLink"/>
                <w:rtl w:val="true"/>
              </w:rPr>
              <w:tab/>
            </w:r>
            <w:r>
              <w:rPr>
                <w:rStyle w:val="IndexLink"/>
              </w:rPr>
              <w:t>25</w:t>
            </w:r>
          </w:hyperlink>
        </w:p>
        <w:p>
          <w:pPr>
            <w:pStyle w:val="Contents2"/>
            <w:tabs>
              <w:tab w:val="clear" w:pos="8743"/>
              <w:tab w:val="right" w:pos="9026" w:leader="dot"/>
            </w:tabs>
            <w:rPr/>
          </w:pPr>
          <w:hyperlink w:anchor="__RefHeading___Toc3238362_2035185390">
            <w:r>
              <w:rPr>
                <w:webHidden/>
                <w:rStyle w:val="IndexLink"/>
                <w:rtl w:val="true"/>
              </w:rPr>
              <w:t>موضوعات استنباطی</w:t>
            </w:r>
            <w:r>
              <w:rPr>
                <w:rStyle w:val="IndexLink"/>
                <w:rtl w:val="true"/>
              </w:rPr>
              <w:tab/>
            </w:r>
            <w:r>
              <w:rPr>
                <w:rStyle w:val="IndexLink"/>
              </w:rPr>
              <w:t>26</w:t>
            </w:r>
          </w:hyperlink>
        </w:p>
        <w:p>
          <w:pPr>
            <w:pStyle w:val="Contents2"/>
            <w:tabs>
              <w:tab w:val="clear" w:pos="8743"/>
              <w:tab w:val="right" w:pos="9026" w:leader="dot"/>
            </w:tabs>
            <w:rPr/>
          </w:pPr>
          <w:hyperlink w:anchor="__RefHeading___Toc3238364_2035185390">
            <w:r>
              <w:rPr>
                <w:webHidden/>
                <w:rStyle w:val="IndexLink"/>
                <w:rtl w:val="true"/>
              </w:rPr>
              <w:t>تفاوت بین عوام و بی سوادان یهود و مسلمان</w:t>
            </w:r>
            <w:r>
              <w:rPr>
                <w:rStyle w:val="IndexLink"/>
                <w:rtl w:val="true"/>
              </w:rPr>
              <w:tab/>
            </w:r>
            <w:r>
              <w:rPr>
                <w:rStyle w:val="IndexLink"/>
              </w:rPr>
              <w:t>30</w:t>
            </w:r>
          </w:hyperlink>
        </w:p>
        <w:p>
          <w:pPr>
            <w:pStyle w:val="Contents2"/>
            <w:tabs>
              <w:tab w:val="clear" w:pos="8743"/>
              <w:tab w:val="right" w:pos="9026" w:leader="dot"/>
            </w:tabs>
            <w:rPr/>
          </w:pPr>
          <w:hyperlink w:anchor="__RefHeading___Toc3238366_2035185390">
            <w:r>
              <w:rPr>
                <w:webHidden/>
                <w:rStyle w:val="IndexLink"/>
                <w:rtl w:val="true"/>
              </w:rPr>
              <w:t>تقلید ممدوح و مشروع</w:t>
            </w:r>
            <w:r>
              <w:rPr>
                <w:rStyle w:val="IndexLink"/>
                <w:rtl w:val="true"/>
              </w:rPr>
              <w:tab/>
            </w:r>
            <w:r>
              <w:rPr>
                <w:rStyle w:val="IndexLink"/>
              </w:rPr>
              <w:t>32</w:t>
            </w:r>
          </w:hyperlink>
        </w:p>
        <w:p>
          <w:pPr>
            <w:pStyle w:val="Contents2"/>
            <w:tabs>
              <w:tab w:val="clear" w:pos="8743"/>
              <w:tab w:val="right" w:pos="9026" w:leader="dot"/>
            </w:tabs>
            <w:rPr/>
          </w:pPr>
          <w:hyperlink w:anchor="__RefHeading___Toc3238368_2035185390">
            <w:r>
              <w:rPr>
                <w:webHidden/>
                <w:rStyle w:val="IndexLink"/>
                <w:rtl w:val="true"/>
              </w:rPr>
              <w:t>علت اختلاف فتواها</w:t>
            </w:r>
            <w:r>
              <w:rPr>
                <w:rStyle w:val="IndexLink"/>
                <w:rtl w:val="true"/>
              </w:rPr>
              <w:tab/>
            </w:r>
            <w:r>
              <w:rPr>
                <w:rStyle w:val="IndexLink"/>
              </w:rPr>
              <w:t>34</w:t>
            </w:r>
          </w:hyperlink>
        </w:p>
        <w:p>
          <w:pPr>
            <w:pStyle w:val="Contents2"/>
            <w:tabs>
              <w:tab w:val="clear" w:pos="8743"/>
              <w:tab w:val="right" w:pos="9026" w:leader="dot"/>
            </w:tabs>
            <w:rPr/>
          </w:pPr>
          <w:hyperlink w:anchor="__RefHeading___Toc3238370_2035185390">
            <w:r>
              <w:rPr>
                <w:webHidden/>
                <w:rStyle w:val="IndexLink"/>
                <w:rtl w:val="true"/>
              </w:rPr>
              <w:t>تقلید از مجتهد میت</w:t>
            </w:r>
            <w:r>
              <w:rPr>
                <w:rStyle w:val="IndexLink"/>
                <w:rtl w:val="true"/>
              </w:rPr>
              <w:tab/>
            </w:r>
            <w:r>
              <w:rPr>
                <w:rStyle w:val="IndexLink"/>
              </w:rPr>
              <w:t>41</w:t>
            </w:r>
          </w:hyperlink>
        </w:p>
        <w:p>
          <w:pPr>
            <w:pStyle w:val="Contents2"/>
            <w:tabs>
              <w:tab w:val="clear" w:pos="8743"/>
              <w:tab w:val="right" w:pos="9026" w:leader="dot"/>
            </w:tabs>
            <w:rPr/>
          </w:pPr>
          <w:hyperlink w:anchor="__RefHeading___Toc3238372_2035185390">
            <w:r>
              <w:rPr>
                <w:webHidden/>
                <w:rStyle w:val="IndexLink"/>
                <w:rtl w:val="true"/>
              </w:rPr>
              <w:t>حکم نماز و روزه قبل از تقلید از مرجع</w:t>
            </w:r>
            <w:r>
              <w:rPr>
                <w:rStyle w:val="IndexLink"/>
                <w:rtl w:val="true"/>
              </w:rPr>
              <w:tab/>
            </w:r>
            <w:r>
              <w:rPr>
                <w:rStyle w:val="IndexLink"/>
              </w:rPr>
              <w:t>44</w:t>
            </w:r>
          </w:hyperlink>
        </w:p>
        <w:p>
          <w:pPr>
            <w:pStyle w:val="Contents2"/>
            <w:tabs>
              <w:tab w:val="clear" w:pos="8743"/>
              <w:tab w:val="right" w:pos="9026" w:leader="dot"/>
            </w:tabs>
            <w:rPr/>
          </w:pPr>
          <w:hyperlink w:anchor="__RefHeading___Toc3238374_2035185390">
            <w:r>
              <w:rPr>
                <w:webHidden/>
                <w:rStyle w:val="IndexLink"/>
                <w:rtl w:val="true"/>
              </w:rPr>
              <w:t>شناخت مجتهد اعلم</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8_53472"/>
      <w:bookmarkStart w:id="1" w:name="pg4898_53472"/>
      <w:bookmarkEnd w:id="1"/>
    </w:p>
    <w:p>
      <w:pPr>
        <w:pStyle w:val="Heading2"/>
        <w:numPr>
          <w:ilvl w:val="1"/>
          <w:numId w:val="1"/>
        </w:numPr>
        <w:rPr/>
      </w:pPr>
      <w:bookmarkStart w:id="2" w:name="pg4898_53472"/>
      <w:bookmarkStart w:id="3" w:name="__RefHeading___Toc323834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علی‌اکبریان، حسنعلی،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شنودی در باب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حسنعلی علی‌اکبریان؛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834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98_53476"/>
    </w:p>
    <w:p>
      <w:pPr>
        <w:pStyle w:val="Heading2"/>
        <w:numPr>
          <w:ilvl w:val="1"/>
          <w:numId w:val="1"/>
        </w:numPr>
        <w:rPr/>
      </w:pPr>
      <w:bookmarkStart w:id="8" w:name="__RefHeading___Toc3238348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گفت و شنودی در باب تقلید</w:t>
      </w:r>
    </w:p>
    <w:p>
      <w:pPr>
        <w:pStyle w:val="BookText"/>
        <w:rPr/>
      </w:pPr>
      <w:r>
        <w:rPr>
          <w:rFonts w:ascii="IRNazanin" w:hAnsi="IRNazanin" w:eastAsia="IRNazanin"/>
          <w:color w:val="111111"/>
          <w:sz w:val="28"/>
          <w:sz w:val="28"/>
          <w:szCs w:val="28"/>
          <w:rtl w:val="true"/>
          <w:lang w:bidi="fa-IR"/>
        </w:rPr>
        <w:t>چهار پرسش اصلی خود را در جریان گفت‌وشنودی روشنی‌بخش پاسخ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چرا در برخی مسائل، باید از مجتهد جامع‌الشرایط تقلید بی‌چون‌وچرا کرد؟</w:t>
      </w:r>
    </w:p>
    <w:p>
      <w:pPr>
        <w:pStyle w:val="BookText"/>
        <w:rPr/>
      </w:pPr>
      <w:r>
        <w:rPr>
          <w:rFonts w:ascii="IRNazanin" w:hAnsi="IRNazanin" w:eastAsia="IRNazanin"/>
          <w:color w:val="111111"/>
          <w:sz w:val="28"/>
          <w:sz w:val="28"/>
          <w:szCs w:val="28"/>
          <w:rtl w:val="true"/>
          <w:lang w:bidi="fa-IR"/>
        </w:rPr>
        <w:t>؟ در مسائلی مانند اصول دین و لزوم تقلید، چرا نباید از کسی تبعیت کرد؟</w:t>
      </w:r>
    </w:p>
    <w:p>
      <w:pPr>
        <w:pStyle w:val="BookText"/>
        <w:rPr/>
      </w:pPr>
      <w:r>
        <w:rPr>
          <w:rFonts w:ascii="IRNazanin" w:hAnsi="IRNazanin" w:eastAsia="IRNazanin"/>
          <w:color w:val="111111"/>
          <w:sz w:val="28"/>
          <w:sz w:val="28"/>
          <w:szCs w:val="28"/>
          <w:rtl w:val="true"/>
          <w:lang w:bidi="fa-IR"/>
        </w:rPr>
        <w:t>؟ اگر دین اسلام یکی است، چرا بین مراجع اختلاف‌نظر به‌چشم می‌خورد؟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آیا برای آغاز تقلید می‌توان از مجتهدی پیروی کرد که از دنیا رفته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98_53478"/>
    </w:p>
    <w:p>
      <w:pPr>
        <w:pStyle w:val="Heading2"/>
        <w:numPr>
          <w:ilvl w:val="1"/>
          <w:numId w:val="1"/>
        </w:numPr>
        <w:rPr/>
      </w:pPr>
      <w:bookmarkStart w:id="11" w:name="__RefHeading___Toc3238350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یکی از معضلاتی که فرهنگ جامعۀ ما را به‌صورت جدی تهدید می‌کند، دورشدن مردم از روح بندگی دربرابر دستورهای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دستورهای اسلام در عرصه‌های اجتماعی بیشتر محسوس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این محرومیت مؤثرند که می‌توان مجموع آن‌ها را به دو دستۀ کلّی تقسیم کرد</w:t>
      </w:r>
      <w:r>
        <w:rPr>
          <w:rFonts w:eastAsia="IRNazanin" w:cs="IRNazanin"/>
          <w:color w:val="111111"/>
          <w:sz w:val="28"/>
          <w:szCs w:val="28"/>
          <w:rtl w:val="true"/>
          <w:lang w:bidi="fa-IR"/>
        </w:rPr>
        <w:t>:</w:t>
      </w:r>
    </w:p>
    <w:p>
      <w:pPr>
        <w:pStyle w:val="Heading2"/>
        <w:numPr>
          <w:ilvl w:val="1"/>
          <w:numId w:val="1"/>
        </w:numPr>
        <w:rPr/>
      </w:pPr>
      <w:bookmarkStart w:id="13" w:name="__RefHeading___Toc3238352_2035185390"/>
      <w:bookmarkStart w:id="14" w:name="_Toc5"/>
      <w:bookmarkEnd w:id="13"/>
      <w:r>
        <w:rPr>
          <w:rtl w:val="true"/>
        </w:rPr>
        <w:t>منحصر کردن دین در شئون فردی</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نخست، عواملی‌اند که دین را به‌کلّی از صحنۀ زندگی اجتماعی دور می‌سازد و آن‌را در شئون فردی و عبادی منحصر می‌داند؛ مانند نظریات کلامی جدید درباب محدودکردن قلمرو دین، جدایی دین از سیاست و امور دنیوی، الگو قراردادن فرهنگ جوامع غیردینی برای توسعه‌یافتگی، بیماری انتقاد از دین که در نطفۀ روشنفکری جامعۀ ما خانه دارد و عوامل دیگری که بررسی آن‌ها مجال مستقلی می‌طلبد</w:t>
      </w:r>
      <w:r>
        <w:rPr>
          <w:rFonts w:eastAsia="IRNazanin" w:cs="IRNazanin"/>
          <w:color w:val="111111"/>
          <w:sz w:val="28"/>
          <w:szCs w:val="28"/>
          <w:rtl w:val="true"/>
          <w:lang w:bidi="fa-IR"/>
        </w:rPr>
        <w:t>.</w:t>
      </w:r>
      <w:bookmarkStart w:id="15" w:name="pg4898_53479"/>
    </w:p>
    <w:p>
      <w:pPr>
        <w:pStyle w:val="BookText"/>
        <w:rPr/>
      </w:pPr>
      <w:bookmarkEnd w:id="15"/>
      <w:r>
        <w:rPr>
          <w:rFonts w:ascii="IRNazanin" w:hAnsi="IRNazanin" w:eastAsia="IRNazanin"/>
          <w:color w:val="111111"/>
          <w:sz w:val="28"/>
          <w:sz w:val="28"/>
          <w:szCs w:val="28"/>
          <w:rtl w:val="true"/>
          <w:lang w:bidi="fa-IR"/>
        </w:rPr>
        <w:t>متأسفانه، این عوامل تنها باعث سستی روح تعبّد در مسائل اجتماعی اسلام نمی‌شود، بلکه پایه‌های تعبّد در مسائل فردی و عبادی را نیز می‌لرزاند؛ زیرا اسلام همواره داعیۀ شمول در همۀ حوزه‌های حیات را داشته است و سستی اعتقاد در یک حوزه، پایه‌های اعتقادی را در حوزه‌های دیگر نیز سست می‌کند</w:t>
      </w:r>
      <w:r>
        <w:rPr>
          <w:rFonts w:eastAsia="IRNazanin" w:cs="IRNazanin"/>
          <w:color w:val="111111"/>
          <w:sz w:val="28"/>
          <w:szCs w:val="28"/>
          <w:rtl w:val="true"/>
          <w:lang w:bidi="fa-IR"/>
        </w:rPr>
        <w:t>.</w:t>
      </w:r>
    </w:p>
    <w:p>
      <w:pPr>
        <w:pStyle w:val="Heading2"/>
        <w:numPr>
          <w:ilvl w:val="1"/>
          <w:numId w:val="1"/>
        </w:numPr>
        <w:rPr/>
      </w:pPr>
      <w:bookmarkStart w:id="16" w:name="__RefHeading___Toc3238354_2035185390"/>
      <w:bookmarkStart w:id="17" w:name="_Toc6"/>
      <w:bookmarkEnd w:id="16"/>
      <w:r>
        <w:rPr>
          <w:rtl w:val="true"/>
        </w:rPr>
        <w:t>عوامل بی توجهی عملی به دین</w:t>
      </w:r>
      <w:bookmarkEnd w:id="17"/>
    </w:p>
    <w:p>
      <w:pPr>
        <w:pStyle w:val="BookText"/>
        <w:rPr/>
      </w:pPr>
      <w:r>
        <w:rPr>
          <w:rFonts w:ascii="IRNazanin" w:hAnsi="IRNazanin" w:eastAsia="IRNazanin"/>
          <w:color w:val="111111"/>
          <w:sz w:val="28"/>
          <w:sz w:val="28"/>
          <w:szCs w:val="28"/>
          <w:rtl w:val="true"/>
          <w:lang w:bidi="fa-IR"/>
        </w:rPr>
        <w:t>دستۀ دوم از عوامل عبارت‌اند از عواملی که اعتقاد دینی را سست نمی‌کند، اما باعث بی‌توجهیِ عملی به دین می‌شود؛ یعنی باعث نمی‌شود فرد مسلمان بگوید فلان مسئله جزو اسلام نیست، بلکه سبب می‌شود که اصلاً در پی آموختن مسائل اسلام نرود یا درعمل اهمیت لازم را به آن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جوانان با مسئلۀ تقلید، جزو این دسته از عوامل محسوب می‌شود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عوامل دستۀ نخست خطر عمیق‌تری برای فرهنگ اسلامی به‌شمار می‌آیند؛ ولی عوامل دستۀ دوم که باعث کم‌اهمیت‌شدن مسائل اسلام نزد مردم می‌شوند، ازنظر آماری فراگیرترند</w:t>
      </w:r>
      <w:r>
        <w:rPr>
          <w:rFonts w:eastAsia="IRNazanin" w:cs="IRNazanin"/>
          <w:color w:val="111111"/>
          <w:sz w:val="28"/>
          <w:szCs w:val="28"/>
          <w:rtl w:val="true"/>
          <w:lang w:bidi="fa-IR"/>
        </w:rPr>
        <w:t>.</w:t>
      </w:r>
      <w:bookmarkStart w:id="18" w:name="pg4898_53480"/>
    </w:p>
    <w:p>
      <w:pPr>
        <w:pStyle w:val="Heading2"/>
        <w:numPr>
          <w:ilvl w:val="1"/>
          <w:numId w:val="1"/>
        </w:numPr>
        <w:rPr/>
      </w:pPr>
      <w:bookmarkStart w:id="19" w:name="__RefHeading___Toc3238356_2035185390"/>
      <w:bookmarkStart w:id="20" w:name="_Toc7"/>
      <w:bookmarkEnd w:id="18"/>
      <w:bookmarkEnd w:id="19"/>
      <w:r>
        <w:rPr>
          <w:rtl w:val="true"/>
        </w:rPr>
        <w:t>اهمیت تقلید</w:t>
      </w:r>
      <w:bookmarkEnd w:id="20"/>
    </w:p>
    <w:p>
      <w:pPr>
        <w:pStyle w:val="BookText"/>
        <w:rPr/>
      </w:pPr>
      <w:r>
        <w:rPr>
          <w:rFonts w:ascii="IRNazanin" w:hAnsi="IRNazanin" w:eastAsia="IRNazanin"/>
          <w:color w:val="111111"/>
          <w:sz w:val="28"/>
          <w:sz w:val="28"/>
          <w:szCs w:val="28"/>
          <w:rtl w:val="true"/>
          <w:lang w:bidi="fa-IR"/>
        </w:rPr>
        <w:t>این نوشتار را برای آگاهی خوانندگان محترم از اهمیت تقلید و فلسفۀ آن تنظیم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مسلمانم که به‌دلیل ناآشنایی به مسائل تقلید، چهرۀ نامعقولی از آن در ذهن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نماز می‌خوانم و روزه می‌گیرم، از هیچ مرجعی تقلید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دوستی است که مرا در این زمینه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و روزه‌ام را هم می‌گیرم و همواره سعی می‌کنم به کسی ظلم نکنم، مال حرام نخورم و حتی به دیگران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 از من می‌خواهی؟ چرا می‌گویی باید از یک مرجع تقلید کنم؟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نماز می‌خوانی و روزه می‌گیری و انسان خوبی هستی؛ اما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می‌خوانی؟ از کجا می‌دانی که نماز و روزه‌ات صحیح است؟ تازه، احکام اسلام که فقط نماز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مال حرام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دقیقاً می‌دانی در اسلام چه اموالی حرام و چه اموالی حلال است؟ آیا تمام شرایط خرید و فروش و سایر معاملات را</w:t>
      </w:r>
    </w:p>
    <w:p>
      <w:pPr>
        <w:pStyle w:val="BookText"/>
        <w:rPr/>
      </w:pPr>
      <w:r>
        <w:rPr>
          <w:rFonts w:ascii="IRNazanin" w:hAnsi="IRNazanin" w:eastAsia="IRNazanin"/>
          <w:color w:val="111111"/>
          <w:sz w:val="28"/>
          <w:sz w:val="28"/>
          <w:szCs w:val="28"/>
          <w:rtl w:val="true"/>
          <w:lang w:bidi="fa-IR"/>
        </w:rPr>
        <w:t>می‌دانی؟ همۀ این مسائل که به‌طور صریح و واضح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دقیق این‌ها کار سختی است و سال‌ها درس‌خواندن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کسی است که سال‌ها درس خوانده و در شناخت نظر اسلام در مسائل مختلف، کارشناس و متخصص است و دیگران به تخصص او اعتماد می‌کنند؛ زیرا خودشان چنین تخصصی ندارند و به کارهای دیگر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خودمان مجتهد نیستیم، باید وظایف شرعی را براساس فتوای یک مرجع تقلید انجام دهیم تا یقین کنیم وظیفۀ خود را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درست؛ ولی این نوع پیروی، برای من بار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این‌ها حل نشود، نمی‌توانم تن به تقلید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تقلید یعنی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اول مرا جاهل حساب کرده‌اید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تقلید یعنی چیزی را بدون‌دلیل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اجازه نمی‌دهد چیزی را بدون‌دلیل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تقلید، نوعی سرسپردگی و اطاعت چشم‌وگوش‌بسته وجود دارد که مرا از تقلید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بی‌سوادان قوم یهود را ملامت نمی‌کند که چرا سرسپردۀ علمایشان بودند و چشم‌وگوش‌بسته از آنان اطاعت می‌کردند؟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حرف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می‌خواهی جدی بحث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توصیۀ من به تقلید را جدی گرفتی،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این سه نکته‌ای که گفتی، دو نکتۀ آخر را می‌پذیرم؛ پس اجازه بده دربارۀ هر سه نکته توضیحی بدهم تا معنای تقلید بهتر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نکتۀ اول که قبول نداری شروع کن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تقلید رجوع جاهل به عالم است، هیچ بار منفی برای مقلّد ندارد؛ زیرا جاهل در اینجا کسی است که فقط در مسائل فقهی، مجتهد و کارشناس نیست؛ گرچه ممکن است خودش در مسائل دیگری متخصص و کارشناس باشد یا حتی در مسائل فقهی، از آگاهی نسبیِ خوبی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مجتهدان نیز در مسائل دیگر، به متخصص رجوع می‌کنند و این‌را از باب رجوع به اهل خبره و رجوع جاهل به عالم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پزشک معالج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به‌حال کسی را ندیده‌ام که این‌قدر در درمان، مطیع پزشک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به‌طور عادی، در زندگی روزمرۀ خود، هرجا به کاری نیاز پیدا کنند که تخصص کافی را در آن ندارند، به متخصص و خبرۀ آن کار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 تعمیر ماشین خود به مهندس و مکانیک رجوع می‌کند و مهندس برای درمان بیماری، نزد پزشک می‌رود و هیچ‌یک، جهل خود در آن زمینه را منفی حساب نمی‌کنند؛ زیرا در جهان امروز، تحقیق در همۀ علوم برای یک نفر کاری غیرممکن یا غیرضروری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را چه می‌گویی؟ پذیرفتن یک مطلب بدون‌دلیل و صرفاً چون کسِ دیگری آن‌را گفته، کار نامعقولی است و خودت گفتی که این نکته را می‌پذیری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هرگز مطلبی را بی‌دلیل نمی‌پذیرم؛ اما تبعیتی که از آن بحث می‌کنیم،</w:t>
      </w:r>
    </w:p>
    <w:p>
      <w:pPr>
        <w:pStyle w:val="BookText"/>
        <w:rPr/>
      </w:pPr>
      <w:r>
        <w:rPr>
          <w:rFonts w:ascii="IRNazanin" w:hAnsi="IRNazanin" w:eastAsia="IRNazanin"/>
          <w:color w:val="111111"/>
          <w:sz w:val="28"/>
          <w:sz w:val="28"/>
          <w:szCs w:val="28"/>
          <w:rtl w:val="true"/>
          <w:lang w:bidi="fa-IR"/>
        </w:rPr>
        <w:t>پذیرفتنِ بدون‌دلیل نیست؛ مثلاً مسئلۀ تعلّق خمس به سودِ حاصل از کسب، مسئله‌ای است که مجتهد ازآن‌رو به آن فتوا می‌دهد که دلیل او آیات مبارکۀ قرآن و روایاتی است که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براساس دلایلی که در دست دارد، فتوا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از تجارت یا صنعت یا کسب‌های دیگر، مالی به‌دست آورد، چنانچه از مخارج سال خود او و عیالش زیاد بیاید، باید خمس آن‌را بدهد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پس، مجتهد برای فتوای خود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 نیز برای پذیرش همین مسئله، دلیل دارد و بی‌دلیل، آن‌را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هست این است که دلیل مجتهد، تفصیلی است و دلیل مقلّد، اجمالی؛ یعنی دلیلی که مجتهد برای این مسئله اقامه می‌کند، مخصوص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آیۀ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سورۀ انفال</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اعملوا انما غنمتم من شیء فان الله خمسه و للرسول ولذی القربی و الیتامی و المساکین و ابن السبیل ان کنتم آمنتم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بدانید که هر چیزی را به غنیمت گرفتید، یک‌پنجمِ آن برای خدا و پیامبر و برای خویشاوندان او و یتیمان و بینوایان و درراه‌ماندگان است؛ اگر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روایاتی که شیخ‌حرّ عاملی درباب هشتم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الخمسِ وسائل الشیعه</w:t>
      </w:r>
      <w:r>
        <w:rPr>
          <w:rStyle w:val="FootnoteAnchor"/>
          <w:rtl w:val="true"/>
        </w:rPr>
        <w:footnoteReference w:id="4"/>
      </w:r>
      <w:r>
        <w:rPr>
          <w:rFonts w:ascii="IRNazanin" w:hAnsi="IRNazanin" w:eastAsia="IRNazanin"/>
          <w:color w:val="111111"/>
          <w:sz w:val="28"/>
          <w:sz w:val="28"/>
          <w:szCs w:val="28"/>
          <w:rtl w:val="true"/>
          <w:lang w:bidi="fa-IR"/>
        </w:rPr>
        <w:t>جمع‌آوری کرده است، استفاده کرده و چنین حکمی را صادر می‌کند؛ اما دلیلی که مقلّد بر آن اقامه می‌کند، دلیلی است که به‌صورت کلّی اعتبارِ همۀ فتاوای مجتهد و ازجمله همین مسئله را برای او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دلیلی است که می‌تواند همۀ مسائل را یک‌جا اثبات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اعتقاد داری و می‌دانی که خداوند  تعدادی تکالیفِ الزامی برای انسان مقرّر فرموده است؛ یعنی اعمالی را واجب یا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می‌پذیری؟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مقدار را هر مسلمانی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از علم به تکلیف، باعث می‌شود شما دربرابر آن تکالیف، مسئول باشی؛ یعنی اگر وظیفه‌ات را انجام ندهی، نزد خداوند عذری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تکلیف نیز نخست باید آن‌را بشناسی که چه چیزی واجب و چه چیزی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واجبات و محرمات این است که به منابع اسلام، یعنی قرآن و سنّت و عقل و اجماع، رجوع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به‌دست‌آوردن احکام شرعی از این منابع، نیازمند مقدمات فراوان و آشنایی با علوم بسیاری است؛ به‌خصوص با توجه به فاصلۀ زمانی زیادی که ما با زمان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بتواند آن علوم را بیاموزد و خودش احکام شرعی را با ادلّۀ تفصیلی به‌دست آورد و به‌اصطلاح مجتهد بشود، طبق نظر خودش تکلیفش را انجام می‌دهد؛ اما اگر کسی چنین علومی را نیاموخت و نتوانست خودش احکام شرعی را از منابع اسلام استخراج کند، وظیفه‌اش چیست؟ البته چنین کسی گناه نکرده است که مجتهد نیست؛ چراکه معنا ندارد همۀ مردم کار و زندگی خود را رها کنند و سال‌ها درس بخوانند و مجتهد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به‌نظر</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 آیا چنین کسی دربرابر تکالیف الهی وظیفه‌ای ندارد؟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مسئولیت دارد؛ زیرا به‌هرحال می‌داند که واجباتی به گردن اوست و مُحرّماتی پیش روی اوست که می‌بایست آن‌ها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چنین کسی چگونه بفهمد آن واجبات و محرمات کدام‌اند؟ و هرکدام چه شرایط و چه کیفیتی دارند؟ همین‌جاست که او می‌بایست یکی از این دو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اینکه در هر کاری احتیاط کند؛ یعنی به‌گونه‌ای رفتار کند که یقین به انجام‌دادن تکلیف پیدا کند؛ مثلاً هر کاری را که احتمال می‌دهد واجب است، انجام دهد و هر کاری را که احتمال می‌دهد حرام است،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انجام‌دادن واجبات نیز مشکل‌ترین صورت محتمل را انجام دهد تا یقین کند حتماً از عهدۀ تکلیف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خیلی سخت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بسیار سخت است و گاه نظام زندگی را از هم می‌پاشد، بلکه در برخی مواقع،</w:t>
      </w:r>
    </w:p>
    <w:p>
      <w:pPr>
        <w:pStyle w:val="BookText"/>
        <w:rPr/>
      </w:pPr>
      <w:r>
        <w:rPr>
          <w:rFonts w:ascii="IRNazanin" w:hAnsi="IRNazanin" w:eastAsia="IRNazanin"/>
          <w:color w:val="111111"/>
          <w:sz w:val="28"/>
          <w:sz w:val="28"/>
          <w:szCs w:val="28"/>
          <w:rtl w:val="true"/>
          <w:lang w:bidi="fa-IR"/>
        </w:rPr>
        <w:t>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او که گناه نکرده که مجتهد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که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تکلیف از عهدۀ او ساقط 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خودتان گفتید، او به‌هرحال می‌داند که واجبات و محرماتی در اسلام هست و همین علم، تکلیف را به گردن او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برای او باقی می‌ماند، راه دوم است و آن اینکه به داناترین مجتهد که خبرۀ این مسائل است رجوع کند و واجبات و محرمات را از او بپرسد و این، همان تقلید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من راهی برای شناخت احکام اسلام ندارم؛ احتیاط هم نمی‌توانم بکنم، چون سخت است و نمی‌خواهم احتیاط کنم؛ پس، چاره‌ای جز پیروی از مجتهد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از کجا معلوم که تقلید من نزد خدا  قبول باشد؟ شاید مجتهد هم در شناخت خود خطا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احتمال دارد مجتهد نیز در فتواهای خودش به حکم واقعی نرسیده باشد؛ ولی مکلّف یقین دارد حال که برای خروج از تکلیف هیچ چاره‌ای جز رجوع به خبره ندارد و هیچ راهی نزدیک‌تر از تبعیت از مجتهد برای شناخت احکام واقعی نیست، می‌فهمد که خداوند  فتوای مجتهد را برای او، راه شناختِ احکامش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خداوند  خودش این راه را قرار داده، قطعاً اَعمالِ مُترتّب بر تقلید را از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را می‌توان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همۀ راه‌های شناخت، جز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رجوع به اهل خبره از اموری است که در نهان همۀ انسان‌ها نهفته است و روش مردم در زندگی‌شان مبتنی بر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مقلّد برای اثبات اعتبار فتواهای مجتهد برای خودش، به دو دلیلِ انسداد و روش عمومیِ رجوع به اهل خبره استناد</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6"/>
      </w:r>
      <w:r>
        <w:rPr>
          <w:rFonts w:ascii="IRNazanin" w:hAnsi="IRNazanin" w:eastAsia="IRNazanin"/>
          <w:color w:val="111111"/>
          <w:sz w:val="28"/>
          <w:sz w:val="28"/>
          <w:szCs w:val="28"/>
          <w:rtl w:val="true"/>
          <w:lang w:bidi="fa-IR"/>
        </w:rPr>
        <w:t>پس او نیز از روی دلیل است که فتوای مجتهد را پذیرفته است، نه بدون‌دلیل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نیز برای لزوم پیروی از مجتهد وجود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برای لزوم تقلید عامی، ادلّۀ دیگری نیز از قرآن و سنت دارد؛ اما این دو دلیل، دلیل‌هایی هستند که مقلّد برای لزوم تقلید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غیرمجتهد واجب است که تقلید کند، چرا برای من، این‌همه دلیل آوردی؟ یک‌راست می‌گفتی مراجع فتوا داده‌اند که تقلید واجب است و من باید تقلید کنم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لزوم تقلید از مسائلی نیست که انسان بتواند در آن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مجتهد فتوا دهد که غیرمجتهد باید در احکام شرعی تقلید کند، این فتوا به‌درد غیرمجتهد نمی‌خورد؛ زیرا او سؤال می‌کند که چرا باید از همین یک فتوای او تقلید کنم؟</w:t>
      </w:r>
      <w:bookmarkStart w:id="21" w:name="pg4898_53492"/>
    </w:p>
    <w:p>
      <w:pPr>
        <w:pStyle w:val="BookText"/>
        <w:rPr/>
      </w:pPr>
      <w:bookmarkEnd w:id="21"/>
      <w:r>
        <w:rPr>
          <w:rFonts w:ascii="IRNazanin" w:hAnsi="IRNazanin" w:eastAsia="IRNazanin"/>
          <w:color w:val="111111"/>
          <w:sz w:val="28"/>
          <w:sz w:val="28"/>
          <w:szCs w:val="28"/>
          <w:rtl w:val="true"/>
          <w:lang w:bidi="fa-IR"/>
        </w:rPr>
        <w:t>پس تا زمانی‌که اعتبار فتوای مجتهد برای غیرمجتهد اثبات نشود، هیچ‌یک از فتاوای مجتهد به‌درد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مسئلۀ لزوم تقلید، تقلیدی نیست و انسان باید خودش با دلیل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مسائلِ فرعی تقلید، می‌توان پیروی کرد</w:t>
      </w:r>
      <w:r>
        <w:rPr>
          <w:rFonts w:eastAsia="IRNazanin" w:cs="IRNazanin"/>
          <w:color w:val="111111"/>
          <w:sz w:val="28"/>
          <w:szCs w:val="28"/>
          <w:rtl w:val="true"/>
          <w:lang w:bidi="fa-IR"/>
        </w:rPr>
        <w:t>.</w:t>
      </w:r>
    </w:p>
    <w:p>
      <w:pPr>
        <w:pStyle w:val="Heading2"/>
        <w:numPr>
          <w:ilvl w:val="1"/>
          <w:numId w:val="1"/>
        </w:numPr>
        <w:rPr/>
      </w:pPr>
      <w:bookmarkStart w:id="22" w:name="__RefHeading___Toc3238358_2035185390"/>
      <w:bookmarkStart w:id="23" w:name="_Toc8"/>
      <w:bookmarkEnd w:id="22"/>
      <w:r>
        <w:rPr>
          <w:rtl w:val="true"/>
        </w:rPr>
        <w:t>در کجا نمی توان تقلید کرد؟</w:t>
      </w:r>
      <w:bookmarkEnd w:id="23"/>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برخی مسائل نمی‌توان از کسی پیروی کرد؟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اصول عقاید، مانند اثبات وجود خداوند و توحید و نبوت و عصمت پیامبر، اصلاً نمی‌توان و نباید تقلید کرد؛</w:t>
      </w:r>
      <w:r>
        <w:rPr>
          <w:rStyle w:val="FootnoteAnchor"/>
          <w:rtl w:val="true"/>
        </w:rPr>
        <w:footnoteReference w:id="7"/>
      </w:r>
      <w:r>
        <w:rPr>
          <w:rFonts w:ascii="IRNazanin" w:hAnsi="IRNazanin" w:eastAsia="IRNazanin"/>
          <w:color w:val="111111"/>
          <w:sz w:val="28"/>
          <w:sz w:val="28"/>
          <w:szCs w:val="28"/>
          <w:rtl w:val="true"/>
          <w:lang w:bidi="fa-IR"/>
        </w:rPr>
        <w:t>یعنی اگر کسی‌که هنوز مسلمان نشده است، از شما بپرسد که چرا خداوند  وجود دارد، نمی‌توانی در پاسخ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مجتهد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می‌گوید یا چون در قرآن آمده است؛ چراکه چنین کسی، نه به قرآن اعتقاد دارد و نه پیامبر و نه به مراجع</w:t>
      </w:r>
      <w:r>
        <w:rPr>
          <w:rFonts w:eastAsia="IRNazanin" w:cs="IRNazanin"/>
          <w:color w:val="111111"/>
          <w:sz w:val="28"/>
          <w:szCs w:val="28"/>
          <w:rtl w:val="true"/>
          <w:lang w:bidi="fa-IR"/>
        </w:rPr>
        <w:t>.</w:t>
      </w:r>
      <w:bookmarkStart w:id="24" w:name="pg4898_53493"/>
    </w:p>
    <w:p>
      <w:pPr>
        <w:pStyle w:val="BookText"/>
        <w:rPr/>
      </w:pPr>
      <w:bookmarkEnd w:id="24"/>
      <w:r>
        <w:rPr>
          <w:rFonts w:ascii="IRNazanin" w:hAnsi="IRNazanin" w:eastAsia="IRNazanin"/>
          <w:color w:val="111111"/>
          <w:sz w:val="28"/>
          <w:sz w:val="28"/>
          <w:szCs w:val="28"/>
          <w:rtl w:val="true"/>
          <w:lang w:bidi="fa-IR"/>
        </w:rPr>
        <w:t>در فروع دین نیز در مسائلی که ضروری است و هر مسلمانی آن‌را می‌داند، مانند اصل وجوب نماز و رکعات آن و اصل وجوب روزه، تقلید جایز نیست؛ چون تقلید، رجوع جاهل به عالم است و هیچ مسلمانی در این مسائل جاهل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موضوعات احکام نیز تقلیدی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 فتوا می‌دهد که بازی با آلات قمار حرام است؛ اما اینکه آلات قمار چه چیزهایی هستند، مسئله‌ای است که باید از اهلِ فنّ آن پرسید</w:t>
      </w:r>
      <w:r>
        <w:rPr>
          <w:rFonts w:eastAsia="IRNazanin" w:cs="IRNazanin"/>
          <w:color w:val="111111"/>
          <w:sz w:val="28"/>
          <w:szCs w:val="28"/>
          <w:rtl w:val="true"/>
          <w:lang w:bidi="fa-IR"/>
        </w:rPr>
        <w:t>.</w:t>
      </w:r>
    </w:p>
    <w:p>
      <w:pPr>
        <w:pStyle w:val="Heading2"/>
        <w:numPr>
          <w:ilvl w:val="1"/>
          <w:numId w:val="1"/>
        </w:numPr>
        <w:rPr/>
      </w:pPr>
      <w:bookmarkStart w:id="25" w:name="__RefHeading___Toc3238360_2035185390"/>
      <w:bookmarkStart w:id="26" w:name="_Toc9"/>
      <w:bookmarkEnd w:id="25"/>
      <w:r>
        <w:rPr>
          <w:rtl w:val="true"/>
        </w:rPr>
        <w:t>حکم بازی شطرنج</w:t>
      </w:r>
      <w:bookmarkEnd w:id="2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شطرنج هم همین‌طور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فتوا داده است که بازی با آلات قمار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از آلات قمار باشد، بازی با آن حرام است؛ گرچه در آن بازی، قمار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آلات قمار به‌حساب نیاید، بازی با آن مادامی که چیزی برای بُرد و باخت آن قرار ندهند،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اینکه شطرنج از آلات قمار است یا نه، مجتهد نیست؛ بلکه دقیقاً باید از شطرنج‌بازان یا قماربازان پرسید</w:t>
      </w:r>
      <w:r>
        <w:rPr>
          <w:rFonts w:eastAsia="IRNazanin" w:cs="IRNazanin"/>
          <w:color w:val="111111"/>
          <w:sz w:val="28"/>
          <w:szCs w:val="28"/>
          <w:rtl w:val="true"/>
          <w:lang w:bidi="fa-IR"/>
        </w:rPr>
        <w:t>.</w:t>
      </w:r>
      <w:bookmarkStart w:id="27" w:name="pg4898_53494"/>
    </w:p>
    <w:p>
      <w:pPr>
        <w:pStyle w:val="Heading2"/>
        <w:numPr>
          <w:ilvl w:val="1"/>
          <w:numId w:val="1"/>
        </w:numPr>
        <w:rPr/>
      </w:pPr>
      <w:bookmarkStart w:id="28" w:name="__RefHeading___Toc3238362_2035185390"/>
      <w:bookmarkStart w:id="29" w:name="_Toc10"/>
      <w:bookmarkEnd w:id="27"/>
      <w:bookmarkEnd w:id="28"/>
      <w:r>
        <w:rPr>
          <w:rtl w:val="true"/>
        </w:rPr>
        <w:t>موضوعات استنباطی</w:t>
      </w:r>
      <w:bookmarkEnd w:id="2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درباب مصادیق احکام نظر نمی‌دهد؟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مجتهد صدور حکم است، نه تعیین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موضوعات احکام را مجتهد باید تعریف کند؛ مانند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فتوا می‌دهد که غنا حرام است و خودش نیز غنا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موضوعات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است که من خودم با عقل خودم باید در آن اجتهاد کنم و رأی بدهم و لازم است بیش از این، دربارۀ آن فکر کنم؛ چون تقلیدبردار نیست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 از آنچه در دلیل انسداد گفتی، سؤالی برای من پیدا شد و آن اینکه پیروی از مجتهد فقط در واجبات و محرمات، واجب است؟ آیا درست فهمیده‌ام؟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تنها در واجبات و محرمات و هر کار دیگری است که احتمال می‌دهی واجب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تقلید واجب نیست؛ مگر آنکه بخواهی آن مستحب را انجام دهی، یعنی برای شناخت کیفیت اجرای آن باید تقلید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دادی، آن نکتۀ سوم نیز تقریباً برایم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بحثمان طولانی شد که نکتۀ سوم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یک‌بار دیگر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من این بود که در تقلید، گونه‌ای سرسپردگی و اطاعت چشم‌وگوش‌بسته وجود دارد که مرا از پرسش و تحقیق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بی‌سوادانِ قوم یهود را ملامت کرده است که چرا سرسپردۀ علمای خود بودند و بی‌چون‌وچرا از آنان اطاعت می‌کردند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آنچه در دلیل تقلید گفتی، تقریباً مسئلۀ من حل شده است؛</w:t>
      </w:r>
    </w:p>
    <w:p>
      <w:pPr>
        <w:pStyle w:val="BookText"/>
        <w:rPr/>
      </w:pPr>
      <w:r>
        <w:rPr>
          <w:rFonts w:ascii="IRNazanin" w:hAnsi="IRNazanin" w:eastAsia="IRNazanin"/>
          <w:color w:val="111111"/>
          <w:sz w:val="28"/>
          <w:sz w:val="28"/>
          <w:szCs w:val="28"/>
          <w:rtl w:val="true"/>
          <w:lang w:bidi="fa-IR"/>
        </w:rPr>
        <w:t>اما اگر ممکن است دربارۀ عوام قوم یهود و ملامت قرآن از تقلید علمایشان توضیح بده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کتاب ده گفتار شهیدمطهری، بحثی دربارۀ همین مسئله خوانده‌ام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آنجا، استاد می‌فرمایند که اخیراً از برخی مردم که در جست‌وجوی مرجع تقلیدند، گاهی این کلمه را می‌شنوم که می‌گویند می‌گردیم کسی را پیدا کنیم که آنجا سر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تقلیدی که در اسلام دستورش را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چشم‌بازکردن و چشم‌باز‌داشتن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هزارها مفاسد در آن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استاد روایتی را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تقلید عوامِ قوم</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bookmarkStart w:id="30" w:name="pg4898_53498"/>
    </w:p>
    <w:p>
      <w:pPr>
        <w:pStyle w:val="BookText"/>
        <w:rPr/>
      </w:pPr>
      <w:bookmarkEnd w:id="30"/>
      <w:r>
        <w:rPr>
          <w:rFonts w:ascii="IRNazanin" w:hAnsi="IRNazanin" w:eastAsia="IRNazanin"/>
          <w:color w:val="111111"/>
          <w:sz w:val="28"/>
          <w:sz w:val="28"/>
          <w:szCs w:val="28"/>
          <w:rtl w:val="true"/>
          <w:lang w:bidi="fa-IR"/>
        </w:rPr>
        <w:t>یهود نقل می‌کند که اگر بخواهی آن‌را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وجودِ من، گوش به سخنان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w:t>
      </w:r>
      <w:r>
        <w:rPr>
          <w:rFonts w:eastAsia="IRNazanin" w:cs="IRNazanin"/>
          <w:color w:val="111111"/>
          <w:sz w:val="28"/>
          <w:szCs w:val="28"/>
          <w:rtl w:val="true"/>
          <w:lang w:bidi="fa-IR"/>
        </w:rPr>
        <w:t>.</w:t>
      </w:r>
    </w:p>
    <w:p>
      <w:pPr>
        <w:pStyle w:val="Heading2"/>
        <w:numPr>
          <w:ilvl w:val="1"/>
          <w:numId w:val="1"/>
        </w:numPr>
        <w:rPr/>
      </w:pPr>
      <w:bookmarkStart w:id="31" w:name="__RefHeading___Toc3238364_2035185390"/>
      <w:bookmarkStart w:id="32" w:name="_Toc11"/>
      <w:bookmarkEnd w:id="31"/>
      <w:r>
        <w:rPr>
          <w:rtl w:val="true"/>
        </w:rPr>
        <w:t>تفاوت بین عوام و بی سوادان یهود و مسلمان</w:t>
      </w:r>
      <w:bookmarkEnd w:id="32"/>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که عوام و بی‌سوادانِ یهود راهی ندارند، جز اینکه از علمای خود هرچه می‌شنوند، قبول کرده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تقصیری متوجه علمای یهود است، چرا قرآن عوام‌الناسِ بیچاره را که چیزی نمی‌دانستند و فقط از علمای خود پیروی می‌کردند، مذمت می‌کند؟ چه فرقی بین عوام یهود و بین عوام ما هست؟ اگر تقلید و پیرویِ عوام از علما مذموم است، پس عوام ما نیز که از علمای ما پیروی می‌کنند، باید ملامت و مذمت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نمی‌باید قول علمای خود را بپذیرند، اینان نیز نباید بپذیرند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علمای ما با عوام و علمای یهود از جهتی فرق دارند و از جهتی مثل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مثل هم‌اند، خداوند  عوام ما را نیز به آن نوع تقلید از علما مذمت کرده است؛ اما از آن‌جهت که فرق دارند،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یابن‌رسول‌الله،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دیده بودند که علمای آنان، درعمل، صریحاً دروغ می‌گویند، از رشوه پرهیز ندارند، احکام و قضاها را از روی رودروایسی‌ها و رشوه‌ها تغییر می‌دهند، دربارۀ افراد و اشخاص عصبیت به‌خرج می‌دهند، حبّ و بغض شخصی‌شان را دخالت می‌دهند، حق یکی را به دیگری می‌دهند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به‌حکم الهامات فطریِ عمومی که خداوند  در سرشت هرکس به‌طور تکوینی قرار داده است، می‌دانستند که از هرکس چنین اَعمالی سر بزند، نباید قول او را پیروی کرد و نباید قول خدا  و پیغمبران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این‌دسته علما قبول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منوال است حال عوام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اگر در فقهای خود اَعمال خلاف، تعصب شدید، تزاحم بر سر دنیا، طرفداری از طرفداران خود هرچند ناصالح باشند، کوبیدن مخالفان خود هرچند مستحق نیکی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اعمال را در آن‌ها حس کنند و باز هم چشم خود را ببندند و از آنان پیروی کنند، عیناً همان عوام یهودند و مذمت و ملامت می‌شوند</w:t>
      </w:r>
      <w:r>
        <w:rPr>
          <w:rFonts w:eastAsia="IRNazanin" w:cs="IRNazanin"/>
          <w:color w:val="111111"/>
          <w:sz w:val="28"/>
          <w:szCs w:val="28"/>
          <w:rtl w:val="true"/>
          <w:lang w:bidi="fa-IR"/>
        </w:rPr>
        <w:t>.</w:t>
      </w:r>
      <w:bookmarkStart w:id="33" w:name="pg4898_53500"/>
    </w:p>
    <w:p>
      <w:pPr>
        <w:pStyle w:val="Heading2"/>
        <w:numPr>
          <w:ilvl w:val="1"/>
          <w:numId w:val="1"/>
        </w:numPr>
        <w:rPr/>
      </w:pPr>
      <w:bookmarkStart w:id="34" w:name="__RefHeading___Toc3238366_2035185390"/>
      <w:bookmarkStart w:id="35" w:name="_Toc12"/>
      <w:bookmarkEnd w:id="33"/>
      <w:bookmarkEnd w:id="34"/>
      <w:r>
        <w:rPr>
          <w:rtl w:val="true"/>
        </w:rPr>
        <w:t>تقلید ممدوح و مشروع</w:t>
      </w:r>
      <w:bookmarkEnd w:id="35"/>
    </w:p>
    <w:p>
      <w:pPr>
        <w:pStyle w:val="BookText"/>
        <w:rPr/>
      </w:pPr>
      <w:r>
        <w:rPr>
          <w:rFonts w:ascii="IRNazanin" w:hAnsi="IRNazanin" w:eastAsia="IRNazanin"/>
          <w:color w:val="111111"/>
          <w:sz w:val="28"/>
          <w:sz w:val="28"/>
          <w:szCs w:val="28"/>
          <w:rtl w:val="true"/>
          <w:lang w:bidi="fa-IR"/>
        </w:rPr>
        <w:t>شهید مطهری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تقلیدِ ممدوح و مشروع، سرسپردن و چشم‌بستن نیست؛ چشم‌بازکردن و مراقب‌بودن است، وگرنه مسئولیت و شرکت در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صفات مرجع تقلید را بیان می‌کنند و درواقع، پیروی مشروع را مشخص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حدیث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کانَ مِن الفُقَهاءِ صائِناً لِنَفسِهِ حافِظاً لِدینهِ مخالِفاً عَلی هَواهُ مُطیعاً لِأمرِ مَولاهُ فَلِلعَوامِ اَن یُقِلِّدُوهُ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هرکس از فقهای امت من که نفْس خود را مواظبت و از دینش پاسداری کند، با هوای نفْس مخالفت و فرمان مولای خود را اطاعت کند، سزاوار است که غیرفقها از او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من که تا به‌حال تقلید نمی‌کردم، چیست؟ آیا گناه کرده‌ام؟ آیا اعمالی که تابه‌حال انجام داده‌ام، باطل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مسائل فرعیِ تقلید است و در آن باید به مجتهد جامع‌الشرایط رجوع کنی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این نتیجه رسیدم که تقلید، کار غیرمعقولی نیست؛ اما هنوز پروندۀ آن‌را</w:t>
      </w:r>
    </w:p>
    <w:p>
      <w:pPr>
        <w:pStyle w:val="BookText"/>
        <w:rPr/>
      </w:pPr>
      <w:r>
        <w:rPr>
          <w:rFonts w:ascii="IRNazanin" w:hAnsi="IRNazanin" w:eastAsia="IRNazanin"/>
          <w:color w:val="111111"/>
          <w:sz w:val="28"/>
          <w:sz w:val="28"/>
          <w:szCs w:val="28"/>
          <w:rtl w:val="true"/>
          <w:lang w:bidi="fa-IR"/>
        </w:rPr>
        <w:t>نبسته‌ام و هنوز اِشکال‌هایی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برای مطالعۀ رساله به کتابخانه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رساله‌های متعددی روبه‌رو شدم و مدتی متحیّر ماندم که کدام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 نیز می‌گفت تعداد رساله‌های موجود، خیلی بیشتر از این‌هاست که اینجا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مگر اسلام بیش از یک دین است و مگر احکام اسلام برای همۀ انسان‌ها در همۀ مکان‌ها و همۀ زمان‌ها یکسان نیست؟ پس چرا آرای فقها در احکام شرعی با هم متفاوت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تعدّد رساله‌های عملیّه که در این چند سال اخیر دیده می‌شود، بعداً نکته‌ای خواهم گفت؛ اما باید توجه داشت که صِرف تعدّد رساله، نشانۀ کثرت اختلاف در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فتوا تنها در برخی مسائل است که اگر حوصله داشته باشی، برخی از ریشه‌های پیدایش این اختلاف فتواها را توضیح می‌دهم</w:t>
      </w:r>
      <w:r>
        <w:rPr>
          <w:rFonts w:eastAsia="IRNazanin" w:cs="IRNazanin"/>
          <w:color w:val="111111"/>
          <w:sz w:val="28"/>
          <w:szCs w:val="28"/>
          <w:rtl w:val="true"/>
          <w:lang w:bidi="fa-IR"/>
        </w:rPr>
        <w:t>.</w:t>
      </w:r>
      <w:bookmarkStart w:id="36" w:name="pg4898_53502"/>
    </w:p>
    <w:p>
      <w:pPr>
        <w:pStyle w:val="Heading2"/>
        <w:numPr>
          <w:ilvl w:val="1"/>
          <w:numId w:val="1"/>
        </w:numPr>
        <w:rPr/>
      </w:pPr>
      <w:bookmarkStart w:id="37" w:name="__RefHeading___Toc3238368_2035185390"/>
      <w:bookmarkStart w:id="38" w:name="_Toc13"/>
      <w:bookmarkEnd w:id="36"/>
      <w:bookmarkEnd w:id="37"/>
      <w:r>
        <w:rPr>
          <w:rtl w:val="true"/>
        </w:rPr>
        <w:t>علت اختلاف فتواها</w:t>
      </w:r>
      <w:bookmarkEnd w:id="38"/>
    </w:p>
    <w:p>
      <w:pPr>
        <w:pStyle w:val="BookText"/>
        <w:rPr/>
      </w:pPr>
      <w:r>
        <w:rPr>
          <w:rFonts w:ascii="IRNazanin" w:hAnsi="IRNazanin" w:eastAsia="IRNazanin"/>
          <w:color w:val="111111"/>
          <w:sz w:val="28"/>
          <w:sz w:val="28"/>
          <w:szCs w:val="28"/>
          <w:rtl w:val="true"/>
          <w:lang w:bidi="fa-IR"/>
        </w:rPr>
        <w:t>در زمان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احکام شرعی ممکن و آسان بود؛ به‌گونه‌ای که خطایی هم در آن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به‌صورت مستقیم یا حداکثر با یکی‌دو واسطه، احکام شرعی را از زبان سرچشمه‌های دین می‌شنیدند؛ ازاین‌رو، زمینه‌های اختلاف بسیار اندک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هرچه فاصلۀ زمانی میان علما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 دستیابی به احکام شرعی نیز مشکل‌تر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مهم‌ترینِ این مشکلات اشاره می‌کنم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نقل راویان متعددی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وثاقت و راست‌گوییِ آنان کار دشواری است</w:t>
      </w:r>
      <w:r>
        <w:rPr>
          <w:rStyle w:val="FootnoteAnchor"/>
          <w:rtl w:val="true"/>
        </w:rPr>
        <w:footnoteReference w:id="13"/>
      </w:r>
      <w:r>
        <w:rPr>
          <w:rFonts w:ascii="IRNazanin" w:hAnsi="IRNazanin" w:eastAsia="IRNazanin"/>
          <w:color w:val="111111"/>
          <w:sz w:val="28"/>
          <w:sz w:val="28"/>
          <w:szCs w:val="28"/>
          <w:rtl w:val="true"/>
          <w:lang w:bidi="fa-IR"/>
        </w:rPr>
        <w:t>و اگر دو فقیه دربارۀ وثاقت یک راوی اختلاف‌نظر داشته باشند، درعمل، دربارۀ روایات او نیز با یکدیگر اختلاف پیدا می‌کنند و همین مسئله باعث</w:t>
      </w:r>
    </w:p>
    <w:p>
      <w:pPr>
        <w:pStyle w:val="BookText"/>
        <w:rPr/>
      </w:pPr>
      <w:r>
        <w:rPr>
          <w:rFonts w:ascii="IRNazanin" w:hAnsi="IRNazanin" w:eastAsia="IRNazanin"/>
          <w:color w:val="111111"/>
          <w:sz w:val="28"/>
          <w:sz w:val="28"/>
          <w:szCs w:val="28"/>
          <w:rtl w:val="true"/>
          <w:lang w:bidi="fa-IR"/>
        </w:rPr>
        <w:t>اختلاف در فتوای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آیات و روایات نیز کار دشواری است و گاه اختلاف فهمِ دو فقیه از یک آیه یا روایت، سبب اختلاف فتوای آنان می‌شود؛ مثلاً به این آیه توجه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 فَلا یقْرَبُوا الْمَسْجِدَ الْحَرامَ بَعْدَ عامِهِمْ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این است که مشرکان ناپاک‌اند؛ پس نباید از سال آینده به مسجدالحرام نزدیک شوند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به‌نظر تو،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به‌معنای ناپاکیِ معنوی است یا نجاستِ اصطلاحی که در خون و سگ و امثال آن وجود دارد؟ آیا اصلاً در زمان نزول این آیه، حکم نجاسات تشریع شده بود؟</w:t>
      </w:r>
      <w:r>
        <w:rPr>
          <w:rStyle w:val="FootnoteAnchor"/>
          <w:rtl w:val="true"/>
        </w:rPr>
        <w:footnoteReference w:id="15"/>
      </w:r>
      <w:r>
        <w:rPr>
          <w:rFonts w:ascii="IRNazanin" w:hAnsi="IRNazanin" w:eastAsia="IRNazanin"/>
          <w:color w:val="111111"/>
          <w:sz w:val="28"/>
          <w:sz w:val="28"/>
          <w:szCs w:val="28"/>
          <w:rtl w:val="true"/>
          <w:lang w:bidi="fa-IR"/>
        </w:rPr>
        <w:t xml:space="preserve">آیا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اهل‌کتاب نیز می‌شود؟ زیرا اهل‌کتاب نیز مشرک‌اند؛</w:t>
      </w:r>
      <w:r>
        <w:rPr>
          <w:rStyle w:val="FootnoteAnchor"/>
          <w:rtl w:val="true"/>
        </w:rPr>
        <w:footnoteReference w:id="16"/>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تنها شامل مشرکان غیراهل‌کتاب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می‌بینی که فهم دلالت آیۀ مذکور بر نجاست اهل کتاب،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کسانی‌که به نجاست یا طهارت اهل‌کتاب فتوا داده‌اند، منحصر در همین آیه نیست و عمدۀ دلیل آنان،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فهم آن روایات نیز مسائل خاص خود را دارد که باعث اختلاف در این فتوا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به‌نظر من، بهتر است اهل کتاب را و بلکه همۀ مشرکان را مانند مسلمانان پاک بدانیم؛ چراکه معنا ندارد عقیدۀ یک انسان باعث نجاست بدن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شما با فقیه در همین است که شما نظر خودتان را می‌دهید، اما فقیه به‌دنبال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شما برای طهارت مشرکان آوردید، نه مستند به کتاب و سنت است و نه تکیه بر دلیل عقلیِ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امری اعتباری و قراردادی است که خداوند  دانا و حکیم، آن‌را براساس مصالح و مفاسدی تشریع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مصالح و مفاسد برای ما روشن و برخی دیگر مبهم یا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معتبری، نجاست چیزی ثابت شود، خواهیم دانست که قطعاً مصلحتی در پسِ این قانون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ما باید احکام اسلام را طوطی‌وار و بدون‌آگاهی از فلسفۀ آن و بدون‌قضاوت بر مفید یا مضربودنِ آن بپذیریم؟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نیست؛ زیرا اولاً با همان دلیلی که عصمت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 خدایی‌بودنِ تمام احکام اسلام نیز معلوم می‌گردد؛ پس ما یقین داریم که آنچه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آنچه در قرآن است، همگی دستور و قانون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w:t>
      </w:r>
    </w:p>
    <w:p>
      <w:pPr>
        <w:pStyle w:val="BookText"/>
        <w:rPr/>
      </w:pPr>
      <w:r>
        <w:rPr>
          <w:rFonts w:ascii="IRNazanin" w:hAnsi="IRNazanin" w:eastAsia="IRNazanin"/>
          <w:color w:val="111111"/>
          <w:sz w:val="28"/>
          <w:sz w:val="28"/>
          <w:szCs w:val="28"/>
          <w:rtl w:val="true"/>
          <w:lang w:bidi="fa-IR"/>
        </w:rPr>
        <w:t>، پذیرش هیچ‌یک از قوانین اسلام چشم‌وگوش‌بسته و بی‌دلیل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عقل با همان دلیلی که علم و حکمت خداوند  را اثبات می‌کند، می‌گوید خداوندی که خالق انسان و جهان است، به همۀ مصالح و مفاسد آگاه است و اگر قانونی وضع کند، براساس همان مصالح و مفاسد است؛ پس ما به‌طورکلّی یقین داریم که همۀ احکام اسلام برای ما مفید است و هریک از آن‌ها برای رسیدن ما به سعادت انسانی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چنین نیست که فلسفۀ احکام و مصالح آن‌ها به‌طورکلّی بر ما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قرآن و روایات آمده است و خود ما نیز می‌توانیم کمابیش به برخی از آن‌ها دست یابیم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اهل‌کتاب یا پاک‌اند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این مسئله دو فتوای مختلف هست، قطعاً یکی از آن‌ها با حکم واقعی اسلام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وظیفۀ من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گفته‌اند باید از رأی مجتهدِ اَعلم پیروی کرد؛ زیرا رأی او کارشناسانه‌تر و دقیق‌تر و احتمال خطا در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حتماً رأی مجتهد اَعلم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اتفاقاً یکی از فتاوای مجتهد غیراَعلم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من این است که اگر دو مجتهد با یکدیگر اختلاف فتوا داشتند و یکی اَعلم از دیگری بود، همان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 دربارۀ رجوع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باید به اَعلم رجوع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اَعلم، مطابق احتیاط نیز هست؛ یعنی وظیفۀ من یکی از این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من مخیّرم که به هریک از آن دو رجوع کنم و عمل به هریک از آن دو برای من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فقط باید از اَعلم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اَعلم بنابر هر دو احتمال برای من صحیح است؛ درحالی‌که تقلید از غیراَعلم تنها بنابر احتیاط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این است که عملی را انجام دهم که یقین دارم برای من صحیح است</w:t>
      </w:r>
      <w:r>
        <w:rPr>
          <w:rFonts w:eastAsia="IRNazanin" w:cs="IRNazanin"/>
          <w:color w:val="111111"/>
          <w:sz w:val="28"/>
          <w:szCs w:val="28"/>
          <w:rtl w:val="true"/>
          <w:lang w:bidi="fa-IR"/>
        </w:rPr>
        <w:t>.</w:t>
      </w:r>
      <w:bookmarkStart w:id="39" w:name="pg4898_53509"/>
    </w:p>
    <w:p>
      <w:pPr>
        <w:pStyle w:val="BookText"/>
        <w:rPr/>
      </w:pPr>
      <w:bookmarkEnd w:id="3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لزوم تقلید از اَعلم نیز معلوم شد</w:t>
      </w:r>
      <w:r>
        <w:rPr>
          <w:rFonts w:eastAsia="IRNazanin" w:cs="IRNazanin"/>
          <w:color w:val="111111"/>
          <w:sz w:val="28"/>
          <w:szCs w:val="28"/>
          <w:rtl w:val="true"/>
          <w:lang w:bidi="fa-IR"/>
        </w:rPr>
        <w:t>.</w:t>
      </w:r>
    </w:p>
    <w:p>
      <w:pPr>
        <w:pStyle w:val="Heading2"/>
        <w:numPr>
          <w:ilvl w:val="1"/>
          <w:numId w:val="1"/>
        </w:numPr>
        <w:rPr/>
      </w:pPr>
      <w:bookmarkStart w:id="40" w:name="__RefHeading___Toc3238370_2035185390"/>
      <w:bookmarkStart w:id="41" w:name="_Toc14"/>
      <w:bookmarkEnd w:id="40"/>
      <w:r>
        <w:rPr>
          <w:rtl w:val="true"/>
        </w:rPr>
        <w:t>تقلید از مجتهد میت</w:t>
      </w:r>
      <w:bookmarkEnd w:id="41"/>
    </w:p>
    <w:p>
      <w:pPr>
        <w:pStyle w:val="BookText"/>
        <w:rPr/>
      </w:pPr>
      <w:r>
        <w:rPr>
          <w:rFonts w:ascii="IRNazanin" w:hAnsi="IRNazanin" w:eastAsia="IRNazanin"/>
          <w:color w:val="111111"/>
          <w:sz w:val="28"/>
          <w:sz w:val="28"/>
          <w:szCs w:val="28"/>
          <w:rtl w:val="true"/>
          <w:lang w:bidi="fa-IR"/>
        </w:rPr>
        <w:t>سؤال دیگری دارم و آن اینکه اگر حضرت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زنده بودند، از همۀ مراجع فعلی اَعلم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تقلید از ایشان ممکن باشد؛ درحالی‌که در رساله‌های عملیّه نوشته‌اند کسی‌که در زمان حیاتِ مجتهدی از او تقلید نمی‌کرده است، نمی‌تواند الان از او تقلید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 باشد، قبلاً توضیح دادم که اصل مسئلۀ تقلید، تقلیدبردار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 باید خودش در آن به‌نتیجه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فروع آن می‌توان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پیروی از میّت نیز از همین فروع است؛ یعنی مقلّد باید در آغاز، از مجتهد اَعلمِ زنده تقلید کند؛</w:t>
      </w:r>
      <w:r>
        <w:rPr>
          <w:rStyle w:val="FootnoteAnchor"/>
          <w:rtl w:val="true"/>
        </w:rPr>
        <w:footnoteReference w:id="18"/>
      </w:r>
      <w:r>
        <w:rPr>
          <w:rFonts w:ascii="IRNazanin" w:hAnsi="IRNazanin" w:eastAsia="IRNazanin"/>
          <w:color w:val="111111"/>
          <w:sz w:val="28"/>
          <w:sz w:val="28"/>
          <w:szCs w:val="28"/>
          <w:rtl w:val="true"/>
          <w:lang w:bidi="fa-IR"/>
        </w:rPr>
        <w:t>آنگاه می‌تواند در مسئلۀ تقلیدِ از میّت، به فتوای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فتوای چند نفر از مراجع اَعلم زنده را دراین‌باره برایت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دو اصطلاح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مجتهدِ میّت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زمان حیاتِ مجتهدی، از او تبعیت می‌کرده است و پس از مرگِ او می‌خواهد هنوز از وی تبعیت کند، تقلید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استدامه‌ای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قبلاً از آن مجتهد تبعیت نمی‌کرده است، مثلاً در آن زمان هنوز بالغ نبوده است و اکنون می‌خواهد از او تقلید کند، تقلید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قریب‌به‌اتفاق فقها، تقلید ابتدایی از میّت را جایز نمی‌دانند؛ اما تقلید استدامه‌ای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بر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ازدنیارفته، از مجتهد اَعلمِ زنده نیز اَعلم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ازدنیارفته، با مجتهد اَعلمِ زنده مساوی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اَعلم زنده، از مجتهدِ ازدنیارفته نیز اعلم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مقام معظم رهبری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اول، بقای بر تقلید احتیاط‌مستحب است؛</w:t>
      </w:r>
    </w:p>
    <w:p>
      <w:pPr>
        <w:pStyle w:val="BookText"/>
        <w:rPr/>
      </w:pPr>
      <w:r>
        <w:rPr>
          <w:rFonts w:ascii="IRNazanin" w:hAnsi="IRNazanin" w:eastAsia="IRNazanin"/>
          <w:color w:val="111111"/>
          <w:sz w:val="28"/>
          <w:sz w:val="28"/>
          <w:szCs w:val="28"/>
          <w:rtl w:val="true"/>
          <w:lang w:bidi="fa-IR"/>
        </w:rPr>
        <w:t>درصورت دوم، تقلید از هریک از آنان جایز است؛</w:t>
      </w:r>
      <w:r>
        <w:rPr>
          <w:rStyle w:val="FootnoteAnchor"/>
          <w:rtl w:val="true"/>
        </w:rPr>
        <w:footnoteReference w:id="19"/>
      </w:r>
      <w:r>
        <w:rPr>
          <w:rFonts w:ascii="IRNazanin" w:hAnsi="IRNazanin" w:eastAsia="IRNazanin"/>
          <w:color w:val="111111"/>
          <w:sz w:val="28"/>
          <w:sz w:val="28"/>
          <w:szCs w:val="28"/>
          <w:rtl w:val="true"/>
          <w:lang w:bidi="fa-IR"/>
        </w:rPr>
        <w:t>درصورت سوم، تقلید از مجتهد زنده احتیاط‌واجب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فتوای دیگر مراجع را می‌توانی در رساله‌هایشان یا مسئلۀ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رسالۀ سیزده مرجع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درصورت اول، بقای بر میّت، به‌نظر آیت‌الله صافی احتیاط‌واجب، به‌نظر آیت‌الله نوری جایز و به‌نظر آیات عظام زنجانی، سیستانی، مکارم</w:t>
      </w:r>
      <w:r>
        <w:rPr>
          <w:rStyle w:val="FootnoteAnchor"/>
          <w:rtl w:val="true"/>
        </w:rPr>
        <w:footnoteReference w:id="21"/>
      </w:r>
      <w:r>
        <w:rPr>
          <w:rFonts w:ascii="IRNazanin" w:hAnsi="IRNazanin" w:eastAsia="IRNazanin"/>
          <w:color w:val="111111"/>
          <w:sz w:val="28"/>
          <w:sz w:val="28"/>
          <w:szCs w:val="28"/>
          <w:rtl w:val="true"/>
          <w:lang w:bidi="fa-IR"/>
        </w:rPr>
        <w:t>و وحید خراسانی</w:t>
      </w:r>
      <w:r>
        <w:rPr>
          <w:rStyle w:val="FootnoteAnchor"/>
          <w:rtl w:val="true"/>
        </w:rPr>
        <w:footnoteReference w:id="22"/>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گفتی اول باید از مجتهد اَعلمِ زنده پیروی کنم و بعداً به‌فتوای، او از میّت، تقلیدِ ابتدایی یا استدامه‌ای کنم، به این دلیل است که تقلید از میّت بنابر برخی فتاوا گاه واجب یا ممنوع می‌شود؟</w:t>
      </w:r>
      <w:bookmarkStart w:id="42" w:name="pg4898_53512"/>
    </w:p>
    <w:p>
      <w:pPr>
        <w:pStyle w:val="BookText"/>
        <w:rPr/>
      </w:pPr>
      <w:bookmarkEnd w:id="4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 نیست؛ بلکه در حیطه‌ای که شخص می‌تواند باقی بر تقلید باشد نیز باید از فتوای مجتهد اَعلمِ زنده تقلید کند؛ مثلاً آیات عظام خامنه‌ای، سیستانی، صافی، نوری و وحید خراسانی معتقدند که حیطۀ بقای بر میّت در همۀ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حیات میّت به همۀ آن مسائل عمل کرده باشد، چه فقط به برخی از آن‌ها عمل کرده باشد؛ درحالی‌که مثلاً آیت‌الله مکارم معتقد است بقا فقط در مسائلی است که در زمان حیات میّت به آن‌ها عمل کرده است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3" w:name="__RefHeading___Toc3238372_2035185390"/>
      <w:bookmarkStart w:id="44" w:name="_Toc15"/>
      <w:bookmarkEnd w:id="43"/>
      <w:r>
        <w:rPr>
          <w:rtl w:val="true"/>
        </w:rPr>
        <w:t>حکم نماز و روزه قبل از تقلید از مرجع</w:t>
      </w:r>
      <w:bookmarkEnd w:id="4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تابه‌حال از کسی تقلید نمی‌کردم، حکم نماز و روزه‌هایم چه می‌شود؟ آیا همۀ آن‌ها باطل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باید تقلید کرد؛ اما به‌اجمال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w:t>
      </w:r>
    </w:p>
    <w:p>
      <w:pPr>
        <w:pStyle w:val="BookText"/>
        <w:rPr/>
      </w:pPr>
      <w:r>
        <w:rPr>
          <w:rFonts w:ascii="IRNazanin" w:hAnsi="IRNazanin" w:eastAsia="IRNazanin"/>
          <w:color w:val="111111"/>
          <w:sz w:val="28"/>
          <w:sz w:val="28"/>
          <w:szCs w:val="28"/>
          <w:rtl w:val="true"/>
          <w:lang w:bidi="fa-IR"/>
        </w:rPr>
        <w:t>بدون‌تقلید انجام داده‌ای صحیح است و نیازی به اعاده یا قضا ندارد؛ فقط به‌شرطی که اَعمالت مطابقِ واقع بوده یا مطابق با فتوای کسی بوده که در آن زمان باید از او تقلید می‌کردی، یا مطابق با فتوای کسی باشد که الان باید از او تقلید کنی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دیدگاه‌های دیگری نیز هست؛ مانند اینکه مطابقت با فتوای مرجع فعلی شرط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تقلید کنم؟ آیا باید بگویم ازاین‌پس، از فلان مرجع تقلید می‌کنم؟ باید رسالۀ او را تهیه کنم؟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لازم نیست؛ همین‌قدر که قصد کنی اَعمالت را مطابقِ فتوای او انجام دهی،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نخست مرجعی را انتخاب کنی و مسائل شرعی، ازجمله مسائل فرعیِ تقلید، را از فتوای او پیروی کنی</w:t>
      </w:r>
      <w:r>
        <w:rPr>
          <w:rFonts w:eastAsia="IRNazanin" w:cs="IRNazanin"/>
          <w:color w:val="111111"/>
          <w:sz w:val="28"/>
          <w:szCs w:val="28"/>
          <w:rtl w:val="true"/>
          <w:lang w:bidi="fa-IR"/>
        </w:rPr>
        <w:t>.</w:t>
      </w:r>
      <w:bookmarkStart w:id="45" w:name="pg4898_53514"/>
    </w:p>
    <w:p>
      <w:pPr>
        <w:pStyle w:val="Heading2"/>
        <w:numPr>
          <w:ilvl w:val="1"/>
          <w:numId w:val="1"/>
        </w:numPr>
        <w:rPr/>
      </w:pPr>
      <w:bookmarkStart w:id="46" w:name="__RefHeading___Toc3238374_2035185390"/>
      <w:bookmarkStart w:id="47" w:name="_Toc16"/>
      <w:bookmarkEnd w:id="45"/>
      <w:bookmarkEnd w:id="46"/>
      <w:r>
        <w:rPr>
          <w:rtl w:val="true"/>
        </w:rPr>
        <w:t>شناخت مجتهد اعلم</w:t>
      </w:r>
      <w:bookmarkEnd w:id="47"/>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الان مجتهد اَعلم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مجتهد اَعلم، رجوع به اهل خبره است؛ مثلاً جامعۀ مدرسین حوزۀ علمیۀ قم که همگی در شناخت مجتهد و شناخت اَعلم، توانا و خبره‌اند، چند نفر را مجتهد اَعلم معرفی کرده‌اند و مردم می‌توانند از هریک از آنان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مراجعی که در این گفت‌وگو نامشان را بردم</w:t>
      </w:r>
      <w:r>
        <w:rPr>
          <w:rStyle w:val="FootnoteAnchor"/>
          <w:rtl w:val="true"/>
        </w:rPr>
        <w:footnoteReference w:id="26"/>
      </w:r>
      <w:r>
        <w:rPr>
          <w:rFonts w:ascii="IRNazanin" w:hAnsi="IRNazanin" w:eastAsia="IRNazanin"/>
          <w:color w:val="111111"/>
          <w:sz w:val="28"/>
          <w:sz w:val="28"/>
          <w:szCs w:val="28"/>
          <w:rtl w:val="true"/>
          <w:lang w:bidi="fa-IR"/>
        </w:rPr>
        <w:t>از کسانی هستند که می‌توانی از آن‌ها تقلید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یعنی داناترین؛ پس همواره فقط یک نفر باید اَعلم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بیابد که فلان مجتهد اَعلم است، باید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شناخت اَعلم دشوار یا غیرممکن است؛ دراین‌صورت، تمام کسانی که احتمال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اَعلم‌بودنشان مساوی است، مجتهدان اَعلم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تعدد رساله‌های عملیّه در این سال‌های اخیر نیز همین نکته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رسالۀ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رسالۀ دیگر مراجع تقلید،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 کسب، از احکام خمس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الحر العاملی، وسائل الشیعه، دار الحیاء التراث العربی،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راه، یعنی اجتهاد و احتیاط و تقلید، در اولین مسئلۀ رساله‌های عَملیّه توضیح داده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میرزاعلی التبریزی الغروی، التنقیح، الجتهاد و التقلید، دارالهادی للمطبوعات،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نیز در اولین مسئلۀ رساله‌های عملیه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اجوبة الاستفتائات، دارالوسیله، الجزء الاول،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سیدهدایت‌الله طالقانی، مرجعیت،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التنقیح،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آیت‌الله نوری همدانی، مسائل من الاجتهاد و التقلید، دفتر تبلیغات حوزۀ علمیۀ قم،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شهیدمطهری، ده گفتار، اصل اجتهاد در اسلام، صدرا،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اندکیِ اختلاف، اختلاف میان علمای شیعه است؛ ولی میان آنان با مذاهب سنّی اختلاف زیاد است؛ زیرا آنان برای به‌دست‌آوردن سنّت به‌جای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سایر صحابه رجوع می‌کنند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رجال، عهده‌دار بیان حال راویان حدیث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تشریع احکام شرعی به‌تدریج و درطول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سال زمان بعثت صورت گرفته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الیهود عزیز ابن الله و قالت النصاری المسیح ابن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مشرکانِ اهل کتاب در بسیاری از احکام، با دیگر مشرکان متفاوت‌اند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تقلید از مجتهد زنده از مُسلّمات فقه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سؤال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مسائل البقاء علی تقلید المیّت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سیزده مرجع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عملیّۀ معظمٌ 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سیزده مرجع و رسالۀ عملیّۀ آیت‌الله وحید خراسانی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سیزده مرجع، مسئلۀ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تقلید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دیدگاه‌های آیات عظام مکارم شیرازی و سیستانی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اسامی این مراجع در مواردی که با هم ذکر شده‌اند، براساس حروف الفباست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45.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5315</Words>
  <Characters>21745</Characters>
  <CharactersWithSpaces>26861</CharactersWithSpaces>
  <Paragraphs>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2026-08-18T21:42:57Z</dcterms:created>
  <dc:creator>ghaemiyeh.com</dc:creator>
  <dc:description/>
  <dc:language>en-US</dc:language>
  <cp:lastModifiedBy/>
  <dcterms:modified xsi:type="dcterms:W3CDTF">2026-08-19T01:12:59Z</dcterms:modified>
  <cp:revision>1</cp:revision>
  <dc:subject/>
  <dc:title>رهنما 62 گفت و شنودی در باب تقلید</dc:title>
</cp:coreProperties>
</file>

<file path=docProps/custom.xml><?xml version="1.0" encoding="utf-8"?>
<Properties xmlns="http://schemas.openxmlformats.org/officeDocument/2006/custom-properties" xmlns:vt="http://schemas.openxmlformats.org/officeDocument/2006/docPropsVTypes"/>
</file>