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دین دنیوی تا آستان قدرت نقد کتاب از شاهد قدسی تا شاهد بازاری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18090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418092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418094_2749589250">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3418096_2749589250">
            <w:r>
              <w:rPr>
                <w:webHidden/>
                <w:rStyle w:val="IndexLink"/>
                <w:rtl w:val="true"/>
              </w:rPr>
              <w:t>پیش گفتار</w:t>
            </w:r>
            <w:r>
              <w:rPr>
                <w:rStyle w:val="IndexLink"/>
                <w:rtl w:val="true"/>
              </w:rPr>
              <w:tab/>
            </w:r>
            <w:r>
              <w:rPr>
                <w:rStyle w:val="IndexLink"/>
              </w:rPr>
              <w:t>11</w:t>
            </w:r>
          </w:hyperlink>
        </w:p>
        <w:p>
          <w:pPr>
            <w:pStyle w:val="Contents2"/>
            <w:tabs>
              <w:tab w:val="clear" w:pos="8743"/>
              <w:tab w:val="right" w:pos="9026" w:leader="dot"/>
            </w:tabs>
            <w:rPr/>
          </w:pPr>
          <w:hyperlink w:anchor="__RefHeading___Toc3418098_2749589250">
            <w:r>
              <w:rPr>
                <w:webHidden/>
                <w:rStyle w:val="IndexLink"/>
                <w:rtl w:val="true"/>
              </w:rPr>
              <w:t>بخش اول</w:t>
            </w:r>
            <w:r>
              <w:rPr>
                <w:rStyle w:val="IndexLink"/>
                <w:rtl w:val="true"/>
              </w:rPr>
              <w:t>:</w:t>
            </w:r>
            <w:r>
              <w:rPr>
                <w:rStyle w:val="IndexLink"/>
                <w:rtl w:val="true"/>
              </w:rPr>
              <w:t xml:space="preserve">گزارشی کوتاه از مجموعه مقاله های </w:t>
            </w:r>
            <w:r>
              <w:rPr>
                <w:rStyle w:val="IndexLink"/>
                <w:rtl w:val="true"/>
              </w:rPr>
              <w:t>«</w:t>
            </w:r>
            <w:r>
              <w:rPr>
                <w:rStyle w:val="IndexLink"/>
                <w:rtl w:val="true"/>
              </w:rPr>
              <w:t>از شاهد قدسی تا شاهد بازاری</w:t>
            </w:r>
            <w:r>
              <w:rPr>
                <w:rStyle w:val="IndexLink"/>
                <w:rtl w:val="true"/>
              </w:rPr>
              <w:t>»</w:t>
              <w:tab/>
            </w:r>
            <w:r>
              <w:rPr>
                <w:rStyle w:val="IndexLink"/>
              </w:rPr>
              <w:t>13</w:t>
            </w:r>
          </w:hyperlink>
        </w:p>
        <w:p>
          <w:pPr>
            <w:pStyle w:val="Contents3"/>
            <w:tabs>
              <w:tab w:val="clear" w:pos="8459"/>
              <w:tab w:val="right" w:pos="9026" w:leader="dot"/>
            </w:tabs>
            <w:rPr/>
          </w:pPr>
          <w:hyperlink w:anchor="__RefHeading___Toc3418100_274958925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3418102_2749589250">
            <w:r>
              <w:rPr>
                <w:webHidden/>
                <w:rStyle w:val="IndexLink"/>
                <w:rtl w:val="true"/>
              </w:rPr>
              <w:t>مقدمه</w:t>
            </w:r>
            <w:r>
              <w:rPr>
                <w:rStyle w:val="IndexLink"/>
                <w:rtl w:val="true"/>
              </w:rPr>
              <w:tab/>
            </w:r>
            <w:r>
              <w:rPr>
                <w:rStyle w:val="IndexLink"/>
              </w:rPr>
              <w:t>14</w:t>
            </w:r>
          </w:hyperlink>
        </w:p>
        <w:p>
          <w:pPr>
            <w:pStyle w:val="Contents3"/>
            <w:tabs>
              <w:tab w:val="clear" w:pos="8459"/>
              <w:tab w:val="right" w:pos="9026" w:leader="dot"/>
            </w:tabs>
            <w:rPr/>
          </w:pPr>
          <w:hyperlink w:anchor="__RefHeading___Toc3418104_2749589250">
            <w:r>
              <w:rPr>
                <w:webHidden/>
                <w:rStyle w:val="IndexLink"/>
                <w:rtl w:val="true"/>
              </w:rPr>
              <w:t>گفتار اول</w:t>
            </w:r>
            <w:r>
              <w:rPr>
                <w:rStyle w:val="IndexLink"/>
                <w:rtl w:val="true"/>
              </w:rPr>
              <w:t xml:space="preserve">: </w:t>
            </w:r>
            <w:r>
              <w:rPr>
                <w:rStyle w:val="IndexLink"/>
                <w:rtl w:val="true"/>
              </w:rPr>
              <w:t>عرفی شدن سنت ها</w:t>
            </w:r>
            <w:r>
              <w:rPr>
                <w:rStyle w:val="IndexLink"/>
                <w:rtl w:val="true"/>
              </w:rPr>
              <w:tab/>
            </w:r>
            <w:r>
              <w:rPr>
                <w:rStyle w:val="IndexLink"/>
              </w:rPr>
              <w:t>15</w:t>
            </w:r>
          </w:hyperlink>
        </w:p>
        <w:p>
          <w:pPr>
            <w:pStyle w:val="Contents4"/>
            <w:tabs>
              <w:tab w:val="clear" w:pos="8176"/>
              <w:tab w:val="right" w:pos="9026" w:leader="dot"/>
            </w:tabs>
            <w:rPr/>
          </w:pPr>
          <w:hyperlink w:anchor="__RefHeading___Toc3418106_2749589250">
            <w:r>
              <w:rPr>
                <w:webHidden/>
                <w:rStyle w:val="IndexLink"/>
                <w:rtl w:val="true"/>
              </w:rPr>
              <w:t xml:space="preserve">مقاله اول </w:t>
            </w:r>
            <w:r>
              <w:rPr>
                <w:rStyle w:val="IndexLink"/>
                <w:rtl w:val="true"/>
              </w:rPr>
              <w:t xml:space="preserve">- </w:t>
            </w:r>
            <w:r>
              <w:rPr>
                <w:rStyle w:val="IndexLink"/>
                <w:rtl w:val="true"/>
              </w:rPr>
              <w:t>فرآیند عرفی شدن شریعت مسیح علیه السلام</w:t>
            </w:r>
            <w:r>
              <w:rPr>
                <w:rStyle w:val="IndexLink"/>
                <w:rtl w:val="true"/>
              </w:rPr>
              <w:tab/>
            </w:r>
            <w:r>
              <w:rPr>
                <w:rStyle w:val="IndexLink"/>
              </w:rPr>
              <w:t>15</w:t>
            </w:r>
          </w:hyperlink>
        </w:p>
        <w:p>
          <w:pPr>
            <w:pStyle w:val="Contents4"/>
            <w:tabs>
              <w:tab w:val="clear" w:pos="8176"/>
              <w:tab w:val="right" w:pos="9026" w:leader="dot"/>
            </w:tabs>
            <w:rPr/>
          </w:pPr>
          <w:hyperlink w:anchor="__RefHeading___Toc3418108_2749589250">
            <w:r>
              <w:rPr>
                <w:webHidden/>
                <w:rStyle w:val="IndexLink"/>
                <w:rtl w:val="true"/>
              </w:rPr>
              <w:t xml:space="preserve">مقاله دوم </w:t>
            </w:r>
            <w:r>
              <w:rPr>
                <w:rStyle w:val="IndexLink"/>
                <w:rtl w:val="true"/>
              </w:rPr>
              <w:t xml:space="preserve">- </w:t>
            </w:r>
            <w:r>
              <w:rPr>
                <w:rStyle w:val="IndexLink"/>
                <w:rtl w:val="true"/>
              </w:rPr>
              <w:t xml:space="preserve">جرقه تاریخی گری در قرون وسطای متأخر </w:t>
            </w:r>
            <w:r>
              <w:rPr>
                <w:rStyle w:val="IndexLink"/>
                <w:rtl w:val="true"/>
              </w:rPr>
              <w:t>(</w:t>
            </w:r>
            <w:r>
              <w:rPr>
                <w:rStyle w:val="IndexLink"/>
                <w:rtl w:val="true"/>
              </w:rPr>
              <w:t>تأملاتی در اندیشه یواخیم فیوره ای</w:t>
            </w:r>
            <w:r>
              <w:rPr>
                <w:rStyle w:val="IndexLink"/>
                <w:rtl w:val="true"/>
              </w:rPr>
              <w:t>)</w:t>
              <w:tab/>
            </w:r>
            <w:r>
              <w:rPr>
                <w:rStyle w:val="IndexLink"/>
              </w:rPr>
              <w:t>15</w:t>
            </w:r>
          </w:hyperlink>
        </w:p>
        <w:p>
          <w:pPr>
            <w:pStyle w:val="Contents4"/>
            <w:tabs>
              <w:tab w:val="clear" w:pos="8176"/>
              <w:tab w:val="right" w:pos="9026" w:leader="dot"/>
            </w:tabs>
            <w:rPr/>
          </w:pPr>
          <w:hyperlink w:anchor="__RefHeading___Toc3418110_2749589250">
            <w:r>
              <w:rPr>
                <w:webHidden/>
                <w:rStyle w:val="IndexLink"/>
                <w:rtl w:val="true"/>
              </w:rPr>
              <w:t xml:space="preserve">مقاله سوم </w:t>
            </w:r>
            <w:r>
              <w:rPr>
                <w:rStyle w:val="IndexLink"/>
                <w:rtl w:val="true"/>
              </w:rPr>
              <w:t xml:space="preserve">- </w:t>
            </w:r>
            <w:r>
              <w:rPr>
                <w:rStyle w:val="IndexLink"/>
                <w:rtl w:val="true"/>
              </w:rPr>
              <w:t>فرآیند عرفی شدن فقه شیعی</w:t>
            </w:r>
            <w:r>
              <w:rPr>
                <w:rStyle w:val="IndexLink"/>
                <w:rtl w:val="true"/>
              </w:rPr>
              <w:tab/>
            </w:r>
            <w:r>
              <w:rPr>
                <w:rStyle w:val="IndexLink"/>
              </w:rPr>
              <w:t>15</w:t>
            </w:r>
          </w:hyperlink>
        </w:p>
        <w:p>
          <w:pPr>
            <w:pStyle w:val="Contents4"/>
            <w:tabs>
              <w:tab w:val="clear" w:pos="8176"/>
              <w:tab w:val="right" w:pos="9026" w:leader="dot"/>
            </w:tabs>
            <w:rPr/>
          </w:pPr>
          <w:hyperlink w:anchor="__RefHeading___Toc3418112_2749589250">
            <w:r>
              <w:rPr>
                <w:webHidden/>
                <w:rStyle w:val="IndexLink"/>
                <w:rtl w:val="true"/>
              </w:rPr>
              <w:t xml:space="preserve">مقاله چهارم </w:t>
            </w:r>
            <w:r>
              <w:rPr>
                <w:rStyle w:val="IndexLink"/>
                <w:rtl w:val="true"/>
              </w:rPr>
              <w:t xml:space="preserve">- </w:t>
            </w:r>
            <w:r>
              <w:rPr>
                <w:rStyle w:val="IndexLink"/>
                <w:rtl w:val="true"/>
              </w:rPr>
              <w:t xml:space="preserve">امام خمینی رحمه الله فقیه دوران گذار </w:t>
            </w:r>
            <w:r>
              <w:rPr>
                <w:rStyle w:val="IndexLink"/>
                <w:rtl w:val="true"/>
              </w:rPr>
              <w:t>(</w:t>
            </w:r>
            <w:r>
              <w:rPr>
                <w:rStyle w:val="IndexLink"/>
                <w:rtl w:val="true"/>
              </w:rPr>
              <w:t>از فقه جواهری تا فقه المصلحة</w:t>
            </w:r>
            <w:r>
              <w:rPr>
                <w:rStyle w:val="IndexLink"/>
                <w:rtl w:val="true"/>
              </w:rPr>
              <w:t>)</w:t>
              <w:tab/>
            </w:r>
            <w:r>
              <w:rPr>
                <w:rStyle w:val="IndexLink"/>
              </w:rPr>
              <w:t>16</w:t>
            </w:r>
          </w:hyperlink>
        </w:p>
        <w:p>
          <w:pPr>
            <w:pStyle w:val="Contents4"/>
            <w:tabs>
              <w:tab w:val="clear" w:pos="8176"/>
              <w:tab w:val="right" w:pos="9026" w:leader="dot"/>
            </w:tabs>
            <w:rPr/>
          </w:pPr>
          <w:hyperlink w:anchor="__RefHeading___Toc3418114_2749589250">
            <w:r>
              <w:rPr>
                <w:webHidden/>
                <w:rStyle w:val="IndexLink"/>
                <w:rtl w:val="true"/>
              </w:rPr>
              <w:t xml:space="preserve">مقاله پنجم </w:t>
            </w:r>
            <w:r>
              <w:rPr>
                <w:rStyle w:val="IndexLink"/>
                <w:rtl w:val="true"/>
              </w:rPr>
              <w:t xml:space="preserve">- </w:t>
            </w:r>
            <w:r>
              <w:rPr>
                <w:rStyle w:val="IndexLink"/>
                <w:rtl w:val="true"/>
              </w:rPr>
              <w:t>خط قرمز؛ ارزش یا هنجار؟</w:t>
            </w:r>
            <w:r>
              <w:rPr>
                <w:rStyle w:val="IndexLink"/>
                <w:rtl w:val="true"/>
              </w:rPr>
              <w:tab/>
            </w:r>
            <w:r>
              <w:rPr>
                <w:rStyle w:val="IndexLink"/>
              </w:rPr>
              <w:t>16</w:t>
            </w:r>
          </w:hyperlink>
        </w:p>
        <w:p>
          <w:pPr>
            <w:pStyle w:val="Contents4"/>
            <w:tabs>
              <w:tab w:val="clear" w:pos="8176"/>
              <w:tab w:val="right" w:pos="9026" w:leader="dot"/>
            </w:tabs>
            <w:rPr/>
          </w:pPr>
          <w:hyperlink w:anchor="__RefHeading___Toc3418116_2749589250">
            <w:r>
              <w:rPr>
                <w:webHidden/>
                <w:rStyle w:val="IndexLink"/>
                <w:rtl w:val="true"/>
              </w:rPr>
              <w:t xml:space="preserve">مقاله ششم </w:t>
            </w:r>
            <w:r>
              <w:rPr>
                <w:rStyle w:val="IndexLink"/>
                <w:rtl w:val="true"/>
              </w:rPr>
              <w:t xml:space="preserve">- </w:t>
            </w:r>
            <w:r>
              <w:rPr>
                <w:rStyle w:val="IndexLink"/>
                <w:rtl w:val="true"/>
              </w:rPr>
              <w:t>دین دموکراتیک حکومتی</w:t>
            </w:r>
            <w:r>
              <w:rPr>
                <w:rStyle w:val="IndexLink"/>
                <w:rtl w:val="true"/>
              </w:rPr>
              <w:tab/>
            </w:r>
            <w:r>
              <w:rPr>
                <w:rStyle w:val="IndexLink"/>
              </w:rPr>
              <w:t>17</w:t>
            </w:r>
          </w:hyperlink>
        </w:p>
        <w:p>
          <w:pPr>
            <w:pStyle w:val="Contents3"/>
            <w:tabs>
              <w:tab w:val="clear" w:pos="8459"/>
              <w:tab w:val="right" w:pos="9026" w:leader="dot"/>
            </w:tabs>
            <w:rPr/>
          </w:pPr>
          <w:hyperlink w:anchor="__RefHeading___Toc3418118_2749589250">
            <w:r>
              <w:rPr>
                <w:webHidden/>
                <w:rStyle w:val="IndexLink"/>
                <w:rtl w:val="true"/>
              </w:rPr>
              <w:t>گفتار دوم</w:t>
            </w:r>
            <w:r>
              <w:rPr>
                <w:rStyle w:val="IndexLink"/>
                <w:rtl w:val="true"/>
              </w:rPr>
              <w:t xml:space="preserve">: </w:t>
            </w:r>
            <w:r>
              <w:rPr>
                <w:rStyle w:val="IndexLink"/>
                <w:rtl w:val="true"/>
              </w:rPr>
              <w:t>عرفی شدن ایدئولوژی ها</w:t>
            </w:r>
            <w:r>
              <w:rPr>
                <w:rStyle w:val="IndexLink"/>
                <w:rtl w:val="true"/>
              </w:rPr>
              <w:tab/>
            </w:r>
            <w:r>
              <w:rPr>
                <w:rStyle w:val="IndexLink"/>
              </w:rPr>
              <w:t>17</w:t>
            </w:r>
          </w:hyperlink>
        </w:p>
        <w:p>
          <w:pPr>
            <w:pStyle w:val="Contents4"/>
            <w:tabs>
              <w:tab w:val="clear" w:pos="8176"/>
              <w:tab w:val="right" w:pos="9026" w:leader="dot"/>
            </w:tabs>
            <w:rPr/>
          </w:pPr>
          <w:hyperlink w:anchor="__RefHeading___Toc3418120_2749589250">
            <w:r>
              <w:rPr>
                <w:webHidden/>
                <w:rStyle w:val="IndexLink"/>
                <w:rtl w:val="true"/>
              </w:rPr>
              <w:t xml:space="preserve">مقاله اول </w:t>
            </w:r>
            <w:r>
              <w:rPr>
                <w:rStyle w:val="IndexLink"/>
                <w:rtl w:val="true"/>
              </w:rPr>
              <w:t xml:space="preserve">- </w:t>
            </w:r>
            <w:r>
              <w:rPr>
                <w:rStyle w:val="IndexLink"/>
                <w:rtl w:val="true"/>
              </w:rPr>
              <w:t xml:space="preserve">نقدی بر نظریه </w:t>
            </w:r>
            <w:r>
              <w:rPr>
                <w:rStyle w:val="IndexLink"/>
                <w:rtl w:val="true"/>
              </w:rPr>
              <w:t>«</w:t>
            </w:r>
            <w:r>
              <w:rPr>
                <w:rStyle w:val="IndexLink"/>
                <w:rtl w:val="true"/>
              </w:rPr>
              <w:t>فربه تر از ایدئولوژی</w:t>
            </w:r>
            <w:r>
              <w:rPr>
                <w:rStyle w:val="IndexLink"/>
                <w:rtl w:val="true"/>
              </w:rPr>
              <w:t>»</w:t>
              <w:tab/>
            </w:r>
            <w:r>
              <w:rPr>
                <w:rStyle w:val="IndexLink"/>
              </w:rPr>
              <w:t>17</w:t>
            </w:r>
          </w:hyperlink>
        </w:p>
        <w:p>
          <w:pPr>
            <w:pStyle w:val="Contents4"/>
            <w:tabs>
              <w:tab w:val="clear" w:pos="8176"/>
              <w:tab w:val="right" w:pos="9026" w:leader="dot"/>
            </w:tabs>
            <w:rPr/>
          </w:pPr>
          <w:hyperlink w:anchor="__RefHeading___Toc3418122_2749589250">
            <w:r>
              <w:rPr>
                <w:webHidden/>
                <w:rStyle w:val="IndexLink"/>
                <w:rtl w:val="true"/>
              </w:rPr>
              <w:t xml:space="preserve">مقاله دوم </w:t>
            </w:r>
            <w:r>
              <w:rPr>
                <w:rStyle w:val="IndexLink"/>
                <w:rtl w:val="true"/>
              </w:rPr>
              <w:t xml:space="preserve">- </w:t>
            </w:r>
            <w:r>
              <w:rPr>
                <w:rStyle w:val="IndexLink"/>
                <w:rtl w:val="true"/>
              </w:rPr>
              <w:t>دین عصری در عصر ایدئولوژی</w:t>
            </w:r>
            <w:r>
              <w:rPr>
                <w:rStyle w:val="IndexLink"/>
                <w:rtl w:val="true"/>
              </w:rPr>
              <w:tab/>
            </w:r>
            <w:r>
              <w:rPr>
                <w:rStyle w:val="IndexLink"/>
              </w:rPr>
              <w:t>18</w:t>
            </w:r>
          </w:hyperlink>
        </w:p>
        <w:p>
          <w:pPr>
            <w:pStyle w:val="Contents3"/>
            <w:tabs>
              <w:tab w:val="clear" w:pos="8459"/>
              <w:tab w:val="right" w:pos="9026" w:leader="dot"/>
            </w:tabs>
            <w:rPr/>
          </w:pPr>
          <w:hyperlink w:anchor="__RefHeading___Toc3418124_2749589250">
            <w:r>
              <w:rPr>
                <w:webHidden/>
                <w:rStyle w:val="IndexLink"/>
                <w:rtl w:val="true"/>
              </w:rPr>
              <w:t>گفتار سوم</w:t>
            </w:r>
            <w:r>
              <w:rPr>
                <w:rStyle w:val="IndexLink"/>
                <w:rtl w:val="true"/>
              </w:rPr>
              <w:t xml:space="preserve">: </w:t>
            </w:r>
            <w:r>
              <w:rPr>
                <w:rStyle w:val="IndexLink"/>
                <w:rtl w:val="true"/>
              </w:rPr>
              <w:t>عرفی شدن گفتمان ها</w:t>
            </w:r>
            <w:r>
              <w:rPr>
                <w:rStyle w:val="IndexLink"/>
                <w:rtl w:val="true"/>
              </w:rPr>
              <w:tab/>
            </w:r>
            <w:r>
              <w:rPr>
                <w:rStyle w:val="IndexLink"/>
              </w:rPr>
              <w:t>18</w:t>
            </w:r>
          </w:hyperlink>
        </w:p>
        <w:p>
          <w:pPr>
            <w:pStyle w:val="Contents3"/>
            <w:tabs>
              <w:tab w:val="clear" w:pos="8459"/>
              <w:tab w:val="right" w:pos="9026" w:leader="dot"/>
            </w:tabs>
            <w:rPr/>
          </w:pPr>
          <w:hyperlink w:anchor="__RefHeading___Toc3418126_2749589250">
            <w:r>
              <w:rPr>
                <w:webHidden/>
                <w:rStyle w:val="IndexLink"/>
                <w:rtl w:val="true"/>
              </w:rPr>
              <w:t>گفتار چهارم</w:t>
            </w:r>
            <w:r>
              <w:rPr>
                <w:rStyle w:val="IndexLink"/>
                <w:rtl w:val="true"/>
              </w:rPr>
              <w:t xml:space="preserve">: </w:t>
            </w:r>
            <w:r>
              <w:rPr>
                <w:rStyle w:val="IndexLink"/>
                <w:rtl w:val="true"/>
              </w:rPr>
              <w:t>سایر مقالات</w:t>
            </w:r>
            <w:r>
              <w:rPr>
                <w:rStyle w:val="IndexLink"/>
                <w:rtl w:val="true"/>
              </w:rPr>
              <w:tab/>
            </w:r>
            <w:r>
              <w:rPr>
                <w:rStyle w:val="IndexLink"/>
              </w:rPr>
              <w:t>19</w:t>
            </w:r>
          </w:hyperlink>
        </w:p>
        <w:p>
          <w:pPr>
            <w:pStyle w:val="Contents4"/>
            <w:tabs>
              <w:tab w:val="clear" w:pos="8176"/>
              <w:tab w:val="right" w:pos="9026" w:leader="dot"/>
            </w:tabs>
            <w:rPr/>
          </w:pPr>
          <w:hyperlink w:anchor="__RefHeading___Toc3418128_2749589250">
            <w:r>
              <w:rPr>
                <w:webHidden/>
                <w:rStyle w:val="IndexLink"/>
                <w:rtl w:val="true"/>
              </w:rPr>
              <w:t xml:space="preserve">مقاله اول </w:t>
            </w:r>
            <w:r>
              <w:rPr>
                <w:rStyle w:val="IndexLink"/>
                <w:rtl w:val="true"/>
              </w:rPr>
              <w:t xml:space="preserve">- </w:t>
            </w:r>
            <w:r>
              <w:rPr>
                <w:rStyle w:val="IndexLink"/>
                <w:rtl w:val="true"/>
              </w:rPr>
              <w:t>گونه شناسی جریان های روشن فکری ایران معاصر</w:t>
            </w:r>
            <w:r>
              <w:rPr>
                <w:rStyle w:val="IndexLink"/>
                <w:rtl w:val="true"/>
              </w:rPr>
              <w:tab/>
            </w:r>
            <w:r>
              <w:rPr>
                <w:rStyle w:val="IndexLink"/>
              </w:rPr>
              <w:t>19</w:t>
            </w:r>
          </w:hyperlink>
        </w:p>
        <w:p>
          <w:pPr>
            <w:pStyle w:val="Contents4"/>
            <w:tabs>
              <w:tab w:val="clear" w:pos="8176"/>
              <w:tab w:val="right" w:pos="9026" w:leader="dot"/>
            </w:tabs>
            <w:rPr/>
          </w:pPr>
          <w:hyperlink w:anchor="__RefHeading___Toc3418130_2749589250">
            <w:r>
              <w:rPr>
                <w:webHidden/>
                <w:rStyle w:val="IndexLink"/>
                <w:rtl w:val="true"/>
              </w:rPr>
              <w:t xml:space="preserve">مقاله دوم </w:t>
            </w:r>
            <w:r>
              <w:rPr>
                <w:rStyle w:val="IndexLink"/>
                <w:rtl w:val="true"/>
              </w:rPr>
              <w:t xml:space="preserve">- </w:t>
            </w:r>
            <w:r>
              <w:rPr>
                <w:rStyle w:val="IndexLink"/>
                <w:rtl w:val="true"/>
              </w:rPr>
              <w:t>دین و خشونت</w:t>
            </w:r>
            <w:r>
              <w:rPr>
                <w:rStyle w:val="IndexLink"/>
                <w:rtl w:val="true"/>
              </w:rPr>
              <w:tab/>
            </w:r>
            <w:r>
              <w:rPr>
                <w:rStyle w:val="IndexLink"/>
              </w:rPr>
              <w:t>19</w:t>
            </w:r>
          </w:hyperlink>
        </w:p>
        <w:p>
          <w:pPr>
            <w:pStyle w:val="Contents4"/>
            <w:tabs>
              <w:tab w:val="clear" w:pos="8176"/>
              <w:tab w:val="right" w:pos="9026" w:leader="dot"/>
            </w:tabs>
            <w:rPr/>
          </w:pPr>
          <w:hyperlink w:anchor="__RefHeading___Toc3418132_2749589250">
            <w:r>
              <w:rPr>
                <w:webHidden/>
                <w:rStyle w:val="IndexLink"/>
                <w:rtl w:val="true"/>
              </w:rPr>
              <w:t xml:space="preserve">مقاله سوم </w:t>
            </w:r>
            <w:r>
              <w:rPr>
                <w:rStyle w:val="IndexLink"/>
                <w:rtl w:val="true"/>
              </w:rPr>
              <w:t xml:space="preserve">- </w:t>
            </w:r>
            <w:r>
              <w:rPr>
                <w:rStyle w:val="IndexLink"/>
                <w:rtl w:val="true"/>
              </w:rPr>
              <w:t>فرهنگ عاشورا</w:t>
            </w:r>
            <w:r>
              <w:rPr>
                <w:rStyle w:val="IndexLink"/>
                <w:rtl w:val="true"/>
              </w:rPr>
              <w:tab/>
            </w:r>
            <w:r>
              <w:rPr>
                <w:rStyle w:val="IndexLink"/>
              </w:rPr>
              <w:t>20</w:t>
            </w:r>
          </w:hyperlink>
        </w:p>
        <w:p>
          <w:pPr>
            <w:pStyle w:val="Contents4"/>
            <w:tabs>
              <w:tab w:val="clear" w:pos="8176"/>
              <w:tab w:val="right" w:pos="9026" w:leader="dot"/>
            </w:tabs>
            <w:rPr/>
          </w:pPr>
          <w:hyperlink w:anchor="__RefHeading___Toc3418134_2749589250">
            <w:r>
              <w:rPr>
                <w:webHidden/>
                <w:rStyle w:val="IndexLink"/>
                <w:rtl w:val="true"/>
              </w:rPr>
              <w:t xml:space="preserve">مقاله چهارم </w:t>
            </w:r>
            <w:r>
              <w:rPr>
                <w:rStyle w:val="IndexLink"/>
                <w:rtl w:val="true"/>
              </w:rPr>
              <w:t xml:space="preserve">- </w:t>
            </w:r>
            <w:r>
              <w:rPr>
                <w:rStyle w:val="IndexLink"/>
                <w:rtl w:val="true"/>
              </w:rPr>
              <w:t xml:space="preserve">بررسی نظریه های رهبری انقلاب </w:t>
            </w:r>
            <w:r>
              <w:rPr>
                <w:rStyle w:val="IndexLink"/>
                <w:rtl w:val="true"/>
              </w:rPr>
              <w:t>(</w:t>
            </w:r>
            <w:r>
              <w:rPr>
                <w:rStyle w:val="IndexLink"/>
                <w:rtl w:val="true"/>
              </w:rPr>
              <w:t xml:space="preserve">با تکیه بر رهبری امام خمینی رحمه الله </w:t>
            </w:r>
            <w:r>
              <w:rPr>
                <w:rStyle w:val="IndexLink"/>
                <w:rtl w:val="true"/>
              </w:rPr>
              <w:t>)</w:t>
              <w:tab/>
            </w:r>
            <w:r>
              <w:rPr>
                <w:rStyle w:val="IndexLink"/>
              </w:rPr>
              <w:t>20</w:t>
            </w:r>
          </w:hyperlink>
        </w:p>
        <w:p>
          <w:pPr>
            <w:pStyle w:val="Contents4"/>
            <w:tabs>
              <w:tab w:val="clear" w:pos="8176"/>
              <w:tab w:val="right" w:pos="9026" w:leader="dot"/>
            </w:tabs>
            <w:rPr/>
          </w:pPr>
          <w:hyperlink w:anchor="__RefHeading___Toc3418136_2749589250">
            <w:r>
              <w:rPr>
                <w:webHidden/>
                <w:rStyle w:val="IndexLink"/>
                <w:rtl w:val="true"/>
              </w:rPr>
              <w:t xml:space="preserve">مقاله پنجم </w:t>
            </w:r>
            <w:r>
              <w:rPr>
                <w:rStyle w:val="IndexLink"/>
                <w:rtl w:val="true"/>
              </w:rPr>
              <w:t xml:space="preserve">- </w:t>
            </w:r>
            <w:r>
              <w:rPr>
                <w:rStyle w:val="IndexLink"/>
                <w:rtl w:val="true"/>
              </w:rPr>
              <w:t>انقلاب اسلامی؛ مدرنیت علیه مدرنیزاسیون</w:t>
            </w:r>
            <w:r>
              <w:rPr>
                <w:rStyle w:val="IndexLink"/>
                <w:rtl w:val="true"/>
              </w:rPr>
              <w:tab/>
            </w:r>
            <w:r>
              <w:rPr>
                <w:rStyle w:val="IndexLink"/>
              </w:rPr>
              <w:t>20</w:t>
            </w:r>
          </w:hyperlink>
        </w:p>
        <w:p>
          <w:pPr>
            <w:pStyle w:val="Contents4"/>
            <w:tabs>
              <w:tab w:val="clear" w:pos="8176"/>
              <w:tab w:val="right" w:pos="9026" w:leader="dot"/>
            </w:tabs>
            <w:rPr/>
          </w:pPr>
          <w:hyperlink w:anchor="__RefHeading___Toc3418138_2749589250">
            <w:r>
              <w:rPr>
                <w:webHidden/>
                <w:rStyle w:val="IndexLink"/>
                <w:rtl w:val="true"/>
              </w:rPr>
              <w:t xml:space="preserve">مقاله ششم </w:t>
            </w:r>
            <w:r>
              <w:rPr>
                <w:rStyle w:val="IndexLink"/>
                <w:rtl w:val="true"/>
              </w:rPr>
              <w:t xml:space="preserve">- </w:t>
            </w:r>
            <w:r>
              <w:rPr>
                <w:rStyle w:val="IndexLink"/>
                <w:rtl w:val="true"/>
              </w:rPr>
              <w:t>توسعه، عدالت، اسلام</w:t>
            </w:r>
            <w:r>
              <w:rPr>
                <w:rStyle w:val="IndexLink"/>
                <w:rtl w:val="true"/>
              </w:rPr>
              <w:tab/>
            </w:r>
            <w:r>
              <w:rPr>
                <w:rStyle w:val="IndexLink"/>
              </w:rPr>
              <w:t>21</w:t>
            </w:r>
          </w:hyperlink>
        </w:p>
        <w:p>
          <w:pPr>
            <w:pStyle w:val="Contents4"/>
            <w:tabs>
              <w:tab w:val="clear" w:pos="8176"/>
              <w:tab w:val="right" w:pos="9026" w:leader="dot"/>
            </w:tabs>
            <w:rPr/>
          </w:pPr>
          <w:hyperlink w:anchor="__RefHeading___Toc3418140_2749589250">
            <w:r>
              <w:rPr>
                <w:webHidden/>
                <w:rStyle w:val="IndexLink"/>
                <w:rtl w:val="true"/>
              </w:rPr>
              <w:t xml:space="preserve">مقاله هفتم </w:t>
            </w:r>
            <w:r>
              <w:rPr>
                <w:rStyle w:val="IndexLink"/>
                <w:rtl w:val="true"/>
              </w:rPr>
              <w:t xml:space="preserve">- </w:t>
            </w:r>
            <w:r>
              <w:rPr>
                <w:rStyle w:val="IndexLink"/>
                <w:rtl w:val="true"/>
              </w:rPr>
              <w:t>نگاهی به مسئله مشروعیت</w:t>
            </w:r>
            <w:r>
              <w:rPr>
                <w:rStyle w:val="IndexLink"/>
                <w:rtl w:val="true"/>
              </w:rPr>
              <w:tab/>
            </w:r>
            <w:r>
              <w:rPr>
                <w:rStyle w:val="IndexLink"/>
              </w:rPr>
              <w:t>21</w:t>
            </w:r>
          </w:hyperlink>
        </w:p>
        <w:p>
          <w:pPr>
            <w:pStyle w:val="Contents2"/>
            <w:tabs>
              <w:tab w:val="clear" w:pos="8743"/>
              <w:tab w:val="right" w:pos="9026" w:leader="dot"/>
            </w:tabs>
            <w:rPr/>
          </w:pPr>
          <w:hyperlink w:anchor="__RefHeading___Toc3418142_2749589250">
            <w:r>
              <w:rPr>
                <w:webHidden/>
                <w:rStyle w:val="IndexLink"/>
                <w:rtl w:val="true"/>
              </w:rPr>
              <w:t>بخش دوم</w:t>
            </w:r>
            <w:r>
              <w:rPr>
                <w:rStyle w:val="IndexLink"/>
                <w:rtl w:val="true"/>
              </w:rPr>
              <w:t xml:space="preserve">: </w:t>
            </w:r>
            <w:r>
              <w:rPr>
                <w:rStyle w:val="IndexLink"/>
                <w:rtl w:val="true"/>
              </w:rPr>
              <w:t>ارزیابی نظریه سکولاریزاسیون</w:t>
            </w:r>
            <w:r>
              <w:rPr>
                <w:rStyle w:val="IndexLink"/>
                <w:rtl w:val="true"/>
              </w:rPr>
              <w:tab/>
            </w:r>
            <w:r>
              <w:rPr>
                <w:rStyle w:val="IndexLink"/>
              </w:rPr>
              <w:t>23</w:t>
            </w:r>
          </w:hyperlink>
        </w:p>
        <w:p>
          <w:pPr>
            <w:pStyle w:val="Contents3"/>
            <w:tabs>
              <w:tab w:val="clear" w:pos="8459"/>
              <w:tab w:val="right" w:pos="9026" w:leader="dot"/>
            </w:tabs>
            <w:rPr/>
          </w:pPr>
          <w:hyperlink w:anchor="__RefHeading___Toc3418144_274958925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418146_2749589250">
            <w:r>
              <w:rPr>
                <w:webHidden/>
                <w:rStyle w:val="IndexLink"/>
                <w:rtl w:val="true"/>
              </w:rPr>
              <w:t>نگاهی به مقدمه کتاب سکولاریزاسیون</w:t>
            </w:r>
            <w:r>
              <w:rPr>
                <w:rStyle w:val="IndexLink"/>
                <w:rtl w:val="true"/>
              </w:rPr>
              <w:tab/>
            </w:r>
            <w:r>
              <w:rPr>
                <w:rStyle w:val="IndexLink"/>
              </w:rPr>
              <w:t>24</w:t>
            </w:r>
          </w:hyperlink>
        </w:p>
        <w:p>
          <w:pPr>
            <w:pStyle w:val="Contents4"/>
            <w:tabs>
              <w:tab w:val="clear" w:pos="8176"/>
              <w:tab w:val="right" w:pos="9026" w:leader="dot"/>
            </w:tabs>
            <w:rPr/>
          </w:pPr>
          <w:hyperlink w:anchor="__RefHeading___Toc3418148_274958925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3418150_2749589250">
            <w:r>
              <w:rPr>
                <w:webHidden/>
                <w:rStyle w:val="IndexLink"/>
                <w:rtl w:val="true"/>
              </w:rPr>
              <w:t xml:space="preserve">اول </w:t>
            </w:r>
            <w:r>
              <w:rPr>
                <w:rStyle w:val="IndexLink"/>
                <w:rtl w:val="true"/>
              </w:rPr>
              <w:t xml:space="preserve">- </w:t>
            </w:r>
            <w:r>
              <w:rPr>
                <w:rStyle w:val="IndexLink"/>
                <w:rtl w:val="true"/>
              </w:rPr>
              <w:t>تعریف سکولاریزاسیون</w:t>
            </w:r>
            <w:r>
              <w:rPr>
                <w:rStyle w:val="IndexLink"/>
                <w:rtl w:val="true"/>
              </w:rPr>
              <w:tab/>
            </w:r>
            <w:r>
              <w:rPr>
                <w:rStyle w:val="IndexLink"/>
              </w:rPr>
              <w:t>24</w:t>
            </w:r>
          </w:hyperlink>
        </w:p>
        <w:p>
          <w:pPr>
            <w:pStyle w:val="Contents4"/>
            <w:tabs>
              <w:tab w:val="clear" w:pos="8176"/>
              <w:tab w:val="right" w:pos="9026" w:leader="dot"/>
            </w:tabs>
            <w:rPr/>
          </w:pPr>
          <w:hyperlink w:anchor="__RefHeading___Toc3418152_2749589250">
            <w:r>
              <w:rPr>
                <w:webHidden/>
                <w:rStyle w:val="IndexLink"/>
                <w:rtl w:val="true"/>
              </w:rPr>
              <w:t xml:space="preserve">دوم </w:t>
            </w:r>
            <w:r>
              <w:rPr>
                <w:rStyle w:val="IndexLink"/>
                <w:rtl w:val="true"/>
              </w:rPr>
              <w:t xml:space="preserve">- </w:t>
            </w:r>
            <w:r>
              <w:rPr>
                <w:rStyle w:val="IndexLink"/>
                <w:rtl w:val="true"/>
              </w:rPr>
              <w:t>تخصیص نقش ها و افتراق ساختاری</w:t>
            </w:r>
            <w:r>
              <w:rPr>
                <w:rStyle w:val="IndexLink"/>
                <w:rtl w:val="true"/>
              </w:rPr>
              <w:tab/>
            </w:r>
            <w:r>
              <w:rPr>
                <w:rStyle w:val="IndexLink"/>
              </w:rPr>
              <w:t>27</w:t>
            </w:r>
          </w:hyperlink>
        </w:p>
        <w:p>
          <w:pPr>
            <w:pStyle w:val="Contents4"/>
            <w:tabs>
              <w:tab w:val="clear" w:pos="8176"/>
              <w:tab w:val="right" w:pos="9026" w:leader="dot"/>
            </w:tabs>
            <w:rPr/>
          </w:pPr>
          <w:hyperlink w:anchor="__RefHeading___Toc3418154_2749589250">
            <w:r>
              <w:rPr>
                <w:webHidden/>
                <w:rStyle w:val="IndexLink"/>
                <w:rtl w:val="true"/>
              </w:rPr>
              <w:t xml:space="preserve">سوم </w:t>
            </w:r>
            <w:r>
              <w:rPr>
                <w:rStyle w:val="IndexLink"/>
                <w:rtl w:val="true"/>
              </w:rPr>
              <w:t xml:space="preserve">- </w:t>
            </w:r>
            <w:r>
              <w:rPr>
                <w:rStyle w:val="IndexLink"/>
                <w:rtl w:val="true"/>
              </w:rPr>
              <w:t>ارزش و هنجار</w:t>
            </w:r>
            <w:r>
              <w:rPr>
                <w:rStyle w:val="IndexLink"/>
                <w:rtl w:val="true"/>
              </w:rPr>
              <w:tab/>
            </w:r>
            <w:r>
              <w:rPr>
                <w:rStyle w:val="IndexLink"/>
              </w:rPr>
              <w:t>29</w:t>
            </w:r>
          </w:hyperlink>
        </w:p>
        <w:p>
          <w:pPr>
            <w:pStyle w:val="Contents4"/>
            <w:tabs>
              <w:tab w:val="clear" w:pos="8176"/>
              <w:tab w:val="right" w:pos="9026" w:leader="dot"/>
            </w:tabs>
            <w:rPr/>
          </w:pPr>
          <w:hyperlink w:anchor="__RefHeading___Toc3418156_2749589250">
            <w:r>
              <w:rPr>
                <w:webHidden/>
                <w:rStyle w:val="IndexLink"/>
                <w:rtl w:val="true"/>
              </w:rPr>
              <w:t xml:space="preserve">چهارم </w:t>
            </w:r>
            <w:r>
              <w:rPr>
                <w:rStyle w:val="IndexLink"/>
                <w:rtl w:val="true"/>
              </w:rPr>
              <w:t xml:space="preserve">- </w:t>
            </w:r>
            <w:r>
              <w:rPr>
                <w:rStyle w:val="IndexLink"/>
                <w:rtl w:val="true"/>
              </w:rPr>
              <w:t>فرآیند بازاری شدن و ارزش های عموم بشری</w:t>
            </w:r>
            <w:r>
              <w:rPr>
                <w:rStyle w:val="IndexLink"/>
                <w:rtl w:val="true"/>
              </w:rPr>
              <w:tab/>
            </w:r>
            <w:r>
              <w:rPr>
                <w:rStyle w:val="IndexLink"/>
              </w:rPr>
              <w:t>31</w:t>
            </w:r>
          </w:hyperlink>
        </w:p>
        <w:p>
          <w:pPr>
            <w:pStyle w:val="Contents4"/>
            <w:tabs>
              <w:tab w:val="clear" w:pos="8176"/>
              <w:tab w:val="right" w:pos="9026" w:leader="dot"/>
            </w:tabs>
            <w:rPr/>
          </w:pPr>
          <w:hyperlink w:anchor="__RefHeading___Toc3418158_2749589250">
            <w:r>
              <w:rPr>
                <w:webHidden/>
                <w:rStyle w:val="IndexLink"/>
                <w:rtl w:val="true"/>
              </w:rPr>
              <w:t xml:space="preserve">پنجم </w:t>
            </w:r>
            <w:r>
              <w:rPr>
                <w:rStyle w:val="IndexLink"/>
                <w:rtl w:val="true"/>
              </w:rPr>
              <w:t xml:space="preserve">- </w:t>
            </w:r>
            <w:r>
              <w:rPr>
                <w:rStyle w:val="IndexLink"/>
                <w:rtl w:val="true"/>
              </w:rPr>
              <w:t>سکولاریزاسیون، مدرنیته، تاریخ</w:t>
            </w:r>
            <w:r>
              <w:rPr>
                <w:rStyle w:val="IndexLink"/>
                <w:rtl w:val="true"/>
              </w:rPr>
              <w:tab/>
            </w:r>
            <w:r>
              <w:rPr>
                <w:rStyle w:val="IndexLink"/>
              </w:rPr>
              <w:t>33</w:t>
            </w:r>
          </w:hyperlink>
        </w:p>
        <w:p>
          <w:pPr>
            <w:pStyle w:val="Contents4"/>
            <w:tabs>
              <w:tab w:val="clear" w:pos="8176"/>
              <w:tab w:val="right" w:pos="9026" w:leader="dot"/>
            </w:tabs>
            <w:rPr/>
          </w:pPr>
          <w:hyperlink w:anchor="__RefHeading___Toc3418160_2749589250">
            <w:r>
              <w:rPr>
                <w:webHidden/>
                <w:rStyle w:val="IndexLink"/>
                <w:rtl w:val="true"/>
              </w:rPr>
              <w:t xml:space="preserve">ششم </w:t>
            </w:r>
            <w:r>
              <w:rPr>
                <w:rStyle w:val="IndexLink"/>
                <w:rtl w:val="true"/>
              </w:rPr>
              <w:t xml:space="preserve">- </w:t>
            </w:r>
            <w:r>
              <w:rPr>
                <w:rStyle w:val="IndexLink"/>
                <w:rtl w:val="true"/>
              </w:rPr>
              <w:t>نظریه های قدیمی و نامقبول</w:t>
            </w:r>
            <w:r>
              <w:rPr>
                <w:rStyle w:val="IndexLink"/>
                <w:rtl w:val="true"/>
              </w:rPr>
              <w:tab/>
            </w:r>
            <w:r>
              <w:rPr>
                <w:rStyle w:val="IndexLink"/>
              </w:rPr>
              <w:t>34</w:t>
            </w:r>
          </w:hyperlink>
        </w:p>
        <w:p>
          <w:pPr>
            <w:pStyle w:val="Contents4"/>
            <w:tabs>
              <w:tab w:val="clear" w:pos="8176"/>
              <w:tab w:val="right" w:pos="9026" w:leader="dot"/>
            </w:tabs>
            <w:rPr/>
          </w:pPr>
          <w:hyperlink w:anchor="__RefHeading___Toc3418162_2749589250">
            <w:r>
              <w:rPr>
                <w:webHidden/>
                <w:rStyle w:val="IndexLink"/>
                <w:rtl w:val="true"/>
              </w:rPr>
              <w:t xml:space="preserve">هفتم </w:t>
            </w:r>
            <w:r>
              <w:rPr>
                <w:rStyle w:val="IndexLink"/>
                <w:rtl w:val="true"/>
              </w:rPr>
              <w:t xml:space="preserve">- </w:t>
            </w:r>
            <w:r>
              <w:rPr>
                <w:rStyle w:val="IndexLink"/>
                <w:rtl w:val="true"/>
              </w:rPr>
              <w:t>دغدغه</w:t>
            </w:r>
            <w:r>
              <w:rPr>
                <w:rStyle w:val="IndexLink"/>
                <w:rtl w:val="true"/>
              </w:rPr>
              <w:tab/>
            </w:r>
            <w:r>
              <w:rPr>
                <w:rStyle w:val="IndexLink"/>
              </w:rPr>
              <w:t>34</w:t>
            </w:r>
          </w:hyperlink>
        </w:p>
        <w:p>
          <w:pPr>
            <w:pStyle w:val="Contents4"/>
            <w:tabs>
              <w:tab w:val="clear" w:pos="8176"/>
              <w:tab w:val="right" w:pos="9026" w:leader="dot"/>
            </w:tabs>
            <w:rPr/>
          </w:pPr>
          <w:hyperlink w:anchor="__RefHeading___Toc3418164_2749589250">
            <w:r>
              <w:rPr>
                <w:webHidden/>
                <w:rStyle w:val="IndexLink"/>
                <w:rtl w:val="true"/>
              </w:rPr>
              <w:t xml:space="preserve">هشتم </w:t>
            </w:r>
            <w:r>
              <w:rPr>
                <w:rStyle w:val="IndexLink"/>
                <w:rtl w:val="true"/>
              </w:rPr>
              <w:t xml:space="preserve">- </w:t>
            </w:r>
            <w:r>
              <w:rPr>
                <w:rStyle w:val="IndexLink"/>
                <w:rtl w:val="true"/>
              </w:rPr>
              <w:t>کرامات تاریخی</w:t>
            </w:r>
            <w:r>
              <w:rPr>
                <w:rStyle w:val="IndexLink"/>
                <w:rtl w:val="true"/>
              </w:rPr>
              <w:tab/>
            </w:r>
            <w:r>
              <w:rPr>
                <w:rStyle w:val="IndexLink"/>
              </w:rPr>
              <w:t>35</w:t>
            </w:r>
          </w:hyperlink>
        </w:p>
        <w:p>
          <w:pPr>
            <w:pStyle w:val="Contents4"/>
            <w:tabs>
              <w:tab w:val="clear" w:pos="8176"/>
              <w:tab w:val="right" w:pos="9026" w:leader="dot"/>
            </w:tabs>
            <w:rPr/>
          </w:pPr>
          <w:hyperlink w:anchor="__RefHeading___Toc3418166_2749589250">
            <w:r>
              <w:rPr>
                <w:webHidden/>
                <w:rStyle w:val="IndexLink"/>
                <w:rtl w:val="true"/>
              </w:rPr>
              <w:t xml:space="preserve">نهم </w:t>
            </w:r>
            <w:r>
              <w:rPr>
                <w:rStyle w:val="IndexLink"/>
                <w:rtl w:val="true"/>
              </w:rPr>
              <w:t xml:space="preserve">- </w:t>
            </w:r>
            <w:r>
              <w:rPr>
                <w:rStyle w:val="IndexLink"/>
                <w:rtl w:val="true"/>
              </w:rPr>
              <w:t>سکولاریزاسیون یا سکولاریزاسیونیسم</w:t>
            </w:r>
            <w:r>
              <w:rPr>
                <w:rStyle w:val="IndexLink"/>
                <w:rtl w:val="true"/>
              </w:rPr>
              <w:t>!</w:t>
              <w:tab/>
            </w:r>
            <w:r>
              <w:rPr>
                <w:rStyle w:val="IndexLink"/>
              </w:rPr>
              <w:t>36</w:t>
            </w:r>
          </w:hyperlink>
        </w:p>
        <w:p>
          <w:pPr>
            <w:pStyle w:val="Contents4"/>
            <w:tabs>
              <w:tab w:val="clear" w:pos="8176"/>
              <w:tab w:val="right" w:pos="9026" w:leader="dot"/>
            </w:tabs>
            <w:rPr/>
          </w:pPr>
          <w:hyperlink w:anchor="__RefHeading___Toc3418168_2749589250">
            <w:r>
              <w:rPr>
                <w:webHidden/>
                <w:rStyle w:val="IndexLink"/>
                <w:rtl w:val="true"/>
              </w:rPr>
              <w:t xml:space="preserve">دهم </w:t>
            </w:r>
            <w:r>
              <w:rPr>
                <w:rStyle w:val="IndexLink"/>
                <w:rtl w:val="true"/>
              </w:rPr>
              <w:t xml:space="preserve">- </w:t>
            </w:r>
            <w:r>
              <w:rPr>
                <w:rStyle w:val="IndexLink"/>
                <w:rtl w:val="true"/>
              </w:rPr>
              <w:t>سکولاریزاسیون، وحی و حافظ</w:t>
            </w:r>
            <w:r>
              <w:rPr>
                <w:rStyle w:val="IndexLink"/>
                <w:rtl w:val="true"/>
              </w:rPr>
              <w:tab/>
            </w:r>
            <w:r>
              <w:rPr>
                <w:rStyle w:val="IndexLink"/>
              </w:rPr>
              <w:t>37</w:t>
            </w:r>
          </w:hyperlink>
        </w:p>
        <w:p>
          <w:pPr>
            <w:pStyle w:val="Contents2"/>
            <w:tabs>
              <w:tab w:val="clear" w:pos="8743"/>
              <w:tab w:val="right" w:pos="9026" w:leader="dot"/>
            </w:tabs>
            <w:rPr/>
          </w:pPr>
          <w:hyperlink w:anchor="__RefHeading___Toc3418170_2749589250">
            <w:r>
              <w:rPr>
                <w:webHidden/>
                <w:rStyle w:val="IndexLink"/>
                <w:rtl w:val="true"/>
              </w:rPr>
              <w:t>بخش سوم</w:t>
            </w:r>
            <w:r>
              <w:rPr>
                <w:rStyle w:val="IndexLink"/>
                <w:rtl w:val="true"/>
              </w:rPr>
              <w:t xml:space="preserve">: </w:t>
            </w:r>
            <w:r>
              <w:rPr>
                <w:rStyle w:val="IndexLink"/>
                <w:rtl w:val="true"/>
              </w:rPr>
              <w:t>عرفی شدن سنت ها</w:t>
            </w:r>
            <w:r>
              <w:rPr>
                <w:rStyle w:val="IndexLink"/>
                <w:rtl w:val="true"/>
              </w:rPr>
              <w:tab/>
            </w:r>
            <w:r>
              <w:rPr>
                <w:rStyle w:val="IndexLink"/>
              </w:rPr>
              <w:t>40</w:t>
            </w:r>
          </w:hyperlink>
        </w:p>
        <w:p>
          <w:pPr>
            <w:pStyle w:val="Contents3"/>
            <w:tabs>
              <w:tab w:val="clear" w:pos="8459"/>
              <w:tab w:val="right" w:pos="9026" w:leader="dot"/>
            </w:tabs>
            <w:rPr/>
          </w:pPr>
          <w:hyperlink w:anchor="__RefHeading___Toc3418172_274958925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3418174_2749589250">
            <w:r>
              <w:rPr>
                <w:webHidden/>
                <w:rStyle w:val="IndexLink"/>
                <w:rtl w:val="true"/>
              </w:rPr>
              <w:t>فصل اول</w:t>
            </w:r>
            <w:r>
              <w:rPr>
                <w:rStyle w:val="IndexLink"/>
                <w:rtl w:val="true"/>
              </w:rPr>
              <w:t xml:space="preserve">: </w:t>
            </w:r>
            <w:r>
              <w:rPr>
                <w:rStyle w:val="IndexLink"/>
                <w:rtl w:val="true"/>
              </w:rPr>
              <w:t xml:space="preserve">سه گفتار در نقد مقاله </w:t>
            </w:r>
            <w:r>
              <w:rPr>
                <w:rStyle w:val="IndexLink"/>
                <w:rtl w:val="true"/>
              </w:rPr>
              <w:t>«</w:t>
            </w:r>
            <w:r>
              <w:rPr>
                <w:rStyle w:val="IndexLink"/>
                <w:rtl w:val="true"/>
              </w:rPr>
              <w:t>فرآیند عرفی شدن شریعت مسیح علیه السلام</w:t>
            </w:r>
            <w:r>
              <w:rPr>
                <w:rStyle w:val="IndexLink"/>
                <w:rtl w:val="true"/>
              </w:rPr>
              <w:t>»</w:t>
              <w:tab/>
            </w:r>
            <w:r>
              <w:rPr>
                <w:rStyle w:val="IndexLink"/>
              </w:rPr>
              <w:t>41</w:t>
            </w:r>
          </w:hyperlink>
        </w:p>
        <w:p>
          <w:pPr>
            <w:pStyle w:val="Contents4"/>
            <w:tabs>
              <w:tab w:val="clear" w:pos="8176"/>
              <w:tab w:val="right" w:pos="9026" w:leader="dot"/>
            </w:tabs>
            <w:rPr/>
          </w:pPr>
          <w:hyperlink w:anchor="__RefHeading___Toc3418176_274958925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3418178_2749589250">
            <w:r>
              <w:rPr>
                <w:webHidden/>
                <w:rStyle w:val="IndexLink"/>
                <w:rtl w:val="true"/>
              </w:rPr>
              <w:t>گفتار اول</w:t>
            </w:r>
            <w:r>
              <w:rPr>
                <w:rStyle w:val="IndexLink"/>
                <w:rtl w:val="true"/>
              </w:rPr>
              <w:tab/>
            </w:r>
            <w:r>
              <w:rPr>
                <w:rStyle w:val="IndexLink"/>
              </w:rPr>
              <w:t>41</w:t>
            </w:r>
          </w:hyperlink>
        </w:p>
        <w:p>
          <w:pPr>
            <w:pStyle w:val="Contents5"/>
            <w:tabs>
              <w:tab w:val="clear" w:pos="7892"/>
              <w:tab w:val="right" w:pos="9026" w:leader="dot"/>
            </w:tabs>
            <w:rPr/>
          </w:pPr>
          <w:hyperlink w:anchor="__RefHeading___Toc3418180_2749589250">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3418182_2749589250">
            <w:r>
              <w:rPr>
                <w:webHidden/>
                <w:rStyle w:val="IndexLink"/>
                <w:rtl w:val="true"/>
              </w:rPr>
              <w:t xml:space="preserve">اول </w:t>
            </w:r>
            <w:r>
              <w:rPr>
                <w:rStyle w:val="IndexLink"/>
                <w:rtl w:val="true"/>
              </w:rPr>
              <w:t xml:space="preserve">- </w:t>
            </w:r>
            <w:r>
              <w:rPr>
                <w:rStyle w:val="IndexLink"/>
                <w:rtl w:val="true"/>
              </w:rPr>
              <w:t>مقصود از مصالح در جمع میان مصالح دنیوی و اخروی چیست؟</w:t>
            </w:r>
            <w:r>
              <w:rPr>
                <w:rStyle w:val="IndexLink"/>
                <w:rtl w:val="true"/>
              </w:rPr>
              <w:tab/>
            </w:r>
            <w:r>
              <w:rPr>
                <w:rStyle w:val="IndexLink"/>
              </w:rPr>
              <w:t>42</w:t>
            </w:r>
          </w:hyperlink>
        </w:p>
        <w:p>
          <w:pPr>
            <w:pStyle w:val="Contents5"/>
            <w:tabs>
              <w:tab w:val="clear" w:pos="7892"/>
              <w:tab w:val="right" w:pos="9026" w:leader="dot"/>
            </w:tabs>
            <w:rPr/>
          </w:pPr>
          <w:hyperlink w:anchor="__RefHeading___Toc3418184_2749589250">
            <w:r>
              <w:rPr>
                <w:webHidden/>
                <w:rStyle w:val="IndexLink"/>
                <w:rtl w:val="true"/>
              </w:rPr>
              <w:t xml:space="preserve">دوم </w:t>
            </w:r>
            <w:r>
              <w:rPr>
                <w:rStyle w:val="IndexLink"/>
                <w:rtl w:val="true"/>
              </w:rPr>
              <w:t xml:space="preserve">- </w:t>
            </w:r>
            <w:r>
              <w:rPr>
                <w:rStyle w:val="IndexLink"/>
                <w:rtl w:val="true"/>
              </w:rPr>
              <w:t>مقصود از عرفی شدن کدام است؟</w:t>
            </w:r>
            <w:r>
              <w:rPr>
                <w:rStyle w:val="IndexLink"/>
                <w:rtl w:val="true"/>
              </w:rPr>
              <w:tab/>
            </w:r>
            <w:r>
              <w:rPr>
                <w:rStyle w:val="IndexLink"/>
              </w:rPr>
              <w:t>44</w:t>
            </w:r>
          </w:hyperlink>
        </w:p>
        <w:p>
          <w:pPr>
            <w:pStyle w:val="Contents5"/>
            <w:tabs>
              <w:tab w:val="clear" w:pos="7892"/>
              <w:tab w:val="right" w:pos="9026" w:leader="dot"/>
            </w:tabs>
            <w:rPr/>
          </w:pPr>
          <w:hyperlink w:anchor="__RefHeading___Toc3418186_2749589250">
            <w:r>
              <w:rPr>
                <w:webHidden/>
                <w:rStyle w:val="IndexLink"/>
                <w:rtl w:val="true"/>
              </w:rPr>
              <w:t xml:space="preserve">سوم </w:t>
            </w:r>
            <w:r>
              <w:rPr>
                <w:rStyle w:val="IndexLink"/>
                <w:rtl w:val="true"/>
              </w:rPr>
              <w:t xml:space="preserve">- </w:t>
            </w:r>
            <w:r>
              <w:rPr>
                <w:rStyle w:val="IndexLink"/>
                <w:rtl w:val="true"/>
              </w:rPr>
              <w:t>حوزه قدسی کدام است و حوزه عرفی کدام؟</w:t>
            </w:r>
            <w:r>
              <w:rPr>
                <w:rStyle w:val="IndexLink"/>
                <w:rtl w:val="true"/>
              </w:rPr>
              <w:tab/>
            </w:r>
            <w:r>
              <w:rPr>
                <w:rStyle w:val="IndexLink"/>
              </w:rPr>
              <w:t>45</w:t>
            </w:r>
          </w:hyperlink>
        </w:p>
        <w:p>
          <w:pPr>
            <w:pStyle w:val="Contents5"/>
            <w:tabs>
              <w:tab w:val="clear" w:pos="7892"/>
              <w:tab w:val="right" w:pos="9026" w:leader="dot"/>
            </w:tabs>
            <w:rPr/>
          </w:pPr>
          <w:hyperlink w:anchor="__RefHeading___Toc3418188_2749589250">
            <w:r>
              <w:rPr>
                <w:webHidden/>
                <w:rStyle w:val="IndexLink"/>
                <w:rtl w:val="true"/>
              </w:rPr>
              <w:t xml:space="preserve">چهارم </w:t>
            </w:r>
            <w:r>
              <w:rPr>
                <w:rStyle w:val="IndexLink"/>
                <w:rtl w:val="true"/>
              </w:rPr>
              <w:t xml:space="preserve">- </w:t>
            </w:r>
            <w:r>
              <w:rPr>
                <w:rStyle w:val="IndexLink"/>
                <w:rtl w:val="true"/>
              </w:rPr>
              <w:t>مقصود از دستگاه فقهی و اخلاقی واحد در مسیحیت چیست؟</w:t>
            </w:r>
            <w:r>
              <w:rPr>
                <w:rStyle w:val="IndexLink"/>
                <w:rtl w:val="true"/>
              </w:rPr>
              <w:tab/>
            </w:r>
            <w:r>
              <w:rPr>
                <w:rStyle w:val="IndexLink"/>
              </w:rPr>
              <w:t>46</w:t>
            </w:r>
          </w:hyperlink>
        </w:p>
        <w:p>
          <w:pPr>
            <w:pStyle w:val="Contents5"/>
            <w:tabs>
              <w:tab w:val="clear" w:pos="7892"/>
              <w:tab w:val="right" w:pos="9026" w:leader="dot"/>
            </w:tabs>
            <w:rPr/>
          </w:pPr>
          <w:hyperlink w:anchor="__RefHeading___Toc3418190_2749589250">
            <w:r>
              <w:rPr>
                <w:webHidden/>
                <w:rStyle w:val="IndexLink"/>
                <w:rtl w:val="true"/>
              </w:rPr>
              <w:t xml:space="preserve">پنجم </w:t>
            </w:r>
            <w:r>
              <w:rPr>
                <w:rStyle w:val="IndexLink"/>
                <w:rtl w:val="true"/>
              </w:rPr>
              <w:t xml:space="preserve">- </w:t>
            </w:r>
            <w:r>
              <w:rPr>
                <w:rStyle w:val="IndexLink"/>
                <w:rtl w:val="true"/>
              </w:rPr>
              <w:t>روش و نظم بحث و استدلال چگونه است؟</w:t>
            </w:r>
            <w:r>
              <w:rPr>
                <w:rStyle w:val="IndexLink"/>
                <w:rtl w:val="true"/>
              </w:rPr>
              <w:tab/>
            </w:r>
            <w:r>
              <w:rPr>
                <w:rStyle w:val="IndexLink"/>
              </w:rPr>
              <w:t>47</w:t>
            </w:r>
          </w:hyperlink>
        </w:p>
        <w:p>
          <w:pPr>
            <w:pStyle w:val="Contents4"/>
            <w:tabs>
              <w:tab w:val="clear" w:pos="8176"/>
              <w:tab w:val="right" w:pos="9026" w:leader="dot"/>
            </w:tabs>
            <w:rPr/>
          </w:pPr>
          <w:hyperlink w:anchor="__RefHeading___Toc3418192_2749589250">
            <w:r>
              <w:rPr>
                <w:webHidden/>
                <w:rStyle w:val="IndexLink"/>
                <w:rtl w:val="true"/>
              </w:rPr>
              <w:t>گفتار دوم</w:t>
            </w:r>
            <w:r>
              <w:rPr>
                <w:rStyle w:val="IndexLink"/>
                <w:rtl w:val="true"/>
              </w:rPr>
              <w:tab/>
            </w:r>
            <w:r>
              <w:rPr>
                <w:rStyle w:val="IndexLink"/>
              </w:rPr>
              <w:t>49</w:t>
            </w:r>
          </w:hyperlink>
        </w:p>
        <w:p>
          <w:pPr>
            <w:pStyle w:val="Contents5"/>
            <w:tabs>
              <w:tab w:val="clear" w:pos="7892"/>
              <w:tab w:val="right" w:pos="9026" w:leader="dot"/>
            </w:tabs>
            <w:rPr/>
          </w:pPr>
          <w:hyperlink w:anchor="__RefHeading___Toc3418194_2749589250">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3418196_2749589250">
            <w:r>
              <w:rPr>
                <w:webHidden/>
                <w:rStyle w:val="IndexLink"/>
                <w:rtl w:val="true"/>
              </w:rPr>
              <w:t xml:space="preserve">اول </w:t>
            </w:r>
            <w:r>
              <w:rPr>
                <w:rStyle w:val="IndexLink"/>
                <w:rtl w:val="true"/>
              </w:rPr>
              <w:t xml:space="preserve">- </w:t>
            </w:r>
            <w:r>
              <w:rPr>
                <w:rStyle w:val="IndexLink"/>
                <w:rtl w:val="true"/>
              </w:rPr>
              <w:t>بررسی عرفی شدن</w:t>
            </w:r>
            <w:r>
              <w:rPr>
                <w:rStyle w:val="IndexLink"/>
                <w:rtl w:val="true"/>
              </w:rPr>
              <w:tab/>
            </w:r>
            <w:r>
              <w:rPr>
                <w:rStyle w:val="IndexLink"/>
              </w:rPr>
              <w:t>49</w:t>
            </w:r>
          </w:hyperlink>
        </w:p>
        <w:p>
          <w:pPr>
            <w:pStyle w:val="Contents5"/>
            <w:tabs>
              <w:tab w:val="clear" w:pos="7892"/>
              <w:tab w:val="right" w:pos="9026" w:leader="dot"/>
            </w:tabs>
            <w:rPr/>
          </w:pPr>
          <w:hyperlink w:anchor="__RefHeading___Toc3418198_2749589250">
            <w:r>
              <w:rPr>
                <w:webHidden/>
                <w:rStyle w:val="IndexLink"/>
                <w:rtl w:val="true"/>
              </w:rPr>
              <w:t xml:space="preserve">دوم </w:t>
            </w:r>
            <w:r>
              <w:rPr>
                <w:rStyle w:val="IndexLink"/>
                <w:rtl w:val="true"/>
              </w:rPr>
              <w:t xml:space="preserve">- </w:t>
            </w:r>
            <w:r>
              <w:rPr>
                <w:rStyle w:val="IndexLink"/>
                <w:rtl w:val="true"/>
              </w:rPr>
              <w:t>منظور از شریعت مسیح علیه السلام چیست؟</w:t>
            </w:r>
            <w:r>
              <w:rPr>
                <w:rStyle w:val="IndexLink"/>
                <w:rtl w:val="true"/>
              </w:rPr>
              <w:tab/>
            </w:r>
            <w:r>
              <w:rPr>
                <w:rStyle w:val="IndexLink"/>
              </w:rPr>
              <w:t>50</w:t>
            </w:r>
          </w:hyperlink>
        </w:p>
        <w:p>
          <w:pPr>
            <w:pStyle w:val="Contents5"/>
            <w:tabs>
              <w:tab w:val="clear" w:pos="7892"/>
              <w:tab w:val="right" w:pos="9026" w:leader="dot"/>
            </w:tabs>
            <w:rPr/>
          </w:pPr>
          <w:hyperlink w:anchor="__RefHeading___Toc3418200_2749589250">
            <w:r>
              <w:rPr>
                <w:webHidden/>
                <w:rStyle w:val="IndexLink"/>
                <w:rtl w:val="true"/>
              </w:rPr>
              <w:t xml:space="preserve">سوم </w:t>
            </w:r>
            <w:r>
              <w:rPr>
                <w:rStyle w:val="IndexLink"/>
                <w:rtl w:val="true"/>
              </w:rPr>
              <w:t xml:space="preserve">- </w:t>
            </w:r>
            <w:r>
              <w:rPr>
                <w:rStyle w:val="IndexLink"/>
                <w:rtl w:val="true"/>
              </w:rPr>
              <w:t>مصلحت</w:t>
            </w:r>
            <w:r>
              <w:rPr>
                <w:rStyle w:val="IndexLink"/>
                <w:rtl w:val="true"/>
              </w:rPr>
              <w:tab/>
            </w:r>
            <w:r>
              <w:rPr>
                <w:rStyle w:val="IndexLink"/>
              </w:rPr>
              <w:t>50</w:t>
            </w:r>
          </w:hyperlink>
        </w:p>
        <w:p>
          <w:pPr>
            <w:pStyle w:val="Contents5"/>
            <w:tabs>
              <w:tab w:val="clear" w:pos="7892"/>
              <w:tab w:val="right" w:pos="9026" w:leader="dot"/>
            </w:tabs>
            <w:rPr/>
          </w:pPr>
          <w:hyperlink w:anchor="__RefHeading___Toc3418202_2749589250">
            <w:r>
              <w:rPr>
                <w:webHidden/>
                <w:rStyle w:val="IndexLink"/>
                <w:rtl w:val="true"/>
              </w:rPr>
              <w:t xml:space="preserve">چهارم </w:t>
            </w:r>
            <w:r>
              <w:rPr>
                <w:rStyle w:val="IndexLink"/>
                <w:rtl w:val="true"/>
              </w:rPr>
              <w:t xml:space="preserve">- </w:t>
            </w:r>
            <w:r>
              <w:rPr>
                <w:rStyle w:val="IndexLink"/>
                <w:rtl w:val="true"/>
              </w:rPr>
              <w:t>سکولاریزاسیون</w:t>
            </w:r>
            <w:r>
              <w:rPr>
                <w:rStyle w:val="IndexLink"/>
                <w:rtl w:val="true"/>
              </w:rPr>
              <w:tab/>
            </w:r>
            <w:r>
              <w:rPr>
                <w:rStyle w:val="IndexLink"/>
              </w:rPr>
              <w:t>56</w:t>
            </w:r>
          </w:hyperlink>
        </w:p>
        <w:p>
          <w:pPr>
            <w:pStyle w:val="Contents5"/>
            <w:tabs>
              <w:tab w:val="clear" w:pos="7892"/>
              <w:tab w:val="right" w:pos="9026" w:leader="dot"/>
            </w:tabs>
            <w:rPr/>
          </w:pPr>
          <w:hyperlink w:anchor="__RefHeading___Toc3418204_2749589250">
            <w:r>
              <w:rPr>
                <w:webHidden/>
                <w:rStyle w:val="IndexLink"/>
                <w:rtl w:val="true"/>
              </w:rPr>
              <w:t xml:space="preserve">پنجم </w:t>
            </w:r>
            <w:r>
              <w:rPr>
                <w:rStyle w:val="IndexLink"/>
                <w:rtl w:val="true"/>
              </w:rPr>
              <w:t xml:space="preserve">- </w:t>
            </w:r>
            <w:r>
              <w:rPr>
                <w:rStyle w:val="IndexLink"/>
                <w:rtl w:val="true"/>
              </w:rPr>
              <w:t>متد و روش</w:t>
            </w:r>
            <w:r>
              <w:rPr>
                <w:rStyle w:val="IndexLink"/>
                <w:rtl w:val="true"/>
              </w:rPr>
              <w:tab/>
            </w:r>
            <w:r>
              <w:rPr>
                <w:rStyle w:val="IndexLink"/>
              </w:rPr>
              <w:t>56</w:t>
            </w:r>
          </w:hyperlink>
        </w:p>
        <w:p>
          <w:pPr>
            <w:pStyle w:val="Contents4"/>
            <w:tabs>
              <w:tab w:val="clear" w:pos="8176"/>
              <w:tab w:val="right" w:pos="9026" w:leader="dot"/>
            </w:tabs>
            <w:rPr/>
          </w:pPr>
          <w:hyperlink w:anchor="__RefHeading___Toc3418206_2749589250">
            <w:r>
              <w:rPr>
                <w:webHidden/>
                <w:rStyle w:val="IndexLink"/>
                <w:rtl w:val="true"/>
              </w:rPr>
              <w:t>گفتار سوم</w:t>
            </w:r>
            <w:r>
              <w:rPr>
                <w:rStyle w:val="IndexLink"/>
                <w:rtl w:val="true"/>
              </w:rPr>
              <w:tab/>
            </w:r>
            <w:r>
              <w:rPr>
                <w:rStyle w:val="IndexLink"/>
              </w:rPr>
              <w:t>58</w:t>
            </w:r>
          </w:hyperlink>
        </w:p>
        <w:p>
          <w:pPr>
            <w:pStyle w:val="Contents5"/>
            <w:tabs>
              <w:tab w:val="clear" w:pos="7892"/>
              <w:tab w:val="right" w:pos="9026" w:leader="dot"/>
            </w:tabs>
            <w:rPr/>
          </w:pPr>
          <w:hyperlink w:anchor="__RefHeading___Toc3418208_2749589250">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3418210_2749589250">
            <w:r>
              <w:rPr>
                <w:webHidden/>
                <w:rStyle w:val="IndexLink"/>
                <w:rtl w:val="true"/>
              </w:rPr>
              <w:t xml:space="preserve">اول </w:t>
            </w:r>
            <w:r>
              <w:rPr>
                <w:rStyle w:val="IndexLink"/>
                <w:rtl w:val="true"/>
              </w:rPr>
              <w:t xml:space="preserve">- </w:t>
            </w:r>
            <w:r>
              <w:rPr>
                <w:rStyle w:val="IndexLink"/>
                <w:rtl w:val="true"/>
              </w:rPr>
              <w:t>شریعت مسیح</w:t>
            </w:r>
            <w:r>
              <w:rPr>
                <w:rStyle w:val="IndexLink"/>
                <w:rtl w:val="true"/>
              </w:rPr>
              <w:tab/>
            </w:r>
            <w:r>
              <w:rPr>
                <w:rStyle w:val="IndexLink"/>
              </w:rPr>
              <w:t>58</w:t>
            </w:r>
          </w:hyperlink>
        </w:p>
        <w:p>
          <w:pPr>
            <w:pStyle w:val="Contents5"/>
            <w:tabs>
              <w:tab w:val="clear" w:pos="7892"/>
              <w:tab w:val="right" w:pos="9026" w:leader="dot"/>
            </w:tabs>
            <w:rPr/>
          </w:pPr>
          <w:hyperlink w:anchor="__RefHeading___Toc3418212_2749589250">
            <w:r>
              <w:rPr>
                <w:webHidden/>
                <w:rStyle w:val="IndexLink"/>
                <w:rtl w:val="true"/>
              </w:rPr>
              <w:t xml:space="preserve">دوم </w:t>
            </w:r>
            <w:r>
              <w:rPr>
                <w:rStyle w:val="IndexLink"/>
                <w:rtl w:val="true"/>
              </w:rPr>
              <w:t xml:space="preserve">- </w:t>
            </w:r>
            <w:r>
              <w:rPr>
                <w:rStyle w:val="IndexLink"/>
                <w:rtl w:val="true"/>
              </w:rPr>
              <w:t>واژه شناسی</w:t>
            </w:r>
            <w:r>
              <w:rPr>
                <w:rStyle w:val="IndexLink"/>
                <w:rtl w:val="true"/>
              </w:rPr>
              <w:tab/>
            </w:r>
            <w:r>
              <w:rPr>
                <w:rStyle w:val="IndexLink"/>
              </w:rPr>
              <w:t>59</w:t>
            </w:r>
          </w:hyperlink>
        </w:p>
        <w:p>
          <w:pPr>
            <w:pStyle w:val="Contents6"/>
            <w:tabs>
              <w:tab w:val="clear" w:pos="7609"/>
              <w:tab w:val="right" w:pos="9026" w:leader="dot"/>
            </w:tabs>
            <w:rPr/>
          </w:pPr>
          <w:hyperlink w:anchor="__RefHeading___Toc3418214_2749589250">
            <w:r>
              <w:rPr>
                <w:webHidden/>
                <w:rStyle w:val="IndexLink"/>
              </w:rPr>
              <w:t>1</w:t>
            </w:r>
            <w:r>
              <w:rPr>
                <w:rStyle w:val="IndexLink"/>
                <w:rtl w:val="true"/>
              </w:rPr>
              <w:t xml:space="preserve">. </w:t>
            </w:r>
            <w:r>
              <w:rPr>
                <w:rStyle w:val="IndexLink"/>
                <w:rtl w:val="true"/>
              </w:rPr>
              <w:t xml:space="preserve">قدسی </w:t>
            </w:r>
            <w:r>
              <w:rPr>
                <w:rStyle w:val="IndexLink"/>
                <w:rtl w:val="true"/>
              </w:rPr>
              <w:t xml:space="preserve">/ </w:t>
            </w:r>
            <w:r>
              <w:rPr>
                <w:rStyle w:val="IndexLink"/>
                <w:rtl w:val="true"/>
              </w:rPr>
              <w:t>عرفی</w:t>
            </w:r>
            <w:r>
              <w:rPr>
                <w:rStyle w:val="IndexLink"/>
                <w:rtl w:val="true"/>
              </w:rPr>
              <w:tab/>
            </w:r>
            <w:r>
              <w:rPr>
                <w:rStyle w:val="IndexLink"/>
              </w:rPr>
              <w:t>59</w:t>
            </w:r>
          </w:hyperlink>
        </w:p>
        <w:p>
          <w:pPr>
            <w:pStyle w:val="Contents6"/>
            <w:tabs>
              <w:tab w:val="clear" w:pos="7609"/>
              <w:tab w:val="right" w:pos="9026" w:leader="dot"/>
            </w:tabs>
            <w:rPr/>
          </w:pPr>
          <w:hyperlink w:anchor="__RefHeading___Toc3418216_2749589250">
            <w:r>
              <w:rPr>
                <w:webHidden/>
                <w:rStyle w:val="IndexLink"/>
              </w:rPr>
              <w:t>2</w:t>
            </w:r>
            <w:r>
              <w:rPr>
                <w:rStyle w:val="IndexLink"/>
                <w:rtl w:val="true"/>
              </w:rPr>
              <w:t xml:space="preserve">. </w:t>
            </w:r>
            <w:r>
              <w:rPr>
                <w:rStyle w:val="IndexLink"/>
                <w:rtl w:val="true"/>
              </w:rPr>
              <w:t>دین</w:t>
            </w:r>
            <w:r>
              <w:rPr>
                <w:rStyle w:val="IndexLink"/>
                <w:rtl w:val="true"/>
              </w:rPr>
              <w:tab/>
            </w:r>
            <w:r>
              <w:rPr>
                <w:rStyle w:val="IndexLink"/>
              </w:rPr>
              <w:t>61</w:t>
            </w:r>
          </w:hyperlink>
        </w:p>
        <w:p>
          <w:pPr>
            <w:pStyle w:val="Contents5"/>
            <w:tabs>
              <w:tab w:val="clear" w:pos="7892"/>
              <w:tab w:val="right" w:pos="9026" w:leader="dot"/>
            </w:tabs>
            <w:rPr/>
          </w:pPr>
          <w:hyperlink w:anchor="__RefHeading___Toc3418218_2749589250">
            <w:r>
              <w:rPr>
                <w:webHidden/>
                <w:rStyle w:val="IndexLink"/>
                <w:rtl w:val="true"/>
              </w:rPr>
              <w:t xml:space="preserve">سوم </w:t>
            </w:r>
            <w:r>
              <w:rPr>
                <w:rStyle w:val="IndexLink"/>
                <w:rtl w:val="true"/>
              </w:rPr>
              <w:t xml:space="preserve">- </w:t>
            </w:r>
            <w:r>
              <w:rPr>
                <w:rStyle w:val="IndexLink"/>
                <w:rtl w:val="true"/>
              </w:rPr>
              <w:t>لویاتان</w:t>
            </w:r>
            <w:r>
              <w:rPr>
                <w:rStyle w:val="IndexLink"/>
                <w:rtl w:val="true"/>
              </w:rPr>
              <w:tab/>
            </w:r>
            <w:r>
              <w:rPr>
                <w:rStyle w:val="IndexLink"/>
              </w:rPr>
              <w:t>62</w:t>
            </w:r>
          </w:hyperlink>
        </w:p>
        <w:p>
          <w:pPr>
            <w:pStyle w:val="Contents5"/>
            <w:tabs>
              <w:tab w:val="clear" w:pos="7892"/>
              <w:tab w:val="right" w:pos="9026" w:leader="dot"/>
            </w:tabs>
            <w:rPr/>
          </w:pPr>
          <w:hyperlink w:anchor="__RefHeading___Toc3418220_2749589250">
            <w:r>
              <w:rPr>
                <w:webHidden/>
                <w:rStyle w:val="IndexLink"/>
                <w:rtl w:val="true"/>
              </w:rPr>
              <w:t xml:space="preserve">چهارم </w:t>
            </w:r>
            <w:r>
              <w:rPr>
                <w:rStyle w:val="IndexLink"/>
                <w:rtl w:val="true"/>
              </w:rPr>
              <w:t xml:space="preserve">- </w:t>
            </w:r>
            <w:r>
              <w:rPr>
                <w:rStyle w:val="IndexLink"/>
                <w:rtl w:val="true"/>
              </w:rPr>
              <w:t>جامعه شناسی یا تاریخی گری؟</w:t>
            </w:r>
            <w:r>
              <w:rPr>
                <w:rStyle w:val="IndexLink"/>
                <w:rtl w:val="true"/>
              </w:rPr>
              <w:t>!</w:t>
              <w:tab/>
            </w:r>
            <w:r>
              <w:rPr>
                <w:rStyle w:val="IndexLink"/>
              </w:rPr>
              <w:t>66</w:t>
            </w:r>
          </w:hyperlink>
        </w:p>
        <w:p>
          <w:pPr>
            <w:pStyle w:val="Contents5"/>
            <w:tabs>
              <w:tab w:val="clear" w:pos="7892"/>
              <w:tab w:val="right" w:pos="9026" w:leader="dot"/>
            </w:tabs>
            <w:rPr/>
          </w:pPr>
          <w:hyperlink w:anchor="__RefHeading___Toc3418222_2749589250">
            <w:r>
              <w:rPr>
                <w:webHidden/>
                <w:rStyle w:val="IndexLink"/>
                <w:rtl w:val="true"/>
              </w:rPr>
              <w:t xml:space="preserve">پنجم </w:t>
            </w:r>
            <w:r>
              <w:rPr>
                <w:rStyle w:val="IndexLink"/>
                <w:rtl w:val="true"/>
              </w:rPr>
              <w:t xml:space="preserve">- </w:t>
            </w:r>
            <w:r>
              <w:rPr>
                <w:rStyle w:val="IndexLink"/>
                <w:rtl w:val="true"/>
              </w:rPr>
              <w:t xml:space="preserve">آیا </w:t>
            </w:r>
            <w:r>
              <w:rPr>
                <w:rStyle w:val="IndexLink"/>
                <w:rtl w:val="true"/>
              </w:rPr>
              <w:t>«</w:t>
            </w:r>
            <w:r>
              <w:rPr>
                <w:rStyle w:val="IndexLink"/>
                <w:rtl w:val="true"/>
              </w:rPr>
              <w:t>دین</w:t>
            </w:r>
            <w:r>
              <w:rPr>
                <w:rStyle w:val="IndexLink"/>
                <w:rtl w:val="true"/>
              </w:rPr>
              <w:t xml:space="preserve">» </w:t>
            </w:r>
            <w:r>
              <w:rPr>
                <w:rStyle w:val="IndexLink"/>
                <w:rtl w:val="true"/>
              </w:rPr>
              <w:t>ثابت است یا متغیر؟</w:t>
            </w:r>
            <w:r>
              <w:rPr>
                <w:rStyle w:val="IndexLink"/>
                <w:rtl w:val="true"/>
              </w:rPr>
              <w:tab/>
            </w:r>
            <w:r>
              <w:rPr>
                <w:rStyle w:val="IndexLink"/>
              </w:rPr>
              <w:t>67</w:t>
            </w:r>
          </w:hyperlink>
        </w:p>
        <w:p>
          <w:pPr>
            <w:pStyle w:val="Contents3"/>
            <w:tabs>
              <w:tab w:val="clear" w:pos="8459"/>
              <w:tab w:val="right" w:pos="9026" w:leader="dot"/>
            </w:tabs>
            <w:rPr/>
          </w:pPr>
          <w:hyperlink w:anchor="__RefHeading___Toc3418224_2749589250">
            <w:r>
              <w:rPr>
                <w:webHidden/>
                <w:rStyle w:val="IndexLink"/>
                <w:rtl w:val="true"/>
              </w:rPr>
              <w:t>فصل دوم</w:t>
            </w:r>
            <w:r>
              <w:rPr>
                <w:rStyle w:val="IndexLink"/>
                <w:rtl w:val="true"/>
              </w:rPr>
              <w:t xml:space="preserve">: </w:t>
            </w:r>
            <w:r>
              <w:rPr>
                <w:rStyle w:val="IndexLink"/>
                <w:rtl w:val="true"/>
              </w:rPr>
              <w:t>تاریخی گری یا تاریخ سازی</w:t>
            </w:r>
            <w:r>
              <w:rPr>
                <w:rStyle w:val="IndexLink"/>
                <w:rtl w:val="true"/>
              </w:rPr>
              <w:tab/>
            </w:r>
            <w:r>
              <w:rPr>
                <w:rStyle w:val="IndexLink"/>
              </w:rPr>
              <w:t>68</w:t>
            </w:r>
          </w:hyperlink>
        </w:p>
        <w:p>
          <w:pPr>
            <w:pStyle w:val="Contents4"/>
            <w:tabs>
              <w:tab w:val="clear" w:pos="8176"/>
              <w:tab w:val="right" w:pos="9026" w:leader="dot"/>
            </w:tabs>
            <w:rPr/>
          </w:pPr>
          <w:hyperlink w:anchor="__RefHeading___Toc3418226_274958925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3418228_2749589250">
            <w:r>
              <w:rPr>
                <w:webHidden/>
                <w:rStyle w:val="IndexLink"/>
                <w:rtl w:val="true"/>
              </w:rPr>
              <w:t xml:space="preserve">نگاهی به مقاله </w:t>
            </w:r>
            <w:r>
              <w:rPr>
                <w:rStyle w:val="IndexLink"/>
                <w:rtl w:val="true"/>
              </w:rPr>
              <w:t>«</w:t>
            </w:r>
            <w:r>
              <w:rPr>
                <w:rStyle w:val="IndexLink"/>
                <w:rtl w:val="true"/>
              </w:rPr>
              <w:t>جرقه تاریخی گری در قرون وسطای متأخر</w:t>
            </w:r>
            <w:r>
              <w:rPr>
                <w:rStyle w:val="IndexLink"/>
                <w:rtl w:val="true"/>
              </w:rPr>
              <w:t>»</w:t>
              <w:tab/>
            </w:r>
            <w:r>
              <w:rPr>
                <w:rStyle w:val="IndexLink"/>
              </w:rPr>
              <w:t>68</w:t>
            </w:r>
          </w:hyperlink>
        </w:p>
        <w:p>
          <w:pPr>
            <w:pStyle w:val="Contents5"/>
            <w:tabs>
              <w:tab w:val="clear" w:pos="7892"/>
              <w:tab w:val="right" w:pos="9026" w:leader="dot"/>
            </w:tabs>
            <w:rPr/>
          </w:pPr>
          <w:hyperlink w:anchor="__RefHeading___Toc3418230_2749589250">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3418232_2749589250">
            <w:r>
              <w:rPr>
                <w:webHidden/>
                <w:rStyle w:val="IndexLink"/>
                <w:rtl w:val="true"/>
              </w:rPr>
              <w:t xml:space="preserve">اول </w:t>
            </w:r>
            <w:r>
              <w:rPr>
                <w:rStyle w:val="IndexLink"/>
                <w:rtl w:val="true"/>
              </w:rPr>
              <w:t xml:space="preserve">- </w:t>
            </w:r>
            <w:r>
              <w:rPr>
                <w:rStyle w:val="IndexLink"/>
                <w:rtl w:val="true"/>
              </w:rPr>
              <w:t>استناد به تاریخ، تاریخی گری یا تاریخ سازی؟</w:t>
            </w:r>
            <w:r>
              <w:rPr>
                <w:rStyle w:val="IndexLink"/>
                <w:rtl w:val="true"/>
              </w:rPr>
              <w:t>!</w:t>
              <w:tab/>
            </w:r>
            <w:r>
              <w:rPr>
                <w:rStyle w:val="IndexLink"/>
              </w:rPr>
              <w:t>68</w:t>
            </w:r>
          </w:hyperlink>
        </w:p>
        <w:p>
          <w:pPr>
            <w:pStyle w:val="Contents5"/>
            <w:tabs>
              <w:tab w:val="clear" w:pos="7892"/>
              <w:tab w:val="right" w:pos="9026" w:leader="dot"/>
            </w:tabs>
            <w:rPr/>
          </w:pPr>
          <w:hyperlink w:anchor="__RefHeading___Toc3418234_2749589250">
            <w:r>
              <w:rPr>
                <w:webHidden/>
                <w:rStyle w:val="IndexLink"/>
                <w:rtl w:val="true"/>
              </w:rPr>
              <w:t xml:space="preserve">دوم </w:t>
            </w:r>
            <w:r>
              <w:rPr>
                <w:rStyle w:val="IndexLink"/>
                <w:rtl w:val="true"/>
              </w:rPr>
              <w:t xml:space="preserve">- </w:t>
            </w:r>
            <w:r>
              <w:rPr>
                <w:rStyle w:val="IndexLink"/>
                <w:rtl w:val="true"/>
              </w:rPr>
              <w:t>یواخیم فیوره ای و جهانگیر صالح پور</w:t>
            </w:r>
            <w:r>
              <w:rPr>
                <w:rStyle w:val="IndexLink"/>
                <w:rtl w:val="true"/>
              </w:rPr>
              <w:t>!</w:t>
              <w:tab/>
            </w:r>
            <w:r>
              <w:rPr>
                <w:rStyle w:val="IndexLink"/>
              </w:rPr>
              <w:t>71</w:t>
            </w:r>
          </w:hyperlink>
        </w:p>
        <w:p>
          <w:pPr>
            <w:pStyle w:val="Contents5"/>
            <w:tabs>
              <w:tab w:val="clear" w:pos="7892"/>
              <w:tab w:val="right" w:pos="9026" w:leader="dot"/>
            </w:tabs>
            <w:rPr/>
          </w:pPr>
          <w:hyperlink w:anchor="__RefHeading___Toc3418236_2749589250">
            <w:r>
              <w:rPr>
                <w:webHidden/>
                <w:rStyle w:val="IndexLink"/>
                <w:rtl w:val="true"/>
              </w:rPr>
              <w:t xml:space="preserve">سوم </w:t>
            </w:r>
            <w:r>
              <w:rPr>
                <w:rStyle w:val="IndexLink"/>
                <w:rtl w:val="true"/>
              </w:rPr>
              <w:t xml:space="preserve">- </w:t>
            </w:r>
            <w:r>
              <w:rPr>
                <w:rStyle w:val="IndexLink"/>
                <w:rtl w:val="true"/>
              </w:rPr>
              <w:t>برابر نهادها</w:t>
            </w:r>
            <w:r>
              <w:rPr>
                <w:rStyle w:val="IndexLink"/>
                <w:rtl w:val="true"/>
              </w:rPr>
              <w:tab/>
            </w:r>
            <w:r>
              <w:rPr>
                <w:rStyle w:val="IndexLink"/>
              </w:rPr>
              <w:t>73</w:t>
            </w:r>
          </w:hyperlink>
        </w:p>
        <w:p>
          <w:pPr>
            <w:pStyle w:val="Contents3"/>
            <w:tabs>
              <w:tab w:val="clear" w:pos="8459"/>
              <w:tab w:val="right" w:pos="9026" w:leader="dot"/>
            </w:tabs>
            <w:rPr/>
          </w:pPr>
          <w:hyperlink w:anchor="__RefHeading___Toc3418238_2749589250">
            <w:r>
              <w:rPr>
                <w:webHidden/>
                <w:rStyle w:val="IndexLink"/>
                <w:rtl w:val="true"/>
              </w:rPr>
              <w:t>فصل سوم</w:t>
            </w:r>
            <w:r>
              <w:rPr>
                <w:rStyle w:val="IndexLink"/>
                <w:rtl w:val="true"/>
              </w:rPr>
              <w:t xml:space="preserve">: </w:t>
            </w:r>
            <w:r>
              <w:rPr>
                <w:rStyle w:val="IndexLink"/>
                <w:rtl w:val="true"/>
              </w:rPr>
              <w:t>فقه و سکولاریزاسیون</w:t>
            </w:r>
            <w:r>
              <w:rPr>
                <w:rStyle w:val="IndexLink"/>
                <w:rtl w:val="true"/>
              </w:rPr>
              <w:tab/>
            </w:r>
            <w:r>
              <w:rPr>
                <w:rStyle w:val="IndexLink"/>
              </w:rPr>
              <w:t>74</w:t>
            </w:r>
          </w:hyperlink>
        </w:p>
        <w:p>
          <w:pPr>
            <w:pStyle w:val="Contents4"/>
            <w:tabs>
              <w:tab w:val="clear" w:pos="8176"/>
              <w:tab w:val="right" w:pos="9026" w:leader="dot"/>
            </w:tabs>
            <w:rPr/>
          </w:pPr>
          <w:hyperlink w:anchor="__RefHeading___Toc3418240_274958925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3418242_2749589250">
            <w:r>
              <w:rPr>
                <w:webHidden/>
                <w:rStyle w:val="IndexLink"/>
                <w:rtl w:val="true"/>
              </w:rPr>
              <w:t xml:space="preserve">نگاهی به مقاله </w:t>
            </w:r>
            <w:r>
              <w:rPr>
                <w:rStyle w:val="IndexLink"/>
                <w:rtl w:val="true"/>
              </w:rPr>
              <w:t>«</w:t>
            </w:r>
            <w:r>
              <w:rPr>
                <w:rStyle w:val="IndexLink"/>
                <w:rtl w:val="true"/>
              </w:rPr>
              <w:t>فرآیند عرفی شدن فقه شیعی</w:t>
            </w:r>
            <w:r>
              <w:rPr>
                <w:rStyle w:val="IndexLink"/>
                <w:rtl w:val="true"/>
              </w:rPr>
              <w:t>»</w:t>
              <w:tab/>
            </w:r>
            <w:r>
              <w:rPr>
                <w:rStyle w:val="IndexLink"/>
              </w:rPr>
              <w:t>74</w:t>
            </w:r>
          </w:hyperlink>
        </w:p>
        <w:p>
          <w:pPr>
            <w:pStyle w:val="Contents5"/>
            <w:tabs>
              <w:tab w:val="clear" w:pos="7892"/>
              <w:tab w:val="right" w:pos="9026" w:leader="dot"/>
            </w:tabs>
            <w:rPr/>
          </w:pPr>
          <w:hyperlink w:anchor="__RefHeading___Toc3418244_2749589250">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3418246_2749589250">
            <w:r>
              <w:rPr>
                <w:webHidden/>
                <w:rStyle w:val="IndexLink"/>
                <w:rtl w:val="true"/>
              </w:rPr>
              <w:t xml:space="preserve">اول </w:t>
            </w:r>
            <w:r>
              <w:rPr>
                <w:rStyle w:val="IndexLink"/>
                <w:rtl w:val="true"/>
              </w:rPr>
              <w:t xml:space="preserve">- </w:t>
            </w:r>
            <w:r>
              <w:rPr>
                <w:rStyle w:val="IndexLink"/>
                <w:rtl w:val="true"/>
              </w:rPr>
              <w:t>سکولاریزاسیون</w:t>
            </w:r>
            <w:r>
              <w:rPr>
                <w:rStyle w:val="IndexLink"/>
                <w:rtl w:val="true"/>
              </w:rPr>
              <w:t xml:space="preserve">: </w:t>
            </w:r>
            <w:r>
              <w:rPr>
                <w:rStyle w:val="IndexLink"/>
                <w:rtl w:val="true"/>
              </w:rPr>
              <w:t>تعریف سکولاریزاسیون چیست؟</w:t>
            </w:r>
            <w:r>
              <w:rPr>
                <w:rStyle w:val="IndexLink"/>
                <w:rtl w:val="true"/>
              </w:rPr>
              <w:tab/>
            </w:r>
            <w:r>
              <w:rPr>
                <w:rStyle w:val="IndexLink"/>
              </w:rPr>
              <w:t>75</w:t>
            </w:r>
          </w:hyperlink>
        </w:p>
        <w:p>
          <w:pPr>
            <w:pStyle w:val="Contents5"/>
            <w:tabs>
              <w:tab w:val="clear" w:pos="7892"/>
              <w:tab w:val="right" w:pos="9026" w:leader="dot"/>
            </w:tabs>
            <w:rPr/>
          </w:pPr>
          <w:hyperlink w:anchor="__RefHeading___Toc3418248_2749589250">
            <w:r>
              <w:rPr>
                <w:webHidden/>
                <w:rStyle w:val="IndexLink"/>
                <w:rtl w:val="true"/>
              </w:rPr>
              <w:t xml:space="preserve">دوم </w:t>
            </w:r>
            <w:r>
              <w:rPr>
                <w:rStyle w:val="IndexLink"/>
                <w:rtl w:val="true"/>
              </w:rPr>
              <w:t xml:space="preserve">- </w:t>
            </w:r>
            <w:r>
              <w:rPr>
                <w:rStyle w:val="IndexLink"/>
                <w:rtl w:val="true"/>
              </w:rPr>
              <w:t>دین شناسی</w:t>
            </w:r>
            <w:r>
              <w:rPr>
                <w:rStyle w:val="IndexLink"/>
                <w:rtl w:val="true"/>
              </w:rPr>
              <w:tab/>
            </w:r>
            <w:r>
              <w:rPr>
                <w:rStyle w:val="IndexLink"/>
              </w:rPr>
              <w:t>90</w:t>
            </w:r>
          </w:hyperlink>
        </w:p>
        <w:p>
          <w:pPr>
            <w:pStyle w:val="Contents5"/>
            <w:tabs>
              <w:tab w:val="clear" w:pos="7892"/>
              <w:tab w:val="right" w:pos="9026" w:leader="dot"/>
            </w:tabs>
            <w:rPr/>
          </w:pPr>
          <w:hyperlink w:anchor="__RefHeading___Toc3418250_2749589250">
            <w:r>
              <w:rPr>
                <w:webHidden/>
                <w:rStyle w:val="IndexLink"/>
                <w:rtl w:val="true"/>
              </w:rPr>
              <w:t xml:space="preserve">سوم </w:t>
            </w:r>
            <w:r>
              <w:rPr>
                <w:rStyle w:val="IndexLink"/>
                <w:rtl w:val="true"/>
              </w:rPr>
              <w:t xml:space="preserve">- </w:t>
            </w:r>
            <w:r>
              <w:rPr>
                <w:rStyle w:val="IndexLink"/>
                <w:rtl w:val="true"/>
              </w:rPr>
              <w:t xml:space="preserve">قدسی </w:t>
            </w:r>
            <w:r>
              <w:rPr>
                <w:rStyle w:val="IndexLink"/>
                <w:rtl w:val="true"/>
              </w:rPr>
              <w:t xml:space="preserve">/ </w:t>
            </w:r>
            <w:r>
              <w:rPr>
                <w:rStyle w:val="IndexLink"/>
                <w:rtl w:val="true"/>
              </w:rPr>
              <w:t>عرفی</w:t>
            </w:r>
            <w:r>
              <w:rPr>
                <w:rStyle w:val="IndexLink"/>
                <w:rtl w:val="true"/>
              </w:rPr>
              <w:tab/>
            </w:r>
            <w:r>
              <w:rPr>
                <w:rStyle w:val="IndexLink"/>
              </w:rPr>
              <w:t>94</w:t>
            </w:r>
          </w:hyperlink>
        </w:p>
        <w:p>
          <w:pPr>
            <w:pStyle w:val="Contents5"/>
            <w:tabs>
              <w:tab w:val="clear" w:pos="7892"/>
              <w:tab w:val="right" w:pos="9026" w:leader="dot"/>
            </w:tabs>
            <w:rPr/>
          </w:pPr>
          <w:hyperlink w:anchor="__RefHeading___Toc3418252_2749589250">
            <w:r>
              <w:rPr>
                <w:webHidden/>
                <w:rStyle w:val="IndexLink"/>
                <w:rtl w:val="true"/>
              </w:rPr>
              <w:t xml:space="preserve">چهارم </w:t>
            </w:r>
            <w:r>
              <w:rPr>
                <w:rStyle w:val="IndexLink"/>
                <w:rtl w:val="true"/>
              </w:rPr>
              <w:t xml:space="preserve">- </w:t>
            </w:r>
            <w:r>
              <w:rPr>
                <w:rStyle w:val="IndexLink"/>
                <w:rtl w:val="true"/>
              </w:rPr>
              <w:t>ولایت فقیه</w:t>
            </w:r>
            <w:r>
              <w:rPr>
                <w:rStyle w:val="IndexLink"/>
                <w:rtl w:val="true"/>
              </w:rPr>
              <w:tab/>
            </w:r>
            <w:r>
              <w:rPr>
                <w:rStyle w:val="IndexLink"/>
              </w:rPr>
              <w:t>97</w:t>
            </w:r>
          </w:hyperlink>
        </w:p>
        <w:p>
          <w:pPr>
            <w:pStyle w:val="Contents5"/>
            <w:tabs>
              <w:tab w:val="clear" w:pos="7892"/>
              <w:tab w:val="right" w:pos="9026" w:leader="dot"/>
            </w:tabs>
            <w:rPr/>
          </w:pPr>
          <w:hyperlink w:anchor="__RefHeading___Toc3418254_2749589250">
            <w:r>
              <w:rPr>
                <w:webHidden/>
                <w:rStyle w:val="IndexLink"/>
                <w:rtl w:val="true"/>
              </w:rPr>
              <w:t xml:space="preserve">پنجم </w:t>
            </w:r>
            <w:r>
              <w:rPr>
                <w:rStyle w:val="IndexLink"/>
                <w:rtl w:val="true"/>
              </w:rPr>
              <w:t xml:space="preserve">- </w:t>
            </w:r>
            <w:r>
              <w:rPr>
                <w:rStyle w:val="IndexLink"/>
                <w:rtl w:val="true"/>
              </w:rPr>
              <w:t>مصلحت</w:t>
            </w:r>
            <w:r>
              <w:rPr>
                <w:rStyle w:val="IndexLink"/>
                <w:rtl w:val="true"/>
              </w:rPr>
              <w:tab/>
            </w:r>
            <w:r>
              <w:rPr>
                <w:rStyle w:val="IndexLink"/>
              </w:rPr>
              <w:t>103</w:t>
            </w:r>
          </w:hyperlink>
        </w:p>
        <w:p>
          <w:pPr>
            <w:pStyle w:val="Contents5"/>
            <w:tabs>
              <w:tab w:val="clear" w:pos="7892"/>
              <w:tab w:val="right" w:pos="9026" w:leader="dot"/>
            </w:tabs>
            <w:rPr/>
          </w:pPr>
          <w:hyperlink w:anchor="__RefHeading___Toc3418256_2749589250">
            <w:r>
              <w:rPr>
                <w:webHidden/>
                <w:rStyle w:val="IndexLink"/>
                <w:rtl w:val="true"/>
              </w:rPr>
              <w:t xml:space="preserve">ششم </w:t>
            </w:r>
            <w:r>
              <w:rPr>
                <w:rStyle w:val="IndexLink"/>
                <w:rtl w:val="true"/>
              </w:rPr>
              <w:t xml:space="preserve">- </w:t>
            </w:r>
            <w:r>
              <w:rPr>
                <w:rStyle w:val="IndexLink"/>
                <w:rtl w:val="true"/>
              </w:rPr>
              <w:t>فقه شناسی</w:t>
            </w:r>
            <w:r>
              <w:rPr>
                <w:rStyle w:val="IndexLink"/>
                <w:rtl w:val="true"/>
              </w:rPr>
              <w:tab/>
            </w:r>
            <w:r>
              <w:rPr>
                <w:rStyle w:val="IndexLink"/>
              </w:rPr>
              <w:t>105</w:t>
            </w:r>
          </w:hyperlink>
        </w:p>
        <w:p>
          <w:pPr>
            <w:pStyle w:val="Contents5"/>
            <w:tabs>
              <w:tab w:val="clear" w:pos="7892"/>
              <w:tab w:val="right" w:pos="9026" w:leader="dot"/>
            </w:tabs>
            <w:rPr/>
          </w:pPr>
          <w:hyperlink w:anchor="__RefHeading___Toc3418258_2749589250">
            <w:r>
              <w:rPr>
                <w:webHidden/>
                <w:rStyle w:val="IndexLink"/>
                <w:rtl w:val="true"/>
              </w:rPr>
              <w:t xml:space="preserve">هفتم </w:t>
            </w:r>
            <w:r>
              <w:rPr>
                <w:rStyle w:val="IndexLink"/>
                <w:rtl w:val="true"/>
              </w:rPr>
              <w:t xml:space="preserve">- </w:t>
            </w:r>
            <w:r>
              <w:rPr>
                <w:rStyle w:val="IndexLink"/>
                <w:rtl w:val="true"/>
              </w:rPr>
              <w:t>جامعه شناسی حقوق</w:t>
            </w:r>
            <w:r>
              <w:rPr>
                <w:rStyle w:val="IndexLink"/>
                <w:rtl w:val="true"/>
              </w:rPr>
              <w:tab/>
            </w:r>
            <w:r>
              <w:rPr>
                <w:rStyle w:val="IndexLink"/>
              </w:rPr>
              <w:t>107</w:t>
            </w:r>
          </w:hyperlink>
        </w:p>
        <w:p>
          <w:pPr>
            <w:pStyle w:val="Contents5"/>
            <w:tabs>
              <w:tab w:val="clear" w:pos="7892"/>
              <w:tab w:val="right" w:pos="9026" w:leader="dot"/>
            </w:tabs>
            <w:rPr/>
          </w:pPr>
          <w:hyperlink w:anchor="__RefHeading___Toc3418260_2749589250">
            <w:r>
              <w:rPr>
                <w:webHidden/>
                <w:rStyle w:val="IndexLink"/>
                <w:rtl w:val="true"/>
              </w:rPr>
              <w:t xml:space="preserve">هشتم </w:t>
            </w:r>
            <w:r>
              <w:rPr>
                <w:rStyle w:val="IndexLink"/>
                <w:rtl w:val="true"/>
              </w:rPr>
              <w:t xml:space="preserve">- </w:t>
            </w:r>
            <w:r>
              <w:rPr>
                <w:rStyle w:val="IndexLink"/>
                <w:rtl w:val="true"/>
              </w:rPr>
              <w:t xml:space="preserve">برابر نهادها </w:t>
            </w:r>
            <w:r>
              <w:rPr>
                <w:rStyle w:val="IndexLink"/>
                <w:rtl w:val="true"/>
              </w:rPr>
              <w:t xml:space="preserve">/ </w:t>
            </w:r>
            <w:r>
              <w:rPr>
                <w:rStyle w:val="IndexLink"/>
                <w:rtl w:val="true"/>
              </w:rPr>
              <w:t>تعریف مفاهیم</w:t>
            </w:r>
            <w:r>
              <w:rPr>
                <w:rStyle w:val="IndexLink"/>
                <w:rtl w:val="true"/>
              </w:rPr>
              <w:tab/>
            </w:r>
            <w:r>
              <w:rPr>
                <w:rStyle w:val="IndexLink"/>
              </w:rPr>
              <w:t>109</w:t>
            </w:r>
          </w:hyperlink>
        </w:p>
        <w:p>
          <w:pPr>
            <w:pStyle w:val="Contents3"/>
            <w:tabs>
              <w:tab w:val="clear" w:pos="8459"/>
              <w:tab w:val="right" w:pos="9026" w:leader="dot"/>
            </w:tabs>
            <w:rPr/>
          </w:pPr>
          <w:hyperlink w:anchor="__RefHeading___Toc3418262_2749589250">
            <w:r>
              <w:rPr>
                <w:webHidden/>
                <w:rStyle w:val="IndexLink"/>
                <w:rtl w:val="true"/>
              </w:rPr>
              <w:t>فصل چهارم</w:t>
            </w:r>
            <w:r>
              <w:rPr>
                <w:rStyle w:val="IndexLink"/>
                <w:rtl w:val="true"/>
              </w:rPr>
              <w:t xml:space="preserve">: </w:t>
            </w:r>
            <w:r>
              <w:rPr>
                <w:rStyle w:val="IndexLink"/>
                <w:rtl w:val="true"/>
              </w:rPr>
              <w:t>دین و سکولاریزاسیون</w:t>
            </w:r>
            <w:r>
              <w:rPr>
                <w:rStyle w:val="IndexLink"/>
                <w:rtl w:val="true"/>
              </w:rPr>
              <w:tab/>
            </w:r>
            <w:r>
              <w:rPr>
                <w:rStyle w:val="IndexLink"/>
              </w:rPr>
              <w:t>113</w:t>
            </w:r>
          </w:hyperlink>
        </w:p>
        <w:p>
          <w:pPr>
            <w:pStyle w:val="Contents4"/>
            <w:tabs>
              <w:tab w:val="clear" w:pos="8176"/>
              <w:tab w:val="right" w:pos="9026" w:leader="dot"/>
            </w:tabs>
            <w:rPr/>
          </w:pPr>
          <w:hyperlink w:anchor="__RefHeading___Toc3418264_274958925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3418266_2749589250">
            <w:r>
              <w:rPr>
                <w:webHidden/>
                <w:rStyle w:val="IndexLink"/>
                <w:rtl w:val="true"/>
              </w:rPr>
              <w:t xml:space="preserve">نگاهی به مقاله </w:t>
            </w:r>
            <w:r>
              <w:rPr>
                <w:rStyle w:val="IndexLink"/>
                <w:rtl w:val="true"/>
              </w:rPr>
              <w:t>«</w:t>
            </w:r>
            <w:r>
              <w:rPr>
                <w:rStyle w:val="IndexLink"/>
                <w:rtl w:val="true"/>
              </w:rPr>
              <w:t>امام خمینی، فقیه دوران گذار</w:t>
            </w:r>
            <w:r>
              <w:rPr>
                <w:rStyle w:val="IndexLink"/>
                <w:rtl w:val="true"/>
              </w:rPr>
              <w:t xml:space="preserve">» </w:t>
            </w:r>
            <w:r>
              <w:rPr>
                <w:rStyle w:val="IndexLink"/>
                <w:rtl w:val="true"/>
              </w:rPr>
              <w:t>از فقه جواهری تا فقه المصلحة</w:t>
            </w:r>
            <w:r>
              <w:rPr>
                <w:rStyle w:val="IndexLink"/>
                <w:rtl w:val="true"/>
              </w:rPr>
              <w:tab/>
            </w:r>
            <w:r>
              <w:rPr>
                <w:rStyle w:val="IndexLink"/>
              </w:rPr>
              <w:t>113</w:t>
            </w:r>
          </w:hyperlink>
        </w:p>
        <w:p>
          <w:pPr>
            <w:pStyle w:val="Contents5"/>
            <w:tabs>
              <w:tab w:val="clear" w:pos="7892"/>
              <w:tab w:val="right" w:pos="9026" w:leader="dot"/>
            </w:tabs>
            <w:rPr/>
          </w:pPr>
          <w:hyperlink w:anchor="__RefHeading___Toc3418268_2749589250">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3418270_2749589250">
            <w:r>
              <w:rPr>
                <w:webHidden/>
                <w:rStyle w:val="IndexLink"/>
                <w:rtl w:val="true"/>
              </w:rPr>
              <w:t xml:space="preserve">اول </w:t>
            </w:r>
            <w:r>
              <w:rPr>
                <w:rStyle w:val="IndexLink"/>
                <w:rtl w:val="true"/>
              </w:rPr>
              <w:t xml:space="preserve">- </w:t>
            </w:r>
            <w:r>
              <w:rPr>
                <w:rStyle w:val="IndexLink"/>
                <w:rtl w:val="true"/>
              </w:rPr>
              <w:t xml:space="preserve">الگوی غربی </w:t>
            </w:r>
            <w:r>
              <w:rPr>
                <w:rStyle w:val="IndexLink"/>
                <w:rtl w:val="true"/>
              </w:rPr>
              <w:t xml:space="preserve">/ </w:t>
            </w:r>
            <w:r>
              <w:rPr>
                <w:rStyle w:val="IndexLink"/>
                <w:rtl w:val="true"/>
              </w:rPr>
              <w:t>چارچوب مسیحی</w:t>
            </w:r>
            <w:r>
              <w:rPr>
                <w:rStyle w:val="IndexLink"/>
                <w:rtl w:val="true"/>
              </w:rPr>
              <w:tab/>
            </w:r>
            <w:r>
              <w:rPr>
                <w:rStyle w:val="IndexLink"/>
              </w:rPr>
              <w:t>113</w:t>
            </w:r>
          </w:hyperlink>
        </w:p>
        <w:p>
          <w:pPr>
            <w:pStyle w:val="Contents5"/>
            <w:tabs>
              <w:tab w:val="clear" w:pos="7892"/>
              <w:tab w:val="right" w:pos="9026" w:leader="dot"/>
            </w:tabs>
            <w:rPr/>
          </w:pPr>
          <w:hyperlink w:anchor="__RefHeading___Toc3418272_2749589250">
            <w:r>
              <w:rPr>
                <w:webHidden/>
                <w:rStyle w:val="IndexLink"/>
                <w:rtl w:val="true"/>
              </w:rPr>
              <w:t xml:space="preserve">دوم </w:t>
            </w:r>
            <w:r>
              <w:rPr>
                <w:rStyle w:val="IndexLink"/>
                <w:rtl w:val="true"/>
              </w:rPr>
              <w:t xml:space="preserve">- </w:t>
            </w:r>
            <w:r>
              <w:rPr>
                <w:rStyle w:val="IndexLink"/>
                <w:rtl w:val="true"/>
              </w:rPr>
              <w:t>فقه شناسی</w:t>
            </w:r>
            <w:r>
              <w:rPr>
                <w:rStyle w:val="IndexLink"/>
                <w:rtl w:val="true"/>
              </w:rPr>
              <w:tab/>
            </w:r>
            <w:r>
              <w:rPr>
                <w:rStyle w:val="IndexLink"/>
              </w:rPr>
              <w:t>126</w:t>
            </w:r>
          </w:hyperlink>
        </w:p>
        <w:p>
          <w:pPr>
            <w:pStyle w:val="Contents5"/>
            <w:tabs>
              <w:tab w:val="clear" w:pos="7892"/>
              <w:tab w:val="right" w:pos="9026" w:leader="dot"/>
            </w:tabs>
            <w:rPr/>
          </w:pPr>
          <w:hyperlink w:anchor="__RefHeading___Toc3418274_2749589250">
            <w:r>
              <w:rPr>
                <w:webHidden/>
                <w:rStyle w:val="IndexLink"/>
                <w:rtl w:val="true"/>
              </w:rPr>
              <w:t xml:space="preserve">سوم </w:t>
            </w:r>
            <w:r>
              <w:rPr>
                <w:rStyle w:val="IndexLink"/>
                <w:rtl w:val="true"/>
              </w:rPr>
              <w:t xml:space="preserve">- </w:t>
            </w:r>
            <w:r>
              <w:rPr>
                <w:rStyle w:val="IndexLink"/>
                <w:rtl w:val="true"/>
              </w:rPr>
              <w:t>ولایت فقیه</w:t>
            </w:r>
            <w:r>
              <w:rPr>
                <w:rStyle w:val="IndexLink"/>
                <w:rtl w:val="true"/>
              </w:rPr>
              <w:tab/>
            </w:r>
            <w:r>
              <w:rPr>
                <w:rStyle w:val="IndexLink"/>
              </w:rPr>
              <w:t>135</w:t>
            </w:r>
          </w:hyperlink>
        </w:p>
        <w:p>
          <w:pPr>
            <w:pStyle w:val="Contents5"/>
            <w:tabs>
              <w:tab w:val="clear" w:pos="7892"/>
              <w:tab w:val="right" w:pos="9026" w:leader="dot"/>
            </w:tabs>
            <w:rPr/>
          </w:pPr>
          <w:hyperlink w:anchor="__RefHeading___Toc3418276_2749589250">
            <w:r>
              <w:rPr>
                <w:webHidden/>
                <w:rStyle w:val="IndexLink"/>
                <w:rtl w:val="true"/>
              </w:rPr>
              <w:t xml:space="preserve">- </w:t>
            </w:r>
            <w:r>
              <w:rPr>
                <w:rStyle w:val="IndexLink"/>
                <w:rtl w:val="true"/>
              </w:rPr>
              <w:t>ولایت مطلقه فقیه و سکولاریزاسیون</w:t>
            </w:r>
            <w:r>
              <w:rPr>
                <w:rStyle w:val="IndexLink"/>
                <w:rtl w:val="true"/>
              </w:rPr>
              <w:tab/>
            </w:r>
            <w:r>
              <w:rPr>
                <w:rStyle w:val="IndexLink"/>
              </w:rPr>
              <w:t>139</w:t>
            </w:r>
          </w:hyperlink>
        </w:p>
        <w:p>
          <w:pPr>
            <w:pStyle w:val="Contents5"/>
            <w:tabs>
              <w:tab w:val="clear" w:pos="7892"/>
              <w:tab w:val="right" w:pos="9026" w:leader="dot"/>
            </w:tabs>
            <w:rPr/>
          </w:pPr>
          <w:hyperlink w:anchor="__RefHeading___Toc3418278_2749589250">
            <w:r>
              <w:rPr>
                <w:webHidden/>
                <w:rStyle w:val="IndexLink"/>
                <w:rtl w:val="true"/>
              </w:rPr>
              <w:t xml:space="preserve">چهارم </w:t>
            </w:r>
            <w:r>
              <w:rPr>
                <w:rStyle w:val="IndexLink"/>
                <w:rtl w:val="true"/>
              </w:rPr>
              <w:t xml:space="preserve">- </w:t>
            </w:r>
            <w:r>
              <w:rPr>
                <w:rStyle w:val="IndexLink"/>
                <w:rtl w:val="true"/>
              </w:rPr>
              <w:t>مصلحت</w:t>
            </w:r>
            <w:r>
              <w:rPr>
                <w:rStyle w:val="IndexLink"/>
                <w:rtl w:val="true"/>
              </w:rPr>
              <w:tab/>
            </w:r>
            <w:r>
              <w:rPr>
                <w:rStyle w:val="IndexLink"/>
              </w:rPr>
              <w:t>142</w:t>
            </w:r>
          </w:hyperlink>
        </w:p>
        <w:p>
          <w:pPr>
            <w:pStyle w:val="Contents5"/>
            <w:tabs>
              <w:tab w:val="clear" w:pos="7892"/>
              <w:tab w:val="right" w:pos="9026" w:leader="dot"/>
            </w:tabs>
            <w:rPr/>
          </w:pPr>
          <w:hyperlink w:anchor="__RefHeading___Toc3418280_2749589250">
            <w:r>
              <w:rPr>
                <w:webHidden/>
                <w:rStyle w:val="IndexLink"/>
                <w:rtl w:val="true"/>
              </w:rPr>
              <w:t xml:space="preserve">پنجم </w:t>
            </w:r>
            <w:r>
              <w:rPr>
                <w:rStyle w:val="IndexLink"/>
                <w:rtl w:val="true"/>
              </w:rPr>
              <w:t xml:space="preserve">- </w:t>
            </w:r>
            <w:r>
              <w:rPr>
                <w:rStyle w:val="IndexLink"/>
                <w:rtl w:val="true"/>
              </w:rPr>
              <w:t>سکولاریزاسیون</w:t>
            </w:r>
            <w:r>
              <w:rPr>
                <w:rStyle w:val="IndexLink"/>
                <w:rtl w:val="true"/>
              </w:rPr>
              <w:tab/>
            </w:r>
            <w:r>
              <w:rPr>
                <w:rStyle w:val="IndexLink"/>
              </w:rPr>
              <w:t>150</w:t>
            </w:r>
          </w:hyperlink>
        </w:p>
        <w:p>
          <w:pPr>
            <w:pStyle w:val="Contents3"/>
            <w:tabs>
              <w:tab w:val="clear" w:pos="8459"/>
              <w:tab w:val="right" w:pos="9026" w:leader="dot"/>
            </w:tabs>
            <w:rPr/>
          </w:pPr>
          <w:hyperlink w:anchor="__RefHeading___Toc3418282_2749589250">
            <w:r>
              <w:rPr>
                <w:webHidden/>
                <w:rStyle w:val="IndexLink"/>
                <w:rtl w:val="true"/>
              </w:rPr>
              <w:t>فصل پنجم</w:t>
            </w:r>
            <w:r>
              <w:rPr>
                <w:rStyle w:val="IndexLink"/>
                <w:rtl w:val="true"/>
              </w:rPr>
              <w:t xml:space="preserve">: </w:t>
            </w:r>
            <w:r>
              <w:rPr>
                <w:rStyle w:val="IndexLink"/>
                <w:rtl w:val="true"/>
              </w:rPr>
              <w:t>عرفی شدن یا دگم های مُدرن؟</w:t>
            </w:r>
            <w:r>
              <w:rPr>
                <w:rStyle w:val="IndexLink"/>
                <w:rtl w:val="true"/>
              </w:rPr>
              <w:t>!</w:t>
              <w:tab/>
            </w:r>
            <w:r>
              <w:rPr>
                <w:rStyle w:val="IndexLink"/>
              </w:rPr>
              <w:t>157</w:t>
            </w:r>
          </w:hyperlink>
        </w:p>
        <w:p>
          <w:pPr>
            <w:pStyle w:val="Contents4"/>
            <w:tabs>
              <w:tab w:val="clear" w:pos="8176"/>
              <w:tab w:val="right" w:pos="9026" w:leader="dot"/>
            </w:tabs>
            <w:rPr/>
          </w:pPr>
          <w:hyperlink w:anchor="__RefHeading___Toc3418284_2749589250">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3418286_2749589250">
            <w:r>
              <w:rPr>
                <w:webHidden/>
                <w:rStyle w:val="IndexLink"/>
                <w:rtl w:val="true"/>
              </w:rPr>
              <w:t xml:space="preserve">نگاهی به مقاله </w:t>
            </w:r>
            <w:r>
              <w:rPr>
                <w:rStyle w:val="IndexLink"/>
                <w:rtl w:val="true"/>
              </w:rPr>
              <w:t>«</w:t>
            </w:r>
            <w:r>
              <w:rPr>
                <w:rStyle w:val="IndexLink"/>
                <w:rtl w:val="true"/>
              </w:rPr>
              <w:t>خط قرمز</w:t>
            </w:r>
            <w:r>
              <w:rPr>
                <w:rStyle w:val="IndexLink"/>
                <w:rtl w:val="true"/>
              </w:rPr>
              <w:t xml:space="preserve">: </w:t>
            </w:r>
            <w:r>
              <w:rPr>
                <w:rStyle w:val="IndexLink"/>
                <w:rtl w:val="true"/>
              </w:rPr>
              <w:t>ارزش یا هنجار؟</w:t>
            </w:r>
            <w:r>
              <w:rPr>
                <w:rStyle w:val="IndexLink"/>
                <w:rtl w:val="true"/>
              </w:rPr>
              <w:t>»</w:t>
              <w:tab/>
            </w:r>
            <w:r>
              <w:rPr>
                <w:rStyle w:val="IndexLink"/>
              </w:rPr>
              <w:t>157</w:t>
            </w:r>
          </w:hyperlink>
        </w:p>
        <w:p>
          <w:pPr>
            <w:pStyle w:val="Contents3"/>
            <w:tabs>
              <w:tab w:val="clear" w:pos="8459"/>
              <w:tab w:val="right" w:pos="9026" w:leader="dot"/>
            </w:tabs>
            <w:rPr/>
          </w:pPr>
          <w:hyperlink w:anchor="__RefHeading___Toc3418288_2749589250">
            <w:r>
              <w:rPr>
                <w:webHidden/>
                <w:rStyle w:val="IndexLink"/>
                <w:rtl w:val="true"/>
              </w:rPr>
              <w:t>فصل ششم</w:t>
            </w:r>
            <w:r>
              <w:rPr>
                <w:rStyle w:val="IndexLink"/>
                <w:rtl w:val="true"/>
              </w:rPr>
              <w:t xml:space="preserve">: </w:t>
            </w:r>
            <w:r>
              <w:rPr>
                <w:rStyle w:val="IndexLink"/>
                <w:rtl w:val="true"/>
              </w:rPr>
              <w:t>دین و دموکراسی</w:t>
            </w:r>
            <w:r>
              <w:rPr>
                <w:rStyle w:val="IndexLink"/>
                <w:rtl w:val="true"/>
              </w:rPr>
              <w:tab/>
            </w:r>
            <w:r>
              <w:rPr>
                <w:rStyle w:val="IndexLink"/>
              </w:rPr>
              <w:t>160</w:t>
            </w:r>
          </w:hyperlink>
        </w:p>
        <w:p>
          <w:pPr>
            <w:pStyle w:val="Contents4"/>
            <w:tabs>
              <w:tab w:val="clear" w:pos="8176"/>
              <w:tab w:val="right" w:pos="9026" w:leader="dot"/>
            </w:tabs>
            <w:rPr/>
          </w:pPr>
          <w:hyperlink w:anchor="__RefHeading___Toc3418290_2749589250">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3418292_2749589250">
            <w:r>
              <w:rPr>
                <w:webHidden/>
                <w:rStyle w:val="IndexLink"/>
                <w:rtl w:val="true"/>
              </w:rPr>
              <w:t xml:space="preserve">نگاهی به مقاله </w:t>
            </w:r>
            <w:r>
              <w:rPr>
                <w:rStyle w:val="IndexLink"/>
                <w:rtl w:val="true"/>
              </w:rPr>
              <w:t>«</w:t>
            </w:r>
            <w:r>
              <w:rPr>
                <w:rStyle w:val="IndexLink"/>
                <w:rtl w:val="true"/>
              </w:rPr>
              <w:t>دین دموکراتیک حکومتی</w:t>
            </w:r>
            <w:r>
              <w:rPr>
                <w:rStyle w:val="IndexLink"/>
                <w:rtl w:val="true"/>
              </w:rPr>
              <w:t>»</w:t>
              <w:tab/>
            </w:r>
            <w:r>
              <w:rPr>
                <w:rStyle w:val="IndexLink"/>
              </w:rPr>
              <w:t>160</w:t>
            </w:r>
          </w:hyperlink>
        </w:p>
        <w:p>
          <w:pPr>
            <w:pStyle w:val="Contents5"/>
            <w:tabs>
              <w:tab w:val="clear" w:pos="7892"/>
              <w:tab w:val="right" w:pos="9026" w:leader="dot"/>
            </w:tabs>
            <w:rPr/>
          </w:pPr>
          <w:hyperlink w:anchor="__RefHeading___Toc3418294_2749589250">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3418296_2749589250">
            <w:r>
              <w:rPr>
                <w:webHidden/>
                <w:rStyle w:val="IndexLink"/>
                <w:rtl w:val="true"/>
              </w:rPr>
              <w:t xml:space="preserve">اول </w:t>
            </w:r>
            <w:r>
              <w:rPr>
                <w:rStyle w:val="IndexLink"/>
                <w:rtl w:val="true"/>
              </w:rPr>
              <w:t xml:space="preserve">- </w:t>
            </w:r>
            <w:r>
              <w:rPr>
                <w:rStyle w:val="IndexLink"/>
                <w:rtl w:val="true"/>
              </w:rPr>
              <w:t>دین دولتی</w:t>
            </w:r>
            <w:r>
              <w:rPr>
                <w:rStyle w:val="IndexLink"/>
                <w:rtl w:val="true"/>
              </w:rPr>
              <w:tab/>
            </w:r>
            <w:r>
              <w:rPr>
                <w:rStyle w:val="IndexLink"/>
              </w:rPr>
              <w:t>161</w:t>
            </w:r>
          </w:hyperlink>
        </w:p>
        <w:p>
          <w:pPr>
            <w:pStyle w:val="Contents5"/>
            <w:tabs>
              <w:tab w:val="clear" w:pos="7892"/>
              <w:tab w:val="right" w:pos="9026" w:leader="dot"/>
            </w:tabs>
            <w:rPr/>
          </w:pPr>
          <w:hyperlink w:anchor="__RefHeading___Toc3418298_2749589250">
            <w:r>
              <w:rPr>
                <w:webHidden/>
                <w:rStyle w:val="IndexLink"/>
                <w:rtl w:val="true"/>
              </w:rPr>
              <w:t xml:space="preserve">دوم </w:t>
            </w:r>
            <w:r>
              <w:rPr>
                <w:rStyle w:val="IndexLink"/>
                <w:rtl w:val="true"/>
              </w:rPr>
              <w:t xml:space="preserve">- </w:t>
            </w:r>
            <w:r>
              <w:rPr>
                <w:rStyle w:val="IndexLink"/>
                <w:rtl w:val="true"/>
              </w:rPr>
              <w:t>دموکراسی حداقلی</w:t>
            </w:r>
            <w:r>
              <w:rPr>
                <w:rStyle w:val="IndexLink"/>
                <w:rtl w:val="true"/>
              </w:rPr>
              <w:tab/>
            </w:r>
            <w:r>
              <w:rPr>
                <w:rStyle w:val="IndexLink"/>
              </w:rPr>
              <w:t>163</w:t>
            </w:r>
          </w:hyperlink>
        </w:p>
        <w:p>
          <w:pPr>
            <w:pStyle w:val="Contents5"/>
            <w:tabs>
              <w:tab w:val="clear" w:pos="7892"/>
              <w:tab w:val="right" w:pos="9026" w:leader="dot"/>
            </w:tabs>
            <w:rPr/>
          </w:pPr>
          <w:hyperlink w:anchor="__RefHeading___Toc3418300_2749589250">
            <w:r>
              <w:rPr>
                <w:webHidden/>
                <w:rStyle w:val="IndexLink"/>
                <w:rtl w:val="true"/>
              </w:rPr>
              <w:t xml:space="preserve">سوم </w:t>
            </w:r>
            <w:r>
              <w:rPr>
                <w:rStyle w:val="IndexLink"/>
                <w:rtl w:val="true"/>
              </w:rPr>
              <w:t xml:space="preserve">- </w:t>
            </w:r>
            <w:r>
              <w:rPr>
                <w:rStyle w:val="IndexLink"/>
                <w:rtl w:val="true"/>
              </w:rPr>
              <w:t>فقه و دموکراسی</w:t>
            </w:r>
            <w:r>
              <w:rPr>
                <w:rStyle w:val="IndexLink"/>
                <w:rtl w:val="true"/>
              </w:rPr>
              <w:tab/>
            </w:r>
            <w:r>
              <w:rPr>
                <w:rStyle w:val="IndexLink"/>
              </w:rPr>
              <w:t>164</w:t>
            </w:r>
          </w:hyperlink>
        </w:p>
        <w:p>
          <w:pPr>
            <w:pStyle w:val="Contents5"/>
            <w:tabs>
              <w:tab w:val="clear" w:pos="7892"/>
              <w:tab w:val="right" w:pos="9026" w:leader="dot"/>
            </w:tabs>
            <w:rPr/>
          </w:pPr>
          <w:hyperlink w:anchor="__RefHeading___Toc3418302_2749589250">
            <w:r>
              <w:rPr>
                <w:webHidden/>
                <w:rStyle w:val="IndexLink"/>
                <w:rtl w:val="true"/>
              </w:rPr>
              <w:t xml:space="preserve">چهارم </w:t>
            </w:r>
            <w:r>
              <w:rPr>
                <w:rStyle w:val="IndexLink"/>
                <w:rtl w:val="true"/>
              </w:rPr>
              <w:t xml:space="preserve">- </w:t>
            </w:r>
            <w:r>
              <w:rPr>
                <w:rStyle w:val="IndexLink"/>
                <w:rtl w:val="true"/>
              </w:rPr>
              <w:t>خصوصی بودن فقه</w:t>
            </w:r>
            <w:r>
              <w:rPr>
                <w:rStyle w:val="IndexLink"/>
                <w:rtl w:val="true"/>
              </w:rPr>
              <w:tab/>
            </w:r>
            <w:r>
              <w:rPr>
                <w:rStyle w:val="IndexLink"/>
              </w:rPr>
              <w:t>167</w:t>
            </w:r>
          </w:hyperlink>
        </w:p>
        <w:p>
          <w:pPr>
            <w:pStyle w:val="Contents5"/>
            <w:tabs>
              <w:tab w:val="clear" w:pos="7892"/>
              <w:tab w:val="right" w:pos="9026" w:leader="dot"/>
            </w:tabs>
            <w:rPr/>
          </w:pPr>
          <w:hyperlink w:anchor="__RefHeading___Toc3418304_2749589250">
            <w:r>
              <w:rPr>
                <w:webHidden/>
                <w:rStyle w:val="IndexLink"/>
                <w:rtl w:val="true"/>
              </w:rPr>
              <w:t xml:space="preserve">پنجم </w:t>
            </w:r>
            <w:r>
              <w:rPr>
                <w:rStyle w:val="IndexLink"/>
                <w:rtl w:val="true"/>
              </w:rPr>
              <w:t xml:space="preserve">- </w:t>
            </w:r>
            <w:r>
              <w:rPr>
                <w:rStyle w:val="IndexLink"/>
                <w:rtl w:val="true"/>
              </w:rPr>
              <w:t>فقه شناسی</w:t>
            </w:r>
            <w:r>
              <w:rPr>
                <w:rStyle w:val="IndexLink"/>
                <w:rtl w:val="true"/>
              </w:rPr>
              <w:tab/>
            </w:r>
            <w:r>
              <w:rPr>
                <w:rStyle w:val="IndexLink"/>
              </w:rPr>
              <w:t>168</w:t>
            </w:r>
          </w:hyperlink>
        </w:p>
        <w:p>
          <w:pPr>
            <w:pStyle w:val="Contents5"/>
            <w:tabs>
              <w:tab w:val="clear" w:pos="7892"/>
              <w:tab w:val="right" w:pos="9026" w:leader="dot"/>
            </w:tabs>
            <w:rPr/>
          </w:pPr>
          <w:hyperlink w:anchor="__RefHeading___Toc3418306_2749589250">
            <w:r>
              <w:rPr>
                <w:webHidden/>
                <w:rStyle w:val="IndexLink"/>
                <w:rtl w:val="true"/>
              </w:rPr>
              <w:t xml:space="preserve">ششم </w:t>
            </w:r>
            <w:r>
              <w:rPr>
                <w:rStyle w:val="IndexLink"/>
                <w:rtl w:val="true"/>
              </w:rPr>
              <w:t xml:space="preserve">- </w:t>
            </w:r>
            <w:r>
              <w:rPr>
                <w:rStyle w:val="IndexLink"/>
                <w:rtl w:val="true"/>
              </w:rPr>
              <w:t>فقه و دولت</w:t>
            </w:r>
            <w:r>
              <w:rPr>
                <w:rStyle w:val="IndexLink"/>
                <w:rtl w:val="true"/>
              </w:rPr>
              <w:tab/>
            </w:r>
            <w:r>
              <w:rPr>
                <w:rStyle w:val="IndexLink"/>
              </w:rPr>
              <w:t>168</w:t>
            </w:r>
          </w:hyperlink>
        </w:p>
        <w:p>
          <w:pPr>
            <w:pStyle w:val="Contents5"/>
            <w:tabs>
              <w:tab w:val="clear" w:pos="7892"/>
              <w:tab w:val="right" w:pos="9026" w:leader="dot"/>
            </w:tabs>
            <w:rPr/>
          </w:pPr>
          <w:hyperlink w:anchor="__RefHeading___Toc3418308_2749589250">
            <w:r>
              <w:rPr>
                <w:webHidden/>
                <w:rStyle w:val="IndexLink"/>
                <w:rtl w:val="true"/>
              </w:rPr>
              <w:t xml:space="preserve">هفتم </w:t>
            </w:r>
            <w:r>
              <w:rPr>
                <w:rStyle w:val="IndexLink"/>
                <w:rtl w:val="true"/>
              </w:rPr>
              <w:t xml:space="preserve">- </w:t>
            </w:r>
            <w:r>
              <w:rPr>
                <w:rStyle w:val="IndexLink"/>
                <w:rtl w:val="true"/>
              </w:rPr>
              <w:t>مسیحیت شناسی</w:t>
            </w:r>
            <w:r>
              <w:rPr>
                <w:rStyle w:val="IndexLink"/>
                <w:rtl w:val="true"/>
              </w:rPr>
              <w:tab/>
            </w:r>
            <w:r>
              <w:rPr>
                <w:rStyle w:val="IndexLink"/>
              </w:rPr>
              <w:t>169</w:t>
            </w:r>
          </w:hyperlink>
        </w:p>
        <w:p>
          <w:pPr>
            <w:pStyle w:val="Contents2"/>
            <w:tabs>
              <w:tab w:val="clear" w:pos="8743"/>
              <w:tab w:val="right" w:pos="9026" w:leader="dot"/>
            </w:tabs>
            <w:rPr/>
          </w:pPr>
          <w:hyperlink w:anchor="__RefHeading___Toc3418310_2749589250">
            <w:r>
              <w:rPr>
                <w:webHidden/>
                <w:rStyle w:val="IndexLink"/>
                <w:rtl w:val="true"/>
              </w:rPr>
              <w:t>بخش چهارم</w:t>
            </w:r>
            <w:r>
              <w:rPr>
                <w:rStyle w:val="IndexLink"/>
                <w:rtl w:val="true"/>
              </w:rPr>
              <w:t xml:space="preserve">: </w:t>
            </w:r>
            <w:r>
              <w:rPr>
                <w:rStyle w:val="IndexLink"/>
                <w:rtl w:val="true"/>
              </w:rPr>
              <w:t>عرفی شدن ایدئولوژی ها</w:t>
            </w:r>
            <w:r>
              <w:rPr>
                <w:rStyle w:val="IndexLink"/>
                <w:rtl w:val="true"/>
              </w:rPr>
              <w:tab/>
            </w:r>
            <w:r>
              <w:rPr>
                <w:rStyle w:val="IndexLink"/>
              </w:rPr>
              <w:t>174</w:t>
            </w:r>
          </w:hyperlink>
        </w:p>
        <w:p>
          <w:pPr>
            <w:pStyle w:val="Contents3"/>
            <w:tabs>
              <w:tab w:val="clear" w:pos="8459"/>
              <w:tab w:val="right" w:pos="9026" w:leader="dot"/>
            </w:tabs>
            <w:rPr/>
          </w:pPr>
          <w:hyperlink w:anchor="__RefHeading___Toc3418312_2749589250">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3418314_2749589250">
            <w:r>
              <w:rPr>
                <w:webHidden/>
                <w:rStyle w:val="IndexLink"/>
                <w:rtl w:val="true"/>
              </w:rPr>
              <w:t>دین و جامعه</w:t>
            </w:r>
            <w:r>
              <w:rPr>
                <w:rStyle w:val="IndexLink"/>
                <w:rtl w:val="true"/>
              </w:rPr>
              <w:tab/>
            </w:r>
            <w:r>
              <w:rPr>
                <w:rStyle w:val="IndexLink"/>
              </w:rPr>
              <w:t>175</w:t>
            </w:r>
          </w:hyperlink>
        </w:p>
        <w:p>
          <w:pPr>
            <w:pStyle w:val="Contents4"/>
            <w:tabs>
              <w:tab w:val="clear" w:pos="8176"/>
              <w:tab w:val="right" w:pos="9026" w:leader="dot"/>
            </w:tabs>
            <w:rPr/>
          </w:pPr>
          <w:hyperlink w:anchor="__RefHeading___Toc3418316_2749589250">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3418318_2749589250">
            <w:r>
              <w:rPr>
                <w:webHidden/>
                <w:rStyle w:val="IndexLink"/>
                <w:rtl w:val="true"/>
              </w:rPr>
              <w:t xml:space="preserve">نگاهی به مقاله </w:t>
            </w:r>
            <w:r>
              <w:rPr>
                <w:rStyle w:val="IndexLink"/>
                <w:rtl w:val="true"/>
              </w:rPr>
              <w:t>«</w:t>
            </w:r>
            <w:r>
              <w:rPr>
                <w:rStyle w:val="IndexLink"/>
                <w:rtl w:val="true"/>
              </w:rPr>
              <w:t>عرفی شدن ایدئولوژی ها</w:t>
            </w:r>
            <w:r>
              <w:rPr>
                <w:rStyle w:val="IndexLink"/>
                <w:rtl w:val="true"/>
              </w:rPr>
              <w:t>»</w:t>
              <w:tab/>
            </w:r>
            <w:r>
              <w:rPr>
                <w:rStyle w:val="IndexLink"/>
              </w:rPr>
              <w:t>175</w:t>
            </w:r>
          </w:hyperlink>
        </w:p>
        <w:p>
          <w:pPr>
            <w:pStyle w:val="Contents5"/>
            <w:tabs>
              <w:tab w:val="clear" w:pos="7892"/>
              <w:tab w:val="right" w:pos="9026" w:leader="dot"/>
            </w:tabs>
            <w:rPr/>
          </w:pPr>
          <w:hyperlink w:anchor="__RefHeading___Toc3418320_2749589250">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3418322_2749589250">
            <w:r>
              <w:rPr>
                <w:webHidden/>
                <w:rStyle w:val="IndexLink"/>
                <w:rtl w:val="true"/>
              </w:rPr>
              <w:t xml:space="preserve">اول </w:t>
            </w:r>
            <w:r>
              <w:rPr>
                <w:rStyle w:val="IndexLink"/>
                <w:rtl w:val="true"/>
              </w:rPr>
              <w:t xml:space="preserve">- </w:t>
            </w:r>
            <w:r>
              <w:rPr>
                <w:rStyle w:val="IndexLink"/>
                <w:rtl w:val="true"/>
              </w:rPr>
              <w:t>مبانی دین شناختی نویسنده</w:t>
            </w:r>
            <w:r>
              <w:rPr>
                <w:rStyle w:val="IndexLink"/>
                <w:rtl w:val="true"/>
              </w:rPr>
              <w:tab/>
            </w:r>
            <w:r>
              <w:rPr>
                <w:rStyle w:val="IndexLink"/>
              </w:rPr>
              <w:t>175</w:t>
            </w:r>
          </w:hyperlink>
        </w:p>
        <w:p>
          <w:pPr>
            <w:pStyle w:val="Contents6"/>
            <w:tabs>
              <w:tab w:val="clear" w:pos="7609"/>
              <w:tab w:val="right" w:pos="9026" w:leader="dot"/>
            </w:tabs>
            <w:rPr/>
          </w:pPr>
          <w:hyperlink w:anchor="__RefHeading___Toc3418324_2749589250">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3418326_2749589250">
            <w:r>
              <w:rPr>
                <w:webHidden/>
                <w:rStyle w:val="IndexLink"/>
              </w:rPr>
              <w:t>1</w:t>
            </w:r>
            <w:r>
              <w:rPr>
                <w:rStyle w:val="IndexLink"/>
                <w:rtl w:val="true"/>
              </w:rPr>
              <w:t xml:space="preserve">. </w:t>
            </w:r>
            <w:r>
              <w:rPr>
                <w:rStyle w:val="IndexLink"/>
                <w:rtl w:val="true"/>
              </w:rPr>
              <w:t>دین شناسی دورکیمی</w:t>
            </w:r>
            <w:r>
              <w:rPr>
                <w:rStyle w:val="IndexLink"/>
                <w:rtl w:val="true"/>
              </w:rPr>
              <w:tab/>
            </w:r>
            <w:r>
              <w:rPr>
                <w:rStyle w:val="IndexLink"/>
              </w:rPr>
              <w:t>175</w:t>
            </w:r>
          </w:hyperlink>
        </w:p>
        <w:p>
          <w:pPr>
            <w:pStyle w:val="Contents6"/>
            <w:tabs>
              <w:tab w:val="clear" w:pos="7609"/>
              <w:tab w:val="right" w:pos="9026" w:leader="dot"/>
            </w:tabs>
            <w:rPr/>
          </w:pPr>
          <w:hyperlink w:anchor="__RefHeading___Toc3418328_2749589250">
            <w:r>
              <w:rPr>
                <w:webHidden/>
                <w:rStyle w:val="IndexLink"/>
              </w:rPr>
              <w:t>2</w:t>
            </w:r>
            <w:r>
              <w:rPr>
                <w:rStyle w:val="IndexLink"/>
                <w:rtl w:val="true"/>
              </w:rPr>
              <w:t xml:space="preserve">. </w:t>
            </w:r>
            <w:r>
              <w:rPr>
                <w:rStyle w:val="IndexLink"/>
                <w:rtl w:val="true"/>
              </w:rPr>
              <w:t>دین شناسی مسیحی</w:t>
            </w:r>
            <w:r>
              <w:rPr>
                <w:rStyle w:val="IndexLink"/>
                <w:rtl w:val="true"/>
              </w:rPr>
              <w:tab/>
            </w:r>
            <w:r>
              <w:rPr>
                <w:rStyle w:val="IndexLink"/>
              </w:rPr>
              <w:t>179</w:t>
            </w:r>
          </w:hyperlink>
        </w:p>
        <w:p>
          <w:pPr>
            <w:pStyle w:val="Contents6"/>
            <w:tabs>
              <w:tab w:val="clear" w:pos="7609"/>
              <w:tab w:val="right" w:pos="9026" w:leader="dot"/>
            </w:tabs>
            <w:rPr/>
          </w:pPr>
          <w:hyperlink w:anchor="__RefHeading___Toc3418330_2749589250">
            <w:r>
              <w:rPr>
                <w:webHidden/>
                <w:rStyle w:val="IndexLink"/>
              </w:rPr>
              <w:t>3</w:t>
            </w:r>
            <w:r>
              <w:rPr>
                <w:rStyle w:val="IndexLink"/>
                <w:rtl w:val="true"/>
              </w:rPr>
              <w:t xml:space="preserve">. </w:t>
            </w:r>
            <w:r>
              <w:rPr>
                <w:rStyle w:val="IndexLink"/>
                <w:rtl w:val="true"/>
              </w:rPr>
              <w:t>دین یا لویاتان</w:t>
            </w:r>
            <w:r>
              <w:rPr>
                <w:rStyle w:val="IndexLink"/>
                <w:rtl w:val="true"/>
              </w:rPr>
              <w:tab/>
            </w:r>
            <w:r>
              <w:rPr>
                <w:rStyle w:val="IndexLink"/>
              </w:rPr>
              <w:t>180</w:t>
            </w:r>
          </w:hyperlink>
        </w:p>
        <w:p>
          <w:pPr>
            <w:pStyle w:val="Contents6"/>
            <w:tabs>
              <w:tab w:val="clear" w:pos="7609"/>
              <w:tab w:val="right" w:pos="9026" w:leader="dot"/>
            </w:tabs>
            <w:rPr/>
          </w:pPr>
          <w:hyperlink w:anchor="__RefHeading___Toc3418332_2749589250">
            <w:r>
              <w:rPr>
                <w:webHidden/>
                <w:rStyle w:val="IndexLink"/>
              </w:rPr>
              <w:t>4</w:t>
            </w:r>
            <w:r>
              <w:rPr>
                <w:rStyle w:val="IndexLink"/>
                <w:rtl w:val="true"/>
              </w:rPr>
              <w:t xml:space="preserve">. </w:t>
            </w:r>
            <w:r>
              <w:rPr>
                <w:rStyle w:val="IndexLink"/>
                <w:rtl w:val="true"/>
              </w:rPr>
              <w:t>متن یا زمینه؟</w:t>
            </w:r>
            <w:r>
              <w:rPr>
                <w:rStyle w:val="IndexLink"/>
                <w:rtl w:val="true"/>
              </w:rPr>
              <w:t xml:space="preserve">! </w:t>
            </w:r>
            <w:r>
              <w:rPr>
                <w:rStyle w:val="IndexLink"/>
                <w:rtl w:val="true"/>
              </w:rPr>
              <w:t>دین یا تاریخ؟</w:t>
            </w:r>
            <w:r>
              <w:rPr>
                <w:rStyle w:val="IndexLink"/>
                <w:rtl w:val="true"/>
              </w:rPr>
              <w:t>!</w:t>
              <w:tab/>
            </w:r>
            <w:r>
              <w:rPr>
                <w:rStyle w:val="IndexLink"/>
              </w:rPr>
              <w:t>183</w:t>
            </w:r>
          </w:hyperlink>
        </w:p>
        <w:p>
          <w:pPr>
            <w:pStyle w:val="Contents6"/>
            <w:tabs>
              <w:tab w:val="clear" w:pos="7609"/>
              <w:tab w:val="right" w:pos="9026" w:leader="dot"/>
            </w:tabs>
            <w:rPr/>
          </w:pPr>
          <w:hyperlink w:anchor="__RefHeading___Toc3418334_2749589250">
            <w:r>
              <w:rPr>
                <w:webHidden/>
                <w:rStyle w:val="IndexLink"/>
              </w:rPr>
              <w:t>5</w:t>
            </w:r>
            <w:r>
              <w:rPr>
                <w:rStyle w:val="IndexLink"/>
                <w:rtl w:val="true"/>
              </w:rPr>
              <w:t xml:space="preserve">. </w:t>
            </w:r>
            <w:r>
              <w:rPr>
                <w:rStyle w:val="IndexLink"/>
                <w:rtl w:val="true"/>
              </w:rPr>
              <w:t>دغدغه دین یا مدرنیته؟</w:t>
            </w:r>
            <w:r>
              <w:rPr>
                <w:rStyle w:val="IndexLink"/>
                <w:rtl w:val="true"/>
              </w:rPr>
              <w:t>!</w:t>
              <w:tab/>
            </w:r>
            <w:r>
              <w:rPr>
                <w:rStyle w:val="IndexLink"/>
              </w:rPr>
              <w:t>184</w:t>
            </w:r>
          </w:hyperlink>
        </w:p>
        <w:p>
          <w:pPr>
            <w:pStyle w:val="Contents5"/>
            <w:tabs>
              <w:tab w:val="clear" w:pos="7892"/>
              <w:tab w:val="right" w:pos="9026" w:leader="dot"/>
            </w:tabs>
            <w:rPr/>
          </w:pPr>
          <w:hyperlink w:anchor="__RefHeading___Toc3418336_2749589250">
            <w:r>
              <w:rPr>
                <w:webHidden/>
                <w:rStyle w:val="IndexLink"/>
                <w:rtl w:val="true"/>
              </w:rPr>
              <w:t xml:space="preserve">دوم </w:t>
            </w:r>
            <w:r>
              <w:rPr>
                <w:rStyle w:val="IndexLink"/>
                <w:rtl w:val="true"/>
              </w:rPr>
              <w:t xml:space="preserve">- </w:t>
            </w:r>
            <w:r>
              <w:rPr>
                <w:rStyle w:val="IndexLink"/>
                <w:rtl w:val="true"/>
              </w:rPr>
              <w:t>تاریخی گری</w:t>
            </w:r>
            <w:r>
              <w:rPr>
                <w:rStyle w:val="IndexLink"/>
                <w:rtl w:val="true"/>
              </w:rPr>
              <w:tab/>
            </w:r>
            <w:r>
              <w:rPr>
                <w:rStyle w:val="IndexLink"/>
              </w:rPr>
              <w:t>185</w:t>
            </w:r>
          </w:hyperlink>
        </w:p>
        <w:p>
          <w:pPr>
            <w:pStyle w:val="Contents6"/>
            <w:tabs>
              <w:tab w:val="clear" w:pos="7609"/>
              <w:tab w:val="right" w:pos="9026" w:leader="dot"/>
            </w:tabs>
            <w:rPr/>
          </w:pPr>
          <w:hyperlink w:anchor="__RefHeading___Toc3418338_2749589250">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3418340_2749589250">
            <w:r>
              <w:rPr>
                <w:webHidden/>
                <w:rStyle w:val="IndexLink"/>
                <w:rtl w:val="true"/>
              </w:rPr>
              <w:t xml:space="preserve">یک </w:t>
            </w:r>
            <w:r>
              <w:rPr>
                <w:rStyle w:val="IndexLink"/>
                <w:rtl w:val="true"/>
              </w:rPr>
              <w:t xml:space="preserve">- </w:t>
            </w:r>
            <w:r>
              <w:rPr>
                <w:rStyle w:val="IndexLink"/>
                <w:rtl w:val="true"/>
              </w:rPr>
              <w:t>گزیده ای از نظریه دین شناختی دورکیم</w:t>
            </w:r>
            <w:r>
              <w:rPr>
                <w:rStyle w:val="IndexLink"/>
                <w:rtl w:val="true"/>
              </w:rPr>
              <w:tab/>
            </w:r>
            <w:r>
              <w:rPr>
                <w:rStyle w:val="IndexLink"/>
              </w:rPr>
              <w:t>188</w:t>
            </w:r>
          </w:hyperlink>
        </w:p>
        <w:p>
          <w:pPr>
            <w:pStyle w:val="Contents6"/>
            <w:tabs>
              <w:tab w:val="clear" w:pos="7609"/>
              <w:tab w:val="right" w:pos="9026" w:leader="dot"/>
            </w:tabs>
            <w:rPr/>
          </w:pPr>
          <w:hyperlink w:anchor="__RefHeading___Toc3418342_2749589250">
            <w:r>
              <w:rPr>
                <w:webHidden/>
                <w:rStyle w:val="IndexLink"/>
                <w:rtl w:val="true"/>
              </w:rPr>
              <w:t xml:space="preserve">دو </w:t>
            </w:r>
            <w:r>
              <w:rPr>
                <w:rStyle w:val="IndexLink"/>
                <w:rtl w:val="true"/>
              </w:rPr>
              <w:t xml:space="preserve">- </w:t>
            </w:r>
            <w:r>
              <w:rPr>
                <w:rStyle w:val="IndexLink"/>
                <w:rtl w:val="true"/>
              </w:rPr>
              <w:t>انتقادهایی از نظریه دین شناختی دورکیم</w:t>
            </w:r>
            <w:r>
              <w:rPr>
                <w:rStyle w:val="IndexLink"/>
                <w:rtl w:val="true"/>
              </w:rPr>
              <w:tab/>
            </w:r>
            <w:r>
              <w:rPr>
                <w:rStyle w:val="IndexLink"/>
              </w:rPr>
              <w:t>192</w:t>
            </w:r>
          </w:hyperlink>
        </w:p>
        <w:p>
          <w:pPr>
            <w:pStyle w:val="Contents2"/>
            <w:tabs>
              <w:tab w:val="clear" w:pos="8743"/>
              <w:tab w:val="right" w:pos="9026" w:leader="dot"/>
            </w:tabs>
            <w:rPr/>
          </w:pPr>
          <w:hyperlink w:anchor="__RefHeading___Toc3418344_2749589250">
            <w:r>
              <w:rPr>
                <w:webHidden/>
                <w:rStyle w:val="IndexLink"/>
                <w:rtl w:val="true"/>
              </w:rPr>
              <w:t>بخش پنجم</w:t>
            </w:r>
            <w:r>
              <w:rPr>
                <w:rStyle w:val="IndexLink"/>
                <w:rtl w:val="true"/>
              </w:rPr>
              <w:t xml:space="preserve">: </w:t>
            </w:r>
            <w:r>
              <w:rPr>
                <w:rStyle w:val="IndexLink"/>
                <w:rtl w:val="true"/>
              </w:rPr>
              <w:t>عرفی شدن گفتمان</w:t>
            </w:r>
            <w:r>
              <w:rPr>
                <w:rStyle w:val="IndexLink"/>
                <w:rtl w:val="true"/>
              </w:rPr>
              <w:tab/>
            </w:r>
            <w:r>
              <w:rPr>
                <w:rStyle w:val="IndexLink"/>
              </w:rPr>
              <w:t>198</w:t>
            </w:r>
          </w:hyperlink>
        </w:p>
        <w:p>
          <w:pPr>
            <w:pStyle w:val="Contents3"/>
            <w:tabs>
              <w:tab w:val="clear" w:pos="8459"/>
              <w:tab w:val="right" w:pos="9026" w:leader="dot"/>
            </w:tabs>
            <w:rPr/>
          </w:pPr>
          <w:hyperlink w:anchor="__RefHeading___Toc3418346_2749589250">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3418348_2749589250">
            <w:r>
              <w:rPr>
                <w:webHidden/>
                <w:rStyle w:val="IndexLink"/>
                <w:rtl w:val="true"/>
              </w:rPr>
              <w:t>تحریف و باژگون نمایی نگره سنتی</w:t>
            </w:r>
            <w:r>
              <w:rPr>
                <w:rStyle w:val="IndexLink"/>
                <w:rtl w:val="true"/>
              </w:rPr>
              <w:tab/>
            </w:r>
            <w:r>
              <w:rPr>
                <w:rStyle w:val="IndexLink"/>
              </w:rPr>
              <w:t>199</w:t>
            </w:r>
          </w:hyperlink>
        </w:p>
        <w:p>
          <w:pPr>
            <w:pStyle w:val="Contents4"/>
            <w:tabs>
              <w:tab w:val="clear" w:pos="8176"/>
              <w:tab w:val="right" w:pos="9026" w:leader="dot"/>
            </w:tabs>
            <w:rPr/>
          </w:pPr>
          <w:hyperlink w:anchor="__RefHeading___Toc3418350_2749589250">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3418352_2749589250">
            <w:r>
              <w:rPr>
                <w:webHidden/>
                <w:rStyle w:val="IndexLink"/>
                <w:rtl w:val="true"/>
              </w:rPr>
              <w:t xml:space="preserve">نگاهی به </w:t>
            </w:r>
            <w:r>
              <w:rPr>
                <w:rStyle w:val="IndexLink"/>
                <w:rtl w:val="true"/>
              </w:rPr>
              <w:t>«</w:t>
            </w:r>
            <w:r>
              <w:rPr>
                <w:rStyle w:val="IndexLink"/>
                <w:rtl w:val="true"/>
              </w:rPr>
              <w:t>عرفی شدن گفتمان ها</w:t>
            </w:r>
            <w:r>
              <w:rPr>
                <w:rStyle w:val="IndexLink"/>
                <w:rtl w:val="true"/>
              </w:rPr>
              <w:t>»</w:t>
              <w:tab/>
            </w:r>
            <w:r>
              <w:rPr>
                <w:rStyle w:val="IndexLink"/>
              </w:rPr>
              <w:t>199</w:t>
            </w:r>
          </w:hyperlink>
        </w:p>
        <w:p>
          <w:pPr>
            <w:pStyle w:val="Contents5"/>
            <w:tabs>
              <w:tab w:val="clear" w:pos="7892"/>
              <w:tab w:val="right" w:pos="9026" w:leader="dot"/>
            </w:tabs>
            <w:rPr/>
          </w:pPr>
          <w:hyperlink w:anchor="__RefHeading___Toc3418354_2749589250">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3418356_2749589250">
            <w:r>
              <w:rPr>
                <w:webHidden/>
                <w:rStyle w:val="IndexLink"/>
                <w:rtl w:val="true"/>
              </w:rPr>
              <w:t xml:space="preserve">اول </w:t>
            </w:r>
            <w:r>
              <w:rPr>
                <w:rStyle w:val="IndexLink"/>
                <w:rtl w:val="true"/>
              </w:rPr>
              <w:t xml:space="preserve">- </w:t>
            </w:r>
            <w:r>
              <w:rPr>
                <w:rStyle w:val="IndexLink"/>
                <w:rtl w:val="true"/>
              </w:rPr>
              <w:t>الگوبرداری از تاریخ و تمدن مسیحی</w:t>
            </w:r>
            <w:r>
              <w:rPr>
                <w:rStyle w:val="IndexLink"/>
                <w:rtl w:val="true"/>
              </w:rPr>
              <w:tab/>
            </w:r>
            <w:r>
              <w:rPr>
                <w:rStyle w:val="IndexLink"/>
              </w:rPr>
              <w:t>199</w:t>
            </w:r>
          </w:hyperlink>
        </w:p>
        <w:p>
          <w:pPr>
            <w:pStyle w:val="Contents5"/>
            <w:tabs>
              <w:tab w:val="clear" w:pos="7892"/>
              <w:tab w:val="right" w:pos="9026" w:leader="dot"/>
            </w:tabs>
            <w:rPr/>
          </w:pPr>
          <w:hyperlink w:anchor="__RefHeading___Toc3418358_2749589250">
            <w:r>
              <w:rPr>
                <w:webHidden/>
                <w:rStyle w:val="IndexLink"/>
                <w:rtl w:val="true"/>
              </w:rPr>
              <w:t xml:space="preserve">دوم </w:t>
            </w:r>
            <w:r>
              <w:rPr>
                <w:rStyle w:val="IndexLink"/>
                <w:rtl w:val="true"/>
              </w:rPr>
              <w:t xml:space="preserve">- </w:t>
            </w:r>
            <w:r>
              <w:rPr>
                <w:rStyle w:val="IndexLink"/>
                <w:rtl w:val="true"/>
              </w:rPr>
              <w:t>نگره سنتی اسلامی یا مسیحی؟</w:t>
            </w:r>
            <w:r>
              <w:rPr>
                <w:rStyle w:val="IndexLink"/>
                <w:rtl w:val="true"/>
              </w:rPr>
              <w:t>!</w:t>
              <w:tab/>
            </w:r>
            <w:r>
              <w:rPr>
                <w:rStyle w:val="IndexLink"/>
              </w:rPr>
              <w:t>200</w:t>
            </w:r>
          </w:hyperlink>
        </w:p>
        <w:p>
          <w:pPr>
            <w:pStyle w:val="Contents5"/>
            <w:tabs>
              <w:tab w:val="clear" w:pos="7892"/>
              <w:tab w:val="right" w:pos="9026" w:leader="dot"/>
            </w:tabs>
            <w:rPr/>
          </w:pPr>
          <w:hyperlink w:anchor="__RefHeading___Toc3418360_2749589250">
            <w:r>
              <w:rPr>
                <w:webHidden/>
                <w:rStyle w:val="IndexLink"/>
                <w:rtl w:val="true"/>
              </w:rPr>
              <w:t xml:space="preserve">سوم </w:t>
            </w:r>
            <w:r>
              <w:rPr>
                <w:rStyle w:val="IndexLink"/>
                <w:rtl w:val="true"/>
              </w:rPr>
              <w:t xml:space="preserve">- </w:t>
            </w:r>
            <w:r>
              <w:rPr>
                <w:rStyle w:val="IndexLink"/>
                <w:rtl w:val="true"/>
              </w:rPr>
              <w:t>خلط مفاهیم و موضوعات</w:t>
            </w:r>
            <w:r>
              <w:rPr>
                <w:rStyle w:val="IndexLink"/>
                <w:rtl w:val="true"/>
              </w:rPr>
              <w:tab/>
            </w:r>
            <w:r>
              <w:rPr>
                <w:rStyle w:val="IndexLink"/>
              </w:rPr>
              <w:t>202</w:t>
            </w:r>
          </w:hyperlink>
        </w:p>
        <w:p>
          <w:pPr>
            <w:pStyle w:val="Contents6"/>
            <w:tabs>
              <w:tab w:val="clear" w:pos="7609"/>
              <w:tab w:val="right" w:pos="9026" w:leader="dot"/>
            </w:tabs>
            <w:rPr/>
          </w:pPr>
          <w:hyperlink w:anchor="__RefHeading___Toc3418362_2749589250">
            <w:r>
              <w:rPr>
                <w:webHidden/>
                <w:rStyle w:val="IndexLink"/>
              </w:rPr>
              <w:t>1</w:t>
            </w:r>
            <w:r>
              <w:rPr>
                <w:rStyle w:val="IndexLink"/>
                <w:rtl w:val="true"/>
              </w:rPr>
              <w:t xml:space="preserve">. </w:t>
            </w:r>
            <w:r>
              <w:rPr>
                <w:rStyle w:val="IndexLink"/>
                <w:rtl w:val="true"/>
              </w:rPr>
              <w:t>قاف عنقا</w:t>
            </w:r>
            <w:r>
              <w:rPr>
                <w:rStyle w:val="IndexLink"/>
                <w:rtl w:val="true"/>
              </w:rPr>
              <w:tab/>
            </w:r>
            <w:r>
              <w:rPr>
                <w:rStyle w:val="IndexLink"/>
              </w:rPr>
              <w:t>202</w:t>
            </w:r>
          </w:hyperlink>
        </w:p>
        <w:p>
          <w:pPr>
            <w:pStyle w:val="Contents6"/>
            <w:tabs>
              <w:tab w:val="clear" w:pos="7609"/>
              <w:tab w:val="right" w:pos="9026" w:leader="dot"/>
            </w:tabs>
            <w:rPr/>
          </w:pPr>
          <w:hyperlink w:anchor="__RefHeading___Toc3418364_2749589250">
            <w:r>
              <w:rPr>
                <w:webHidden/>
                <w:rStyle w:val="IndexLink"/>
              </w:rPr>
              <w:t>2</w:t>
            </w:r>
            <w:r>
              <w:rPr>
                <w:rStyle w:val="IndexLink"/>
                <w:rtl w:val="true"/>
              </w:rPr>
              <w:t xml:space="preserve">. </w:t>
            </w:r>
            <w:r>
              <w:rPr>
                <w:rStyle w:val="IndexLink"/>
                <w:rtl w:val="true"/>
              </w:rPr>
              <w:t>زمان اثیری</w:t>
            </w:r>
            <w:r>
              <w:rPr>
                <w:rStyle w:val="IndexLink"/>
                <w:rtl w:val="true"/>
              </w:rPr>
              <w:tab/>
            </w:r>
            <w:r>
              <w:rPr>
                <w:rStyle w:val="IndexLink"/>
              </w:rPr>
              <w:t>202</w:t>
            </w:r>
          </w:hyperlink>
        </w:p>
        <w:p>
          <w:pPr>
            <w:pStyle w:val="Contents6"/>
            <w:tabs>
              <w:tab w:val="clear" w:pos="7609"/>
              <w:tab w:val="right" w:pos="9026" w:leader="dot"/>
            </w:tabs>
            <w:rPr/>
          </w:pPr>
          <w:hyperlink w:anchor="__RefHeading___Toc3418366_2749589250">
            <w:r>
              <w:rPr>
                <w:webHidden/>
                <w:rStyle w:val="IndexLink"/>
              </w:rPr>
              <w:t>3</w:t>
            </w:r>
            <w:r>
              <w:rPr>
                <w:rStyle w:val="IndexLink"/>
                <w:rtl w:val="true"/>
              </w:rPr>
              <w:t xml:space="preserve">. </w:t>
            </w:r>
            <w:r>
              <w:rPr>
                <w:rStyle w:val="IndexLink"/>
                <w:rtl w:val="true"/>
              </w:rPr>
              <w:t>طفره</w:t>
            </w:r>
            <w:r>
              <w:rPr>
                <w:rStyle w:val="IndexLink"/>
                <w:rtl w:val="true"/>
              </w:rPr>
              <w:tab/>
            </w:r>
            <w:r>
              <w:rPr>
                <w:rStyle w:val="IndexLink"/>
              </w:rPr>
              <w:t>202</w:t>
            </w:r>
          </w:hyperlink>
        </w:p>
        <w:p>
          <w:pPr>
            <w:pStyle w:val="Contents6"/>
            <w:tabs>
              <w:tab w:val="clear" w:pos="7609"/>
              <w:tab w:val="right" w:pos="9026" w:leader="dot"/>
            </w:tabs>
            <w:rPr/>
          </w:pPr>
          <w:hyperlink w:anchor="__RefHeading___Toc3418368_2749589250">
            <w:r>
              <w:rPr>
                <w:webHidden/>
                <w:rStyle w:val="IndexLink"/>
              </w:rPr>
              <w:t>4</w:t>
            </w:r>
            <w:r>
              <w:rPr>
                <w:rStyle w:val="IndexLink"/>
                <w:rtl w:val="true"/>
              </w:rPr>
              <w:t xml:space="preserve">. </w:t>
            </w:r>
            <w:r>
              <w:rPr>
                <w:rStyle w:val="IndexLink"/>
                <w:rtl w:val="true"/>
              </w:rPr>
              <w:t>حیله</w:t>
            </w:r>
            <w:r>
              <w:rPr>
                <w:rStyle w:val="IndexLink"/>
                <w:rtl w:val="true"/>
              </w:rPr>
              <w:tab/>
            </w:r>
            <w:r>
              <w:rPr>
                <w:rStyle w:val="IndexLink"/>
              </w:rPr>
              <w:t>203</w:t>
            </w:r>
          </w:hyperlink>
        </w:p>
        <w:p>
          <w:pPr>
            <w:pStyle w:val="Contents6"/>
            <w:tabs>
              <w:tab w:val="clear" w:pos="7609"/>
              <w:tab w:val="right" w:pos="9026" w:leader="dot"/>
            </w:tabs>
            <w:rPr/>
          </w:pPr>
          <w:hyperlink w:anchor="__RefHeading___Toc3418370_2749589250">
            <w:r>
              <w:rPr>
                <w:webHidden/>
                <w:rStyle w:val="IndexLink"/>
              </w:rPr>
              <w:t>5</w:t>
            </w:r>
            <w:r>
              <w:rPr>
                <w:rStyle w:val="IndexLink"/>
                <w:rtl w:val="true"/>
              </w:rPr>
              <w:t xml:space="preserve">. </w:t>
            </w:r>
            <w:r>
              <w:rPr>
                <w:rStyle w:val="IndexLink"/>
                <w:rtl w:val="true"/>
              </w:rPr>
              <w:t>وسیله</w:t>
            </w:r>
            <w:r>
              <w:rPr>
                <w:rStyle w:val="IndexLink"/>
                <w:rtl w:val="true"/>
              </w:rPr>
              <w:tab/>
            </w:r>
            <w:r>
              <w:rPr>
                <w:rStyle w:val="IndexLink"/>
              </w:rPr>
              <w:t>204</w:t>
            </w:r>
          </w:hyperlink>
        </w:p>
        <w:p>
          <w:pPr>
            <w:pStyle w:val="Contents6"/>
            <w:tabs>
              <w:tab w:val="clear" w:pos="7609"/>
              <w:tab w:val="right" w:pos="9026" w:leader="dot"/>
            </w:tabs>
            <w:rPr/>
          </w:pPr>
          <w:hyperlink w:anchor="__RefHeading___Toc3418372_2749589250">
            <w:r>
              <w:rPr>
                <w:webHidden/>
                <w:rStyle w:val="IndexLink"/>
              </w:rPr>
              <w:t>6</w:t>
            </w:r>
            <w:r>
              <w:rPr>
                <w:rStyle w:val="IndexLink"/>
                <w:rtl w:val="true"/>
              </w:rPr>
              <w:t xml:space="preserve"> . </w:t>
            </w:r>
            <w:r>
              <w:rPr>
                <w:rStyle w:val="IndexLink"/>
                <w:rtl w:val="true"/>
              </w:rPr>
              <w:t>سعی</w:t>
            </w:r>
            <w:r>
              <w:rPr>
                <w:rStyle w:val="IndexLink"/>
                <w:rtl w:val="true"/>
              </w:rPr>
              <w:tab/>
            </w:r>
            <w:r>
              <w:rPr>
                <w:rStyle w:val="IndexLink"/>
              </w:rPr>
              <w:t>205</w:t>
            </w:r>
          </w:hyperlink>
        </w:p>
        <w:p>
          <w:pPr>
            <w:pStyle w:val="Contents6"/>
            <w:tabs>
              <w:tab w:val="clear" w:pos="7609"/>
              <w:tab w:val="right" w:pos="9026" w:leader="dot"/>
            </w:tabs>
            <w:rPr/>
          </w:pPr>
          <w:hyperlink w:anchor="__RefHeading___Toc3418374_2749589250">
            <w:r>
              <w:rPr>
                <w:webHidden/>
                <w:rStyle w:val="IndexLink"/>
              </w:rPr>
              <w:t>7</w:t>
            </w:r>
            <w:r>
              <w:rPr>
                <w:rStyle w:val="IndexLink"/>
                <w:rtl w:val="true"/>
              </w:rPr>
              <w:t xml:space="preserve">. </w:t>
            </w:r>
            <w:r>
              <w:rPr>
                <w:rStyle w:val="IndexLink"/>
                <w:rtl w:val="true"/>
              </w:rPr>
              <w:t>رفتار عاطفی معطوف به ارزش</w:t>
            </w:r>
            <w:r>
              <w:rPr>
                <w:rStyle w:val="IndexLink"/>
                <w:rtl w:val="true"/>
              </w:rPr>
              <w:t>!</w:t>
              <w:tab/>
            </w:r>
            <w:r>
              <w:rPr>
                <w:rStyle w:val="IndexLink"/>
              </w:rPr>
              <w:t>205</w:t>
            </w:r>
          </w:hyperlink>
        </w:p>
        <w:p>
          <w:pPr>
            <w:pStyle w:val="Contents6"/>
            <w:tabs>
              <w:tab w:val="clear" w:pos="7609"/>
              <w:tab w:val="right" w:pos="9026" w:leader="dot"/>
            </w:tabs>
            <w:rPr/>
          </w:pPr>
          <w:hyperlink w:anchor="__RefHeading___Toc3418376_2749589250">
            <w:r>
              <w:rPr>
                <w:webHidden/>
                <w:rStyle w:val="IndexLink"/>
              </w:rPr>
              <w:t>8</w:t>
            </w:r>
            <w:r>
              <w:rPr>
                <w:rStyle w:val="IndexLink"/>
                <w:rtl w:val="true"/>
              </w:rPr>
              <w:t xml:space="preserve">. </w:t>
            </w:r>
            <w:r>
              <w:rPr>
                <w:rStyle w:val="IndexLink"/>
                <w:rtl w:val="true"/>
              </w:rPr>
              <w:t>تعالی و ترقی</w:t>
            </w:r>
            <w:r>
              <w:rPr>
                <w:rStyle w:val="IndexLink"/>
                <w:rtl w:val="true"/>
              </w:rPr>
              <w:tab/>
            </w:r>
            <w:r>
              <w:rPr>
                <w:rStyle w:val="IndexLink"/>
              </w:rPr>
              <w:t>206</w:t>
            </w:r>
          </w:hyperlink>
        </w:p>
        <w:p>
          <w:pPr>
            <w:pStyle w:val="Contents3"/>
            <w:tabs>
              <w:tab w:val="clear" w:pos="8459"/>
              <w:tab w:val="right" w:pos="9026" w:leader="dot"/>
            </w:tabs>
            <w:rPr/>
          </w:pPr>
          <w:hyperlink w:anchor="__RefHeading___Toc3418378_2749589250">
            <w:r>
              <w:rPr>
                <w:webHidden/>
                <w:rStyle w:val="IndexLink"/>
                <w:rtl w:val="true"/>
              </w:rPr>
              <w:t>درباره سکولاریزاسیون</w:t>
            </w:r>
            <w:r>
              <w:rPr>
                <w:rStyle w:val="IndexLink"/>
                <w:rtl w:val="true"/>
              </w:rPr>
              <w:tab/>
            </w:r>
            <w:r>
              <w:rPr>
                <w:rStyle w:val="IndexLink"/>
              </w:rPr>
              <w:t>206</w:t>
            </w:r>
          </w:hyperlink>
        </w:p>
        <w:p>
          <w:pPr>
            <w:pStyle w:val="Contents4"/>
            <w:tabs>
              <w:tab w:val="clear" w:pos="8176"/>
              <w:tab w:val="right" w:pos="9026" w:leader="dot"/>
            </w:tabs>
            <w:rPr/>
          </w:pPr>
          <w:hyperlink w:anchor="__RefHeading___Toc3418380_2749589250">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3418382_2749589250">
            <w:r>
              <w:rPr>
                <w:webHidden/>
                <w:rStyle w:val="IndexLink"/>
                <w:rtl w:val="true"/>
              </w:rPr>
              <w:t xml:space="preserve">اول </w:t>
            </w:r>
            <w:r>
              <w:rPr>
                <w:rStyle w:val="IndexLink"/>
                <w:rtl w:val="true"/>
              </w:rPr>
              <w:t xml:space="preserve">- </w:t>
            </w:r>
            <w:r>
              <w:rPr>
                <w:rStyle w:val="IndexLink"/>
                <w:rtl w:val="true"/>
              </w:rPr>
              <w:t>مفهوم سکولاریزاسیون در جامعه شناسی دین</w:t>
            </w:r>
            <w:r>
              <w:rPr>
                <w:rStyle w:val="IndexLink"/>
                <w:rtl w:val="true"/>
              </w:rPr>
              <w:tab/>
            </w:r>
            <w:r>
              <w:rPr>
                <w:rStyle w:val="IndexLink"/>
              </w:rPr>
              <w:t>217</w:t>
            </w:r>
          </w:hyperlink>
        </w:p>
        <w:p>
          <w:pPr>
            <w:pStyle w:val="Contents4"/>
            <w:tabs>
              <w:tab w:val="clear" w:pos="8176"/>
              <w:tab w:val="right" w:pos="9026" w:leader="dot"/>
            </w:tabs>
            <w:rPr/>
          </w:pPr>
          <w:hyperlink w:anchor="__RefHeading___Toc3418384_2749589250">
            <w:r>
              <w:rPr>
                <w:webHidden/>
                <w:rStyle w:val="IndexLink"/>
                <w:rtl w:val="true"/>
              </w:rPr>
              <w:t xml:space="preserve">دوم </w:t>
            </w:r>
            <w:r>
              <w:rPr>
                <w:rStyle w:val="IndexLink"/>
                <w:rtl w:val="true"/>
              </w:rPr>
              <w:t xml:space="preserve">- </w:t>
            </w:r>
            <w:r>
              <w:rPr>
                <w:rStyle w:val="IndexLink"/>
                <w:rtl w:val="true"/>
              </w:rPr>
              <w:t>نگاهی به عنصر مصلحت</w:t>
            </w:r>
            <w:r>
              <w:rPr>
                <w:rStyle w:val="IndexLink"/>
                <w:rtl w:val="true"/>
              </w:rPr>
              <w:tab/>
            </w:r>
            <w:r>
              <w:rPr>
                <w:rStyle w:val="IndexLink"/>
              </w:rPr>
              <w:t>221</w:t>
            </w:r>
          </w:hyperlink>
        </w:p>
        <w:p>
          <w:pPr>
            <w:pStyle w:val="Contents4"/>
            <w:tabs>
              <w:tab w:val="clear" w:pos="8176"/>
              <w:tab w:val="right" w:pos="9026" w:leader="dot"/>
            </w:tabs>
            <w:rPr/>
          </w:pPr>
          <w:hyperlink w:anchor="__RefHeading___Toc3418386_2749589250">
            <w:r>
              <w:rPr>
                <w:webHidden/>
                <w:rStyle w:val="IndexLink"/>
                <w:rtl w:val="true"/>
              </w:rPr>
              <w:t xml:space="preserve">سوم </w:t>
            </w:r>
            <w:r>
              <w:rPr>
                <w:rStyle w:val="IndexLink"/>
                <w:rtl w:val="true"/>
              </w:rPr>
              <w:t xml:space="preserve">- </w:t>
            </w:r>
            <w:r>
              <w:rPr>
                <w:rStyle w:val="IndexLink"/>
                <w:rtl w:val="true"/>
              </w:rPr>
              <w:t>نگاهی به نظریه ولایت فقیه و ولایت مطلقه فقیه</w:t>
            </w:r>
            <w:r>
              <w:rPr>
                <w:rStyle w:val="IndexLink"/>
                <w:rtl w:val="true"/>
              </w:rPr>
              <w:tab/>
            </w:r>
            <w:r>
              <w:rPr>
                <w:rStyle w:val="IndexLink"/>
              </w:rPr>
              <w:t>225</w:t>
            </w:r>
          </w:hyperlink>
        </w:p>
        <w:p>
          <w:pPr>
            <w:pStyle w:val="Contents4"/>
            <w:tabs>
              <w:tab w:val="clear" w:pos="8176"/>
              <w:tab w:val="right" w:pos="9026" w:leader="dot"/>
            </w:tabs>
            <w:rPr/>
          </w:pPr>
          <w:hyperlink w:anchor="__RefHeading___Toc3418388_2749589250">
            <w:r>
              <w:rPr>
                <w:webHidden/>
                <w:rStyle w:val="IndexLink"/>
                <w:rtl w:val="true"/>
              </w:rPr>
              <w:t xml:space="preserve">چهارم </w:t>
            </w:r>
            <w:r>
              <w:rPr>
                <w:rStyle w:val="IndexLink"/>
                <w:rtl w:val="true"/>
              </w:rPr>
              <w:t xml:space="preserve">- </w:t>
            </w:r>
            <w:r>
              <w:rPr>
                <w:rStyle w:val="IndexLink"/>
                <w:rtl w:val="true"/>
              </w:rPr>
              <w:t>اجتهاد زنده، پویا، به روز و مبتنی بر کتاب و سنت</w:t>
            </w:r>
            <w:r>
              <w:rPr>
                <w:rStyle w:val="IndexLink"/>
                <w:rtl w:val="true"/>
              </w:rPr>
              <w:tab/>
            </w:r>
            <w:r>
              <w:rPr>
                <w:rStyle w:val="IndexLink"/>
              </w:rPr>
              <w:t>228</w:t>
            </w:r>
          </w:hyperlink>
        </w:p>
        <w:p>
          <w:pPr>
            <w:pStyle w:val="Contents2"/>
            <w:tabs>
              <w:tab w:val="clear" w:pos="8743"/>
              <w:tab w:val="right" w:pos="9026" w:leader="dot"/>
            </w:tabs>
            <w:rPr/>
          </w:pPr>
          <w:hyperlink w:anchor="__RefHeading___Toc3418390_2749589250">
            <w:r>
              <w:rPr>
                <w:webHidden/>
                <w:rStyle w:val="IndexLink"/>
                <w:rtl w:val="true"/>
              </w:rPr>
              <w:t>بخش ششم</w:t>
            </w:r>
            <w:r>
              <w:rPr>
                <w:rStyle w:val="IndexLink"/>
                <w:rtl w:val="true"/>
              </w:rPr>
              <w:t xml:space="preserve">: </w:t>
            </w:r>
            <w:r>
              <w:rPr>
                <w:rStyle w:val="IndexLink"/>
                <w:rtl w:val="true"/>
              </w:rPr>
              <w:t>گزیده ای از شاهد قدسی تا شاهد بازاری</w:t>
            </w:r>
            <w:r>
              <w:rPr>
                <w:rStyle w:val="IndexLink"/>
                <w:rtl w:val="true"/>
              </w:rPr>
              <w:tab/>
            </w:r>
            <w:r>
              <w:rPr>
                <w:rStyle w:val="IndexLink"/>
              </w:rPr>
              <w:t>231</w:t>
            </w:r>
          </w:hyperlink>
        </w:p>
        <w:p>
          <w:pPr>
            <w:pStyle w:val="Contents3"/>
            <w:tabs>
              <w:tab w:val="clear" w:pos="8459"/>
              <w:tab w:val="right" w:pos="9026" w:leader="dot"/>
            </w:tabs>
            <w:rPr/>
          </w:pPr>
          <w:hyperlink w:anchor="__RefHeading___Toc3418392_2749589250">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3418394_2749589250">
            <w:r>
              <w:rPr>
                <w:webHidden/>
                <w:rStyle w:val="IndexLink"/>
                <w:rtl w:val="true"/>
              </w:rPr>
              <w:t>مقدمه</w:t>
            </w:r>
            <w:r>
              <w:rPr>
                <w:rStyle w:val="IndexLink"/>
                <w:rtl w:val="true"/>
              </w:rPr>
              <w:tab/>
            </w:r>
            <w:r>
              <w:rPr>
                <w:rStyle w:val="IndexLink"/>
              </w:rPr>
              <w:t>232</w:t>
            </w:r>
          </w:hyperlink>
        </w:p>
        <w:p>
          <w:pPr>
            <w:pStyle w:val="Contents3"/>
            <w:tabs>
              <w:tab w:val="clear" w:pos="8459"/>
              <w:tab w:val="right" w:pos="9026" w:leader="dot"/>
            </w:tabs>
            <w:rPr/>
          </w:pPr>
          <w:hyperlink w:anchor="__RefHeading___Toc3418396_2749589250">
            <w:r>
              <w:rPr>
                <w:webHidden/>
                <w:rStyle w:val="IndexLink"/>
                <w:rtl w:val="true"/>
              </w:rPr>
              <w:t>عرفی شدن سنت ها</w:t>
            </w:r>
            <w:r>
              <w:rPr>
                <w:rStyle w:val="IndexLink"/>
                <w:rtl w:val="true"/>
              </w:rPr>
              <w:tab/>
            </w:r>
            <w:r>
              <w:rPr>
                <w:rStyle w:val="IndexLink"/>
              </w:rPr>
              <w:t>236</w:t>
            </w:r>
          </w:hyperlink>
        </w:p>
        <w:p>
          <w:pPr>
            <w:pStyle w:val="Contents4"/>
            <w:tabs>
              <w:tab w:val="clear" w:pos="8176"/>
              <w:tab w:val="right" w:pos="9026" w:leader="dot"/>
            </w:tabs>
            <w:rPr/>
          </w:pPr>
          <w:hyperlink w:anchor="__RefHeading___Toc3418398_2749589250">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3418400_2749589250">
            <w:r>
              <w:rPr>
                <w:webHidden/>
                <w:rStyle w:val="IndexLink"/>
                <w:rtl w:val="true"/>
              </w:rPr>
              <w:t>فرآیند عرفی شدن شریعت مسیح علیه السلام</w:t>
            </w:r>
            <w:r>
              <w:rPr>
                <w:rStyle w:val="IndexLink"/>
                <w:rtl w:val="true"/>
              </w:rPr>
              <w:tab/>
            </w:r>
            <w:r>
              <w:rPr>
                <w:rStyle w:val="IndexLink"/>
              </w:rPr>
              <w:t>236</w:t>
            </w:r>
          </w:hyperlink>
        </w:p>
        <w:p>
          <w:pPr>
            <w:pStyle w:val="Contents4"/>
            <w:tabs>
              <w:tab w:val="clear" w:pos="8176"/>
              <w:tab w:val="right" w:pos="9026" w:leader="dot"/>
            </w:tabs>
            <w:rPr/>
          </w:pPr>
          <w:hyperlink w:anchor="__RefHeading___Toc3418402_2749589250">
            <w:r>
              <w:rPr>
                <w:webHidden/>
                <w:rStyle w:val="IndexLink"/>
                <w:rtl w:val="true"/>
              </w:rPr>
              <w:t>جرقه تاریخی گری در قرون وسطای متأخر</w:t>
            </w:r>
            <w:r>
              <w:rPr>
                <w:rStyle w:val="IndexLink"/>
                <w:rtl w:val="true"/>
              </w:rPr>
              <w:tab/>
            </w:r>
            <w:r>
              <w:rPr>
                <w:rStyle w:val="IndexLink"/>
              </w:rPr>
              <w:t>244</w:t>
            </w:r>
          </w:hyperlink>
        </w:p>
        <w:p>
          <w:pPr>
            <w:pStyle w:val="Contents5"/>
            <w:tabs>
              <w:tab w:val="clear" w:pos="7892"/>
              <w:tab w:val="right" w:pos="9026" w:leader="dot"/>
            </w:tabs>
            <w:rPr/>
          </w:pPr>
          <w:hyperlink w:anchor="__RefHeading___Toc3418404_2749589250">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3418406_2749589250">
            <w:r>
              <w:rPr>
                <w:webHidden/>
                <w:rStyle w:val="IndexLink"/>
                <w:rtl w:val="true"/>
              </w:rPr>
              <w:t>تأملاتی در اندیشه یواخیم فیوره ای</w:t>
            </w:r>
            <w:r>
              <w:rPr>
                <w:rStyle w:val="IndexLink"/>
                <w:rtl w:val="true"/>
              </w:rPr>
              <w:tab/>
            </w:r>
            <w:r>
              <w:rPr>
                <w:rStyle w:val="IndexLink"/>
              </w:rPr>
              <w:t>244</w:t>
            </w:r>
          </w:hyperlink>
        </w:p>
        <w:p>
          <w:pPr>
            <w:pStyle w:val="Contents4"/>
            <w:tabs>
              <w:tab w:val="clear" w:pos="8176"/>
              <w:tab w:val="right" w:pos="9026" w:leader="dot"/>
            </w:tabs>
            <w:rPr/>
          </w:pPr>
          <w:hyperlink w:anchor="__RefHeading___Toc3418408_2749589250">
            <w:r>
              <w:rPr>
                <w:webHidden/>
                <w:rStyle w:val="IndexLink"/>
                <w:rtl w:val="true"/>
              </w:rPr>
              <w:t>فرآیند عرفی شدن فقه شیعی</w:t>
            </w:r>
            <w:r>
              <w:rPr>
                <w:rStyle w:val="IndexLink"/>
                <w:rtl w:val="true"/>
              </w:rPr>
              <w:tab/>
            </w:r>
            <w:r>
              <w:rPr>
                <w:rStyle w:val="IndexLink"/>
              </w:rPr>
              <w:t>254</w:t>
            </w:r>
          </w:hyperlink>
        </w:p>
        <w:p>
          <w:pPr>
            <w:pStyle w:val="Contents4"/>
            <w:tabs>
              <w:tab w:val="clear" w:pos="8176"/>
              <w:tab w:val="right" w:pos="9026" w:leader="dot"/>
            </w:tabs>
            <w:rPr/>
          </w:pPr>
          <w:hyperlink w:anchor="__RefHeading___Toc3418410_2749589250">
            <w:r>
              <w:rPr>
                <w:webHidden/>
                <w:rStyle w:val="IndexLink"/>
                <w:rtl w:val="true"/>
              </w:rPr>
              <w:t>امام خمینی؛ فقیه دوران گذار</w:t>
            </w:r>
            <w:r>
              <w:rPr>
                <w:rStyle w:val="IndexLink"/>
                <w:rtl w:val="true"/>
              </w:rPr>
              <w:tab/>
            </w:r>
            <w:r>
              <w:rPr>
                <w:rStyle w:val="IndexLink"/>
              </w:rPr>
              <w:t>270</w:t>
            </w:r>
          </w:hyperlink>
        </w:p>
        <w:p>
          <w:pPr>
            <w:pStyle w:val="Contents5"/>
            <w:tabs>
              <w:tab w:val="clear" w:pos="7892"/>
              <w:tab w:val="right" w:pos="9026" w:leader="dot"/>
            </w:tabs>
            <w:rPr/>
          </w:pPr>
          <w:hyperlink w:anchor="__RefHeading___Toc3418412_2749589250">
            <w:r>
              <w:rPr>
                <w:webHidden/>
                <w:rStyle w:val="IndexLink"/>
                <w:rtl w:val="true"/>
              </w:rPr>
              <w:t>اشاره</w:t>
            </w:r>
            <w:r>
              <w:rPr>
                <w:rStyle w:val="IndexLink"/>
                <w:rtl w:val="true"/>
              </w:rPr>
              <w:tab/>
            </w:r>
            <w:r>
              <w:rPr>
                <w:rStyle w:val="IndexLink"/>
              </w:rPr>
              <w:t>270</w:t>
            </w:r>
          </w:hyperlink>
        </w:p>
        <w:p>
          <w:pPr>
            <w:pStyle w:val="Contents5"/>
            <w:tabs>
              <w:tab w:val="clear" w:pos="7892"/>
              <w:tab w:val="right" w:pos="9026" w:leader="dot"/>
            </w:tabs>
            <w:rPr/>
          </w:pPr>
          <w:hyperlink w:anchor="__RefHeading___Toc3418414_2749589250">
            <w:r>
              <w:rPr>
                <w:webHidden/>
                <w:rStyle w:val="IndexLink"/>
                <w:rtl w:val="true"/>
              </w:rPr>
              <w:t>از فقه جواهری تا فقه المصلحة</w:t>
            </w:r>
            <w:r>
              <w:rPr>
                <w:rStyle w:val="IndexLink"/>
                <w:rtl w:val="true"/>
              </w:rPr>
              <w:tab/>
            </w:r>
            <w:r>
              <w:rPr>
                <w:rStyle w:val="IndexLink"/>
              </w:rPr>
              <w:t>270</w:t>
            </w:r>
          </w:hyperlink>
        </w:p>
        <w:p>
          <w:pPr>
            <w:pStyle w:val="Contents5"/>
            <w:tabs>
              <w:tab w:val="clear" w:pos="7892"/>
              <w:tab w:val="right" w:pos="9026" w:leader="dot"/>
            </w:tabs>
            <w:rPr/>
          </w:pPr>
          <w:hyperlink w:anchor="__RefHeading___Toc3418416_2749589250">
            <w:r>
              <w:rPr>
                <w:webHidden/>
                <w:rStyle w:val="IndexLink"/>
                <w:rtl w:val="true"/>
              </w:rPr>
              <w:t>فقه المصلحة</w:t>
            </w:r>
            <w:r>
              <w:rPr>
                <w:rStyle w:val="IndexLink"/>
                <w:rtl w:val="true"/>
              </w:rPr>
              <w:tab/>
            </w:r>
            <w:r>
              <w:rPr>
                <w:rStyle w:val="IndexLink"/>
              </w:rPr>
              <w:t>274</w:t>
            </w:r>
          </w:hyperlink>
        </w:p>
        <w:p>
          <w:pPr>
            <w:pStyle w:val="Contents4"/>
            <w:tabs>
              <w:tab w:val="clear" w:pos="8176"/>
              <w:tab w:val="right" w:pos="9026" w:leader="dot"/>
            </w:tabs>
            <w:rPr/>
          </w:pPr>
          <w:hyperlink w:anchor="__RefHeading___Toc3418418_2749589250">
            <w:r>
              <w:rPr>
                <w:webHidden/>
                <w:rStyle w:val="IndexLink"/>
                <w:rtl w:val="true"/>
              </w:rPr>
              <w:t>خط قرمز</w:t>
            </w:r>
            <w:r>
              <w:rPr>
                <w:rStyle w:val="IndexLink"/>
                <w:rtl w:val="true"/>
              </w:rPr>
              <w:t xml:space="preserve">: </w:t>
            </w:r>
            <w:r>
              <w:rPr>
                <w:rStyle w:val="IndexLink"/>
                <w:rtl w:val="true"/>
              </w:rPr>
              <w:t>ارزش یا هنجار؟</w:t>
            </w:r>
            <w:r>
              <w:rPr>
                <w:rStyle w:val="IndexLink"/>
                <w:rtl w:val="true"/>
              </w:rPr>
              <w:tab/>
            </w:r>
            <w:r>
              <w:rPr>
                <w:rStyle w:val="IndexLink"/>
              </w:rPr>
              <w:t>283</w:t>
            </w:r>
          </w:hyperlink>
        </w:p>
        <w:p>
          <w:pPr>
            <w:pStyle w:val="Contents4"/>
            <w:tabs>
              <w:tab w:val="clear" w:pos="8176"/>
              <w:tab w:val="right" w:pos="9026" w:leader="dot"/>
            </w:tabs>
            <w:rPr/>
          </w:pPr>
          <w:hyperlink w:anchor="__RefHeading___Toc3418420_2749589250">
            <w:r>
              <w:rPr>
                <w:webHidden/>
                <w:rStyle w:val="IndexLink"/>
                <w:rtl w:val="true"/>
              </w:rPr>
              <w:t>دین دموکراتیک حکومتی</w:t>
            </w:r>
            <w:r>
              <w:rPr>
                <w:rStyle w:val="IndexLink"/>
                <w:rtl w:val="true"/>
              </w:rPr>
              <w:tab/>
            </w:r>
            <w:r>
              <w:rPr>
                <w:rStyle w:val="IndexLink"/>
              </w:rPr>
              <w:t>285</w:t>
            </w:r>
          </w:hyperlink>
        </w:p>
        <w:p>
          <w:pPr>
            <w:pStyle w:val="Contents3"/>
            <w:tabs>
              <w:tab w:val="clear" w:pos="8459"/>
              <w:tab w:val="right" w:pos="9026" w:leader="dot"/>
            </w:tabs>
            <w:rPr/>
          </w:pPr>
          <w:hyperlink w:anchor="__RefHeading___Toc3418422_2749589250">
            <w:r>
              <w:rPr>
                <w:webHidden/>
                <w:rStyle w:val="IndexLink"/>
                <w:rtl w:val="true"/>
              </w:rPr>
              <w:t>عرفی شدن ایدئولوژی ها</w:t>
            </w:r>
            <w:r>
              <w:rPr>
                <w:rStyle w:val="IndexLink"/>
                <w:rtl w:val="true"/>
              </w:rPr>
              <w:tab/>
            </w:r>
            <w:r>
              <w:rPr>
                <w:rStyle w:val="IndexLink"/>
              </w:rPr>
              <w:t>291</w:t>
            </w:r>
          </w:hyperlink>
        </w:p>
        <w:p>
          <w:pPr>
            <w:pStyle w:val="Contents4"/>
            <w:tabs>
              <w:tab w:val="clear" w:pos="8176"/>
              <w:tab w:val="right" w:pos="9026" w:leader="dot"/>
            </w:tabs>
            <w:rPr/>
          </w:pPr>
          <w:hyperlink w:anchor="__RefHeading___Toc3418424_2749589250">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3418426_2749589250">
            <w:r>
              <w:rPr>
                <w:webHidden/>
                <w:rStyle w:val="IndexLink"/>
                <w:rtl w:val="true"/>
              </w:rPr>
              <w:t xml:space="preserve">نقدی بر نظریه </w:t>
            </w:r>
            <w:r>
              <w:rPr>
                <w:rStyle w:val="IndexLink"/>
                <w:rtl w:val="true"/>
              </w:rPr>
              <w:t>«</w:t>
            </w:r>
            <w:r>
              <w:rPr>
                <w:rStyle w:val="IndexLink"/>
                <w:rtl w:val="true"/>
              </w:rPr>
              <w:t>فربه تر از ایدئولوژی</w:t>
            </w:r>
            <w:r>
              <w:rPr>
                <w:rStyle w:val="IndexLink"/>
                <w:rtl w:val="true"/>
              </w:rPr>
              <w:t>»</w:t>
              <w:tab/>
            </w:r>
            <w:r>
              <w:rPr>
                <w:rStyle w:val="IndexLink"/>
              </w:rPr>
              <w:t>291</w:t>
            </w:r>
          </w:hyperlink>
        </w:p>
        <w:p>
          <w:pPr>
            <w:pStyle w:val="Contents4"/>
            <w:tabs>
              <w:tab w:val="clear" w:pos="8176"/>
              <w:tab w:val="right" w:pos="9026" w:leader="dot"/>
            </w:tabs>
            <w:rPr/>
          </w:pPr>
          <w:hyperlink w:anchor="__RefHeading___Toc3418428_2749589250">
            <w:r>
              <w:rPr>
                <w:webHidden/>
                <w:rStyle w:val="IndexLink"/>
                <w:rtl w:val="true"/>
              </w:rPr>
              <w:t>دین عصری در عصر ایدئولوژی</w:t>
            </w:r>
            <w:r>
              <w:rPr>
                <w:rStyle w:val="IndexLink"/>
                <w:rtl w:val="true"/>
              </w:rPr>
              <w:tab/>
            </w:r>
            <w:r>
              <w:rPr>
                <w:rStyle w:val="IndexLink"/>
              </w:rPr>
              <w:t>296</w:t>
            </w:r>
          </w:hyperlink>
        </w:p>
        <w:p>
          <w:pPr>
            <w:pStyle w:val="Contents3"/>
            <w:tabs>
              <w:tab w:val="clear" w:pos="8459"/>
              <w:tab w:val="right" w:pos="9026" w:leader="dot"/>
            </w:tabs>
            <w:rPr/>
          </w:pPr>
          <w:hyperlink w:anchor="__RefHeading___Toc3418430_2749589250">
            <w:r>
              <w:rPr>
                <w:webHidden/>
                <w:rStyle w:val="IndexLink"/>
                <w:rtl w:val="true"/>
              </w:rPr>
              <w:t>عرفی شدن گفتمان ها</w:t>
            </w:r>
            <w:r>
              <w:rPr>
                <w:rStyle w:val="IndexLink"/>
                <w:rtl w:val="true"/>
              </w:rPr>
              <w:tab/>
            </w:r>
            <w:r>
              <w:rPr>
                <w:rStyle w:val="IndexLink"/>
              </w:rPr>
              <w:t>300</w:t>
            </w:r>
          </w:hyperlink>
        </w:p>
        <w:p>
          <w:pPr>
            <w:pStyle w:val="Contents4"/>
            <w:tabs>
              <w:tab w:val="clear" w:pos="8176"/>
              <w:tab w:val="right" w:pos="9026" w:leader="dot"/>
            </w:tabs>
            <w:rPr/>
          </w:pPr>
          <w:hyperlink w:anchor="__RefHeading___Toc3418432_2749589250">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3418434_2749589250">
            <w:r>
              <w:rPr>
                <w:webHidden/>
                <w:rStyle w:val="IndexLink"/>
                <w:rtl w:val="true"/>
              </w:rPr>
              <w:t>تعالی، تکامل، توسعه</w:t>
            </w:r>
            <w:r>
              <w:rPr>
                <w:rStyle w:val="IndexLink"/>
                <w:rtl w:val="true"/>
              </w:rPr>
              <w:t>:</w:t>
              <w:tab/>
            </w:r>
            <w:r>
              <w:rPr>
                <w:rStyle w:val="IndexLink"/>
              </w:rPr>
              <w:t>300</w:t>
            </w:r>
          </w:hyperlink>
        </w:p>
        <w:p>
          <w:pPr>
            <w:pStyle w:val="Contents5"/>
            <w:tabs>
              <w:tab w:val="clear" w:pos="7892"/>
              <w:tab w:val="right" w:pos="9026" w:leader="dot"/>
            </w:tabs>
            <w:rPr/>
          </w:pPr>
          <w:hyperlink w:anchor="__RefHeading___Toc3418436_2749589250">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3418438_2749589250">
            <w:r>
              <w:rPr>
                <w:webHidden/>
                <w:rStyle w:val="IndexLink"/>
                <w:rtl w:val="true"/>
              </w:rPr>
              <w:t>تحوّل گفتمان ترقی در اندیشه روشنفکران دینی</w:t>
            </w:r>
            <w:r>
              <w:rPr>
                <w:rStyle w:val="IndexLink"/>
                <w:rtl w:val="true"/>
              </w:rPr>
              <w:tab/>
            </w:r>
            <w:r>
              <w:rPr>
                <w:rStyle w:val="IndexLink"/>
              </w:rPr>
              <w:t>300</w:t>
            </w:r>
          </w:hyperlink>
        </w:p>
        <w:p>
          <w:pPr>
            <w:pStyle w:val="Contents6"/>
            <w:tabs>
              <w:tab w:val="clear" w:pos="7609"/>
              <w:tab w:val="right" w:pos="9026" w:leader="dot"/>
            </w:tabs>
            <w:rPr/>
          </w:pPr>
          <w:hyperlink w:anchor="__RefHeading___Toc3418440_2749589250">
            <w:r>
              <w:rPr>
                <w:webHidden/>
                <w:rStyle w:val="IndexLink"/>
                <w:rtl w:val="true"/>
              </w:rPr>
              <w:t>اشاره</w:t>
            </w:r>
            <w:r>
              <w:rPr>
                <w:rStyle w:val="IndexLink"/>
                <w:rtl w:val="true"/>
              </w:rPr>
              <w:tab/>
            </w:r>
            <w:r>
              <w:rPr>
                <w:rStyle w:val="IndexLink"/>
              </w:rPr>
              <w:t>300</w:t>
            </w:r>
          </w:hyperlink>
        </w:p>
        <w:p>
          <w:pPr>
            <w:pStyle w:val="Contents6"/>
            <w:tabs>
              <w:tab w:val="clear" w:pos="7609"/>
              <w:tab w:val="right" w:pos="9026" w:leader="dot"/>
            </w:tabs>
            <w:rPr/>
          </w:pPr>
          <w:hyperlink w:anchor="__RefHeading___Toc3418442_2749589250">
            <w:r>
              <w:rPr>
                <w:webHidden/>
                <w:rStyle w:val="IndexLink"/>
                <w:rtl w:val="true"/>
              </w:rPr>
              <w:t>گفتمان تعالی</w:t>
            </w:r>
            <w:r>
              <w:rPr>
                <w:rStyle w:val="IndexLink"/>
                <w:rtl w:val="true"/>
              </w:rPr>
              <w:tab/>
            </w:r>
            <w:r>
              <w:rPr>
                <w:rStyle w:val="IndexLink"/>
              </w:rPr>
              <w:t>301</w:t>
            </w:r>
          </w:hyperlink>
        </w:p>
        <w:p>
          <w:pPr>
            <w:pStyle w:val="Contents6"/>
            <w:tabs>
              <w:tab w:val="clear" w:pos="7609"/>
              <w:tab w:val="right" w:pos="9026" w:leader="dot"/>
            </w:tabs>
            <w:rPr/>
          </w:pPr>
          <w:hyperlink w:anchor="__RefHeading___Toc3418444_2749589250">
            <w:r>
              <w:rPr>
                <w:webHidden/>
                <w:rStyle w:val="IndexLink"/>
                <w:rtl w:val="true"/>
              </w:rPr>
              <w:t>گفتمان تکامل</w:t>
            </w:r>
            <w:r>
              <w:rPr>
                <w:rStyle w:val="IndexLink"/>
                <w:rtl w:val="true"/>
              </w:rPr>
              <w:tab/>
            </w:r>
            <w:r>
              <w:rPr>
                <w:rStyle w:val="IndexLink"/>
              </w:rPr>
              <w:t>302</w:t>
            </w:r>
          </w:hyperlink>
        </w:p>
        <w:p>
          <w:pPr>
            <w:pStyle w:val="Contents6"/>
            <w:tabs>
              <w:tab w:val="clear" w:pos="7609"/>
              <w:tab w:val="right" w:pos="9026" w:leader="dot"/>
            </w:tabs>
            <w:rPr/>
          </w:pPr>
          <w:hyperlink w:anchor="__RefHeading___Toc3418446_2749589250">
            <w:r>
              <w:rPr>
                <w:webHidden/>
                <w:rStyle w:val="IndexLink"/>
                <w:rtl w:val="true"/>
              </w:rPr>
              <w:t>گفتمان توسعه</w:t>
            </w:r>
            <w:r>
              <w:rPr>
                <w:rStyle w:val="IndexLink"/>
                <w:rtl w:val="true"/>
              </w:rPr>
              <w:tab/>
            </w:r>
            <w:r>
              <w:rPr>
                <w:rStyle w:val="IndexLink"/>
              </w:rPr>
              <w:t>304</w:t>
            </w:r>
          </w:hyperlink>
        </w:p>
        <w:p>
          <w:pPr>
            <w:pStyle w:val="Contents3"/>
            <w:tabs>
              <w:tab w:val="clear" w:pos="8459"/>
              <w:tab w:val="right" w:pos="9026" w:leader="dot"/>
            </w:tabs>
            <w:rPr/>
          </w:pPr>
          <w:hyperlink w:anchor="__RefHeading___Toc3418448_2749589250">
            <w:r>
              <w:rPr>
                <w:webHidden/>
                <w:rStyle w:val="IndexLink"/>
                <w:rtl w:val="true"/>
              </w:rPr>
              <w:t>سایر مقالات</w:t>
            </w:r>
            <w:r>
              <w:rPr>
                <w:rStyle w:val="IndexLink"/>
                <w:rtl w:val="true"/>
              </w:rPr>
              <w:tab/>
            </w:r>
            <w:r>
              <w:rPr>
                <w:rStyle w:val="IndexLink"/>
              </w:rPr>
              <w:t>308</w:t>
            </w:r>
          </w:hyperlink>
        </w:p>
        <w:p>
          <w:pPr>
            <w:pStyle w:val="Contents2"/>
            <w:tabs>
              <w:tab w:val="clear" w:pos="8743"/>
              <w:tab w:val="right" w:pos="9026" w:leader="dot"/>
            </w:tabs>
            <w:rPr/>
          </w:pPr>
          <w:hyperlink w:anchor="__RefHeading___Toc3418450_2749589250">
            <w:r>
              <w:rPr>
                <w:webHidden/>
                <w:rStyle w:val="IndexLink"/>
                <w:rtl w:val="true"/>
              </w:rPr>
              <w:t>کتاب نامه</w:t>
            </w:r>
            <w:r>
              <w:rPr>
                <w:rStyle w:val="IndexLink"/>
                <w:rtl w:val="true"/>
              </w:rPr>
              <w:tab/>
            </w:r>
            <w:r>
              <w:rPr>
                <w:rStyle w:val="IndexLink"/>
              </w:rPr>
              <w:t>316</w:t>
            </w:r>
          </w:hyperlink>
        </w:p>
        <w:p>
          <w:pPr>
            <w:pStyle w:val="Contents3"/>
            <w:tabs>
              <w:tab w:val="clear" w:pos="8459"/>
              <w:tab w:val="right" w:pos="9026" w:leader="dot"/>
            </w:tabs>
            <w:rPr/>
          </w:pPr>
          <w:hyperlink w:anchor="__RefHeading___Toc3418452_2749589250">
            <w:r>
              <w:rPr>
                <w:webHidden/>
                <w:rStyle w:val="IndexLink"/>
                <w:rtl w:val="true"/>
              </w:rPr>
              <w:t>اشاره</w:t>
            </w:r>
            <w:r>
              <w:rPr>
                <w:rStyle w:val="IndexLink"/>
                <w:rtl w:val="true"/>
              </w:rPr>
              <w:tab/>
            </w:r>
            <w:r>
              <w:rPr>
                <w:rStyle w:val="IndexLink"/>
              </w:rPr>
              <w:t>316</w:t>
            </w:r>
          </w:hyperlink>
        </w:p>
        <w:p>
          <w:pPr>
            <w:pStyle w:val="Contents3"/>
            <w:tabs>
              <w:tab w:val="clear" w:pos="8459"/>
              <w:tab w:val="right" w:pos="9026" w:leader="dot"/>
            </w:tabs>
            <w:rPr/>
          </w:pPr>
          <w:hyperlink w:anchor="__RefHeading___Toc3418454_2749589250">
            <w:r>
              <w:rPr>
                <w:webHidden/>
                <w:rStyle w:val="IndexLink"/>
                <w:rtl w:val="true"/>
              </w:rPr>
              <w:t>الف</w:t>
            </w:r>
            <w:r>
              <w:rPr>
                <w:rStyle w:val="IndexLink"/>
                <w:rtl w:val="true"/>
              </w:rPr>
              <w:t xml:space="preserve">) </w:t>
            </w:r>
            <w:r>
              <w:rPr>
                <w:rStyle w:val="IndexLink"/>
                <w:rtl w:val="true"/>
              </w:rPr>
              <w:t>کتاب</w:t>
            </w:r>
            <w:r>
              <w:rPr>
                <w:rStyle w:val="IndexLink"/>
                <w:rtl w:val="true"/>
              </w:rPr>
              <w:t>:</w:t>
              <w:tab/>
            </w:r>
            <w:r>
              <w:rPr>
                <w:rStyle w:val="IndexLink"/>
              </w:rPr>
              <w:t>317</w:t>
            </w:r>
          </w:hyperlink>
        </w:p>
        <w:p>
          <w:pPr>
            <w:pStyle w:val="Contents3"/>
            <w:tabs>
              <w:tab w:val="clear" w:pos="8459"/>
              <w:tab w:val="right" w:pos="9026" w:leader="dot"/>
            </w:tabs>
            <w:rPr/>
          </w:pPr>
          <w:hyperlink w:anchor="__RefHeading___Toc3418456_2749589250">
            <w:r>
              <w:rPr>
                <w:webHidden/>
                <w:rStyle w:val="IndexLink"/>
                <w:rtl w:val="true"/>
              </w:rPr>
              <w:t>ب</w:t>
            </w:r>
            <w:r>
              <w:rPr>
                <w:rStyle w:val="IndexLink"/>
                <w:rtl w:val="true"/>
              </w:rPr>
              <w:t xml:space="preserve">) </w:t>
            </w:r>
            <w:r>
              <w:rPr>
                <w:rStyle w:val="IndexLink"/>
                <w:rtl w:val="true"/>
              </w:rPr>
              <w:t>مقاله ها</w:t>
            </w:r>
            <w:r>
              <w:rPr>
                <w:rStyle w:val="IndexLink"/>
                <w:rtl w:val="true"/>
              </w:rPr>
              <w:t>:</w:t>
              <w:tab/>
            </w:r>
            <w:r>
              <w:rPr>
                <w:rStyle w:val="IndexLink"/>
              </w:rPr>
              <w:t>322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78_42209"/>
      <w:bookmarkStart w:id="1" w:name="pg3478_42209"/>
      <w:bookmarkEnd w:id="1"/>
    </w:p>
    <w:p>
      <w:pPr>
        <w:pStyle w:val="Heading2"/>
        <w:numPr>
          <w:ilvl w:val="1"/>
          <w:numId w:val="1"/>
        </w:numPr>
        <w:rPr/>
      </w:pPr>
      <w:bookmarkStart w:id="2" w:name="pg3478_42209"/>
      <w:bookmarkStart w:id="3" w:name="__RefHeading___Toc341809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یزدانی‌مقدم، احمدرضا</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دنیوی تا آستان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کتاب از شاهد قدسی تا شاهد بازاری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احمدرضا یزدانی‌مقدم؛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809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نقدی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قدسی تا شاهد بازاری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عرفی‌شدن دین در سپهر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سعید حجاریان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شاهد قدسی تا شاهد بازاری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عرفی‌شدن دین در سپهر 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کتاب از شاهد قدسی تا شاهد بازاری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حجاریان، سعید، </w:t>
      </w:r>
      <w:r>
        <w:rPr>
          <w:rFonts w:eastAsia="IRNazanin" w:cs="IRNazanin"/>
          <w:color w:val="111111"/>
          <w:sz w:val="28"/>
          <w:szCs w:val="28"/>
          <w:lang w:bidi="fa-IR"/>
        </w:rPr>
        <w:t>1332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دنیوی‌گرایی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و دنیوی‌گرایی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حجاریان، سعید، </w:t>
      </w:r>
      <w:r>
        <w:rPr>
          <w:rFonts w:eastAsia="IRNazanin" w:cs="IRNazanin"/>
          <w:color w:val="111111"/>
          <w:sz w:val="28"/>
          <w:szCs w:val="28"/>
          <w:lang w:bidi="fa-IR"/>
        </w:rPr>
        <w:t>1332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شاهد قدسی تا شاهد بازاری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عرفی‌شدن دین در سپهر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BP229/3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4084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1055767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18092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از دین دنیوی تا آستان قدرت</w:t>
      </w:r>
    </w:p>
    <w:p>
      <w:pPr>
        <w:pStyle w:val="BookText"/>
        <w:rPr/>
      </w:pPr>
      <w:r>
        <w:rPr>
          <w:rFonts w:ascii="IRNazanin" w:hAnsi="IRNazanin" w:eastAsia="IRNazanin"/>
          <w:color w:val="111111"/>
          <w:sz w:val="28"/>
          <w:sz w:val="28"/>
          <w:szCs w:val="28"/>
          <w:rtl w:val="true"/>
          <w:lang w:bidi="fa-IR"/>
        </w:rPr>
        <w:t>نقد کتاب از شاهد قدسی تا شاهد بازاری</w:t>
      </w:r>
    </w:p>
    <w:p>
      <w:pPr>
        <w:pStyle w:val="BookText"/>
        <w:rPr/>
      </w:pPr>
      <w:r>
        <w:rPr>
          <w:rFonts w:ascii="IRNazanin" w:hAnsi="IRNazanin" w:eastAsia="IRNazanin"/>
          <w:color w:val="111111"/>
          <w:sz w:val="28"/>
          <w:sz w:val="28"/>
          <w:szCs w:val="28"/>
          <w:rtl w:val="true"/>
          <w:lang w:bidi="fa-IR"/>
        </w:rPr>
        <w:t>احمدرضا یزدانی‌مقدم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تهیه‌کننده مرکز پژوهش‌های اسلامی صدا و سیما</w:t>
      </w:r>
      <w:r>
        <w:rPr>
          <w:rFonts w:eastAsia="IRNazanin" w:cs="IRNazanin"/>
          <w:color w:val="111111"/>
          <w:sz w:val="28"/>
          <w:szCs w:val="28"/>
          <w:rtl w:val="true"/>
          <w:lang w:bidi="fa-IR"/>
        </w:rPr>
        <w:t xml:space="preserve">. </w:t>
      </w:r>
      <w:bookmarkStart w:id="7" w:name="pg3480_42211"/>
    </w:p>
    <w:p>
      <w:pPr>
        <w:pStyle w:val="Heading2"/>
        <w:numPr>
          <w:ilvl w:val="1"/>
          <w:numId w:val="1"/>
        </w:numPr>
        <w:rPr/>
      </w:pPr>
      <w:bookmarkStart w:id="8" w:name="__RefHeading___Toc3418094_274958925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تاریخ، آوردگاه اندیشه ها و میدان آرای مکتب ها و جایگاهِ عرضه افکار گوناگون است، شناخت و پاسداشت راستی و حقیقت بس دشوار است و ساحت آموزه های دینی را پاس داشتن و حق گویی و حق مداری در گردونه های گونه گون تضارب اندیشه دشوارتر، در این میان، مرزداران هوشیار دین با تفسیر درست از دین می کوشند تا غبارها را از ساحت اندیشه های دینی بزدایند و شفافیت طریق را به ارمغان آورند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ما وارث منابع گران سنگی هستیم که از چشمه های زلال وحی جوشیدن گرفته و پاسخ گوی عصرها و نسل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باوریم که اسلام می تواند گره های حیات آدمی را به سرانگشت عقل و تدبیر بگشاید و پهنه تاریک هستی را با خورشید وحی نورانی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پژوهشگران و عالمان دینی است که همراه با دگرگونی های زمانه، برای یافتن پاسخ های متناسب با نیازهای انسان ها در جنبه های گوناگون مادی و معنوی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تخصصی بودن مباحث و قداست دین می طلبد که انسان در بیان نظر خود محتاط باشد و بدون مستمسک قوی به محدوده دین و قرفگاه آن قدم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است که پژوهشگر متخصص و متعهد دینی، حریم دین را از شر و فتنه دگراندیشان، زود باوران و مغرضان پاس می دارد و صد البته کسانی که در این وادی تلاش می کنند، بی اجر و ثواب نخواهند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پاسخ گویی به شبهه ها از برترین تلاش های فرهنگی است که گروهی از پژوهشگران توانا، کمر همت بر بسته و تلاش های علمی خویش را ره توشه مشتاقان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شایسته است از تلاش های محققانه جناب حجت الاسلام و المسلمین احمدرضا یزدانی مقدم سپاس گزاری کنیم که کوشش های بی دریغ شان تهیه این مجموعه را ممکن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در زمینه نقد اندیشه ها، تلاشی است هرچند ناچیز در مسیر پیرایش نظریه ها و اندیشه های دینی از کژی و ناراستی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در نگاه بهره وران، سودمند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0" w:name="pg3480_42213"/>
    </w:p>
    <w:p>
      <w:pPr>
        <w:pStyle w:val="Heading2"/>
        <w:numPr>
          <w:ilvl w:val="1"/>
          <w:numId w:val="1"/>
        </w:numPr>
        <w:rPr/>
      </w:pPr>
      <w:bookmarkStart w:id="11" w:name="__RefHeading___Toc3418096_2749589250"/>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شاهد قدسی تا شاهد بازاری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مقاله هایی از آقای سعید حجاریان است که از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مقاله ها با نام مستعار جهانگیر صالح پور در نشریه کیان به چاپ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ها که دارای محور مشترک سکولاریزاسیون بود، به کوشش آقای ابراهیم سلطانی از هیأت تحریریه نشریه کیان و آخرین سردبیر این نشریه، به همراه مقدمه ای از آقای حجاریان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و محتوای کتاب هنوز اساس، پایه و مایه نظریه پردازی های سیاسی آقای حجاریان است و می توان این را در سخنرانی های ایشان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و مضمون کتاب، پایان نیافته است و هنوز این اندیشه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به این صورت سامان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ای مختصر به موضوع های کلی مقاله ها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ای از متن کتاب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این مجموعه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دنیوی تا آستان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نهادیم؛ زیرا طرحی که آقای حجاریان در این کتاب عرضه می دارد، از دولتی کردن دین آغاز می شود و به دنیوی شدن دین و سپس دنیوی شدن حوزه عمومی و واگذاری حوزه عمومی به قرارداد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نیز با توجه به ناتوانی های مکتب قرار داد، به قدرت ختم می گردد و این همه در زمینه ای تاریخی گرایانه 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نام گذاری این </w:t>
      </w:r>
    </w:p>
    <w:p>
      <w:pPr>
        <w:pStyle w:val="BookText"/>
        <w:rPr/>
      </w:pPr>
      <w:r>
        <w:rPr>
          <w:rFonts w:ascii="IRNazanin" w:hAnsi="IRNazanin" w:eastAsia="IRNazanin"/>
          <w:color w:val="111111"/>
          <w:sz w:val="28"/>
          <w:sz w:val="28"/>
          <w:szCs w:val="28"/>
          <w:rtl w:val="true"/>
          <w:lang w:bidi="fa-IR"/>
        </w:rPr>
        <w:t>مجموعه بر اساس فرآیند طراحی آقای حجاریان است که دین دنیوی و آستان قدرت، دو نقطه تعیین کننده آن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عنوان حاضر، سبک و سیاق نظری داشته و به انگیخته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از همه عزیزانی که در تهیه این نوشتار یاری رسانده اند سپاسگزاری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از آقایان علیرضا امینی، هادی صادقی، محمد امجد، محمدحسین دشتی و امیر میلانی به پاس همکاری ها و حمایت هایشان قدردانی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از دیدگاه ها و پیشنهادها و رهنمودهای آقایان محمد ساجدی، سیدعلی عماد و داود مهدوی زادگان نیز بهره 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آقای مهدوی زادگان بر تهافت های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شاهد قدسی تا شاهد بازاری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نهاد و برای نمونه تهافت بنیادین دو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شدن فقه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 الله فقیه دوران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عماد بر نادرستی تفاوت گذاری های ادعایی میان فقه و قانون تاکید کرد و تفکیک دو حوزه عمومی و خصوصی در گذشته تاریخی را خاطر 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ساجدی نیز نقد را به تمرکز بر متن و تعریف آن از مفاهیمی چون سکولاریزاسیون فرا خواند که به دریافت تعارض در تعاریف و مفاهیم در متن یاد شده انجامید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یاد و خاطره اندیشمند متعهد و پر تلاش، مرحوم عباس یزدانی را گرامی می داریم که همواره بر توانایی های فقه شیعه در پاسخگویی به نیازهای زمان تاکید داشت و در رابطه با متن و نقد آن، بارها پژوهشگر را راهنمایی کرد</w:t>
      </w:r>
      <w:r>
        <w:rPr>
          <w:rFonts w:eastAsia="IRNazanin" w:cs="IRNazanin"/>
          <w:color w:val="111111"/>
          <w:sz w:val="28"/>
          <w:szCs w:val="28"/>
          <w:rtl w:val="true"/>
          <w:lang w:bidi="fa-IR"/>
        </w:rPr>
        <w:t xml:space="preserve">. </w:t>
      </w:r>
      <w:bookmarkStart w:id="13" w:name="pg3480_42215"/>
    </w:p>
    <w:p>
      <w:pPr>
        <w:pStyle w:val="Heading2"/>
        <w:numPr>
          <w:ilvl w:val="1"/>
          <w:numId w:val="1"/>
        </w:numPr>
        <w:rPr/>
      </w:pPr>
      <w:bookmarkStart w:id="14" w:name="__RefHeading___Toc3418098_2749589250"/>
      <w:bookmarkStart w:id="15" w:name="_Toc5"/>
      <w:bookmarkEnd w:id="13"/>
      <w:bookmarkEnd w:id="14"/>
      <w:r>
        <w:rPr>
          <w:rtl w:val="true"/>
        </w:rPr>
        <w:t>بخش اول</w:t>
      </w:r>
      <w:r>
        <w:rPr>
          <w:rtl w:val="true"/>
        </w:rPr>
        <w:t>:</w:t>
      </w:r>
      <w:r>
        <w:rPr>
          <w:rtl w:val="true"/>
        </w:rPr>
        <w:t xml:space="preserve">گزارشی کوتاه از مجموعه مقاله های </w:t>
      </w:r>
      <w:r>
        <w:rPr>
          <w:rtl w:val="true"/>
        </w:rPr>
        <w:t>«</w:t>
      </w:r>
      <w:r>
        <w:rPr>
          <w:rtl w:val="true"/>
        </w:rPr>
        <w:t>از شاهد قدسی تا شاهد بازاری</w:t>
      </w:r>
      <w:r>
        <w:rPr>
          <w:rtl w:val="true"/>
        </w:rPr>
        <w:t>»</w:t>
      </w:r>
      <w:bookmarkEnd w:id="15"/>
    </w:p>
    <w:p>
      <w:pPr>
        <w:pStyle w:val="Heading3"/>
        <w:numPr>
          <w:ilvl w:val="2"/>
          <w:numId w:val="1"/>
        </w:numPr>
        <w:rPr/>
      </w:pPr>
      <w:bookmarkStart w:id="16" w:name="__RefHeading___Toc3418100_2749589250"/>
      <w:bookmarkStart w:id="17" w:name="_Toc6"/>
      <w:bookmarkEnd w:id="16"/>
      <w:r>
        <w:rPr>
          <w:rtl w:val="true"/>
        </w:rPr>
        <w:t>اشاره</w:t>
      </w:r>
      <w:bookmarkEnd w:id="1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گزارشی کوتاه از مجموعه مقاله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شاهد قدسی تا شاهد بازاری</w:t>
      </w:r>
      <w:r>
        <w:rPr>
          <w:rFonts w:eastAsia="IRNazanin" w:cs="IRNazanin"/>
          <w:color w:val="111111"/>
          <w:sz w:val="28"/>
          <w:szCs w:val="28"/>
          <w:rtl w:val="true"/>
          <w:lang w:bidi="fa-IR"/>
        </w:rPr>
        <w:t xml:space="preserve">» </w:t>
      </w:r>
      <w:bookmarkStart w:id="18" w:name="pg3480_42216"/>
    </w:p>
    <w:p>
      <w:pPr>
        <w:pStyle w:val="BookText"/>
        <w:rPr/>
      </w:pPr>
      <w:bookmarkEnd w:id="18"/>
      <w:r>
        <w:rPr>
          <w:rFonts w:ascii="IRNazanin" w:hAnsi="IRNazanin" w:eastAsia="IRNazanin"/>
          <w:color w:val="111111"/>
          <w:sz w:val="28"/>
          <w:sz w:val="28"/>
          <w:szCs w:val="28"/>
          <w:rtl w:val="true"/>
          <w:lang w:bidi="fa-IR"/>
        </w:rPr>
        <w:t xml:space="preserve">مجموعه مقاله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شاهد قدسی تا شاهد بازاری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مقدمه، در چهار بخش دسته بندی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عرفی شدن سنت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عرفی شدن ایدئولوژی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عرفی شدن گفتمان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مقالات</w:t>
      </w:r>
      <w:r>
        <w:rPr>
          <w:rFonts w:eastAsia="IRNazanin" w:cs="IRNazanin"/>
          <w:color w:val="111111"/>
          <w:sz w:val="28"/>
          <w:szCs w:val="28"/>
          <w:rtl w:val="true"/>
          <w:lang w:bidi="fa-IR"/>
        </w:rPr>
        <w:t>.</w:t>
      </w:r>
    </w:p>
    <w:p>
      <w:pPr>
        <w:pStyle w:val="Heading3"/>
        <w:numPr>
          <w:ilvl w:val="2"/>
          <w:numId w:val="1"/>
        </w:numPr>
        <w:rPr/>
      </w:pPr>
      <w:bookmarkStart w:id="19" w:name="__RefHeading___Toc3418102_2749589250"/>
      <w:bookmarkStart w:id="20" w:name="_Toc7"/>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 xml:space="preserve">نویسنده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معنا برای سکولاریزاسیون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تفکیک نهاد دین از نهاد دولت؛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دنیوی شدن امور و ارزش های 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دنیوی شدن را محصول روند بازاری شدن و از مهم ترین تجلی های مدرنیته معرفی می کند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توضیح می دهد که چگونه مسئله سکولاریزاسیون برای او اهمیت پیدا کرد و چرایی آن را دغدغه اش به عنوان یک مسلمان نسبت به سرنوشتِ امرِ قدسی در جهان عرفی شده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بر تفاوت میان سکولاریسم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ایدئولوژی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سکولاریزاسیون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فرآیند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ورزد</w:t>
      </w:r>
      <w:r>
        <w:rPr>
          <w:rFonts w:eastAsia="IRNazanin" w:cs="IRNazanin"/>
          <w:color w:val="111111"/>
          <w:sz w:val="28"/>
          <w:szCs w:val="28"/>
          <w:rtl w:val="true"/>
          <w:lang w:bidi="fa-IR"/>
        </w:rPr>
        <w:t xml:space="preserve">. </w:t>
      </w:r>
      <w:bookmarkStart w:id="21" w:name="pg3480_42217"/>
    </w:p>
    <w:p>
      <w:pPr>
        <w:pStyle w:val="Heading3"/>
        <w:numPr>
          <w:ilvl w:val="2"/>
          <w:numId w:val="1"/>
        </w:numPr>
        <w:rPr/>
      </w:pPr>
      <w:bookmarkStart w:id="22" w:name="__RefHeading___Toc3418104_2749589250"/>
      <w:bookmarkStart w:id="23" w:name="_Toc8"/>
      <w:bookmarkEnd w:id="21"/>
      <w:bookmarkEnd w:id="22"/>
      <w:r>
        <w:rPr>
          <w:rtl w:val="true"/>
        </w:rPr>
        <w:t>گفتار اول</w:t>
      </w:r>
      <w:r>
        <w:rPr>
          <w:rtl w:val="true"/>
        </w:rPr>
        <w:t xml:space="preserve">: </w:t>
      </w:r>
      <w:r>
        <w:rPr>
          <w:rtl w:val="true"/>
        </w:rPr>
        <w:t>عرفی شدن سنت ها</w:t>
      </w:r>
      <w:bookmarkEnd w:id="23"/>
    </w:p>
    <w:p>
      <w:pPr>
        <w:pStyle w:val="Heading4"/>
        <w:numPr>
          <w:ilvl w:val="3"/>
          <w:numId w:val="1"/>
        </w:numPr>
        <w:rPr/>
      </w:pPr>
      <w:bookmarkStart w:id="24" w:name="__RefHeading___Toc3418106_2749589250"/>
      <w:bookmarkStart w:id="25" w:name="_Toc9"/>
      <w:bookmarkEnd w:id="24"/>
      <w:r>
        <w:rPr>
          <w:rtl w:val="true"/>
        </w:rPr>
        <w:t xml:space="preserve">مقاله اول </w:t>
      </w:r>
      <w:r>
        <w:rPr>
          <w:rtl w:val="true"/>
        </w:rPr>
        <w:t xml:space="preserve">- </w:t>
      </w:r>
      <w:r>
        <w:rPr>
          <w:rtl w:val="true"/>
        </w:rPr>
        <w:t>فرآیند عرفی شدن شریعت مسیح علیه السلام</w:t>
      </w:r>
      <w:bookmarkEnd w:id="25"/>
    </w:p>
    <w:p>
      <w:pPr>
        <w:pStyle w:val="BookText"/>
        <w:rPr/>
      </w:pPr>
      <w:r>
        <w:rPr>
          <w:rFonts w:ascii="IRNazanin" w:hAnsi="IRNazanin" w:eastAsia="IRNazanin"/>
          <w:color w:val="111111"/>
          <w:sz w:val="28"/>
          <w:sz w:val="28"/>
          <w:szCs w:val="28"/>
          <w:rtl w:val="true"/>
          <w:lang w:bidi="fa-IR"/>
        </w:rPr>
        <w:t xml:space="preserve">نویسنده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عرفی شدن شریعت 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میان مصالح دنیوی و اخروی درون دستگاه حقوقی و اخلاقی واحد، عامل مهمی در جهت عرفی شدن دسته مهمی از ادیان از جمله ادیان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 مسیحیت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درصدد است با نشان دادن این فرآیند در دستگاه فقهی و اخلاقی مسیحیت، میان این فرآیند و تحولات حوزه کلام مسیحی، به خصوص در دو رکن فرجام شناسی و رستگارشناسی تلازمی منطقی برقرار کند</w:t>
      </w:r>
      <w:r>
        <w:rPr>
          <w:rFonts w:eastAsia="IRNazanin" w:cs="IRNazanin"/>
          <w:color w:val="111111"/>
          <w:sz w:val="28"/>
          <w:szCs w:val="28"/>
          <w:rtl w:val="true"/>
          <w:lang w:bidi="fa-IR"/>
        </w:rPr>
        <w:t>.</w:t>
      </w:r>
    </w:p>
    <w:p>
      <w:pPr>
        <w:pStyle w:val="Heading4"/>
        <w:numPr>
          <w:ilvl w:val="3"/>
          <w:numId w:val="1"/>
        </w:numPr>
        <w:rPr/>
      </w:pPr>
      <w:bookmarkStart w:id="26" w:name="__RefHeading___Toc3418108_2749589250"/>
      <w:bookmarkStart w:id="27" w:name="_Toc10"/>
      <w:bookmarkEnd w:id="26"/>
      <w:r>
        <w:rPr>
          <w:rtl w:val="true"/>
        </w:rPr>
        <w:t xml:space="preserve">مقاله دوم </w:t>
      </w:r>
      <w:r>
        <w:rPr>
          <w:rtl w:val="true"/>
        </w:rPr>
        <w:t xml:space="preserve">- </w:t>
      </w:r>
      <w:r>
        <w:rPr>
          <w:rtl w:val="true"/>
        </w:rPr>
        <w:t xml:space="preserve">جرقه تاریخی گری در قرون وسطای متأخر </w:t>
      </w:r>
      <w:r>
        <w:rPr>
          <w:rtl w:val="true"/>
        </w:rPr>
        <w:t>(</w:t>
      </w:r>
      <w:r>
        <w:rPr>
          <w:rtl w:val="true"/>
        </w:rPr>
        <w:t>تأملاتی در اندیشه یواخیم فیوره ای</w:t>
      </w:r>
      <w:r>
        <w:rPr>
          <w:rtl w:val="true"/>
        </w:rPr>
        <w:t>)</w:t>
      </w:r>
      <w:bookmarkEnd w:id="27"/>
    </w:p>
    <w:p>
      <w:pPr>
        <w:pStyle w:val="BookText"/>
        <w:rPr/>
      </w:pPr>
      <w:r>
        <w:rPr>
          <w:rFonts w:ascii="IRNazanin" w:hAnsi="IRNazanin" w:eastAsia="IRNazanin"/>
          <w:color w:val="111111"/>
          <w:sz w:val="28"/>
          <w:sz w:val="28"/>
          <w:szCs w:val="28"/>
          <w:rtl w:val="true"/>
          <w:lang w:bidi="fa-IR"/>
        </w:rPr>
        <w:t xml:space="preserve">نویسنده در مقاله گذشته، عرفی شدن شریعت مسیح علیه السلام را در دو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کلام مسیحی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جرقه تاریخی گری در قرون وسطای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رکن فرجام شناسی را با تفصیل بیش تر مورد مطالعه قرار می دهد و به چگونگی گذار گفتمانی از کلام ایستای آگوستینی، به نوعی فلسفه تاریخ پویا در قرون وسطای متأخر می پردازد</w:t>
      </w:r>
      <w:r>
        <w:rPr>
          <w:rFonts w:eastAsia="IRNazanin" w:cs="IRNazanin"/>
          <w:color w:val="111111"/>
          <w:sz w:val="28"/>
          <w:szCs w:val="28"/>
          <w:rtl w:val="true"/>
          <w:lang w:bidi="fa-IR"/>
        </w:rPr>
        <w:t>.</w:t>
      </w:r>
    </w:p>
    <w:p>
      <w:pPr>
        <w:pStyle w:val="Heading4"/>
        <w:numPr>
          <w:ilvl w:val="3"/>
          <w:numId w:val="1"/>
        </w:numPr>
        <w:rPr/>
      </w:pPr>
      <w:bookmarkStart w:id="28" w:name="__RefHeading___Toc3418110_2749589250"/>
      <w:bookmarkStart w:id="29" w:name="_Toc11"/>
      <w:bookmarkEnd w:id="28"/>
      <w:r>
        <w:rPr>
          <w:rtl w:val="true"/>
        </w:rPr>
        <w:t xml:space="preserve">مقاله سوم </w:t>
      </w:r>
      <w:r>
        <w:rPr>
          <w:rtl w:val="true"/>
        </w:rPr>
        <w:t xml:space="preserve">- </w:t>
      </w:r>
      <w:r>
        <w:rPr>
          <w:rtl w:val="true"/>
        </w:rPr>
        <w:t>فرآیند عرفی شدن فقه شیعی</w:t>
      </w:r>
      <w:bookmarkEnd w:id="2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عرفی شدن فقه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 می کند که می توان در کل مسیر پر فراز و نشیب فقه شیعی، نوعی تمایل تاریخی به نام فرآیند عرفی شدن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عرفی شدن را تعریف و مکانیزم های درون دینی این فرآیند را بررسی می کند 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عمده ترین و مؤثرترین ابزار این </w:t>
      </w:r>
      <w:bookmarkStart w:id="30" w:name="pg3480_42218"/>
    </w:p>
    <w:p>
      <w:pPr>
        <w:pStyle w:val="BookText"/>
        <w:rPr/>
      </w:pPr>
      <w:bookmarkEnd w:id="30"/>
      <w:r>
        <w:rPr>
          <w:rFonts w:ascii="IRNazanin" w:hAnsi="IRNazanin" w:eastAsia="IRNazanin"/>
          <w:color w:val="111111"/>
          <w:sz w:val="28"/>
          <w:sz w:val="28"/>
          <w:szCs w:val="28"/>
          <w:rtl w:val="true"/>
          <w:lang w:bidi="fa-IR"/>
        </w:rPr>
        <w:t>فرآیند برمی شمارد</w:t>
      </w:r>
      <w:r>
        <w:rPr>
          <w:rFonts w:eastAsia="IRNazanin" w:cs="IRNazanin"/>
          <w:color w:val="111111"/>
          <w:sz w:val="28"/>
          <w:szCs w:val="28"/>
          <w:rtl w:val="true"/>
          <w:lang w:bidi="fa-IR"/>
        </w:rPr>
        <w:t>.</w:t>
      </w:r>
    </w:p>
    <w:p>
      <w:pPr>
        <w:pStyle w:val="Heading4"/>
        <w:numPr>
          <w:ilvl w:val="3"/>
          <w:numId w:val="1"/>
        </w:numPr>
        <w:rPr/>
      </w:pPr>
      <w:bookmarkStart w:id="31" w:name="__RefHeading___Toc3418112_2749589250"/>
      <w:bookmarkStart w:id="32" w:name="_Toc12"/>
      <w:bookmarkEnd w:id="31"/>
      <w:r>
        <w:rPr>
          <w:rtl w:val="true"/>
        </w:rPr>
        <w:t xml:space="preserve">مقاله چهارم </w:t>
      </w:r>
      <w:r>
        <w:rPr>
          <w:rtl w:val="true"/>
        </w:rPr>
        <w:t xml:space="preserve">- </w:t>
      </w:r>
      <w:r>
        <w:rPr>
          <w:rtl w:val="true"/>
        </w:rPr>
        <w:t xml:space="preserve">امام خمینی رحمه الله فقیه دوران گذار </w:t>
      </w:r>
      <w:r>
        <w:rPr>
          <w:rtl w:val="true"/>
        </w:rPr>
        <w:t>(</w:t>
      </w:r>
      <w:r>
        <w:rPr>
          <w:rtl w:val="true"/>
        </w:rPr>
        <w:t>از فقه جواهری تا فقه المصلحة</w:t>
      </w:r>
      <w:r>
        <w:rPr>
          <w:rtl w:val="true"/>
        </w:rPr>
        <w:t>)</w:t>
      </w:r>
      <w:bookmarkEnd w:id="32"/>
    </w:p>
    <w:p>
      <w:pPr>
        <w:pStyle w:val="BookText"/>
        <w:rPr/>
      </w:pPr>
      <w:r>
        <w:rPr>
          <w:rFonts w:ascii="IRNazanin" w:hAnsi="IRNazanin" w:eastAsia="IRNazanin"/>
          <w:color w:val="111111"/>
          <w:sz w:val="28"/>
          <w:sz w:val="28"/>
          <w:szCs w:val="28"/>
          <w:rtl w:val="true"/>
          <w:lang w:bidi="fa-IR"/>
        </w:rPr>
        <w:t xml:space="preserve">نویسنده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فقیه دوران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امام راحل در تسریع گذار از سنت به مدرنیته را بررسی می کند و مدعی است گره خوردن دستگاه فقاهت با دستگاه دولت، باعث شد تا نهاد سیاست، آثار و مقتضیات خود را به نهاد دین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نظریه ولایت مطلقه فقیه را پاسخی به نیاز شکل گیری نخستین مرحله دولت مدرن در ایران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شمارش تفاوت های میان فقه و قانون و ضرورت تبدیل فقه به قانون برای ایجاد دولتِ گذار، 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 در گذار به سوی مدرنیته، مخمری یافت که فقه را به قانون و در نتیجه، دستگاه فقهی را به یک دستگاه حقوق عرفی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مخمری را در عنصر مصلحت می یابد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مصلحت سنجی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ارزیابی 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یک دستگاه جزمی شود، آن را سریعاً عرفی می کند</w:t>
      </w:r>
      <w:r>
        <w:rPr>
          <w:rFonts w:eastAsia="IRNazanin" w:cs="IRNazanin"/>
          <w:color w:val="111111"/>
          <w:sz w:val="28"/>
          <w:szCs w:val="28"/>
          <w:rtl w:val="true"/>
          <w:lang w:bidi="fa-IR"/>
        </w:rPr>
        <w:t>.»</w:t>
      </w:r>
    </w:p>
    <w:p>
      <w:pPr>
        <w:pStyle w:val="Heading4"/>
        <w:numPr>
          <w:ilvl w:val="3"/>
          <w:numId w:val="1"/>
        </w:numPr>
        <w:rPr/>
      </w:pPr>
      <w:bookmarkStart w:id="33" w:name="__RefHeading___Toc3418114_2749589250"/>
      <w:bookmarkStart w:id="34" w:name="_Toc13"/>
      <w:bookmarkEnd w:id="33"/>
      <w:r>
        <w:rPr>
          <w:rtl w:val="true"/>
        </w:rPr>
        <w:t xml:space="preserve">مقاله پنجم </w:t>
      </w:r>
      <w:r>
        <w:rPr>
          <w:rtl w:val="true"/>
        </w:rPr>
        <w:t xml:space="preserve">- </w:t>
      </w:r>
      <w:r>
        <w:rPr>
          <w:rtl w:val="true"/>
        </w:rPr>
        <w:t>خط قرمز؛ ارزش یا هنجار؟</w:t>
      </w:r>
      <w:bookmarkEnd w:id="3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قرمز، ارزش یا هنجار؟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 قرمز را پدیده ای فرهنگی می داند که هیچ جامعه ای، چه در امور داخلی و چه در مرزکشی با دیگر جوامع از آن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قرمز گرچه خصلتی اعتباری و وضعی دارند، ولی در حوزه معارف تحصّلی نیز به صورت پیش فرض ها و جزمیات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خطوط قرمز، منطقه ای را ممنوعه اعلام کنند، به پدیده جزم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 ها در طول زمان </w:t>
      </w:r>
      <w:bookmarkStart w:id="35" w:name="pg3480_42219"/>
    </w:p>
    <w:p>
      <w:pPr>
        <w:pStyle w:val="BookText"/>
        <w:rPr/>
      </w:pPr>
      <w:bookmarkEnd w:id="35"/>
      <w:r>
        <w:rPr>
          <w:rFonts w:ascii="IRNazanin" w:hAnsi="IRNazanin" w:eastAsia="IRNazanin"/>
          <w:color w:val="111111"/>
          <w:sz w:val="28"/>
          <w:sz w:val="28"/>
          <w:szCs w:val="28"/>
          <w:rtl w:val="true"/>
          <w:lang w:bidi="fa-IR"/>
        </w:rPr>
        <w:t>تحول و تغییر پیدا می کنند، به ویژه فرآیند تجدد و پروژه مدرنیته، بسیاری از جزم ها را در درون خود ذوب و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هم در حوزه خصوصی و هم در حوزه عمومی، جزم ها و خط قرمزهایی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جزم ها تک ذهنی است که به سمت حوزه خصوصی رانده می شوند و پاره دیگر بین الاذهانی است که به قانون تبدیل می شوند</w:t>
      </w:r>
      <w:r>
        <w:rPr>
          <w:rFonts w:eastAsia="IRNazanin" w:cs="IRNazanin"/>
          <w:color w:val="111111"/>
          <w:sz w:val="28"/>
          <w:szCs w:val="28"/>
          <w:rtl w:val="true"/>
          <w:lang w:bidi="fa-IR"/>
        </w:rPr>
        <w:t>.</w:t>
      </w:r>
    </w:p>
    <w:p>
      <w:pPr>
        <w:pStyle w:val="Heading4"/>
        <w:numPr>
          <w:ilvl w:val="3"/>
          <w:numId w:val="1"/>
        </w:numPr>
        <w:rPr/>
      </w:pPr>
      <w:bookmarkStart w:id="36" w:name="__RefHeading___Toc3418116_2749589250"/>
      <w:bookmarkStart w:id="37" w:name="_Toc14"/>
      <w:bookmarkEnd w:id="36"/>
      <w:r>
        <w:rPr>
          <w:rtl w:val="true"/>
        </w:rPr>
        <w:t xml:space="preserve">مقاله ششم </w:t>
      </w:r>
      <w:r>
        <w:rPr>
          <w:rtl w:val="true"/>
        </w:rPr>
        <w:t xml:space="preserve">- </w:t>
      </w:r>
      <w:r>
        <w:rPr>
          <w:rtl w:val="true"/>
        </w:rPr>
        <w:t>دین دموکراتیک حکومتی</w:t>
      </w:r>
      <w:bookmarkEnd w:id="37"/>
    </w:p>
    <w:p>
      <w:pPr>
        <w:pStyle w:val="BookText"/>
        <w:rPr/>
      </w:pPr>
      <w:r>
        <w:rPr>
          <w:rFonts w:ascii="IRNazanin" w:hAnsi="IRNazanin" w:eastAsia="IRNazanin"/>
          <w:color w:val="111111"/>
          <w:sz w:val="28"/>
          <w:sz w:val="28"/>
          <w:szCs w:val="28"/>
          <w:rtl w:val="true"/>
          <w:lang w:bidi="fa-IR"/>
        </w:rPr>
        <w:t xml:space="preserve">نویسنده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دموکراتیک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دین و دموکراسی را مورد پرسش و بررسی قرار می دهد و برای پاسخ گویی به آن، ابتدا قرائت های گوناگون از دین و گونه های مختلف دموکراسی را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مدعی می شود دین عرفی و دولتی مبتنی بر نظریه ولایت فقیه و عنصر مصلحت، می تواند با دموکراسی حداقلی جمع شود و با تعمیق و توسعه فرآیند عرفی شدنِ دین، ظرفیت های دموکراسی نیز افزایش می یابد</w:t>
      </w:r>
      <w:r>
        <w:rPr>
          <w:rFonts w:eastAsia="IRNazanin" w:cs="IRNazanin"/>
          <w:color w:val="111111"/>
          <w:sz w:val="28"/>
          <w:szCs w:val="28"/>
          <w:rtl w:val="true"/>
          <w:lang w:bidi="fa-IR"/>
        </w:rPr>
        <w:t>.</w:t>
      </w:r>
    </w:p>
    <w:p>
      <w:pPr>
        <w:pStyle w:val="Heading3"/>
        <w:numPr>
          <w:ilvl w:val="2"/>
          <w:numId w:val="1"/>
        </w:numPr>
        <w:rPr/>
      </w:pPr>
      <w:bookmarkStart w:id="38" w:name="__RefHeading___Toc3418118_2749589250"/>
      <w:bookmarkStart w:id="39" w:name="_Toc15"/>
      <w:bookmarkEnd w:id="38"/>
      <w:r>
        <w:rPr>
          <w:rtl w:val="true"/>
        </w:rPr>
        <w:t>گفتار دوم</w:t>
      </w:r>
      <w:r>
        <w:rPr>
          <w:rtl w:val="true"/>
        </w:rPr>
        <w:t xml:space="preserve">: </w:t>
      </w:r>
      <w:r>
        <w:rPr>
          <w:rtl w:val="true"/>
        </w:rPr>
        <w:t>عرفی شدن ایدئولوژی ها</w:t>
      </w:r>
      <w:bookmarkEnd w:id="39"/>
    </w:p>
    <w:p>
      <w:pPr>
        <w:pStyle w:val="Heading4"/>
        <w:numPr>
          <w:ilvl w:val="3"/>
          <w:numId w:val="1"/>
        </w:numPr>
        <w:rPr/>
      </w:pPr>
      <w:bookmarkStart w:id="40" w:name="__RefHeading___Toc3418120_2749589250"/>
      <w:bookmarkStart w:id="41" w:name="_Toc16"/>
      <w:bookmarkEnd w:id="40"/>
      <w:r>
        <w:rPr>
          <w:rtl w:val="true"/>
        </w:rPr>
        <w:t xml:space="preserve">مقاله اول </w:t>
      </w:r>
      <w:r>
        <w:rPr>
          <w:rtl w:val="true"/>
        </w:rPr>
        <w:t xml:space="preserve">- </w:t>
      </w:r>
      <w:r>
        <w:rPr>
          <w:rtl w:val="true"/>
        </w:rPr>
        <w:t xml:space="preserve">نقدی بر نظریه </w:t>
      </w:r>
      <w:r>
        <w:rPr>
          <w:rtl w:val="true"/>
        </w:rPr>
        <w:t>«</w:t>
      </w:r>
      <w:r>
        <w:rPr>
          <w:rtl w:val="true"/>
        </w:rPr>
        <w:t>فربه تر از ایدئولوژی</w:t>
      </w:r>
      <w:r>
        <w:rPr>
          <w:rtl w:val="true"/>
        </w:rPr>
        <w:t>»</w:t>
      </w:r>
      <w:bookmarkEnd w:id="41"/>
    </w:p>
    <w:p>
      <w:pPr>
        <w:pStyle w:val="BookText"/>
        <w:rPr/>
      </w:pPr>
      <w:r>
        <w:rPr>
          <w:rFonts w:ascii="IRNazanin" w:hAnsi="IRNazanin" w:eastAsia="IRNazanin"/>
          <w:color w:val="111111"/>
          <w:sz w:val="28"/>
          <w:sz w:val="28"/>
          <w:szCs w:val="28"/>
          <w:rtl w:val="true"/>
          <w:lang w:bidi="fa-IR"/>
        </w:rPr>
        <w:t xml:space="preserve">نویسنده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نظریه فربه تر از ایدئولوژی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محاجّه با دکتر سروش، مضمون و 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 بسط تئوریک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پذیرش عصری بودن معرفت دینی یا عرفی شدن قدسی دانسته، ایدئولوژیک شدن دین و سنت را منزلی در نیمه راه فرآیند عرفی شدن قدسی معرفی می کند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ادامه معتقد است اگر دغدغه اصلی، پیشرفت و ترقی باشد، </w:t>
      </w:r>
      <w:bookmarkStart w:id="42" w:name="pg3480_42220"/>
    </w:p>
    <w:p>
      <w:pPr>
        <w:pStyle w:val="BookText"/>
        <w:rPr/>
      </w:pPr>
      <w:bookmarkEnd w:id="42"/>
      <w:r>
        <w:rPr>
          <w:rFonts w:ascii="IRNazanin" w:hAnsi="IRNazanin" w:eastAsia="IRNazanin"/>
          <w:color w:val="111111"/>
          <w:sz w:val="28"/>
          <w:sz w:val="28"/>
          <w:szCs w:val="28"/>
          <w:rtl w:val="true"/>
          <w:lang w:bidi="fa-IR"/>
        </w:rPr>
        <w:t>در این صورت نباید از عرفی کردن قدسیات و تبدیل دین به سکوی پرتاب به شرایط نوین باکی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هم چنین باور دارد که با توجه به عقب ماندگی جوامع پیرامونی و جهان سوّمی، رسیدن به قافله تمدن بشری نیازمند محرّک ایدئولوژیک است</w:t>
      </w:r>
      <w:r>
        <w:rPr>
          <w:rFonts w:eastAsia="IRNazanin" w:cs="IRNazanin"/>
          <w:color w:val="111111"/>
          <w:sz w:val="28"/>
          <w:szCs w:val="28"/>
          <w:rtl w:val="true"/>
          <w:lang w:bidi="fa-IR"/>
        </w:rPr>
        <w:t>.</w:t>
      </w:r>
    </w:p>
    <w:p>
      <w:pPr>
        <w:pStyle w:val="Heading4"/>
        <w:numPr>
          <w:ilvl w:val="3"/>
          <w:numId w:val="1"/>
        </w:numPr>
        <w:rPr/>
      </w:pPr>
      <w:bookmarkStart w:id="43" w:name="__RefHeading___Toc3418122_2749589250"/>
      <w:bookmarkStart w:id="44" w:name="_Toc17"/>
      <w:bookmarkEnd w:id="43"/>
      <w:r>
        <w:rPr>
          <w:rtl w:val="true"/>
        </w:rPr>
        <w:t xml:space="preserve">مقاله دوم </w:t>
      </w:r>
      <w:r>
        <w:rPr>
          <w:rtl w:val="true"/>
        </w:rPr>
        <w:t xml:space="preserve">- </w:t>
      </w:r>
      <w:r>
        <w:rPr>
          <w:rtl w:val="true"/>
        </w:rPr>
        <w:t>دین عصری در عصر ایدئولوژی</w:t>
      </w:r>
      <w:bookmarkEnd w:id="44"/>
    </w:p>
    <w:p>
      <w:pPr>
        <w:pStyle w:val="BookText"/>
        <w:rPr/>
      </w:pPr>
      <w:r>
        <w:rPr>
          <w:rFonts w:ascii="IRNazanin" w:hAnsi="IRNazanin" w:eastAsia="IRNazanin"/>
          <w:color w:val="111111"/>
          <w:sz w:val="28"/>
          <w:sz w:val="28"/>
          <w:szCs w:val="28"/>
          <w:rtl w:val="true"/>
          <w:lang w:bidi="fa-IR"/>
        </w:rPr>
        <w:t xml:space="preserve">نویسنده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عصری در عصر ایدئولوژی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شرایط اجتماعی خاص ایران را زمینه ایدئولوژیک کردن دین دانسته، آن را منزلگاهی در روند عرفی شدن دین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 جهت که ایدئولوژیک کردن دین، خصلت هویت بخشی داشته، نقش شتاب دهنده ای در روند عرفی شدن ایفا می کند و موجبات آزمون پذیری تاریخی دین را فراهم می سازد، آن را مطلوب و مفید می داند</w:t>
      </w:r>
      <w:r>
        <w:rPr>
          <w:rFonts w:eastAsia="IRNazanin" w:cs="IRNazanin"/>
          <w:color w:val="111111"/>
          <w:sz w:val="28"/>
          <w:szCs w:val="28"/>
          <w:rtl w:val="true"/>
          <w:lang w:bidi="fa-IR"/>
        </w:rPr>
        <w:t>.</w:t>
      </w:r>
    </w:p>
    <w:p>
      <w:pPr>
        <w:pStyle w:val="Heading3"/>
        <w:numPr>
          <w:ilvl w:val="2"/>
          <w:numId w:val="1"/>
        </w:numPr>
        <w:rPr/>
      </w:pPr>
      <w:bookmarkStart w:id="45" w:name="__RefHeading___Toc3418124_2749589250"/>
      <w:bookmarkStart w:id="46" w:name="_Toc18"/>
      <w:bookmarkEnd w:id="45"/>
      <w:r>
        <w:rPr>
          <w:rtl w:val="true"/>
        </w:rPr>
        <w:t>گفتار سوم</w:t>
      </w:r>
      <w:r>
        <w:rPr>
          <w:rtl w:val="true"/>
        </w:rPr>
        <w:t xml:space="preserve">: </w:t>
      </w:r>
      <w:r>
        <w:rPr>
          <w:rtl w:val="true"/>
        </w:rPr>
        <w:t>عرفی شدن گفتمان ها</w:t>
      </w:r>
      <w:bookmarkEnd w:id="46"/>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شدن گفتمان ها</w:t>
      </w:r>
    </w:p>
    <w:p>
      <w:pPr>
        <w:pStyle w:val="BookText"/>
        <w:rPr/>
      </w:pPr>
      <w:r>
        <w:rPr>
          <w:rFonts w:ascii="IRNazanin" w:hAnsi="IRNazanin" w:eastAsia="IRNazanin"/>
          <w:color w:val="111111"/>
          <w:sz w:val="28"/>
          <w:sz w:val="28"/>
          <w:szCs w:val="28"/>
          <w:rtl w:val="true"/>
          <w:lang w:bidi="fa-IR"/>
        </w:rPr>
        <w:t>تعالی، تکامل،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گفتمان ترقی در اندیشه روشن فکران دینی</w:t>
      </w:r>
    </w:p>
    <w:p>
      <w:pPr>
        <w:pStyle w:val="BookText"/>
        <w:rPr/>
      </w:pPr>
      <w:r>
        <w:rPr>
          <w:rFonts w:ascii="IRNazanin" w:hAnsi="IRNazanin" w:eastAsia="IRNazanin"/>
          <w:color w:val="111111"/>
          <w:sz w:val="28"/>
          <w:sz w:val="28"/>
          <w:szCs w:val="28"/>
          <w:rtl w:val="true"/>
          <w:lang w:bidi="fa-IR"/>
        </w:rPr>
        <w:t>نویسنده در این مقاله، سه گفتمان تعالی، تکامل و توسعه را در میان اندیشمندان دینی برمی شمارد و معتقد است که گفتمان دوم با شرایط درهم ریخته نظام های ارزشی گسستن پیوندهای اجتماعی و پناه بردن به ایدئولوژی های تاریخی گرا و گفتمان سوم با پیدایش تنظیمات قراردادی و گسترش عقلانیت بازار، متناسب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نویسنده، گفتمان نخست؛ قرائتی عرفانی، گفتمان دوم؛ قرائتی ایدئولوژیک و گفتمان سوم؛ قرائتی عصری و علمی از دین ارائه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گفتمان، همراه با یکدیگر در کشور ما حضور دارند و شرایط بین المللی نیز در پیدایش این گفتمان ها مؤثر بوده است</w:t>
      </w:r>
      <w:r>
        <w:rPr>
          <w:rFonts w:eastAsia="IRNazanin" w:cs="IRNazanin"/>
          <w:color w:val="111111"/>
          <w:sz w:val="28"/>
          <w:szCs w:val="28"/>
          <w:rtl w:val="true"/>
          <w:lang w:bidi="fa-IR"/>
        </w:rPr>
        <w:t xml:space="preserve">. </w:t>
      </w:r>
      <w:bookmarkStart w:id="47" w:name="pg3480_42221"/>
    </w:p>
    <w:p>
      <w:pPr>
        <w:pStyle w:val="Heading3"/>
        <w:numPr>
          <w:ilvl w:val="2"/>
          <w:numId w:val="1"/>
        </w:numPr>
        <w:rPr/>
      </w:pPr>
      <w:bookmarkStart w:id="48" w:name="__RefHeading___Toc3418126_2749589250"/>
      <w:bookmarkStart w:id="49" w:name="_Toc19"/>
      <w:bookmarkEnd w:id="47"/>
      <w:bookmarkEnd w:id="48"/>
      <w:r>
        <w:rPr>
          <w:rtl w:val="true"/>
        </w:rPr>
        <w:t>گفتار چهارم</w:t>
      </w:r>
      <w:r>
        <w:rPr>
          <w:rtl w:val="true"/>
        </w:rPr>
        <w:t xml:space="preserve">: </w:t>
      </w:r>
      <w:r>
        <w:rPr>
          <w:rtl w:val="true"/>
        </w:rPr>
        <w:t>سایر مقالات</w:t>
      </w:r>
      <w:bookmarkEnd w:id="49"/>
    </w:p>
    <w:p>
      <w:pPr>
        <w:pStyle w:val="Heading4"/>
        <w:numPr>
          <w:ilvl w:val="3"/>
          <w:numId w:val="1"/>
        </w:numPr>
        <w:rPr/>
      </w:pPr>
      <w:bookmarkStart w:id="50" w:name="__RefHeading___Toc3418128_2749589250"/>
      <w:bookmarkStart w:id="51" w:name="_Toc20"/>
      <w:bookmarkEnd w:id="50"/>
      <w:r>
        <w:rPr>
          <w:rtl w:val="true"/>
        </w:rPr>
        <w:t xml:space="preserve">مقاله اول </w:t>
      </w:r>
      <w:r>
        <w:rPr>
          <w:rtl w:val="true"/>
        </w:rPr>
        <w:t xml:space="preserve">- </w:t>
      </w:r>
      <w:r>
        <w:rPr>
          <w:rtl w:val="true"/>
        </w:rPr>
        <w:t>گونه شناسی جریان های روشن فکری ایران معاصر</w:t>
      </w:r>
      <w:bookmarkEnd w:id="51"/>
    </w:p>
    <w:p>
      <w:pPr>
        <w:pStyle w:val="BookText"/>
        <w:rPr/>
      </w:pPr>
      <w:r>
        <w:rPr>
          <w:rFonts w:ascii="IRNazanin" w:hAnsi="IRNazanin" w:eastAsia="IRNazanin"/>
          <w:color w:val="111111"/>
          <w:sz w:val="28"/>
          <w:sz w:val="28"/>
          <w:szCs w:val="28"/>
          <w:rtl w:val="true"/>
          <w:lang w:bidi="fa-IR"/>
        </w:rPr>
        <w:t xml:space="preserve">نویسنده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شناسی جریان های روشن فکری ایران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روشن فکر را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گونه شناسی طولی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موضع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روشن فکر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گونه شناسی طولی، سه گفتمان نسخ سنت، احیای سنت و تجدید سنت و در گونه شناسی عرضی، غرب گرایان، گزینش گرایان و بومی گرایان را معرفی می کند</w:t>
      </w:r>
      <w:r>
        <w:rPr>
          <w:rFonts w:eastAsia="IRNazanin" w:cs="IRNazanin"/>
          <w:color w:val="111111"/>
          <w:sz w:val="28"/>
          <w:szCs w:val="28"/>
          <w:rtl w:val="true"/>
          <w:lang w:bidi="fa-IR"/>
        </w:rPr>
        <w:t>.</w:t>
      </w:r>
    </w:p>
    <w:p>
      <w:pPr>
        <w:pStyle w:val="Heading4"/>
        <w:numPr>
          <w:ilvl w:val="3"/>
          <w:numId w:val="1"/>
        </w:numPr>
        <w:rPr/>
      </w:pPr>
      <w:bookmarkStart w:id="52" w:name="__RefHeading___Toc3418130_2749589250"/>
      <w:bookmarkStart w:id="53" w:name="_Toc21"/>
      <w:bookmarkEnd w:id="52"/>
      <w:r>
        <w:rPr>
          <w:rtl w:val="true"/>
        </w:rPr>
        <w:t xml:space="preserve">مقاله دوم </w:t>
      </w:r>
      <w:r>
        <w:rPr>
          <w:rtl w:val="true"/>
        </w:rPr>
        <w:t xml:space="preserve">- </w:t>
      </w:r>
      <w:r>
        <w:rPr>
          <w:rtl w:val="true"/>
        </w:rPr>
        <w:t>دین و خشونت</w:t>
      </w:r>
      <w:bookmarkEnd w:id="53"/>
    </w:p>
    <w:p>
      <w:pPr>
        <w:pStyle w:val="BookText"/>
        <w:rPr/>
      </w:pPr>
      <w:r>
        <w:rPr>
          <w:rFonts w:ascii="IRNazanin" w:hAnsi="IRNazanin" w:eastAsia="IRNazanin"/>
          <w:color w:val="111111"/>
          <w:sz w:val="28"/>
          <w:sz w:val="28"/>
          <w:szCs w:val="28"/>
          <w:rtl w:val="true"/>
          <w:lang w:bidi="fa-IR"/>
        </w:rPr>
        <w:t xml:space="preserve">در مصاحبه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خشونت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براساس چند نظریه در تعریف و تبیین دین، نسبت دین و خشونت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ها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مجموعه ای از ارزش های قدسی و جزمی بوده و در نتیجه، خشونت زاست؛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پدیده ای فرهنگی و لطافت آفرین و در نتیجه، خشونت زداست؛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دین و خشونت به زمینه ای بستگی دارد که دین در آن قرار گرفته است؛ طبقه اجتماعی حاملان دین، هم جواری دین با نهاد دولت، رویارویی فرهنگ های بومی با فرهنگ استعماری، چالش دین با دیگر نهادها و نیاز به بقا، در تشدید یا تخفیف خشونتِ دین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را باید در یک روند و فرآیند مطالعه کرد؛ برای دین سه </w:t>
      </w:r>
      <w:bookmarkStart w:id="54" w:name="pg3480_42222"/>
    </w:p>
    <w:p>
      <w:pPr>
        <w:pStyle w:val="BookText"/>
        <w:rPr/>
      </w:pPr>
      <w:bookmarkEnd w:id="54"/>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شکل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تشخیص داد و مرحله دوم با خشونت، تناسب دارد</w:t>
      </w:r>
      <w:r>
        <w:rPr>
          <w:rFonts w:eastAsia="IRNazanin" w:cs="IRNazanin"/>
          <w:color w:val="111111"/>
          <w:sz w:val="28"/>
          <w:szCs w:val="28"/>
          <w:rtl w:val="true"/>
          <w:lang w:bidi="fa-IR"/>
        </w:rPr>
        <w:t>.</w:t>
      </w:r>
    </w:p>
    <w:p>
      <w:pPr>
        <w:pStyle w:val="Heading4"/>
        <w:numPr>
          <w:ilvl w:val="3"/>
          <w:numId w:val="1"/>
        </w:numPr>
        <w:rPr/>
      </w:pPr>
      <w:bookmarkStart w:id="55" w:name="__RefHeading___Toc3418132_2749589250"/>
      <w:bookmarkStart w:id="56" w:name="_Toc22"/>
      <w:bookmarkEnd w:id="55"/>
      <w:r>
        <w:rPr>
          <w:rtl w:val="true"/>
        </w:rPr>
        <w:t xml:space="preserve">مقاله سوم </w:t>
      </w:r>
      <w:r>
        <w:rPr>
          <w:rtl w:val="true"/>
        </w:rPr>
        <w:t xml:space="preserve">- </w:t>
      </w:r>
      <w:r>
        <w:rPr>
          <w:rtl w:val="true"/>
        </w:rPr>
        <w:t>فرهنگ عاشورا</w:t>
      </w:r>
      <w:bookmarkEnd w:id="56"/>
    </w:p>
    <w:p>
      <w:pPr>
        <w:pStyle w:val="BookText"/>
        <w:rPr/>
      </w:pPr>
      <w:r>
        <w:rPr>
          <w:rFonts w:ascii="IRNazanin" w:hAnsi="IRNazanin" w:eastAsia="IRNazanin"/>
          <w:color w:val="111111"/>
          <w:sz w:val="28"/>
          <w:sz w:val="28"/>
          <w:szCs w:val="28"/>
          <w:rtl w:val="true"/>
          <w:lang w:bidi="fa-IR"/>
        </w:rPr>
        <w:t xml:space="preserve">نویسنده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کارکرد پیش از انقلاب فرهنگ عاشورا را تسلی بخشی می داند که در آستانه انقلاب، با تحول گفتمانی، از گفتمان تسلی، وارد گفتمان تضحیه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احتمال می دهد که امام راحل با استفاده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فرهنگ عاشورا را با فرهنگ تضحیه پیوند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نویسنده، ما در حال حاضر در حال انتقال از فرهنگ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فرهنگ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 و توسعه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امام عارف، پس از انقلاب کم کم در یک تحول فرهنگی، فقیهی پیشتاز می شود و ولایت مطلقه فقیه را طرح می کند</w:t>
      </w:r>
      <w:r>
        <w:rPr>
          <w:rFonts w:eastAsia="IRNazanin" w:cs="IRNazanin"/>
          <w:color w:val="111111"/>
          <w:sz w:val="28"/>
          <w:szCs w:val="28"/>
          <w:rtl w:val="true"/>
          <w:lang w:bidi="fa-IR"/>
        </w:rPr>
        <w:t>.</w:t>
      </w:r>
    </w:p>
    <w:p>
      <w:pPr>
        <w:pStyle w:val="Heading4"/>
        <w:numPr>
          <w:ilvl w:val="3"/>
          <w:numId w:val="1"/>
        </w:numPr>
        <w:rPr/>
      </w:pPr>
      <w:bookmarkStart w:id="57" w:name="__RefHeading___Toc3418134_2749589250"/>
      <w:bookmarkStart w:id="58" w:name="_Toc23"/>
      <w:bookmarkEnd w:id="57"/>
      <w:r>
        <w:rPr>
          <w:rtl w:val="true"/>
        </w:rPr>
        <w:t xml:space="preserve">مقاله چهارم </w:t>
      </w:r>
      <w:r>
        <w:rPr>
          <w:rtl w:val="true"/>
        </w:rPr>
        <w:t xml:space="preserve">- </w:t>
      </w:r>
      <w:r>
        <w:rPr>
          <w:rtl w:val="true"/>
        </w:rPr>
        <w:t xml:space="preserve">بررسی نظریه های رهبری انقلاب </w:t>
      </w:r>
      <w:r>
        <w:rPr>
          <w:rtl w:val="true"/>
        </w:rPr>
        <w:t>(</w:t>
      </w:r>
      <w:r>
        <w:rPr>
          <w:rtl w:val="true"/>
        </w:rPr>
        <w:t xml:space="preserve">با تکیه بر رهبری امام خمینی رحمه الله </w:t>
      </w:r>
      <w:r>
        <w:rPr>
          <w:rtl w:val="true"/>
        </w:rPr>
        <w:t>)</w:t>
      </w:r>
      <w:bookmarkEnd w:id="58"/>
    </w:p>
    <w:p>
      <w:pPr>
        <w:pStyle w:val="BookText"/>
        <w:rPr/>
      </w:pPr>
      <w:r>
        <w:rPr>
          <w:rFonts w:ascii="IRNazanin" w:hAnsi="IRNazanin" w:eastAsia="IRNazanin"/>
          <w:color w:val="111111"/>
          <w:sz w:val="28"/>
          <w:sz w:val="28"/>
          <w:szCs w:val="28"/>
          <w:rtl w:val="true"/>
          <w:lang w:bidi="fa-IR"/>
        </w:rPr>
        <w:t xml:space="preserve">نویسنده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نظریه های رهبری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تکیه بر رهبری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آن است تا با بهره گیری از نظریه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شناسی سیاسی، رهبری امام خمینی رحمه الله را تحلیل کند و در این راه از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ماکس وبر،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توده 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حاشیه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w:t>
      </w:r>
    </w:p>
    <w:p>
      <w:pPr>
        <w:pStyle w:val="Heading4"/>
        <w:numPr>
          <w:ilvl w:val="3"/>
          <w:numId w:val="1"/>
        </w:numPr>
        <w:rPr/>
      </w:pPr>
      <w:bookmarkStart w:id="59" w:name="__RefHeading___Toc3418136_2749589250"/>
      <w:bookmarkStart w:id="60" w:name="_Toc24"/>
      <w:bookmarkEnd w:id="59"/>
      <w:r>
        <w:rPr>
          <w:rtl w:val="true"/>
        </w:rPr>
        <w:t xml:space="preserve">مقاله پنجم </w:t>
      </w:r>
      <w:r>
        <w:rPr>
          <w:rtl w:val="true"/>
        </w:rPr>
        <w:t xml:space="preserve">- </w:t>
      </w:r>
      <w:r>
        <w:rPr>
          <w:rtl w:val="true"/>
        </w:rPr>
        <w:t>انقلاب اسلامی؛ مدرنیت علیه مدرنیزاسیون</w:t>
      </w:r>
      <w:bookmarkEnd w:id="6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مدرنیت علیه مدرنیزاسیون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انقلاب اسلامی را غلبه پروژه مدرنیت بر پروژه مدرنیزاسیون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61" w:name="pg3480_42223"/>
    </w:p>
    <w:p>
      <w:pPr>
        <w:pStyle w:val="BookText"/>
        <w:rPr/>
      </w:pPr>
      <w:bookmarkEnd w:id="61"/>
      <w:r>
        <w:rPr>
          <w:rFonts w:ascii="IRNazanin" w:hAnsi="IRNazanin" w:eastAsia="IRNazanin"/>
          <w:color w:val="111111"/>
          <w:sz w:val="28"/>
          <w:sz w:val="28"/>
          <w:szCs w:val="28"/>
          <w:rtl w:val="true"/>
          <w:lang w:bidi="fa-IR"/>
        </w:rPr>
        <w:t>پروژه مدرنیزاسیون را برون زا، اراده گرایانه، تک خطی و ضد سنت و در مقابل، پروژه مدرنیت را درون زا، ساختاری، چندخطی و بر اساس سنت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انقلاب اسلامی ایران باید در درون پروژه مدرنیته بررسی شود و شعارهای مدرنی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جریان انقلاب سر داده شد و هویت مستقلی را که در انقلاب شکل گرفت، شاهدی برای مدعای خود می آورد</w:t>
      </w:r>
      <w:r>
        <w:rPr>
          <w:rFonts w:eastAsia="IRNazanin" w:cs="IRNazanin"/>
          <w:color w:val="111111"/>
          <w:sz w:val="28"/>
          <w:szCs w:val="28"/>
          <w:rtl w:val="true"/>
          <w:lang w:bidi="fa-IR"/>
        </w:rPr>
        <w:t>.</w:t>
      </w:r>
    </w:p>
    <w:p>
      <w:pPr>
        <w:pStyle w:val="Heading4"/>
        <w:numPr>
          <w:ilvl w:val="3"/>
          <w:numId w:val="1"/>
        </w:numPr>
        <w:rPr/>
      </w:pPr>
      <w:bookmarkStart w:id="62" w:name="__RefHeading___Toc3418138_2749589250"/>
      <w:bookmarkStart w:id="63" w:name="_Toc25"/>
      <w:bookmarkEnd w:id="62"/>
      <w:r>
        <w:rPr>
          <w:rtl w:val="true"/>
        </w:rPr>
        <w:t xml:space="preserve">مقاله ششم </w:t>
      </w:r>
      <w:r>
        <w:rPr>
          <w:rtl w:val="true"/>
        </w:rPr>
        <w:t xml:space="preserve">- </w:t>
      </w:r>
      <w:r>
        <w:rPr>
          <w:rtl w:val="true"/>
        </w:rPr>
        <w:t>توسعه، عدالت، اسلام</w:t>
      </w:r>
      <w:bookmarkEnd w:id="63"/>
    </w:p>
    <w:p>
      <w:pPr>
        <w:pStyle w:val="BookText"/>
        <w:rPr/>
      </w:pPr>
      <w:r>
        <w:rPr>
          <w:rFonts w:ascii="IRNazanin" w:hAnsi="IRNazanin" w:eastAsia="IRNazanin"/>
          <w:color w:val="111111"/>
          <w:sz w:val="28"/>
          <w:sz w:val="28"/>
          <w:szCs w:val="28"/>
          <w:rtl w:val="true"/>
          <w:lang w:bidi="fa-IR"/>
        </w:rPr>
        <w:t xml:space="preserve">نویسنده در بحث تقدم عدالت بر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سه رهیافت سرمایه دارانه، اقتصاد مختلط و اقتصاد سوسیالیستی، گزارشی ارائه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جست وجوی رهیافتی اسلامی در مورد نسبت میان عدالت و توسعه، نخست به بررسی مفهوم عدالت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قرائت متفاوت دینی از مقولاتی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تخصیص منابع و حق مالکیت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قرائت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مشهور که تمایل به مکانیسم قیمت ها برای تخصیص منابع دارد و با بعضی رهیافت های سرمایه دارانه قابل مقایسه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عدالت خواهانه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 و محمدرضا حکیمی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دولت گرایانه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 و مصالح حکومتی یا منافع ملی</w:t>
      </w:r>
      <w:r>
        <w:rPr>
          <w:rFonts w:eastAsia="IRNazanin" w:cs="IRNazanin"/>
          <w:color w:val="111111"/>
          <w:sz w:val="28"/>
          <w:szCs w:val="28"/>
          <w:rtl w:val="true"/>
          <w:lang w:bidi="fa-IR"/>
        </w:rPr>
        <w:t>).</w:t>
      </w:r>
    </w:p>
    <w:p>
      <w:pPr>
        <w:pStyle w:val="Heading4"/>
        <w:numPr>
          <w:ilvl w:val="3"/>
          <w:numId w:val="1"/>
        </w:numPr>
        <w:rPr/>
      </w:pPr>
      <w:bookmarkStart w:id="64" w:name="__RefHeading___Toc3418140_2749589250"/>
      <w:bookmarkStart w:id="65" w:name="_Toc26"/>
      <w:bookmarkEnd w:id="64"/>
      <w:r>
        <w:rPr>
          <w:rtl w:val="true"/>
        </w:rPr>
        <w:t xml:space="preserve">مقاله هفتم </w:t>
      </w:r>
      <w:r>
        <w:rPr>
          <w:rtl w:val="true"/>
        </w:rPr>
        <w:t xml:space="preserve">- </w:t>
      </w:r>
      <w:r>
        <w:rPr>
          <w:rtl w:val="true"/>
        </w:rPr>
        <w:t>نگاهی به مسئله مشروعیت</w:t>
      </w:r>
      <w:bookmarkEnd w:id="6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مسئله 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پایه قوام و مایه دوام هر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سیاسی است، نخست واژه مشروعیت را به حقانیت ترجمه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 از بیان تفاوت میان مشروعیت پیش از استقرار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مشروعیت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مشروعیت پس از استقرار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مشروعیت ثانویه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ذهنی بودن یا عینی بودن مشروعیت می پردازد و قهر و غلبه، سنت، فرّه و عقلانیت را از گونه های مشروعیت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نقش عواملی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اجرای وظایف و تکالیف حکومتی، گسترش مشارکت سیاسی، گسترش نمادهای مشترک و شناخته شدگی بین المللی را در فرآیند مشروعیت یابی مورد بررسی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مشروعیت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 نوع 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بحران مشروعیت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جوامع سنتی، جوامع انتقالی و جوامع پس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در پایان، به مشروعیت منابع مشروعیت بخش اشاره می کند</w:t>
      </w:r>
      <w:r>
        <w:rPr>
          <w:rFonts w:eastAsia="IRNazanin" w:cs="IRNazanin"/>
          <w:color w:val="111111"/>
          <w:sz w:val="28"/>
          <w:szCs w:val="28"/>
          <w:rtl w:val="true"/>
          <w:lang w:bidi="fa-IR"/>
        </w:rPr>
        <w:t xml:space="preserve">. </w:t>
      </w:r>
      <w:bookmarkStart w:id="66" w:name="pg3480_42225"/>
    </w:p>
    <w:p>
      <w:pPr>
        <w:pStyle w:val="Heading2"/>
        <w:numPr>
          <w:ilvl w:val="1"/>
          <w:numId w:val="1"/>
        </w:numPr>
        <w:rPr/>
      </w:pPr>
      <w:bookmarkStart w:id="67" w:name="__RefHeading___Toc3418142_2749589250"/>
      <w:bookmarkStart w:id="68" w:name="_Toc27"/>
      <w:bookmarkEnd w:id="66"/>
      <w:bookmarkEnd w:id="67"/>
      <w:r>
        <w:rPr>
          <w:rtl w:val="true"/>
        </w:rPr>
        <w:t>بخش دوم</w:t>
      </w:r>
      <w:r>
        <w:rPr>
          <w:rtl w:val="true"/>
        </w:rPr>
        <w:t xml:space="preserve">: </w:t>
      </w:r>
      <w:r>
        <w:rPr>
          <w:rtl w:val="true"/>
        </w:rPr>
        <w:t>ارزیابی نظریه سکولاریزاسیون</w:t>
      </w:r>
      <w:bookmarkEnd w:id="68"/>
    </w:p>
    <w:p>
      <w:pPr>
        <w:pStyle w:val="Heading3"/>
        <w:numPr>
          <w:ilvl w:val="2"/>
          <w:numId w:val="1"/>
        </w:numPr>
        <w:rPr/>
      </w:pPr>
      <w:bookmarkStart w:id="69" w:name="__RefHeading___Toc3418144_2749589250"/>
      <w:bookmarkStart w:id="70" w:name="_Toc28"/>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نظریه سکولاریزاسیون</w:t>
      </w:r>
    </w:p>
    <w:p>
      <w:pPr>
        <w:pStyle w:val="BookText"/>
        <w:rPr/>
      </w:pPr>
      <w:r>
        <w:rPr>
          <w:rFonts w:ascii="IRNazanin" w:hAnsi="IRNazanin" w:eastAsia="IRNazanin"/>
          <w:color w:val="111111"/>
          <w:sz w:val="28"/>
          <w:sz w:val="28"/>
          <w:szCs w:val="28"/>
          <w:rtl w:val="true"/>
          <w:lang w:bidi="fa-IR"/>
        </w:rPr>
        <w:t>زیر فصل ها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به مقدمه کتاب سکولاریزاسیون </w:t>
      </w:r>
      <w:bookmarkStart w:id="71" w:name="pg3480_42226"/>
    </w:p>
    <w:p>
      <w:pPr>
        <w:pStyle w:val="Heading3"/>
        <w:numPr>
          <w:ilvl w:val="2"/>
          <w:numId w:val="1"/>
        </w:numPr>
        <w:rPr/>
      </w:pPr>
      <w:bookmarkStart w:id="72" w:name="__RefHeading___Toc3418146_2749589250"/>
      <w:bookmarkStart w:id="73" w:name="_Toc29"/>
      <w:bookmarkEnd w:id="71"/>
      <w:bookmarkEnd w:id="72"/>
      <w:r>
        <w:rPr>
          <w:rtl w:val="true"/>
        </w:rPr>
        <w:t>نگاهی به مقدمه کتاب سکولاریزاسیون</w:t>
      </w:r>
      <w:bookmarkEnd w:id="73"/>
    </w:p>
    <w:p>
      <w:pPr>
        <w:pStyle w:val="Heading4"/>
        <w:numPr>
          <w:ilvl w:val="3"/>
          <w:numId w:val="1"/>
        </w:numPr>
        <w:rPr/>
      </w:pPr>
      <w:bookmarkStart w:id="74" w:name="__RefHeading___Toc3418148_2749589250"/>
      <w:bookmarkStart w:id="75" w:name="_Toc30"/>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نگاهی به مقدمه کتاب سکولاریزاسیون</w:t>
      </w:r>
    </w:p>
    <w:p>
      <w:pPr>
        <w:pStyle w:val="BookText"/>
        <w:rPr/>
      </w:pPr>
      <w:r>
        <w:rPr>
          <w:rFonts w:ascii="IRNazanin" w:hAnsi="IRNazanin" w:eastAsia="IRNazanin"/>
          <w:color w:val="111111"/>
          <w:sz w:val="28"/>
          <w:sz w:val="28"/>
          <w:szCs w:val="28"/>
          <w:rtl w:val="true"/>
          <w:lang w:bidi="fa-IR"/>
        </w:rPr>
        <w:t>مقدمه نویسنده را می توان آخرین کلام او و جمع بندی کتاب دانست که در عین حال، دورنمایی از مطالب و محتوای کتاب و نیز روش کار او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را در ده عنوان مورد بررسی قرار می دهیم؛ با این توضیح که تحلیل کامل مقدمه، نیازمند مجال فراخ تری است</w:t>
      </w:r>
      <w:r>
        <w:rPr>
          <w:rFonts w:eastAsia="IRNazanin" w:cs="IRNazanin"/>
          <w:color w:val="111111"/>
          <w:sz w:val="28"/>
          <w:szCs w:val="28"/>
          <w:rtl w:val="true"/>
          <w:lang w:bidi="fa-IR"/>
        </w:rPr>
        <w:t>.</w:t>
      </w:r>
    </w:p>
    <w:p>
      <w:pPr>
        <w:pStyle w:val="Heading4"/>
        <w:numPr>
          <w:ilvl w:val="3"/>
          <w:numId w:val="1"/>
        </w:numPr>
        <w:rPr/>
      </w:pPr>
      <w:bookmarkStart w:id="76" w:name="__RefHeading___Toc3418150_2749589250"/>
      <w:bookmarkStart w:id="77" w:name="_Toc31"/>
      <w:bookmarkEnd w:id="76"/>
      <w:r>
        <w:rPr>
          <w:rtl w:val="true"/>
        </w:rPr>
        <w:t xml:space="preserve">اول </w:t>
      </w:r>
      <w:r>
        <w:rPr>
          <w:rtl w:val="true"/>
        </w:rPr>
        <w:t xml:space="preserve">- </w:t>
      </w:r>
      <w:r>
        <w:rPr>
          <w:rtl w:val="true"/>
        </w:rPr>
        <w:t>تعریف سکولاریزاسیون</w:t>
      </w:r>
      <w:bookmarkEnd w:id="77"/>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سکولاریزاسیون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سکولاریزاسیون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یا عرفی شدن را بخشی از روند عام تر افتراق ساختاری یا تخصیص نقش ها معرفی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نقد مباحث کتاب خواهیم دید، برابر نهاد صحیح سکولاریزاسیون، دنیوی شدن است، ولی نویسنده، تعریف های گوناگونی را از سکولاریزاسیون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مقدمه، سه گونه تعریف و مفهوم از سکولاریزاسیون ارائه شده است که با یکدیگر تنافی و تهافت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به پیروی از دورکیم و کارکردگرایی، سکولاریزاسیون را به معنای تفکیک نهاد دین از نهاد دولت، رفتن دین به حوزه خصوصی و رفتن دولت به حوزه عمومی تعریف می کند، در حالی که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عرفی شدن و </w:t>
      </w:r>
    </w:p>
    <w:p>
      <w:pPr>
        <w:pStyle w:val="BookText"/>
        <w:rPr/>
      </w:pPr>
      <w:r>
        <w:rPr>
          <w:rFonts w:ascii="IRNazanin" w:hAnsi="IRNazanin" w:eastAsia="IRNazanin"/>
          <w:color w:val="111111"/>
          <w:sz w:val="28"/>
          <w:sz w:val="28"/>
          <w:szCs w:val="28"/>
          <w:rtl w:val="true"/>
          <w:lang w:bidi="fa-IR"/>
        </w:rPr>
        <w:t>سکولاریزاسیون را به معنای دنیوی شدن امور و ارزش های قدسی می داند که خود محصول فرآیند بازاری شدن است؛ یعنی دین با آمدن به بازار سیاست و بین الملل و در نتیجه حوزه عمومی دنیوی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نویسنده با رفتن دین به حوزه خصوصی، سکولاریزاسیون محقق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دین به حوزه عمومی، سکولاریزاسیون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یا در حوزه خصوصی است یا در حوزه عمومی و معلوم نیست که آیا شقّ دیگری هم متصور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دین یا باید در حوزه خصوصی جای گیرد که می شود سکولاریزاسیون یا باید در حوزه عمومی باشد که باز هم می شود سکولاریزاسیون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چه زمانی از نظر نویسنده، سکولاریزاسیون تحقق نمی یابد، به هیچ وجه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چنان تور بزرگی گسترده است که هیچ چیزی صید نمی کند و هر رفتاری که از دین سر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نظریه نویسنده صدق می کند و هیچ گونه قابلیت ابطال پذیری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مشخصه علمی ندارد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برای آشنایان با مباحث مربوط به سکولاریزاسیون، روشن است که این تهافت و آشفتگی در کلام نویسنده، ناشی از این است که وی تصویر روشنی از سکولاریزاسیون ندارد و مباحث گوناگون این موضوع را با یکدیگر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همین دو تعریف متناقض از سکولاریزاسیون، مطلبی که نویسنده می خواهد بگوید و به هیچ وجه در سراسر کتاب نتوانسته آن را بیان کند، این است که گاه </w:t>
      </w:r>
    </w:p>
    <w:p>
      <w:pPr>
        <w:pStyle w:val="BookText"/>
        <w:rPr/>
      </w:pPr>
      <w:r>
        <w:rPr>
          <w:rFonts w:ascii="IRNazanin" w:hAnsi="IRNazanin" w:eastAsia="IRNazanin"/>
          <w:color w:val="111111"/>
          <w:sz w:val="28"/>
          <w:sz w:val="28"/>
          <w:szCs w:val="28"/>
          <w:rtl w:val="true"/>
          <w:lang w:bidi="fa-IR"/>
        </w:rPr>
        <w:t>متعلّق سکولاریزاسیون، حوزه عمومی است؛ یعنی حوزه عمومی، دنیوی می شود و در نتیجه، دین از حوزه عمومی به حوزه خصوصی می رود و گاه متعلق سکولاریزاسیون دین است؛ یعنی دین دنیوی می شود و اصالت های الهی خود را از دست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سومی از سکولاریزاسیون ارائه می دهد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عرفی شدن یکی از مهم ترین تجلیات مدرنیته است و گوهر مدرنیته خرد نقاد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عرصه سکولاریزاسیون را نیز عرصه ای عمومی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عرصه عمومی، عرصه آزمون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دین با آمدن به عرصه عمومی، در معرض نقد خرد نقاد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معنا از سکولاریزاسیون با معنای اولی که نویسنده گفته، درست است؛ زیرا در معنای اول، دین به حوزه خصوصی می رفت و در این معنا، دین به عرصه عمومی می آید و در رویارویی با خرد نقاد، استحاله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جالب این است که مهم ترین تجلیات مدرنیته که گوهر آن خرد نقاد است، از نظر نویسنده از زمان آکوئیناس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دوازدهم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فی المثل از زمان دکارت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هجدهم میلادی</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جالب تر این که بدین ترتیب، سکولاریزاسیون و مدرنیته نه تنها تا زمان آکوئیناس عقب می رود، بلکه به یک معنا تازمان آگوستین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سکولاریزاسیون و </w:t>
      </w:r>
      <w:bookmarkStart w:id="78" w:name="pg3480_42229"/>
    </w:p>
    <w:p>
      <w:pPr>
        <w:pStyle w:val="BookText"/>
        <w:rPr/>
      </w:pPr>
      <w:bookmarkEnd w:id="78"/>
      <w:r>
        <w:rPr>
          <w:rFonts w:ascii="IRNazanin" w:hAnsi="IRNazanin" w:eastAsia="IRNazanin"/>
          <w:color w:val="111111"/>
          <w:sz w:val="28"/>
          <w:sz w:val="28"/>
          <w:szCs w:val="28"/>
          <w:rtl w:val="true"/>
          <w:lang w:bidi="fa-IR"/>
        </w:rPr>
        <w:t xml:space="preserve">مدرنیته را حتی در قرون اول میلادی نیز می توان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مدرنیته ای تنها برای نویسنده کشف شده و برای کسی تاکنون آشکار نگردیده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چنین نظری قایل دیگری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تر از همه این که، نویسنده تمام این گونه نظریه پردازی های درباره سکولاریزاسیون را بر آرای جامعه شناسانی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اسپنسر، زیمل، تونیس، دورکیم و وبر مبتنی می داند که خود درباره آرای آنان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های قدیمی درباره سکولاریزاسیون، یعنی آرای کسانی هم چون کنت، اسپنسر، زیمل، تونیس، دورکیم و وبر دیگر مقبولیت چندانی ندارد و جای خود را به نظریات جدیدتری سپرده است که متفکرانی هم چون چارلز گلاک، رادنی استارک یا فیلیپ هامون مطرح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نویسنده نیز نظریه پردازی های خود را که مبتنی بر آرای همین کسان بوده و در جای جای کتاب به آنان استناد کرده است، قدیمی و بدون مقبولیت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و بررسی دیگر مقاله های کتاب با تفصیل بیش تر، سکولاریزاسیون یا دنیوی شدن را مورد بررسی قرار داده ایم و در این جا، به همین مختصر که برای نشان دادن آشفتگی تئوریک کتاب کافی به نظر می آید، بسنده می کنیم</w:t>
      </w:r>
      <w:r>
        <w:rPr>
          <w:rFonts w:eastAsia="IRNazanin" w:cs="IRNazanin"/>
          <w:color w:val="111111"/>
          <w:sz w:val="28"/>
          <w:szCs w:val="28"/>
          <w:rtl w:val="true"/>
          <w:lang w:bidi="fa-IR"/>
        </w:rPr>
        <w:t>.</w:t>
      </w:r>
    </w:p>
    <w:p>
      <w:pPr>
        <w:pStyle w:val="Heading4"/>
        <w:numPr>
          <w:ilvl w:val="3"/>
          <w:numId w:val="1"/>
        </w:numPr>
        <w:rPr/>
      </w:pPr>
      <w:bookmarkStart w:id="79" w:name="__RefHeading___Toc3418152_2749589250"/>
      <w:bookmarkStart w:id="80" w:name="_Toc32"/>
      <w:bookmarkEnd w:id="79"/>
      <w:r>
        <w:rPr>
          <w:rtl w:val="true"/>
        </w:rPr>
        <w:t xml:space="preserve">دوم </w:t>
      </w:r>
      <w:r>
        <w:rPr>
          <w:rtl w:val="true"/>
        </w:rPr>
        <w:t xml:space="preserve">- </w:t>
      </w:r>
      <w:r>
        <w:rPr>
          <w:rtl w:val="true"/>
        </w:rPr>
        <w:t>تخصیص نقش ها و افتراق ساختاری</w:t>
      </w:r>
      <w:bookmarkEnd w:id="80"/>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نقش ها و افتراق ساختاری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در توضیح افتراق ساختاری یا تخصیص نقش ها یا همان روند عام تری که سکولاریزاسیون را پوشش می دهد، می گوید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افتراق ساختارها و تخصیص نقش ها، حوزه خصوصی و حوزه عمومی </w:t>
      </w:r>
    </w:p>
    <w:p>
      <w:pPr>
        <w:pStyle w:val="BookText"/>
        <w:rPr/>
      </w:pPr>
      <w:r>
        <w:rPr>
          <w:rFonts w:ascii="IRNazanin" w:hAnsi="IRNazanin" w:eastAsia="IRNazanin"/>
          <w:color w:val="111111"/>
          <w:sz w:val="28"/>
          <w:sz w:val="28"/>
          <w:szCs w:val="28"/>
          <w:rtl w:val="true"/>
          <w:lang w:bidi="fa-IR"/>
        </w:rPr>
        <w:t>را از یکدیگر تفکیک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حوزه در گذشته تمایز چندانی از یکدیگر نداشتند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تدریج حوزه عمومی شکل گرفت و از حوزه خصوصی متمایز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به حوزه عمومی درآمد و دین در حوزه خصوصی جای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تعدادی از اندیشمندان،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دورکیم و وبر تلاش کردند برای تمدن صنعتی غرب، تبیین هایی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تبیین ها، افتراق ساختاری و تخصیص نقش ها است که از نوعی انتزاع و بزرگ نمایی خالی نیست؛ زیرا از گذشته، نوعی تقسیم کار و تخصیص نقش وجود داشته و در طول تاریخ نیز، به نوعی، تفکیک حوزه خصوصی و حوزه عمومی در 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تفکیک، امری نسبی است و حتی امروزه نیز نمی توان به طور مطلق از تفکیک این دو حوزه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تفکیک نسبی دو حوزه خصوصی و عمومی را در تاریخ خلافت اسلامی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قضیه زره آن حضرت که در دست مرد یهودی بود، با این که خلیفه مسلمانان بود، شخصا حکم نکرد، بلکه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دادگاه و نزد قاضی برد که نشان دهنده تمایز دو امر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حکم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موارد گوناگون، مردم به خلفا اعتراض می کردند و آنان را مورد پرسش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 دهد که بر خلاف نظر نویسنده، مردم، سرزمین اسلامی را منزل و ملک خصوصی خلفا نمی دانستند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حتی در یونان باستان و قبل از میلاد مسیح نیز وجود </w:t>
      </w:r>
      <w:bookmarkStart w:id="81" w:name="pg3480_42231"/>
    </w:p>
    <w:p>
      <w:pPr>
        <w:pStyle w:val="BookText"/>
        <w:rPr/>
      </w:pPr>
      <w:bookmarkEnd w:id="81"/>
      <w:r>
        <w:rPr>
          <w:rFonts w:ascii="IRNazanin" w:hAnsi="IRNazanin" w:eastAsia="IRNazanin"/>
          <w:color w:val="111111"/>
          <w:sz w:val="28"/>
          <w:sz w:val="28"/>
          <w:szCs w:val="28"/>
          <w:rtl w:val="true"/>
          <w:lang w:bidi="fa-IR"/>
        </w:rPr>
        <w:t>نوعی حوزه عمومی متمایز از حوزه خصوصی گزارش شده و برخی اندیشمندان معاصر،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هانا آرنت، خواهان بازگشت به آن حوزه عمومی و احیای آن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حوزه خصوصی جای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معناست؟</w:t>
      </w:r>
    </w:p>
    <w:p>
      <w:pPr>
        <w:pStyle w:val="BookText"/>
        <w:rPr/>
      </w:pPr>
      <w:r>
        <w:rPr>
          <w:rFonts w:ascii="IRNazanin" w:hAnsi="IRNazanin" w:eastAsia="IRNazanin"/>
          <w:color w:val="111111"/>
          <w:sz w:val="28"/>
          <w:sz w:val="28"/>
          <w:szCs w:val="28"/>
          <w:rtl w:val="true"/>
          <w:lang w:bidi="fa-IR"/>
        </w:rPr>
        <w:t>کدام دین در حوزه خصوصی جای گرفت؟ آیا مسیحیت در حوزه خصوصی جای گرفت یا اسلام؟ آیا برای نمونه، مسیحیت که در حوزه خصوصی جای گرفت، از اول مدعی حوزه عمومی بود که اکنون برخلاف ادعای اولیه خود در حوزه خصوصی جای گرفته باشد یا از آغاز نیز کار قیصر را به قیصر سپرده و حوزه عمومی را به اهلش واگذارده بود؟</w:t>
      </w:r>
      <w:r>
        <w:rPr>
          <w:rStyle w:val="FootnoteAnchor"/>
          <w:rtl w:val="true"/>
        </w:rPr>
        <w:footnoteReference w:id="2"/>
      </w:r>
      <w:r>
        <w:rPr>
          <w:rFonts w:ascii="IRNazanin" w:hAnsi="IRNazanin" w:eastAsia="IRNazanin"/>
          <w:color w:val="111111"/>
          <w:sz w:val="28"/>
          <w:sz w:val="28"/>
          <w:szCs w:val="28"/>
          <w:rtl w:val="true"/>
          <w:lang w:bidi="fa-IR"/>
        </w:rPr>
        <w:t>آیا می توان تاریخ مسیحیت را به همه ادیان، به ویژه اسلام تعمیم داد؟</w:t>
      </w:r>
    </w:p>
    <w:p>
      <w:pPr>
        <w:pStyle w:val="Heading4"/>
        <w:numPr>
          <w:ilvl w:val="3"/>
          <w:numId w:val="1"/>
        </w:numPr>
        <w:rPr/>
      </w:pPr>
      <w:bookmarkStart w:id="82" w:name="__RefHeading___Toc3418154_2749589250"/>
      <w:bookmarkStart w:id="83" w:name="_Toc33"/>
      <w:bookmarkEnd w:id="82"/>
      <w:r>
        <w:rPr>
          <w:rtl w:val="true"/>
        </w:rPr>
        <w:t xml:space="preserve">سوم </w:t>
      </w:r>
      <w:r>
        <w:rPr>
          <w:rtl w:val="true"/>
        </w:rPr>
        <w:t xml:space="preserve">- </w:t>
      </w:r>
      <w:r>
        <w:rPr>
          <w:rtl w:val="true"/>
        </w:rPr>
        <w:t>ارزش و هنجار</w:t>
      </w:r>
      <w:bookmarkEnd w:id="83"/>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هنجار</w:t>
      </w:r>
    </w:p>
    <w:p>
      <w:pPr>
        <w:pStyle w:val="BookText"/>
        <w:rPr/>
      </w:pPr>
      <w:r>
        <w:rPr>
          <w:rFonts w:ascii="IRNazanin" w:hAnsi="IRNazanin" w:eastAsia="IRNazanin"/>
          <w:color w:val="111111"/>
          <w:sz w:val="28"/>
          <w:sz w:val="28"/>
          <w:szCs w:val="28"/>
          <w:rtl w:val="true"/>
          <w:lang w:bidi="fa-IR"/>
        </w:rPr>
        <w:t>نویسنده برای تبیین سکولاریزاسیون در تعریف دیگری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های دینی و دیگر انواع ارزش ها، هنگامی که در عرف عام تری قرارمی گیرند، به هنجار تبدیل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آشنایان با مفاهیم جامعه شناسی می دانند که در جامعه شناسی،</w:t>
      </w:r>
    </w:p>
    <w:p>
      <w:pPr>
        <w:pStyle w:val="BookText"/>
        <w:rPr/>
      </w:pPr>
      <w:r>
        <w:rPr>
          <w:rFonts w:ascii="IRNazanin" w:hAnsi="IRNazanin" w:eastAsia="IRNazanin"/>
          <w:color w:val="111111"/>
          <w:sz w:val="28"/>
          <w:sz w:val="28"/>
          <w:szCs w:val="28"/>
          <w:rtl w:val="true"/>
          <w:lang w:bidi="fa-IR"/>
        </w:rPr>
        <w:t>واژه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یا هنجار، معانی خاصی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از این مطلب می گذریم که آیا نویسنده این واژه ها را در معانی خود به کار می برد یا معنای دیگری از این واژه ها در نظر دارد و این که میان آن چه در این جا و در این باب می گوید و مطالبی که در ادامه یا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چه تهافت 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پرسش را طرح می کنیم که تبدیل ارزش ها به هنجار یعنی چه؟ آیا ارزش، هنجار می شود و به عنوان هنجار تلقی می گردد؟ که این خلاف مقصود و مراد نویسنده است؛ زیرا نویسنده می خواهد بگوید ارزش ها به حوزه خصوصی رفته است و حوزه عمومی، عرصه هنجارها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می خواهد بگوید منشأ هنجارها، ارزش هاست که باز هم نشان دهنده ادامه حیات ارزش ها در عرصه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می خواهد بگوید، ارزش ها در عرصه عمومی کان لم یکن تلقی شده، هیچ ارزشی در حوزه عمومی باقی نمی ماند و تنها چیزی که در عرصه عمومی جلوه گری می کند، هنجار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این تعریف هم نادرست است؛ زیرا هنجارها بر اساس ارزش ها شکل می گیرد و با ارزش ها بی ارتباط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واقعیت جهان امروز این است که روابط و سیاست های بین المللی، بر اساس ارزش ها نه ارزش های دینی بلکه ارزش های عرفی یعنی هنجارها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می شود که سکولاریزاسیون مورد نظر نویسنده، هنوز تحقق نیافته و او در مقام یک پیش گو تنها به </w:t>
      </w:r>
      <w:bookmarkStart w:id="84" w:name="pg3480_42233"/>
    </w:p>
    <w:p>
      <w:pPr>
        <w:pStyle w:val="BookText"/>
        <w:rPr/>
      </w:pPr>
      <w:bookmarkEnd w:id="84"/>
      <w:r>
        <w:rPr>
          <w:rFonts w:ascii="IRNazanin" w:hAnsi="IRNazanin" w:eastAsia="IRNazanin"/>
          <w:color w:val="111111"/>
          <w:sz w:val="28"/>
          <w:sz w:val="28"/>
          <w:szCs w:val="28"/>
          <w:rtl w:val="true"/>
          <w:lang w:bidi="fa-IR"/>
        </w:rPr>
        <w:t>پیش گویی فرآیند سکولاریزاسیون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واقعیت این است که در عالم خارج ما شاهدیم که هم در حوزه امور خصوصی دارای خط قرمزها و جزمیات و دگم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ارزش های موضوع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هم در حوزه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گونه که گفته شد باید سکولاریزاسیون ادعایی نویسنده را از نظر خود او منتفی دانست</w:t>
      </w:r>
      <w:r>
        <w:rPr>
          <w:rFonts w:eastAsia="IRNazanin" w:cs="IRNazanin"/>
          <w:color w:val="111111"/>
          <w:sz w:val="28"/>
          <w:szCs w:val="28"/>
          <w:rtl w:val="true"/>
          <w:lang w:bidi="fa-IR"/>
        </w:rPr>
        <w:t>!</w:t>
      </w:r>
    </w:p>
    <w:p>
      <w:pPr>
        <w:pStyle w:val="Heading4"/>
        <w:numPr>
          <w:ilvl w:val="3"/>
          <w:numId w:val="1"/>
        </w:numPr>
        <w:rPr/>
      </w:pPr>
      <w:bookmarkStart w:id="85" w:name="__RefHeading___Toc3418156_2749589250"/>
      <w:bookmarkStart w:id="86" w:name="_Toc34"/>
      <w:bookmarkEnd w:id="85"/>
      <w:r>
        <w:rPr>
          <w:rtl w:val="true"/>
        </w:rPr>
        <w:t xml:space="preserve">چهارم </w:t>
      </w:r>
      <w:r>
        <w:rPr>
          <w:rtl w:val="true"/>
        </w:rPr>
        <w:t xml:space="preserve">- </w:t>
      </w:r>
      <w:r>
        <w:rPr>
          <w:rtl w:val="true"/>
        </w:rPr>
        <w:t>فرآیند بازاری شدن و ارزش های عموم بشری</w:t>
      </w:r>
      <w:bookmarkEnd w:id="86"/>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بازاری شدن و ارزش های عموم بشری</w:t>
      </w:r>
    </w:p>
    <w:p>
      <w:pPr>
        <w:pStyle w:val="BookText"/>
        <w:rPr/>
      </w:pPr>
      <w:r>
        <w:rPr>
          <w:rFonts w:ascii="IRNazanin" w:hAnsi="IRNazanin" w:eastAsia="IRNazanin"/>
          <w:color w:val="111111"/>
          <w:sz w:val="28"/>
          <w:sz w:val="28"/>
          <w:szCs w:val="28"/>
          <w:rtl w:val="true"/>
          <w:lang w:bidi="fa-IR"/>
        </w:rPr>
        <w:t>نویسنده در تبیین آثار و نتایج فرآیند بازاری شدن بر سکولاریزاسیون و توضیح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مقیاس و مناط ما کل جامعه بشری باشد، آیا هیچ ارزشی باقی می ماند؟ یعنی آیا ارزش های عموم بشری وجود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کنیم که ارزش های عموم بشری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موضوع می تواند به معنای سکولاریزاسیون و بی اعتبار شدن ارزش های قدسی باشد؟ مگر ارزش بودن ارزش یا قدسی بودن آن، منوط به این است که همه بشریت آن را بپذیرد؟</w:t>
      </w:r>
    </w:p>
    <w:p>
      <w:pPr>
        <w:pStyle w:val="BookText"/>
        <w:rPr/>
      </w:pPr>
      <w:r>
        <w:rPr>
          <w:rFonts w:ascii="IRNazanin" w:hAnsi="IRNazanin" w:eastAsia="IRNazanin"/>
          <w:color w:val="111111"/>
          <w:sz w:val="28"/>
          <w:sz w:val="28"/>
          <w:szCs w:val="28"/>
          <w:rtl w:val="true"/>
          <w:lang w:bidi="fa-IR"/>
        </w:rPr>
        <w:t>قدس یا ارزش از نظر دیگران و همچنین معتقدان به آن، امری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این امر واقعی معتقدند و عده ای به آن معتقد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یا عدم اعتقاد کثرت و یا قلّت معتقدان، در قدسی بودن قدس یا ارزش بودن ارزش تأثیری ندارد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گمان کرده است که اگر نشان دهد فرآیند بازاری شدن یا فرآیند جهانی سازی، ارزشی باقی نگذاشته؛ عرفی شدن و سکولاریزاسیون را به اثبات رسانده است، در حالی که میان این دو موضوع، ربطی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آیا اگر صلیب واقعا شی ء </w:t>
      </w:r>
    </w:p>
    <w:p>
      <w:pPr>
        <w:pStyle w:val="BookText"/>
        <w:rPr/>
      </w:pPr>
      <w:r>
        <w:rPr>
          <w:rFonts w:ascii="IRNazanin" w:hAnsi="IRNazanin" w:eastAsia="IRNazanin"/>
          <w:color w:val="111111"/>
          <w:sz w:val="28"/>
          <w:sz w:val="28"/>
          <w:szCs w:val="28"/>
          <w:rtl w:val="true"/>
          <w:lang w:bidi="fa-IR"/>
        </w:rPr>
        <w:t xml:space="preserve">مقدسی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نظر معتقدان به آن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آن را مقدس ندانند، از مقدس بودن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اصلاً قرار است که غیرمسیحیان نیز صلیب را مقدس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اعتقاد مسلمانان، قدوس علی الاطلاق، ذات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عده ای به خدا معتقد نباشند، آیا خدا دیگر خدا نیست یا مقدس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نظر نویسنده، باید گفت ارزش های عموم بشری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انسان ها برای دین داری، وفاداری، پای بندی به قرارداد، آزادی و عدالت ارزش قایل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جنایت هایی که امروزه در صحنه بین المللی انجام می گیرد، همه زیر پوشش این گونه ارزش 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دموکراسی، و یا عدالت برای آزادی، رعایت منشور سازمان ملل و حقوق بشر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نویسنده ناگزیر باید بپذیرد که استدلال او به نفع سکولاریزاسیون، مخدوش و نادرست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از آغاز ورود به مدینه، منشوری نوشت و با گروهی از اهالی مدینه که هنوز مسلمان نشده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و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و معاهده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پیامبر یک عمل دینی، شرعی و ارزشی بود یا یک امر غیردینی، غیرشرعی و غیرارزشی؟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نفس قرارداد و تعهد و وفای به قرارداد یک امر ارزشی است یا امر هنجاری؟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نویسنده این گونه امور را هنجاری بداند، باید بپذیرد که اسلام از آغاز، دینی هنجاری، عرفی و به قول نویسنده، سکولار بوده است که </w:t>
      </w:r>
      <w:bookmarkStart w:id="87" w:name="pg3480_42235"/>
    </w:p>
    <w:p>
      <w:pPr>
        <w:pStyle w:val="BookText"/>
        <w:rPr/>
      </w:pPr>
      <w:bookmarkEnd w:id="87"/>
      <w:r>
        <w:rPr>
          <w:rFonts w:ascii="IRNazanin" w:hAnsi="IRNazanin" w:eastAsia="IRNazanin"/>
          <w:color w:val="111111"/>
          <w:sz w:val="28"/>
          <w:sz w:val="28"/>
          <w:szCs w:val="28"/>
          <w:rtl w:val="true"/>
          <w:lang w:bidi="fa-IR"/>
        </w:rPr>
        <w:t>البته پذیرش این معنا با مبانی و محتوای نظریه نویسنده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گونه امور ارزشی و قدسی محسوب می شوند که در این صورت، استدلال های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مبتنی بر غیرارزشی دانستن این گونه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و مخدوش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 فرض، در صحنه بین المللی، نقض عهد و پیمان به مرور یک هنجار گردد، به صرف هنجار شدن آن، آیا این فرآیند از نظر نویسنده مطلوب و صحیح است یا نویسنده آن را نفی و نقد می کند؟ اگر آن را نفی و نقد می کند، بر چه اساسی است؟ آیا غیر از این است که برای نقد و نفی چنین هنجار نادرستی، به ارزش هایی چون پای بندی به معاهدات تمسک می جوید؟</w:t>
      </w:r>
      <w:r>
        <w:rPr>
          <w:rFonts w:eastAsia="IRNazanin" w:cs="IRNazanin"/>
          <w:color w:val="111111"/>
          <w:sz w:val="28"/>
          <w:szCs w:val="28"/>
          <w:rtl w:val="true"/>
          <w:lang w:bidi="fa-IR"/>
        </w:rPr>
        <w:t>!</w:t>
      </w:r>
    </w:p>
    <w:p>
      <w:pPr>
        <w:pStyle w:val="Heading4"/>
        <w:numPr>
          <w:ilvl w:val="3"/>
          <w:numId w:val="1"/>
        </w:numPr>
        <w:rPr/>
      </w:pPr>
      <w:bookmarkStart w:id="88" w:name="__RefHeading___Toc3418158_2749589250"/>
      <w:bookmarkStart w:id="89" w:name="_Toc35"/>
      <w:bookmarkEnd w:id="88"/>
      <w:r>
        <w:rPr>
          <w:rtl w:val="true"/>
        </w:rPr>
        <w:t xml:space="preserve">پنجم </w:t>
      </w:r>
      <w:r>
        <w:rPr>
          <w:rtl w:val="true"/>
        </w:rPr>
        <w:t xml:space="preserve">- </w:t>
      </w:r>
      <w:r>
        <w:rPr>
          <w:rtl w:val="true"/>
        </w:rPr>
        <w:t>سکولاریزاسیون، مدرنیته، تاریخ</w:t>
      </w:r>
      <w:bookmarkEnd w:id="89"/>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سکولاریزاسیون، مدرنیته، تاریخ</w:t>
      </w:r>
    </w:p>
    <w:p>
      <w:pPr>
        <w:pStyle w:val="BookText"/>
        <w:rPr/>
      </w:pPr>
      <w:r>
        <w:rPr>
          <w:rFonts w:ascii="IRNazanin" w:hAnsi="IRNazanin" w:eastAsia="IRNazanin"/>
          <w:color w:val="111111"/>
          <w:sz w:val="28"/>
          <w:sz w:val="28"/>
          <w:szCs w:val="28"/>
          <w:rtl w:val="true"/>
          <w:lang w:bidi="fa-IR"/>
        </w:rPr>
        <w:t xml:space="preserve">نویسنده، عرفی شدن را از مهم ترین تجلیات مدرنیته معرفی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بیان شد، این گفتار نویسنده با دیگر مطالب کتاب و حتی با مطالب مقدمه ناسازگار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دنیوی شدن محصول فرآیند بازاری شدن است، فرآیند بازاری شدن در گذشته های دور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مختلف و معتقدان به ادیان گوناگون با یکدیگر تبادل، مبادله، معامله و قرارداد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افراد در قرارداد، معامله و تبادل، معمولاً به یک نتیجه مرضی الطرفین یا مرضی الاطراف می رسند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نویسنده ناگزیر باید سکولاریزاسیون را فرآیندی بسیار متقدّم بر مدرنیته بداند و برای مثال، عمل پیامبر اسلام در انعقاد قرارداد با یهود یا مشرکان را سکولار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نویسنده یا باید </w:t>
      </w:r>
      <w:bookmarkStart w:id="90" w:name="pg3480_42236"/>
    </w:p>
    <w:p>
      <w:pPr>
        <w:pStyle w:val="BookText"/>
        <w:rPr/>
      </w:pPr>
      <w:bookmarkEnd w:id="90"/>
      <w:r>
        <w:rPr>
          <w:rFonts w:ascii="IRNazanin" w:hAnsi="IRNazanin" w:eastAsia="IRNazanin"/>
          <w:color w:val="111111"/>
          <w:sz w:val="28"/>
          <w:sz w:val="28"/>
          <w:szCs w:val="28"/>
          <w:rtl w:val="true"/>
          <w:lang w:bidi="fa-IR"/>
        </w:rPr>
        <w:t>چنین ارتباطی بین سکولاریزاسیون و مدرنیته را انکار کند یا مدرنیته را پدیده ای به قدمت هزاران سال به حساب آورد، یا این که منکر واقعیات تاریخی گردد</w:t>
      </w:r>
      <w:r>
        <w:rPr>
          <w:rFonts w:eastAsia="IRNazanin" w:cs="IRNazanin"/>
          <w:color w:val="111111"/>
          <w:sz w:val="28"/>
          <w:szCs w:val="28"/>
          <w:rtl w:val="true"/>
          <w:lang w:bidi="fa-IR"/>
        </w:rPr>
        <w:t>!</w:t>
      </w:r>
    </w:p>
    <w:p>
      <w:pPr>
        <w:pStyle w:val="Heading4"/>
        <w:numPr>
          <w:ilvl w:val="3"/>
          <w:numId w:val="1"/>
        </w:numPr>
        <w:rPr/>
      </w:pPr>
      <w:bookmarkStart w:id="91" w:name="__RefHeading___Toc3418160_2749589250"/>
      <w:bookmarkStart w:id="92" w:name="_Toc36"/>
      <w:bookmarkEnd w:id="91"/>
      <w:r>
        <w:rPr>
          <w:rtl w:val="true"/>
        </w:rPr>
        <w:t xml:space="preserve">ششم </w:t>
      </w:r>
      <w:r>
        <w:rPr>
          <w:rtl w:val="true"/>
        </w:rPr>
        <w:t xml:space="preserve">- </w:t>
      </w:r>
      <w:r>
        <w:rPr>
          <w:rtl w:val="true"/>
        </w:rPr>
        <w:t>نظریه های قدیمی و نامقبول</w:t>
      </w:r>
      <w:bookmarkEnd w:id="92"/>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قدیمی و نامقبول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نظریه های سکولاریزاسیون را به دو گروه قدیمی و جدیدتر، تقسیم و نظریات قدیمی را با 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مقبولیت چندانی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شالوده کتاب او بر پایه همان نظریه های قدیمی است، شاید دیگر خود نویسنده به مطالب کتاب اعتقاد چندانی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نیست نویسنده با آگاهی از این که این نظریه ها قدیمی اند و دیگر مقبولیت چندانی ندارند، چرا به آن ها استناد کرده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روشن نیست که چرا نویسنده به نظریه های جدید توجه نکرده است؟ ظاهرا این نظریه های جدید که نویسنده از آن ها نام می برد، فرآیند سکولاریزاسیون را مورد تردید قرار می دهند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93" w:name="__RefHeading___Toc3418162_2749589250"/>
      <w:bookmarkStart w:id="94" w:name="_Toc37"/>
      <w:bookmarkEnd w:id="93"/>
      <w:r>
        <w:rPr>
          <w:rtl w:val="true"/>
        </w:rPr>
        <w:t xml:space="preserve">هفتم </w:t>
      </w:r>
      <w:r>
        <w:rPr>
          <w:rtl w:val="true"/>
        </w:rPr>
        <w:t xml:space="preserve">- </w:t>
      </w:r>
      <w:r>
        <w:rPr>
          <w:rtl w:val="true"/>
        </w:rPr>
        <w:t>دغدغه</w:t>
      </w:r>
      <w:bookmarkEnd w:id="94"/>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مایل نیستیم انگیزه نویسنده را مورد پرسش قرار دهیم، ولی خود نویسنده به این مطلب پرداخته است و انگیزه خود از مباحث سکولاریزاسیون را دغدغه های امکان یا امتناع دولت دینی و نیز سرنوشت امر قدسی در جهان عرفی شده معرفی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وی در مباحثاتی که با آقای سروش داشته است، </w:t>
      </w:r>
      <w:bookmarkStart w:id="95" w:name="pg3480_42237"/>
    </w:p>
    <w:p>
      <w:pPr>
        <w:pStyle w:val="BookText"/>
        <w:rPr/>
      </w:pPr>
      <w:bookmarkEnd w:id="95"/>
      <w:r>
        <w:rPr>
          <w:rFonts w:ascii="IRNazanin" w:hAnsi="IRNazanin" w:eastAsia="IRNazanin"/>
          <w:color w:val="111111"/>
          <w:sz w:val="28"/>
          <w:sz w:val="28"/>
          <w:szCs w:val="28"/>
          <w:rtl w:val="true"/>
          <w:lang w:bidi="fa-IR"/>
        </w:rPr>
        <w:t xml:space="preserve">دغدغه ها و دل مشغولی های دیگری را مطرح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مقابل دغدغه دین که به آقای سروش نسبت می دهد، دغدغه دیگری را اظهار می کند و دنیوی شدن دین را بر اساس دغدغه پیشرفت و ترقی مطلوب می داند؛ زیرا با دنیایی کردن دین، دین به سکوی پرتابی بدل می گردد که ذخیره و سوخت لازم برای گذار به شرایط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 آورد و دین دنیوی نقش شتاب دهنده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فرصت آزمون پذیری تاریخی دین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دغدغه ای در کار است، آن دغدغه، دغدغه دین یا دولت دینی یا سرنوشت امر قدسی نیست، بلکه دغدغه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ادعای بی طرفی نویسنده و توصیفی بودن مباحثات قابل تأمل می گردد</w:t>
      </w:r>
      <w:r>
        <w:rPr>
          <w:rFonts w:eastAsia="IRNazanin" w:cs="IRNazanin"/>
          <w:color w:val="111111"/>
          <w:sz w:val="28"/>
          <w:szCs w:val="28"/>
          <w:rtl w:val="true"/>
          <w:lang w:bidi="fa-IR"/>
        </w:rPr>
        <w:t>.</w:t>
      </w:r>
    </w:p>
    <w:p>
      <w:pPr>
        <w:pStyle w:val="Heading4"/>
        <w:numPr>
          <w:ilvl w:val="3"/>
          <w:numId w:val="1"/>
        </w:numPr>
        <w:rPr/>
      </w:pPr>
      <w:bookmarkStart w:id="96" w:name="__RefHeading___Toc3418164_2749589250"/>
      <w:bookmarkStart w:id="97" w:name="_Toc38"/>
      <w:bookmarkEnd w:id="96"/>
      <w:r>
        <w:rPr>
          <w:rtl w:val="true"/>
        </w:rPr>
        <w:t xml:space="preserve">هشتم </w:t>
      </w:r>
      <w:r>
        <w:rPr>
          <w:rtl w:val="true"/>
        </w:rPr>
        <w:t xml:space="preserve">- </w:t>
      </w:r>
      <w:r>
        <w:rPr>
          <w:rtl w:val="true"/>
        </w:rPr>
        <w:t>کرامات تاریخی</w:t>
      </w:r>
      <w:bookmarkEnd w:id="97"/>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تاریخی</w:t>
      </w:r>
    </w:p>
    <w:p>
      <w:pPr>
        <w:pStyle w:val="BookText"/>
        <w:rPr/>
      </w:pPr>
      <w:r>
        <w:rPr>
          <w:rFonts w:ascii="IRNazanin" w:hAnsi="IRNazanin" w:eastAsia="IRNazanin"/>
          <w:color w:val="111111"/>
          <w:sz w:val="28"/>
          <w:sz w:val="28"/>
          <w:szCs w:val="28"/>
          <w:rtl w:val="true"/>
          <w:lang w:bidi="fa-IR"/>
        </w:rPr>
        <w:t xml:space="preserve">نویسنده از مطالعه خود درباره سکولاریزاسیون و عرفی شدن، گزارش کوتاهی ارائه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را هنگام بررسی مقاله ها مربوط به آن، نقد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تنها یادآور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تا این جا نیز به دست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تصویر روشنی از معنا و مفهوم سکولاریزاسیون و تاریخ این فرآیند ندارد و اغتشاش نظری او و اشتباه های فاحش تاریخی اش نیز از نداشتن آگاهی های لازم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این جا نویسنده این پرسش را مطرح می کند که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مقابل روند عرفی شدن که از زمان آکوئیناس شروع شده، مقاومتی هم صورت گرفته است یا نه؟ به این نتیجه رسیدم که </w:t>
      </w:r>
      <w:bookmarkStart w:id="98" w:name="pg3480_42238"/>
    </w:p>
    <w:p>
      <w:pPr>
        <w:pStyle w:val="BookText"/>
        <w:rPr/>
      </w:pPr>
      <w:bookmarkEnd w:id="98"/>
      <w:r>
        <w:rPr>
          <w:rFonts w:ascii="IRNazanin" w:hAnsi="IRNazanin" w:eastAsia="IRNazanin"/>
          <w:color w:val="111111"/>
          <w:sz w:val="28"/>
          <w:sz w:val="28"/>
          <w:szCs w:val="28"/>
          <w:rtl w:val="true"/>
          <w:lang w:bidi="fa-IR"/>
        </w:rPr>
        <w:t>جرقه هایی از این مقاومت را می توان به صورت تلاش برای ایدئولوژیک کردن دین بازشناسی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جرقه تاریخی گری در قرون وسطای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مقاومت در مقابل روند عرفی شدن که از زمان آکوئیناس شروع شده، با تلاش برای ایدئولوژیک کردن دین به وسیله یواخیم فیوره ای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یواخیم فیوره ای حدود صد سال قبل از آکوئیناس به دنیا آمده و بیست سال قبل از تولد آکوئیناس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 ایدئولوژیک کردن دین، خواسته در مقابل روند عرفی شدن که از زمان آکوئیناس شروع شده است،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این را از کرامات یواخیم فیوره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آوریم</w:t>
      </w:r>
      <w:r>
        <w:rPr>
          <w:rFonts w:eastAsia="IRNazanin" w:cs="IRNazanin"/>
          <w:color w:val="111111"/>
          <w:sz w:val="28"/>
          <w:szCs w:val="28"/>
          <w:rtl w:val="true"/>
          <w:lang w:bidi="fa-IR"/>
        </w:rPr>
        <w:t>!</w:t>
      </w:r>
    </w:p>
    <w:p>
      <w:pPr>
        <w:pStyle w:val="Heading4"/>
        <w:numPr>
          <w:ilvl w:val="3"/>
          <w:numId w:val="1"/>
        </w:numPr>
        <w:rPr/>
      </w:pPr>
      <w:bookmarkStart w:id="99" w:name="__RefHeading___Toc3418166_2749589250"/>
      <w:bookmarkStart w:id="100" w:name="_Toc39"/>
      <w:bookmarkEnd w:id="99"/>
      <w:r>
        <w:rPr>
          <w:rtl w:val="true"/>
        </w:rPr>
        <w:t xml:space="preserve">نهم </w:t>
      </w:r>
      <w:r>
        <w:rPr>
          <w:rtl w:val="true"/>
        </w:rPr>
        <w:t xml:space="preserve">- </w:t>
      </w:r>
      <w:r>
        <w:rPr>
          <w:rtl w:val="true"/>
        </w:rPr>
        <w:t>سکولاریزاسیون یا سکولاریزاسیونیسم</w:t>
      </w:r>
      <w:r>
        <w:rPr>
          <w:rtl w:val="true"/>
        </w:rPr>
        <w:t>!</w:t>
      </w:r>
      <w:bookmarkEnd w:id="100"/>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سکولاریزاسیون یا سکولاریزاسیونیسم</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تأکید می کند که کتاب، ناظر به روند سکولاریزاسیون است و هیچ جا درباره این روند، داوری ارزشی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در حالی که در جاهای متعدد کتاب، مبانی نظری خاصی را ارائه کرده که لامحاله چنین فرآیندی را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تر این که این مبانی را چنان مسلّم گرفته که حتی استدلال و </w:t>
      </w:r>
      <w:bookmarkStart w:id="101" w:name="pg3480_42239"/>
    </w:p>
    <w:p>
      <w:pPr>
        <w:pStyle w:val="BookText"/>
        <w:rPr/>
      </w:pPr>
      <w:bookmarkEnd w:id="101"/>
      <w:r>
        <w:rPr>
          <w:rFonts w:ascii="IRNazanin" w:hAnsi="IRNazanin" w:eastAsia="IRNazanin"/>
          <w:color w:val="111111"/>
          <w:sz w:val="28"/>
          <w:sz w:val="28"/>
          <w:szCs w:val="28"/>
          <w:rtl w:val="true"/>
          <w:lang w:bidi="fa-IR"/>
        </w:rPr>
        <w:t>اثبات آن ها را نیز لازم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های تفصیلی را هنگام بررسی مقاله ها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دوری نرویم، همین که نویسنده، دین به ویژه اسلام و تشیع را تحت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از دیدگاه ارزشی نویسنده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تلقی کردن دین، اسلام و تشیع، علاوه بر این که از اساس نادرست و پارادوکسیکال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دین، حداقل در دوران اولیه ظهور و بروز خود، ضد سنت رایج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را در حد عرف و عادت و رسم و رسوم تکراری تقلیل می دهد و توانایی های درونی آن را مغفول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جای طرح این پرسش است که آیا دین داران، دین را سنت و از قبیل عادات و آداب و رسوم تلقی می کنند؟ چنین نگاهی به دین چیزی را تحلیل می کند که مدعای دین داران نیست، در حالی که نویسنده خود در جای دیگر، از استعانت از متدهای تفهمی و درون بینانه سخن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نقد، تحلیل و تعلیل پیدایش ایدئولوژی ها، قرار گرفتن در زمان، مکان و فضای اجتماعی خاص را لازم می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است که بررسی و مطالعه دین، نیازی به استعانت از متدهای تفهمی و درون بینانه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دستاورد به کارگیری چنین متدهایی، تلقی دین به عنوان زیر مجموعه مقوله سنت نخواهد بود</w:t>
      </w:r>
      <w:r>
        <w:rPr>
          <w:rFonts w:eastAsia="IRNazanin" w:cs="IRNazanin"/>
          <w:color w:val="111111"/>
          <w:sz w:val="28"/>
          <w:szCs w:val="28"/>
          <w:rtl w:val="true"/>
          <w:lang w:bidi="fa-IR"/>
        </w:rPr>
        <w:t>.</w:t>
      </w:r>
    </w:p>
    <w:p>
      <w:pPr>
        <w:pStyle w:val="Heading4"/>
        <w:numPr>
          <w:ilvl w:val="3"/>
          <w:numId w:val="1"/>
        </w:numPr>
        <w:rPr/>
      </w:pPr>
      <w:bookmarkStart w:id="102" w:name="__RefHeading___Toc3418168_2749589250"/>
      <w:bookmarkStart w:id="103" w:name="_Toc40"/>
      <w:bookmarkEnd w:id="102"/>
      <w:r>
        <w:rPr>
          <w:rtl w:val="true"/>
        </w:rPr>
        <w:t xml:space="preserve">دهم </w:t>
      </w:r>
      <w:r>
        <w:rPr>
          <w:rtl w:val="true"/>
        </w:rPr>
        <w:t xml:space="preserve">- </w:t>
      </w:r>
      <w:r>
        <w:rPr>
          <w:rtl w:val="true"/>
        </w:rPr>
        <w:t>سکولاریزاسیون، وحی و حافظ</w:t>
      </w:r>
      <w:bookmarkEnd w:id="103"/>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سکولاریزاسیون، وحی و حافظ</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پایان مقدمه، درباره نام گذاری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شاهد قدسی تا شاهد بازاری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هایی داده است و این نام گذاری را ملهم از </w:t>
      </w:r>
    </w:p>
    <w:p>
      <w:pPr>
        <w:pStyle w:val="BookText"/>
        <w:rPr/>
      </w:pPr>
      <w:r>
        <w:rPr>
          <w:rFonts w:ascii="IRNazanin" w:hAnsi="IRNazanin" w:eastAsia="IRNazanin"/>
          <w:color w:val="111111"/>
          <w:sz w:val="28"/>
          <w:sz w:val="28"/>
          <w:szCs w:val="28"/>
          <w:rtl w:val="true"/>
          <w:lang w:bidi="fa-IR"/>
        </w:rPr>
        <w:t>اشعار حافظ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تفصیلی درباره مقصود حافظ از شاهد و قدسی و بازاری مجال دیگری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تنها چند مورد را تذکر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استنباط نویسنده، حافظ، قدس را شاهد پرده نشین نمی داند، بلکه قدس چنان شاهدی است که هرچند در همه جا هست، هیچ کس نمی تواند او را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رخ به کس ننمود آن شاهد هر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 تولّوا فثمّ وجه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جناب جبرئیل گاه به صورت دحیه کلبی بر حضرت ظاهر می شد، مربوط به مدتی از دوران مدینه است و پیامبر در مکه جبرئیل را به صورت اصلی اش مشاهده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القای وحی تنها به وسیله جبرئیل نبوده است و القای وحی گاه به صورت مستقیم از جانب ربوبی بر آن بزرگوار انجام می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نهادن جناب جبرئیل به قدس الاقداس، معنای روشنی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الاقداس محلی در بیت المقدس بوده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در فرهنگ اسلام و قرآن، قدوس علی الاطلاق و منشأ قدسی، قدس، قدوس و مقدس حقیقی، حضرت باری تعالی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می گوید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نور خدا از شجری در طور ساطع شد، موسی به کلی صاعقه زده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نویسنده مانند دیگر موارد، موضوع های متفاوت را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طور و وادی شجر 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رَبُّهُ لِلْجَبَلِ جَعَلَهُ دَکًّا وَ خَرَّ مُوسی صَعِقًا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مطلبی دیگر</w:t>
      </w:r>
      <w:r>
        <w:rPr>
          <w:rFonts w:eastAsia="IRNazanin" w:cs="IRNazanin"/>
          <w:color w:val="111111"/>
          <w:sz w:val="28"/>
          <w:szCs w:val="28"/>
          <w:rtl w:val="true"/>
          <w:lang w:bidi="fa-IR"/>
        </w:rPr>
        <w:t xml:space="preserve">! </w:t>
      </w:r>
      <w:bookmarkStart w:id="104" w:name="pg3480_42242"/>
    </w:p>
    <w:p>
      <w:pPr>
        <w:pStyle w:val="Heading2"/>
        <w:numPr>
          <w:ilvl w:val="1"/>
          <w:numId w:val="1"/>
        </w:numPr>
        <w:rPr/>
      </w:pPr>
      <w:bookmarkStart w:id="105" w:name="__RefHeading___Toc3418170_2749589250"/>
      <w:bookmarkStart w:id="106" w:name="_Toc41"/>
      <w:bookmarkEnd w:id="104"/>
      <w:bookmarkEnd w:id="105"/>
      <w:r>
        <w:rPr>
          <w:rtl w:val="true"/>
        </w:rPr>
        <w:t>بخش سوم</w:t>
      </w:r>
      <w:r>
        <w:rPr>
          <w:rtl w:val="true"/>
        </w:rPr>
        <w:t xml:space="preserve">: </w:t>
      </w:r>
      <w:r>
        <w:rPr>
          <w:rtl w:val="true"/>
        </w:rPr>
        <w:t>عرفی شدن سنت ها</w:t>
      </w:r>
      <w:bookmarkEnd w:id="106"/>
    </w:p>
    <w:p>
      <w:pPr>
        <w:pStyle w:val="Heading3"/>
        <w:numPr>
          <w:ilvl w:val="2"/>
          <w:numId w:val="1"/>
        </w:numPr>
        <w:rPr/>
      </w:pPr>
      <w:bookmarkStart w:id="107" w:name="__RefHeading___Toc3418172_2749589250"/>
      <w:bookmarkStart w:id="108" w:name="_Toc42"/>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شدن سنت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گفتار در نقد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عرفی شدن شریعت مسیح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گری یا تاریخ سازی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سکولاریزاسیون</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سکولاریزاسیون</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شدن یا دگم های مُدرن؟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دموکراسی </w:t>
      </w:r>
      <w:bookmarkStart w:id="109" w:name="pg3480_42243"/>
    </w:p>
    <w:p>
      <w:pPr>
        <w:pStyle w:val="Heading3"/>
        <w:numPr>
          <w:ilvl w:val="2"/>
          <w:numId w:val="1"/>
        </w:numPr>
        <w:rPr/>
      </w:pPr>
      <w:bookmarkStart w:id="110" w:name="__RefHeading___Toc3418174_2749589250"/>
      <w:bookmarkStart w:id="111" w:name="_Toc43"/>
      <w:bookmarkEnd w:id="109"/>
      <w:bookmarkEnd w:id="110"/>
      <w:r>
        <w:rPr>
          <w:rtl w:val="true"/>
        </w:rPr>
        <w:t>فصل اول</w:t>
      </w:r>
      <w:r>
        <w:rPr>
          <w:rtl w:val="true"/>
        </w:rPr>
        <w:t xml:space="preserve">: </w:t>
      </w:r>
      <w:r>
        <w:rPr>
          <w:rtl w:val="true"/>
        </w:rPr>
        <w:t xml:space="preserve">سه گفتار در نقد مقاله </w:t>
      </w:r>
      <w:r>
        <w:rPr>
          <w:rtl w:val="true"/>
        </w:rPr>
        <w:t>«</w:t>
      </w:r>
      <w:r>
        <w:rPr>
          <w:rtl w:val="true"/>
        </w:rPr>
        <w:t>فرآیند عرفی شدن شریعت مسیح علیه السلام</w:t>
      </w:r>
      <w:r>
        <w:rPr>
          <w:rtl w:val="true"/>
        </w:rPr>
        <w:t>»</w:t>
      </w:r>
      <w:bookmarkEnd w:id="111"/>
    </w:p>
    <w:p>
      <w:pPr>
        <w:pStyle w:val="Heading4"/>
        <w:numPr>
          <w:ilvl w:val="3"/>
          <w:numId w:val="1"/>
        </w:numPr>
        <w:rPr/>
      </w:pPr>
      <w:bookmarkStart w:id="112" w:name="__RefHeading___Toc3418176_2749589250"/>
      <w:bookmarkStart w:id="113" w:name="_Toc44"/>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گفتار در نقد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عرفی شدن شریعت مسیح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گفتار اول</w:t>
      </w:r>
    </w:p>
    <w:p>
      <w:pPr>
        <w:pStyle w:val="BookText"/>
        <w:rPr/>
      </w:pPr>
      <w:r>
        <w:rPr>
          <w:rFonts w:ascii="IRNazanin" w:hAnsi="IRNazanin" w:eastAsia="IRNazanin"/>
          <w:color w:val="111111"/>
          <w:sz w:val="28"/>
          <w:sz w:val="28"/>
          <w:szCs w:val="28"/>
          <w:rtl w:val="true"/>
          <w:lang w:bidi="fa-IR"/>
        </w:rPr>
        <w:t>گفتار دوم</w:t>
      </w:r>
    </w:p>
    <w:p>
      <w:pPr>
        <w:pStyle w:val="BookText"/>
        <w:rPr/>
      </w:pPr>
      <w:r>
        <w:rPr>
          <w:rFonts w:ascii="IRNazanin" w:hAnsi="IRNazanin" w:eastAsia="IRNazanin"/>
          <w:color w:val="111111"/>
          <w:sz w:val="28"/>
          <w:sz w:val="28"/>
          <w:szCs w:val="28"/>
          <w:rtl w:val="true"/>
          <w:lang w:bidi="fa-IR"/>
        </w:rPr>
        <w:t>گفتار سوم</w:t>
      </w:r>
    </w:p>
    <w:p>
      <w:pPr>
        <w:pStyle w:val="Heading4"/>
        <w:numPr>
          <w:ilvl w:val="3"/>
          <w:numId w:val="1"/>
        </w:numPr>
        <w:rPr/>
      </w:pPr>
      <w:bookmarkStart w:id="114" w:name="__RefHeading___Toc3418178_2749589250"/>
      <w:bookmarkStart w:id="115" w:name="_Toc45"/>
      <w:bookmarkEnd w:id="114"/>
      <w:r>
        <w:rPr>
          <w:rtl w:val="true"/>
        </w:rPr>
        <w:t>گفتار اول</w:t>
      </w:r>
      <w:bookmarkEnd w:id="115"/>
    </w:p>
    <w:p>
      <w:pPr>
        <w:pStyle w:val="Heading5"/>
        <w:numPr>
          <w:ilvl w:val="4"/>
          <w:numId w:val="1"/>
        </w:numPr>
        <w:rPr/>
      </w:pPr>
      <w:bookmarkStart w:id="116" w:name="__RefHeading___Toc3418180_2749589250"/>
      <w:bookmarkStart w:id="117" w:name="_Toc46"/>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گفتار اول</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عرفی شدن شریعت مسیح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قابل نقد زیادی دارد که ما تلاش می کنیم موضوع های مهم تر این مقاله را پیرامون چند محور اصلی و اساسی مورد بحث و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اساسی مقاله در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میان مصالح دنیوی و اخروی، درون دستگاه حقوقی و اخلاقی واحد، عامل مهمی در جهت عرفی شدن دسته مهمی از ادیان، از جمله ادیان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 مسیحیت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تعارض میان احکام متصلب و لایتغیر با مقتضیات گذران و روزمرّه زندگی جاری به فرسایش این دستگاه های حقوقی انجامیده و آن ها را عرفی تر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مقاله حاضر در صدد است فرآیند عُرفی شدن دستگاه فقهی و اخلاقی مسیحیت را از آن حیث که خود را متکفّل جمع دنیا و آخرت می دانسته،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تلاش می شود میان این فرآیند و تحولات حوزه کلام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تلازمی منطقی برقرار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چند محور قابل بحث و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مصالح در جمع میان مصالح دنیوی و اخروی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عرفی شدن در این مقاله کدام است؟ </w:t>
      </w:r>
      <w:bookmarkStart w:id="118" w:name="pg3480_42244"/>
    </w:p>
    <w:p>
      <w:pPr>
        <w:pStyle w:val="BookText"/>
        <w:rPr/>
      </w:pPr>
      <w:bookmarkEnd w:id="11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قدسی کدام است و حوزه عرفی کدام؟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دستگاه فقهی و اخلاقی واحد در مسیحیت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و نظم بحث و استدلال چگونه است؟</w:t>
      </w:r>
    </w:p>
    <w:p>
      <w:pPr>
        <w:pStyle w:val="Heading5"/>
        <w:numPr>
          <w:ilvl w:val="4"/>
          <w:numId w:val="1"/>
        </w:numPr>
        <w:rPr/>
      </w:pPr>
      <w:bookmarkStart w:id="119" w:name="__RefHeading___Toc3418182_2749589250"/>
      <w:bookmarkStart w:id="120" w:name="_Toc47"/>
      <w:bookmarkEnd w:id="119"/>
      <w:r>
        <w:rPr>
          <w:rtl w:val="true"/>
        </w:rPr>
        <w:t xml:space="preserve">اول </w:t>
      </w:r>
      <w:r>
        <w:rPr>
          <w:rtl w:val="true"/>
        </w:rPr>
        <w:t xml:space="preserve">- </w:t>
      </w:r>
      <w:r>
        <w:rPr>
          <w:rtl w:val="true"/>
        </w:rPr>
        <w:t>مقصود از مصالح در جمع میان مصالح دنیوی و اخروی چیست؟</w:t>
      </w:r>
      <w:bookmarkEnd w:id="120"/>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مصالح در جمع میان مصالح دنیوی و اخروی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 فرض کرد که مقصود از مصالح اخروی روشن است و منظور همان سعادت اخروی و لقاءاللّه یا بهشت موعود است، ولی مقصود از مصالح دنیوی چیست؟ این پرسش و ابهامی است که در تمامی نوشتار، جاری و ساری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از مصلحت و مصالح دنیوی به فایده گرایانی چون بنتام و میل نظر دارد و مصلحت مورد نظر او همان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utility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المصلحة بنتام، لذت گرایی حسی و کمّی و فایده گرایی میل، لذت گرایی کیفی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ادیان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مسیحیت که در این مقاله محور بحث و ادعا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چنین مصلحت و لذت حسی را با مصالح اخروی جمع کنند؟ به روشنی پاسخ این پرسش،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ادعای نویسنده به طور کلی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بتوان ادیان الهی را فایده گرا به معنای لذت گرای حسی دانست، هم چنان که نویسنده نیز در چنین چیزی تردید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فایده گرایی دینی را امری ممکن بدانیم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مصالحی که در ادیان الهی مورد نظر است، مصالحی است که در چارچوب سعادت و کمال حقیقی انسان معنا می دهد و این گونه مصالح، می تواند با لذایذ حسی و کمّی یا کیفی همراه باشد یا همراه </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خود از مصالح را چنین روشن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 هم سود اجتماعی، عقلای خاص خود را دارد که منافع و مصالح درازمدت آن گروه را تشخیص می دهند و مبنای اعتبار که به مصالح نوعیه راجع است، عرف همین عقلاست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تمامی سخن این است که این مصالح بر اساس چه ضابطه، معیار و ملاکی تشخیص داده می شوند؟</w:t>
      </w:r>
    </w:p>
    <w:p>
      <w:pPr>
        <w:pStyle w:val="BookText"/>
        <w:rPr/>
      </w:pPr>
      <w:r>
        <w:rPr>
          <w:rFonts w:ascii="IRNazanin" w:hAnsi="IRNazanin" w:eastAsia="IRNazanin"/>
          <w:color w:val="111111"/>
          <w:sz w:val="28"/>
          <w:sz w:val="28"/>
          <w:szCs w:val="28"/>
          <w:rtl w:val="true"/>
          <w:lang w:bidi="fa-IR"/>
        </w:rPr>
        <w:t>نویسنده علاوه بر این که در تمامی کتاب، از دادن هر گونه تعریف و توضیحی برای مصلحت و تبیین آن احتراز کرده، ضوابط و معیارهای تشخیص مصلحت را نیز مسکوت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نقصان بزرگی در نوشتار است که یکی از عناصر مهم سکولاریزاسیون را به ابهام برگزار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نویسنده در جای دیگری از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اذعان می کند که دوگونه جزم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جزم تک ذهنی که احتمالاً منظور او اعتقادات و احکام دینی است و دیگری جزم بین الاذهانی که به وسیله عقلا، نخبگان و برگزیدگان جامعه تعریف می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بحث از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در واقع نویسنده می پذیرد مصلحتی که این عقلا تشخیص می دهند، خود جزمی غیرعقلانی بیش نیست و روشن است که چنین جزمی از جوّ و فرهنگ غالب پدید می آید که خود ناشی از قدرت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گفتار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خود به این نتیجه و حاصل تصریح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21" w:name="pg3480_42246"/>
    </w:p>
    <w:p>
      <w:pPr>
        <w:pStyle w:val="BookText"/>
        <w:rPr/>
      </w:pPr>
      <w:bookmarkEnd w:id="121"/>
      <w:r>
        <w:rPr>
          <w:rFonts w:ascii="IRNazanin" w:hAnsi="IRNazanin" w:eastAsia="IRNazanin"/>
          <w:color w:val="111111"/>
          <w:sz w:val="28"/>
          <w:sz w:val="28"/>
          <w:szCs w:val="28"/>
          <w:rtl w:val="true"/>
          <w:lang w:bidi="fa-IR"/>
        </w:rPr>
        <w:t>خواهد شد که تعریف و ضابطه مصلحت را به جای آن که از ادیان بگیریم، به قدرت و ثروت بسپاریم</w:t>
      </w:r>
      <w:r>
        <w:rPr>
          <w:rFonts w:eastAsia="IRNazanin" w:cs="IRNazanin"/>
          <w:color w:val="111111"/>
          <w:sz w:val="28"/>
          <w:szCs w:val="28"/>
          <w:rtl w:val="true"/>
          <w:lang w:bidi="fa-IR"/>
        </w:rPr>
        <w:t>.</w:t>
      </w:r>
    </w:p>
    <w:p>
      <w:pPr>
        <w:pStyle w:val="Heading5"/>
        <w:numPr>
          <w:ilvl w:val="4"/>
          <w:numId w:val="1"/>
        </w:numPr>
        <w:rPr/>
      </w:pPr>
      <w:bookmarkStart w:id="122" w:name="__RefHeading___Toc3418184_2749589250"/>
      <w:bookmarkStart w:id="123" w:name="_Toc48"/>
      <w:bookmarkEnd w:id="122"/>
      <w:r>
        <w:rPr>
          <w:rtl w:val="true"/>
        </w:rPr>
        <w:t xml:space="preserve">دوم </w:t>
      </w:r>
      <w:r>
        <w:rPr>
          <w:rtl w:val="true"/>
        </w:rPr>
        <w:t xml:space="preserve">- </w:t>
      </w:r>
      <w:r>
        <w:rPr>
          <w:rtl w:val="true"/>
        </w:rPr>
        <w:t>مقصود از عرفی شدن کدام است؟</w:t>
      </w:r>
      <w:bookmarkEnd w:id="123"/>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عرفی شدن کدام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عرفی شدن را در برابر سکولاریزاسیون می نهد و دو معنا را از آن مراد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دنیایی شدن دین و دیگری دنیایی شدن عرصه عمومی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دو معنا را با یکدیگر مرتبط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گونه ارتباط را نیز برای این دو معنا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دنیوی شدن دین، زمینه را برای خصوصی شدن آن و دنیایی شدن عرصه عمومی فراهم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خصوصی شدن دین و دنیایی شدن عرصه عمومی مانع دنیوی شدن دین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صفحه ها و پاورقی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تصور کرد که نویسنده در این مقاله از هر دو نوع عرفی شدن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عرفی شدن به معنای خصوصی شدن دین و دنیایی شدن عرصه عمومی و سیاست در اندیشه آگوستین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لوتر </w:t>
      </w:r>
      <w:r>
        <w:rPr>
          <w:rFonts w:eastAsia="IRNazanin" w:cs="IRNazanin"/>
          <w:color w:val="111111"/>
          <w:sz w:val="28"/>
          <w:szCs w:val="28"/>
          <w:rtl w:val="true"/>
          <w:lang w:bidi="fa-IR"/>
        </w:rPr>
        <w:t>(</w:t>
      </w:r>
      <w:r>
        <w:rPr>
          <w:rFonts w:eastAsia="IRNazanin" w:cs="IRNazanin"/>
          <w:color w:val="111111"/>
          <w:sz w:val="28"/>
          <w:szCs w:val="28"/>
          <w:lang w:bidi="fa-IR"/>
        </w:rPr>
        <w:t>1483</w:t>
      </w:r>
      <w:r>
        <w:rPr>
          <w:rFonts w:eastAsia="IRNazanin" w:cs="IRNazanin"/>
          <w:color w:val="111111"/>
          <w:sz w:val="28"/>
          <w:szCs w:val="28"/>
          <w:rtl w:val="true"/>
          <w:lang w:bidi="fa-IR"/>
        </w:rPr>
        <w:t xml:space="preserve"> -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عرفی شدن به معنای دنیوی شدن دین، در اندیشه افرادی مانند آنسلم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گروتیوس </w:t>
      </w:r>
      <w:r>
        <w:rPr>
          <w:rFonts w:eastAsia="IRNazanin" w:cs="IRNazanin"/>
          <w:color w:val="111111"/>
          <w:sz w:val="28"/>
          <w:szCs w:val="28"/>
          <w:rtl w:val="true"/>
          <w:lang w:bidi="fa-IR"/>
        </w:rPr>
        <w:t>(</w:t>
      </w:r>
      <w:r>
        <w:rPr>
          <w:rFonts w:eastAsia="IRNazanin" w:cs="IRNazanin"/>
          <w:color w:val="111111"/>
          <w:sz w:val="28"/>
          <w:szCs w:val="28"/>
          <w:lang w:bidi="fa-IR"/>
        </w:rPr>
        <w:t>1583</w:t>
      </w:r>
      <w:r>
        <w:rPr>
          <w:rFonts w:eastAsia="IRNazanin" w:cs="IRNazanin"/>
          <w:color w:val="111111"/>
          <w:sz w:val="28"/>
          <w:szCs w:val="28"/>
          <w:rtl w:val="true"/>
          <w:lang w:bidi="fa-IR"/>
        </w:rPr>
        <w:t xml:space="preserve"> -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راجر بیکن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ویلیام پیلی </w:t>
      </w:r>
      <w:r>
        <w:rPr>
          <w:rFonts w:eastAsia="IRNazanin" w:cs="IRNazanin"/>
          <w:color w:val="111111"/>
          <w:sz w:val="28"/>
          <w:szCs w:val="28"/>
          <w:rtl w:val="true"/>
          <w:lang w:bidi="fa-IR"/>
        </w:rPr>
        <w:t>(</w:t>
      </w:r>
      <w:r>
        <w:rPr>
          <w:rFonts w:eastAsia="IRNazanin" w:cs="IRNazanin"/>
          <w:color w:val="111111"/>
          <w:sz w:val="28"/>
          <w:szCs w:val="28"/>
          <w:lang w:bidi="fa-IR"/>
        </w:rPr>
        <w:t>1743</w:t>
      </w:r>
      <w:r>
        <w:rPr>
          <w:rFonts w:eastAsia="IRNazanin" w:cs="IRNazanin"/>
          <w:color w:val="111111"/>
          <w:sz w:val="28"/>
          <w:szCs w:val="28"/>
          <w:rtl w:val="true"/>
          <w:lang w:bidi="fa-IR"/>
        </w:rPr>
        <w:t xml:space="preserve"> -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عرفی شدن به معنای دنیایی شدن عرصه عمومی و سیاست و خصوصی شدن دین درصدد جمع میان مصالح دنیا و آخرت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استناد نویسنده به آگوستین و لوتر، هیچ ربطی به ادعای مقاله ندارد و دلیلی برای آن به حساب نمی آید</w:t>
      </w:r>
      <w:r>
        <w:rPr>
          <w:rFonts w:eastAsia="IRNazanin" w:cs="IRNazanin"/>
          <w:color w:val="111111"/>
          <w:sz w:val="28"/>
          <w:szCs w:val="28"/>
          <w:rtl w:val="true"/>
          <w:lang w:bidi="fa-IR"/>
        </w:rPr>
        <w:t>.</w:t>
      </w:r>
      <w:bookmarkStart w:id="124" w:name="pg3480_42247"/>
    </w:p>
    <w:p>
      <w:pPr>
        <w:pStyle w:val="BookText"/>
        <w:rPr/>
      </w:pPr>
      <w:bookmarkEnd w:id="12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ادعای نویسنده که خصوصی شدن دین مانع دنیوی شدن آن است، به گزارش نویسنده، خصوصی شدن دین در اندیشه آگوستین نتوانست جلوی دنیوی شدن آن را در قرون بعد بگیرد</w:t>
      </w:r>
      <w:r>
        <w:rPr>
          <w:rFonts w:eastAsia="IRNazanin" w:cs="IRNazanin"/>
          <w:color w:val="111111"/>
          <w:sz w:val="28"/>
          <w:szCs w:val="28"/>
          <w:rtl w:val="true"/>
          <w:lang w:bidi="fa-IR"/>
        </w:rPr>
        <w:t>!</w:t>
      </w:r>
    </w:p>
    <w:p>
      <w:pPr>
        <w:pStyle w:val="Heading5"/>
        <w:numPr>
          <w:ilvl w:val="4"/>
          <w:numId w:val="1"/>
        </w:numPr>
        <w:rPr/>
      </w:pPr>
      <w:bookmarkStart w:id="125" w:name="__RefHeading___Toc3418186_2749589250"/>
      <w:bookmarkStart w:id="126" w:name="_Toc49"/>
      <w:bookmarkEnd w:id="125"/>
      <w:r>
        <w:rPr>
          <w:rtl w:val="true"/>
        </w:rPr>
        <w:t xml:space="preserve">سوم </w:t>
      </w:r>
      <w:r>
        <w:rPr>
          <w:rtl w:val="true"/>
        </w:rPr>
        <w:t xml:space="preserve">- </w:t>
      </w:r>
      <w:r>
        <w:rPr>
          <w:rtl w:val="true"/>
        </w:rPr>
        <w:t>حوزه قدسی کدام است و حوزه عرفی کدام؟</w:t>
      </w:r>
      <w:bookmarkEnd w:id="126"/>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قدسی کدام است و حوزه عرفی کدام؟</w:t>
      </w:r>
    </w:p>
    <w:p>
      <w:pPr>
        <w:pStyle w:val="BookText"/>
        <w:rPr/>
      </w:pPr>
      <w:r>
        <w:rPr>
          <w:rFonts w:ascii="IRNazanin" w:hAnsi="IRNazanin" w:eastAsia="IRNazanin"/>
          <w:color w:val="111111"/>
          <w:sz w:val="28"/>
          <w:sz w:val="28"/>
          <w:szCs w:val="28"/>
          <w:rtl w:val="true"/>
          <w:lang w:bidi="fa-IR"/>
        </w:rPr>
        <w:t>نویسنده در آغاز، قدسی و عرفی را این گونه تصویر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تعارض میان احکام متصلب و لایتغیر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فرسایش این دستگاه های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نویسنده قدسی و بنابراین متصلب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انجامیده و آن ها را عرفی تر کرده است؛ چرا که همواره گذار از حوزه قدسی، به حوزه عرفی با فرسایش و استهلاک توأم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به پیروی از دورکیم، میان زندگی روزمرّه و فعالیت های تکراری دنیوی و سکولار و امور قدسی که محرمات هستند و در مناسک و شعایر بروز می کنند، تفاوت و تمایز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عرفی شدن ایدئولوژی ها، درباره این نظر دورکیم بیش تر بحث خواهیم کرد، ولی در این جا این مقدار تذکر می دهیم که نویسنده مبنای نظری خاصی را که امروزه به هیچ وجه صحیح تلقی نمی شود و مستندات آن مردود است، اساس تحلیل دین شناسانه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وی خواسته است ادیان الهی و ابراهیمی را تحلیل کند و هیچ گاه و هیچ جا لازم ندیده است که این مبانی را صریحا اعلام کند یا آن ها را مورد استدلال و اثبات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ادامه، از دو نوع مصلحت اخروی و دنیوی نام برده، از زبان لوتر، تقسیم شریعت به دو حوزه را اعلام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شعایر و 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تنظیم کننده رابطه انسان و خدا هستند و</w:t>
      </w:r>
      <w:bookmarkStart w:id="127" w:name="pg3480_42248"/>
    </w:p>
    <w:p>
      <w:pPr>
        <w:pStyle w:val="BookText"/>
        <w:rPr/>
      </w:pPr>
      <w:bookmarkEnd w:id="127"/>
      <w:r>
        <w:rPr>
          <w:rFonts w:ascii="IRNazanin" w:hAnsi="IRNazanin" w:eastAsia="IRNazanin"/>
          <w:color w:val="111111"/>
          <w:sz w:val="28"/>
          <w:sz w:val="28"/>
          <w:szCs w:val="28"/>
          <w:rtl w:val="true"/>
          <w:lang w:bidi="fa-IR"/>
        </w:rPr>
        <w:t>مهم ترین وجوه مشخصه آن تکرار، نمادینگی و تصلّب شکلی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حقوق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تنظیم کننده روابط و مناسبات اجتماعی است و اساسا خصلتی قراردادی و هنجاری دارد، نه ارزشی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هم چنین مطلب مشابهی را از قول پارسونز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نویسنده، امر قدسی، امری متصلب، لا یتغیر و تکراری است و امر عرفی، امری روزمرّه و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دینی ابراهیمی مانند اسلام که حتی احکام عبادی آن نیز قابلیت انعطاف پذیری بالایی دارند و برای مثال، نماز که از مهم ترین واجبات اسلام است، باتوجه به موقعیت هایی که فرد مکلّف ممکن است در آن قرار گیرد، شکل های متنوع و گوناگونی می یابد، قدسی است یا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چارچوب تحلیلی و تبیینی نویسنده که به روشنی و صراحت دورکیمی و لوتری است، توانایی تبیین حقایق ادیان ابراهیمی و به خصوص اسلام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 از طرفی، قدسی و الهی است و از طرفی با توجه به تحول و دگرگونی شرایط فردی، اجتماعی و مانند آن متحول و پویاست</w:t>
      </w:r>
      <w:r>
        <w:rPr>
          <w:rFonts w:eastAsia="IRNazanin" w:cs="IRNazanin"/>
          <w:color w:val="111111"/>
          <w:sz w:val="28"/>
          <w:szCs w:val="28"/>
          <w:rtl w:val="true"/>
          <w:lang w:bidi="fa-IR"/>
        </w:rPr>
        <w:t>.</w:t>
      </w:r>
    </w:p>
    <w:p>
      <w:pPr>
        <w:pStyle w:val="Heading5"/>
        <w:numPr>
          <w:ilvl w:val="4"/>
          <w:numId w:val="1"/>
        </w:numPr>
        <w:rPr/>
      </w:pPr>
      <w:bookmarkStart w:id="128" w:name="__RefHeading___Toc3418188_2749589250"/>
      <w:bookmarkStart w:id="129" w:name="_Toc50"/>
      <w:bookmarkEnd w:id="128"/>
      <w:r>
        <w:rPr>
          <w:rtl w:val="true"/>
        </w:rPr>
        <w:t xml:space="preserve">چهارم </w:t>
      </w:r>
      <w:r>
        <w:rPr>
          <w:rtl w:val="true"/>
        </w:rPr>
        <w:t xml:space="preserve">- </w:t>
      </w:r>
      <w:r>
        <w:rPr>
          <w:rtl w:val="true"/>
        </w:rPr>
        <w:t>مقصود از دستگاه فقهی و اخلاقی واحد در مسیحیت چیست؟</w:t>
      </w:r>
      <w:bookmarkEnd w:id="129"/>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دستگاه فقهی و اخلاقی واحد در مسیحیت چیست؟</w:t>
      </w:r>
    </w:p>
    <w:p>
      <w:pPr>
        <w:pStyle w:val="BookText"/>
        <w:rPr/>
      </w:pPr>
      <w:r>
        <w:rPr>
          <w:rFonts w:ascii="IRNazanin" w:hAnsi="IRNazanin" w:eastAsia="IRNazanin"/>
          <w:color w:val="111111"/>
          <w:sz w:val="28"/>
          <w:sz w:val="28"/>
          <w:szCs w:val="28"/>
          <w:rtl w:val="true"/>
          <w:lang w:bidi="fa-IR"/>
        </w:rPr>
        <w:t>نویسنده از اندیشمندانی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آگوستین، یواخیم فیوره ای، لوتر، کالون، آنسلم، گروتیوس، راجر بیکن و ویلیام پیلی نام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همه اینان را می توان اندیشمندان دستگاه واحد فقهی و اخلاقی مسیحیت دانست؟ در این میان، گروتیوس یک حقوق دان است، نه یک فقیه یا متکلم مسیحی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هر کدام از اینان را باید در مکتب و دستگاه و سیستمی </w:t>
      </w:r>
      <w:bookmarkStart w:id="130" w:name="pg3480_42249"/>
    </w:p>
    <w:p>
      <w:pPr>
        <w:pStyle w:val="BookText"/>
        <w:rPr/>
      </w:pPr>
      <w:bookmarkEnd w:id="130"/>
      <w:r>
        <w:rPr>
          <w:rFonts w:ascii="IRNazanin" w:hAnsi="IRNazanin" w:eastAsia="IRNazanin"/>
          <w:color w:val="111111"/>
          <w:sz w:val="28"/>
          <w:sz w:val="28"/>
          <w:szCs w:val="28"/>
          <w:rtl w:val="true"/>
          <w:lang w:bidi="fa-IR"/>
        </w:rPr>
        <w:t>جداگانه دسته بندی کرد و حتی لوتر و کالون را نیز نمی توان در یک دستگاه واحد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نویسنده از دستگاه فقهی و اخلاقی واحد یا دستگاه فقهی و اخلاقی مسیحیت نام می برد و حکم کلی برای این دستگاه صادر می کند، در حالی که به اذعان خود او، آگوستین، مصالح دنیوی و مصالح اخروی را مانعه الجمع دانست، لوتر این دو گونه مصالح را تفکیک و مصالح دنیوی را به دولت سپرد، یواخیم فیوره ای، دین را ایدئولوژیک کرد و آکوئیناس و برخی دیگر خواستند میان این دو گونه مصالح جمع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دربردارنده ارائه اطلاعات متفاوت، متنوع، بدون انسجام و بی ارتباط با یکدیگر است، به گونه ای که تصور می رود از نظر نویسنده، ارائه اطلاعات متفاوت و متنوع هرچند متناقض، خلأ ارتباط، انسجام، استدلال و پیوند تئوریک را حل می کند</w:t>
      </w:r>
      <w:r>
        <w:rPr>
          <w:rFonts w:eastAsia="IRNazanin" w:cs="IRNazanin"/>
          <w:color w:val="111111"/>
          <w:sz w:val="28"/>
          <w:szCs w:val="28"/>
          <w:rtl w:val="true"/>
          <w:lang w:bidi="fa-IR"/>
        </w:rPr>
        <w:t>!</w:t>
      </w:r>
    </w:p>
    <w:p>
      <w:pPr>
        <w:pStyle w:val="Heading5"/>
        <w:numPr>
          <w:ilvl w:val="4"/>
          <w:numId w:val="1"/>
        </w:numPr>
        <w:rPr/>
      </w:pPr>
      <w:bookmarkStart w:id="131" w:name="__RefHeading___Toc3418190_2749589250"/>
      <w:bookmarkStart w:id="132" w:name="_Toc51"/>
      <w:bookmarkEnd w:id="131"/>
      <w:r>
        <w:rPr>
          <w:rtl w:val="true"/>
        </w:rPr>
        <w:t xml:space="preserve">پنجم </w:t>
      </w:r>
      <w:r>
        <w:rPr>
          <w:rtl w:val="true"/>
        </w:rPr>
        <w:t xml:space="preserve">- </w:t>
      </w:r>
      <w:r>
        <w:rPr>
          <w:rtl w:val="true"/>
        </w:rPr>
        <w:t>روش و نظم بحث و استدلال چگونه است؟</w:t>
      </w:r>
      <w:bookmarkEnd w:id="132"/>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نظم بحث و استدلال چگونه است؟</w:t>
      </w:r>
    </w:p>
    <w:p>
      <w:pPr>
        <w:pStyle w:val="BookText"/>
        <w:rPr/>
      </w:pPr>
      <w:r>
        <w:rPr>
          <w:rFonts w:ascii="IRNazanin" w:hAnsi="IRNazanin" w:eastAsia="IRNazanin"/>
          <w:color w:val="111111"/>
          <w:sz w:val="28"/>
          <w:sz w:val="28"/>
          <w:szCs w:val="28"/>
          <w:rtl w:val="true"/>
          <w:lang w:bidi="fa-IR"/>
        </w:rPr>
        <w:t>نویسنده در مقدمه مقاله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حاضر درصدد است که فرآیند عرفی شدن دستگاه فقهی و اخلاقی مسیحیت را از آن حیث که خود را متکفل جمع خیر دنیا و آخرت می دانسته،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تلاش می شود میان این فرآیند و تحولات حوزه کلام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تلازمی منطقی برقرار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جمع بندی نهایی مقاله هم می 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ملاحظه می شود، یک دستگاه فقهی که خود را متکفل تلفیق این دو نوع مصلحت می داند، در ذات خود عناصر عرفی شدن را می پروراند و این فرآیند، تنها در سطح حقوق و اخلاق که </w:t>
      </w:r>
    </w:p>
    <w:p>
      <w:pPr>
        <w:pStyle w:val="BookText"/>
        <w:rPr/>
      </w:pPr>
      <w:r>
        <w:rPr>
          <w:rFonts w:ascii="IRNazanin" w:hAnsi="IRNazanin" w:eastAsia="IRNazanin"/>
          <w:color w:val="111111"/>
          <w:sz w:val="28"/>
          <w:sz w:val="28"/>
          <w:szCs w:val="28"/>
          <w:rtl w:val="true"/>
          <w:lang w:bidi="fa-IR"/>
        </w:rPr>
        <w:t>بیرونی ترین لایه های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نمانده، سایر سطوح را نیز در می نوردد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منطقی است که نویسنده از فرمول زیر تبعیت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متصلب و لایتغیر فقهی و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مقتضیات گذران و روزمرّه زندگی جاری عرفی شدن دستگاه فقهی، حقوقی و اخلاقی تحولات در حوزه کلام 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هیچ جای مقاله حاضر، هیچ گونه بحث فقهی یا حقوقی در دستگاه حقوقی مسیحیت ملاحظه نمی شود و هیچ جای مقاله چالش فقهی و حقوقی مسیحیت با مقتضیات گذران و روزمرّه زندگی جاری را نشان نمی دهد، بلکه برعکس، آن چه نویسنده در مقاله نشان می دهد، فرمول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در حوزه کلام و الهیات مسیحی عرفی شدن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نویسنده نیز به این مطلب اذعان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پذیرش چنین تفکیکی در حوزه کلام و الهیات، طبعا آثار خود را بر شریعت نیز گذاشته، به هر چه عرفی تر شدن آن می 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 ملاحظه این مقاله و دیگر مقالات کتاب به دست می آید که گرچه روش و نظم بحث و استدلال برخلاف ادعا و مطلوب جریان می یابد، ولی دقیقا همان نظم و نسقی است که نویسنده دنبال می کند؛ </w:t>
      </w:r>
      <w:bookmarkStart w:id="133" w:name="pg3480_42251"/>
    </w:p>
    <w:p>
      <w:pPr>
        <w:pStyle w:val="BookText"/>
        <w:rPr/>
      </w:pPr>
      <w:bookmarkEnd w:id="133"/>
      <w:r>
        <w:rPr>
          <w:rFonts w:ascii="IRNazanin" w:hAnsi="IRNazanin" w:eastAsia="IRNazanin"/>
          <w:color w:val="111111"/>
          <w:sz w:val="28"/>
          <w:sz w:val="28"/>
          <w:szCs w:val="28"/>
          <w:rtl w:val="true"/>
          <w:lang w:bidi="fa-IR"/>
        </w:rPr>
        <w:t>زیرا درست است که ادعا و موضوع کتاب، رابطه عینیت ذهنیت</w:t>
      </w:r>
      <w:r>
        <w:rPr>
          <w:rStyle w:val="FootnoteAnchor"/>
          <w:rtl w:val="true"/>
        </w:rPr>
        <w:footnoteReference w:id="7"/>
      </w:r>
      <w:r>
        <w:rPr>
          <w:rFonts w:ascii="IRNazanin" w:hAnsi="IRNazanin" w:eastAsia="IRNazanin"/>
          <w:color w:val="111111"/>
          <w:sz w:val="28"/>
          <w:sz w:val="28"/>
          <w:szCs w:val="28"/>
          <w:rtl w:val="true"/>
          <w:lang w:bidi="fa-IR"/>
        </w:rPr>
        <w:t>است ولی رسالت کتاب، رابطه ذهنیت عینیت</w:t>
      </w:r>
      <w:r>
        <w:rPr>
          <w:rStyle w:val="FootnoteAnchor"/>
          <w:rtl w:val="true"/>
        </w:rPr>
        <w:footnoteReference w:id="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نمی توان واقعیات گذشته و حال را تغییر داد، حداقل می توان آن را تحریف کرد و با تحریف واقعیات می توان ذهنیت مخاطبان را تغییر داد و به تبع تغییر در ذهنیت مخاطبان تغییر در عینیت خارجی را امید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4"/>
        <w:numPr>
          <w:ilvl w:val="3"/>
          <w:numId w:val="1"/>
        </w:numPr>
        <w:rPr/>
      </w:pPr>
      <w:bookmarkStart w:id="134" w:name="__RefHeading___Toc3418192_2749589250"/>
      <w:bookmarkStart w:id="135" w:name="_Toc52"/>
      <w:bookmarkEnd w:id="134"/>
      <w:r>
        <w:rPr>
          <w:rtl w:val="true"/>
        </w:rPr>
        <w:t>گفتار دوم</w:t>
      </w:r>
      <w:bookmarkEnd w:id="135"/>
    </w:p>
    <w:p>
      <w:pPr>
        <w:pStyle w:val="Heading5"/>
        <w:numPr>
          <w:ilvl w:val="4"/>
          <w:numId w:val="1"/>
        </w:numPr>
        <w:rPr/>
      </w:pPr>
      <w:bookmarkStart w:id="136" w:name="__RefHeading___Toc3418194_2749589250"/>
      <w:bookmarkStart w:id="137" w:name="_Toc53"/>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گفتار دوم</w:t>
      </w:r>
    </w:p>
    <w:p>
      <w:pPr>
        <w:pStyle w:val="BookText"/>
        <w:rPr/>
      </w:pP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عرفی شدن شریعت مسیح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نویسنده ادعا می کند که جمع میان مصالح دنیوی و اخروی، درون دستگاه حقوقی، فقهی و اخلاقی واحدِ یک دین، آن را عرفی می کند و می خواهد نمونه این فرآیند عرفی شدن ادیان ابراهیمی را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 آن هم از آن حیث که این دین خود را متکفّل جمع خیر دنیا و آخرت می دانسته و تأثیرات این عرفی شدن در فقه و اخلاق را در کلام مسیحی نیز پی می گیرد</w:t>
      </w:r>
      <w:r>
        <w:rPr>
          <w:rFonts w:eastAsia="IRNazanin" w:cs="IRNazanin"/>
          <w:color w:val="111111"/>
          <w:sz w:val="28"/>
          <w:szCs w:val="28"/>
          <w:rtl w:val="true"/>
          <w:lang w:bidi="fa-IR"/>
        </w:rPr>
        <w:t>.</w:t>
      </w:r>
    </w:p>
    <w:p>
      <w:pPr>
        <w:pStyle w:val="Heading5"/>
        <w:numPr>
          <w:ilvl w:val="4"/>
          <w:numId w:val="1"/>
        </w:numPr>
        <w:rPr/>
      </w:pPr>
      <w:bookmarkStart w:id="138" w:name="__RefHeading___Toc3418196_2749589250"/>
      <w:bookmarkStart w:id="139" w:name="_Toc54"/>
      <w:bookmarkEnd w:id="138"/>
      <w:r>
        <w:rPr>
          <w:rtl w:val="true"/>
        </w:rPr>
        <w:t xml:space="preserve">اول </w:t>
      </w:r>
      <w:r>
        <w:rPr>
          <w:rtl w:val="true"/>
        </w:rPr>
        <w:t xml:space="preserve">- </w:t>
      </w:r>
      <w:r>
        <w:rPr>
          <w:rtl w:val="true"/>
        </w:rPr>
        <w:t>بررسی عرفی شدن</w:t>
      </w:r>
      <w:bookmarkEnd w:id="139"/>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عرفی شدن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نویسنده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عرفی شدن را به دو معنا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شدن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 شدن عرصه عمومی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حوزه خصوصی رفتن </w:t>
      </w:r>
      <w:bookmarkStart w:id="140" w:name="pg3480_42252"/>
    </w:p>
    <w:p>
      <w:pPr>
        <w:pStyle w:val="BookText"/>
        <w:rPr/>
      </w:pPr>
      <w:bookmarkEnd w:id="140"/>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نویسنده است که 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میان مصالح دنیوی و اخروی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شریعت مسیح، دنیوی شد</w:t>
      </w:r>
      <w:r>
        <w:rPr>
          <w:rFonts w:eastAsia="IRNazanin" w:cs="IRNazanin"/>
          <w:color w:val="111111"/>
          <w:sz w:val="28"/>
          <w:szCs w:val="28"/>
          <w:rtl w:val="true"/>
          <w:lang w:bidi="fa-IR"/>
        </w:rPr>
        <w:t>.</w:t>
      </w:r>
    </w:p>
    <w:p>
      <w:pPr>
        <w:pStyle w:val="Heading5"/>
        <w:numPr>
          <w:ilvl w:val="4"/>
          <w:numId w:val="1"/>
        </w:numPr>
        <w:rPr/>
      </w:pPr>
      <w:bookmarkStart w:id="141" w:name="__RefHeading___Toc3418198_2749589250"/>
      <w:bookmarkStart w:id="142" w:name="_Toc55"/>
      <w:bookmarkEnd w:id="141"/>
      <w:r>
        <w:rPr>
          <w:rtl w:val="true"/>
        </w:rPr>
        <w:t xml:space="preserve">دوم </w:t>
      </w:r>
      <w:r>
        <w:rPr>
          <w:rtl w:val="true"/>
        </w:rPr>
        <w:t xml:space="preserve">- </w:t>
      </w:r>
      <w:r>
        <w:rPr>
          <w:rtl w:val="true"/>
        </w:rPr>
        <w:t>منظور از شریعت مسیح علیه السلام چیست؟</w:t>
      </w:r>
      <w:bookmarkEnd w:id="142"/>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شریعت مسیح علیه السلام چیست؟</w:t>
      </w:r>
    </w:p>
    <w:p>
      <w:pPr>
        <w:pStyle w:val="BookText"/>
        <w:rPr/>
      </w:pPr>
      <w:r>
        <w:rPr>
          <w:rFonts w:ascii="IRNazanin" w:hAnsi="IRNazanin" w:eastAsia="IRNazanin"/>
          <w:color w:val="111111"/>
          <w:sz w:val="28"/>
          <w:sz w:val="28"/>
          <w:szCs w:val="28"/>
          <w:rtl w:val="true"/>
          <w:lang w:bidi="fa-IR"/>
        </w:rPr>
        <w:t xml:space="preserve">به هیچ وجه در کلام نویسنده روشن نیست که آیا منظور احکام تورات است که از نظر بعضی فرقه های مسیحی در مسیحیت نیز امضا شده است یا مقصود احکامی است که کلیسا صادر کرده و در مجموعه هایی گردآوری شده که به معنای دقیق کلمه، دیگر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کلیسایی</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آیا از نظر نویسنده، حقیقت واحدی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یا هر چه هست، قرائت های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قرائت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کدام قرائت مورد نظر نویسنده است یا این که می خواهد سیر تکاملی قرائت های گوناگون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مسائل نامعلوم است، تا نویسنده به راحتی بتواند به هر طرف که خواست برود و هر مطلبی را که خواست بگوید و از آن جایی که تعریف روشنی از مفاهیم، اصطلاحات و موضوعات ارائه نمی دهد، دستش کاملاً باز باشد و همین مطلب به روشنی نشان دهنده غیرفنی و غیرعلمی بودن مقاله است</w:t>
      </w:r>
      <w:r>
        <w:rPr>
          <w:rFonts w:eastAsia="IRNazanin" w:cs="IRNazanin"/>
          <w:color w:val="111111"/>
          <w:sz w:val="28"/>
          <w:szCs w:val="28"/>
          <w:rtl w:val="true"/>
          <w:lang w:bidi="fa-IR"/>
        </w:rPr>
        <w:t>.</w:t>
      </w:r>
    </w:p>
    <w:p>
      <w:pPr>
        <w:pStyle w:val="Heading5"/>
        <w:numPr>
          <w:ilvl w:val="4"/>
          <w:numId w:val="1"/>
        </w:numPr>
        <w:rPr/>
      </w:pPr>
      <w:bookmarkStart w:id="143" w:name="__RefHeading___Toc3418200_2749589250"/>
      <w:bookmarkStart w:id="144" w:name="_Toc56"/>
      <w:bookmarkEnd w:id="143"/>
      <w:r>
        <w:rPr>
          <w:rtl w:val="true"/>
        </w:rPr>
        <w:t xml:space="preserve">سوم </w:t>
      </w:r>
      <w:r>
        <w:rPr>
          <w:rtl w:val="true"/>
        </w:rPr>
        <w:t xml:space="preserve">- </w:t>
      </w:r>
      <w:r>
        <w:rPr>
          <w:rtl w:val="true"/>
        </w:rPr>
        <w:t>مصلحت</w:t>
      </w:r>
      <w:bookmarkEnd w:id="144"/>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ببینیم نویسنده چگونه جمع میان مصالح را ترسیم و تصویر می کند؟ </w:t>
      </w:r>
    </w:p>
    <w:p>
      <w:pPr>
        <w:pStyle w:val="BookText"/>
        <w:rPr/>
      </w:pPr>
      <w:r>
        <w:rPr>
          <w:rFonts w:ascii="IRNazanin" w:hAnsi="IRNazanin" w:eastAsia="IRNazanin"/>
          <w:color w:val="111111"/>
          <w:sz w:val="28"/>
          <w:sz w:val="28"/>
          <w:szCs w:val="28"/>
          <w:rtl w:val="true"/>
          <w:lang w:bidi="fa-IR"/>
        </w:rPr>
        <w:t>نویسنده در ترسیم و تصویر جمع میان مصالح دنیوی و اخروی در مسیحیت، از آگوستین شروع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آگوستین در جهت ایجاد نوعی وفاق و هم سویی میان مصالح اخروی و دنیوی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نتیجه می رسد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سیستم اندیشه دینی آگوستین، مانعه الجمع بودن سعادت دنیا و آخرت منجر به انکار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دنیوی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آگوستین به چنین جمعی قایل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تعبیرات اولیه نویسنده درباره آگوستین سهوالقلمی بیش نیست و کل این مطلب با موضوع بحث بی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ادامه ترسیم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حدود قرن دهم است که باب علل الشرایع نویسی در شریعت نصاری مفتوح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علل الشرایع که در صدد تبیین فلسفه و مصلحت وضع احکام شرعی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نمونه های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آثار وضعی و این جهانی شرایع پرداخته و دست به توجیه عقلانی آن ها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معلوم نیست منظور از کتاب های علل الشرایع کدام کتاب هاست و دقیقا در چه سال هایی نگاشته شده و موضوع و مضمون آن ها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نقلیات تاریخی نویسنده؛ مدرک و سند ندارد و با مراجعه و تحقیق معلوم می شود که از اساس نادرست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فرض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با فرض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به جمع میان مصالح دنیوی و اخروی ارتباطی ندارد؛ زیرا در نهایت در این گونه کتاب ها گفته شده است که احکام شرعی </w:t>
      </w:r>
    </w:p>
    <w:p>
      <w:pPr>
        <w:pStyle w:val="BookText"/>
        <w:rPr/>
      </w:pPr>
      <w:r>
        <w:rPr>
          <w:rFonts w:ascii="IRNazanin" w:hAnsi="IRNazanin" w:eastAsia="IRNazanin"/>
          <w:color w:val="111111"/>
          <w:sz w:val="28"/>
          <w:sz w:val="28"/>
          <w:szCs w:val="28"/>
          <w:rtl w:val="true"/>
          <w:lang w:bidi="fa-IR"/>
        </w:rPr>
        <w:t>دارای مصالح دنیوی و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توصیفی بیش نیست و با اقدام کردن به قصد جمع مصالح،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ادامه به لوتر می رسد که این پرسش را 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 می توان مصالح دنیوی و اخروی را درون یک دستگاه حقوقی واحد، آشتی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لوتر با استناد به این آیه انجیل که امر خدا را به خدا وا بگذار و امر قیصر را به قیصر، به تفکیک میان مناسک از حقوق عرفی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بشر دو نوع مصلحت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لوتر هم درصدد جمع میان مصالح دنیوی و اخروی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لوتر نیز ربطی به ادعای نویسنده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ادامه بررسی مصلحت در مسیحیت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آموزه های مهم پس از عصر رفرم در خصوص جمع مصالح دنیوی و اخروی، توسط متألهینی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آنسلم، گروتیوس و راجر بیکن با شعار ایمان ما خرد ماست تأسیس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دانیم از نظر تاریخی، آنسلم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راجر بیکن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لوتر و نهضت اصلاح دینی و عصر رفرم مقدم هستند و گروتیوس </w:t>
      </w:r>
      <w:r>
        <w:rPr>
          <w:rFonts w:eastAsia="IRNazanin" w:cs="IRNazanin"/>
          <w:color w:val="111111"/>
          <w:sz w:val="28"/>
          <w:szCs w:val="28"/>
          <w:rtl w:val="true"/>
          <w:lang w:bidi="fa-IR"/>
        </w:rPr>
        <w:t>(</w:t>
      </w:r>
      <w:r>
        <w:rPr>
          <w:rFonts w:eastAsia="IRNazanin" w:cs="IRNazanin"/>
          <w:color w:val="111111"/>
          <w:sz w:val="28"/>
          <w:szCs w:val="28"/>
          <w:lang w:bidi="fa-IR"/>
        </w:rPr>
        <w:t>1583</w:t>
      </w:r>
      <w:r>
        <w:rPr>
          <w:rFonts w:eastAsia="IRNazanin" w:cs="IRNazanin"/>
          <w:color w:val="111111"/>
          <w:sz w:val="28"/>
          <w:szCs w:val="28"/>
          <w:rtl w:val="true"/>
          <w:lang w:bidi="fa-IR"/>
        </w:rPr>
        <w:t xml:space="preserve"> -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دانی است که پس از مرگ 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دنیا آمد </w:t>
      </w:r>
      <w:r>
        <w:rPr>
          <w:rFonts w:eastAsia="IRNazanin" w:cs="IRNazanin"/>
          <w:color w:val="111111"/>
          <w:sz w:val="28"/>
          <w:szCs w:val="28"/>
          <w:lang w:bidi="fa-IR"/>
        </w:rPr>
        <w:t>1483</w:t>
      </w:r>
      <w:r>
        <w:rPr>
          <w:rFonts w:eastAsia="IRNazanin" w:cs="IRNazanin"/>
          <w:color w:val="111111"/>
          <w:sz w:val="28"/>
          <w:szCs w:val="28"/>
          <w:rtl w:val="true"/>
          <w:lang w:bidi="fa-IR"/>
        </w:rPr>
        <w:t xml:space="preserve"> -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جمله نویسنده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آموزه های مهم پس از عصر رفرم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صحیحی ندارد؛ زیرا دو نفر از متألهین که نویسنده به آنان استناد کرده است، قبل از عصر رفرم بودند و نفر سوم نیز از متألهین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ما، خرد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محتوا با شعار آگوستین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 ما، ایمان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ندارد و دریافت و بیان نویسنده از این </w:t>
      </w:r>
    </w:p>
    <w:p>
      <w:pPr>
        <w:pStyle w:val="BookText"/>
        <w:rPr/>
      </w:pPr>
      <w:r>
        <w:rPr>
          <w:rFonts w:ascii="IRNazanin" w:hAnsi="IRNazanin" w:eastAsia="IRNazanin"/>
          <w:color w:val="111111"/>
          <w:sz w:val="28"/>
          <w:sz w:val="28"/>
          <w:szCs w:val="28"/>
          <w:rtl w:val="true"/>
          <w:lang w:bidi="fa-IR"/>
        </w:rPr>
        <w:t>مطلب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نویسنده در جاهای گوناگون و به انحای گوناگونی تلقی و مورد استفاده و استناد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به دست می آید که نویسنده گفتار این چند نفر را متوجه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دموکراتیک حکومتی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نویسنده به این ها نسبت می 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لطف خدا به دور است که حکمی بر خلاف مصالح بنی نوع بشر تنفیذ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معناست که احکام خدا، مصالح بشر را تأمین می کند و این نیز ربطی به جمع میان مصالح دنیوی و اخروی ندارد؛ زیرا مصلحت را به معنای مصلحت دنیوی و ظاهری و هزینه و فایده نگرفته اند، بلکه مصلحت الهی و انسانی به طور اعم مورد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نتیجه می گیرد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قانون طبیعی جای قانون الهی را می گیرد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روشنی معلوم است که نویسنده، دریافت صحیحی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اندیشمندانی که در مسیحیت از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کرده اند،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ندیده، این دو را مکمل یکدیگر می دانند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 تعبیر نویسنده در مقدمه کتاب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عرفی شدن که از زمان آکوئیناس شروع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که می 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را آکوئیناس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قوانین را به چهار دسته تقسیم کرد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را عدولی از مطالب این مقاله دانست، یعنی نویسنده بعدها متوجه شد که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آکوئیناس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ربطی به آنسلم، بیکن و گروتیوس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از مقاله امام خمینی، فقیه دوران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خواهیم دید که برداشت نویسنده از نظریه آکوئیناس هم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بحث قانون طبیعی، از قرن ها قبل از آکوئیناس و حتی پیش از مسیحیت سابقه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بحث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بازشدن پای عنصر مصلحت به درون دستگاه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آن را به سوی تبدیل شدن به نظام حقوقی عرفی پیش راند و این امری است که در قرن هجدهم در همه شئون الهیات پروتستان تأثیر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نویسنده می خواهد بگوید که تز جمع میان مصالح دنیا و آخرت و آمدن عنصر مصلحت درون دستگاه فقه مسیحیت پس از پروتستانیزم پیدا شد، هم از نظر تاریخی نادرست است و هم با مطالبی که از لوتر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واقعیت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اطلاع صحیحی از شریعت مسیح و آموزه های این شریعت، فلسفه فقه و حقوق این شریعت و تاریخ اندیشه های فقهی، حقوقی و سیاسی مسیحیت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تصویر روشنی از عرفی شدن و مصلحت ندارد وگرنه آگوستین، لوتر، آنسلم، گروتیوس و بیکن همه را با هم در مسیر جمع مصالح دنیا و آخرت و عرفی شدن کنار هم نمی گذاشت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تحت تأثیر بعضی از هگل گرایان وطنی، به واقعیت تاریخی اهمیت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جست وجوی آفرینشِ نوعی فلسفه تاریخ و ارائه یک متاتئوری است که بتواند تحولات کشور را تبیین کند و در این مسیر به تاریخ سازی، مُثله نمودن و تحریف تاریخ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در تمامی کتاب، یک تعریف روشن از مصلحت، مبنا، معیار و ملاک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کاتالیزور شدیدا عرفی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آشفتگی تئوریک، ابهام و اجمال در اصطلاحات، تعریف مفاهیم و خلط تاریخ، نمی توان فلسفه تاریخ و متاتئوری ارائه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در ادامه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درون خود دین، فایده گرایانی ظهور کرده اند که می توان اندیشه آنان را گونه دینی اندیشه اصاله المصلحة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آنان باید از ویلیام پیلی نام برد که درصدد تأسیس دکترین فایده گرایی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فایده گرایی دینی را امری ممکن بدانیم، قادر خواهیم بود به نحوی، سنتزی میان مصالح دنیوی و اخروی و خیر دنیا و آخرت به وجود آوریم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نیز مطالبی از ویلیام پیلی </w:t>
      </w:r>
      <w:r>
        <w:rPr>
          <w:rFonts w:eastAsia="IRNazanin" w:cs="IRNazanin"/>
          <w:color w:val="111111"/>
          <w:sz w:val="28"/>
          <w:szCs w:val="28"/>
          <w:rtl w:val="true"/>
          <w:lang w:bidi="fa-IR"/>
        </w:rPr>
        <w:t>(</w:t>
      </w:r>
      <w:r>
        <w:rPr>
          <w:rFonts w:eastAsia="IRNazanin" w:cs="IRNazanin"/>
          <w:color w:val="111111"/>
          <w:sz w:val="28"/>
          <w:szCs w:val="28"/>
          <w:lang w:bidi="fa-IR"/>
        </w:rPr>
        <w:t>1743</w:t>
      </w:r>
      <w:r>
        <w:rPr>
          <w:rFonts w:eastAsia="IRNazanin" w:cs="IRNazanin"/>
          <w:color w:val="111111"/>
          <w:sz w:val="28"/>
          <w:szCs w:val="28"/>
          <w:rtl w:val="true"/>
          <w:lang w:bidi="fa-IR"/>
        </w:rPr>
        <w:t xml:space="preserve"> -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به اصاله المصلحة و فایده گرایی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تا قبل از ویلیام پیلی، دکترین فایده گرایی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اصاله المصلحة و ورود عنصر مصلحت در فقه و حقوق و عرفی شدن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هر آن چه نویسنده تاکنون گفته است،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گفتار نویسنده این است که تا قبل از ویلیام پیلی، عرفی شدنی در مسیحیت تحقق نیافته باشد؛ زیرا فایده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دکترین آن هم در میان نبوده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می توان جملات نویسنده را با تأویل، تقیید و مانند این ها به </w:t>
      </w:r>
      <w:bookmarkStart w:id="145" w:name="pg3480_42258"/>
    </w:p>
    <w:p>
      <w:pPr>
        <w:pStyle w:val="BookText"/>
        <w:rPr/>
      </w:pPr>
      <w:bookmarkEnd w:id="145"/>
      <w:r>
        <w:rPr>
          <w:rFonts w:ascii="IRNazanin" w:hAnsi="IRNazanin" w:eastAsia="IRNazanin"/>
          <w:color w:val="111111"/>
          <w:sz w:val="28"/>
          <w:sz w:val="28"/>
          <w:szCs w:val="28"/>
          <w:rtl w:val="true"/>
          <w:lang w:bidi="fa-IR"/>
        </w:rPr>
        <w:t>نوعی درست کرد، ولی در هر صورت نمی توان آشفتگی و پریشانی مقاله را درمان کرد</w:t>
      </w:r>
      <w:r>
        <w:rPr>
          <w:rFonts w:eastAsia="IRNazanin" w:cs="IRNazanin"/>
          <w:color w:val="111111"/>
          <w:sz w:val="28"/>
          <w:szCs w:val="28"/>
          <w:rtl w:val="true"/>
          <w:lang w:bidi="fa-IR"/>
        </w:rPr>
        <w:t>.</w:t>
      </w:r>
    </w:p>
    <w:p>
      <w:pPr>
        <w:pStyle w:val="Heading5"/>
        <w:numPr>
          <w:ilvl w:val="4"/>
          <w:numId w:val="1"/>
        </w:numPr>
        <w:rPr/>
      </w:pPr>
      <w:bookmarkStart w:id="146" w:name="__RefHeading___Toc3418202_2749589250"/>
      <w:bookmarkStart w:id="147" w:name="_Toc57"/>
      <w:bookmarkEnd w:id="146"/>
      <w:r>
        <w:rPr>
          <w:rtl w:val="true"/>
        </w:rPr>
        <w:t xml:space="preserve">چهارم </w:t>
      </w:r>
      <w:r>
        <w:rPr>
          <w:rtl w:val="true"/>
        </w:rPr>
        <w:t xml:space="preserve">- </w:t>
      </w:r>
      <w:r>
        <w:rPr>
          <w:rtl w:val="true"/>
        </w:rPr>
        <w:t>سکولاریزاسیون</w:t>
      </w:r>
      <w:bookmarkEnd w:id="147"/>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سکولاریزاسیون</w:t>
      </w:r>
    </w:p>
    <w:p>
      <w:pPr>
        <w:pStyle w:val="BookText"/>
        <w:rPr/>
      </w:pPr>
      <w:r>
        <w:rPr>
          <w:rFonts w:ascii="IRNazanin" w:hAnsi="IRNazanin" w:eastAsia="IRNazanin"/>
          <w:color w:val="111111"/>
          <w:sz w:val="28"/>
          <w:sz w:val="28"/>
          <w:szCs w:val="28"/>
          <w:rtl w:val="true"/>
          <w:lang w:bidi="fa-IR"/>
        </w:rPr>
        <w:t>نویسنده در نتیجه گیری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گذشت، بیان شمه ای از تلاش هایی بود که در شریعت و کلام مسیحیت، برای جمع میان خیر دنیا و آخرت صورت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های چه شخصی؟ آگوستین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دیگران؟ چه گونه؟ به چه نحو؟ با چه مضمونی؟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ملاحظه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دستگاه فقهی که خود را متکفّل تلفیق این دو نوع مصلحت می داند، در ذات خود، عناصر عرفی شدن را می پروراند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معلوم نیست که این دستگاه فقهی دستگاه چه شخصی است؛ آگوستین، لوتر یا شخصی دیگر؟ با همان قرینه ای که بیان کردیم، می توان احتمال داد که نویسنده، آکوئیناس را در نظر دارد که یک بار هم اسمش را در این مقاله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مباحث آکوئیناس خواهیم دید که نویسنده در مورد او هم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اغتشاش و آشفتگی در نظم تاریخی موضوعات، اشخاص، مفاهیم و ارتباط مطالب با یکدیگر، نویسنده چه چیزی را و چگونه اثبات کرده است؟</w:t>
      </w:r>
    </w:p>
    <w:p>
      <w:pPr>
        <w:pStyle w:val="Heading5"/>
        <w:numPr>
          <w:ilvl w:val="4"/>
          <w:numId w:val="1"/>
        </w:numPr>
        <w:rPr/>
      </w:pPr>
      <w:bookmarkStart w:id="148" w:name="__RefHeading___Toc3418204_2749589250"/>
      <w:bookmarkStart w:id="149" w:name="_Toc58"/>
      <w:bookmarkEnd w:id="148"/>
      <w:r>
        <w:rPr>
          <w:rtl w:val="true"/>
        </w:rPr>
        <w:t xml:space="preserve">پنجم </w:t>
      </w:r>
      <w:r>
        <w:rPr>
          <w:rtl w:val="true"/>
        </w:rPr>
        <w:t xml:space="preserve">- </w:t>
      </w:r>
      <w:r>
        <w:rPr>
          <w:rtl w:val="true"/>
        </w:rPr>
        <w:t>متد و روش</w:t>
      </w:r>
      <w:bookmarkEnd w:id="149"/>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 و روش</w:t>
      </w:r>
    </w:p>
    <w:p>
      <w:pPr>
        <w:pStyle w:val="BookText"/>
        <w:rPr/>
      </w:pPr>
      <w:r>
        <w:rPr>
          <w:rFonts w:ascii="IRNazanin" w:hAnsi="IRNazanin" w:eastAsia="IRNazanin"/>
          <w:color w:val="111111"/>
          <w:sz w:val="28"/>
          <w:sz w:val="28"/>
          <w:szCs w:val="28"/>
          <w:rtl w:val="true"/>
          <w:lang w:bidi="fa-IR"/>
        </w:rPr>
        <w:t>در واقع، متد و روش نویسنده بدین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تصویری از حال ساختن،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مصلحت در جمهوری اسلامی ایران که خواهیم دید، نویسنده تصور درستی از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به تاریخ تاباندن،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مصلحت در شریعت مسیح علیه السلام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را مشابه آن تصویر از حال درآوردن و تحریف کردن که نمونه هایش را دیدیم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تحریف تاریخ را تعمیم دادن و از آن تئوری پرداختن،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مقاله و چند مقاله بعدی در باب عرفی شدن فقه شیعی و فقه المصلحة و دین دموکراتیک حکومتی که تاریخ تحریف شده مسیحیت را تعمیم داده و به تئوری مصلحت و عرفی شدن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گونه تئوری پردازی حال و آینده را تبیین کردن،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مقالات بعدی مدعی می شود که جمهوری اسلامی و فقه شیعی نیز ناگزیر عرفی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گونه تئوری پردازی، یا به تعبیر صحیح تر خیال پردازی، بی فایده هم نیست و در تغییر ذهنیت مخاطب مؤثر است تا پس از این گونه مطالب شبه تئوریک و شبه علمی، واقعیت را دیگرگونه و تحریف شده ببیند و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نویسنده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کاهنی که آینده را پیش بینی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تئوریسینی که برای آینده خیال پردازی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می تواند آن را بسازد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150" w:name="pg3480_42260"/>
    </w:p>
    <w:p>
      <w:pPr>
        <w:pStyle w:val="Heading4"/>
        <w:numPr>
          <w:ilvl w:val="3"/>
          <w:numId w:val="1"/>
        </w:numPr>
        <w:rPr/>
      </w:pPr>
      <w:bookmarkStart w:id="151" w:name="__RefHeading___Toc3418206_2749589250"/>
      <w:bookmarkStart w:id="152" w:name="_Toc59"/>
      <w:bookmarkEnd w:id="150"/>
      <w:bookmarkEnd w:id="151"/>
      <w:r>
        <w:rPr>
          <w:rtl w:val="true"/>
        </w:rPr>
        <w:t>گفتار سوم</w:t>
      </w:r>
      <w:bookmarkEnd w:id="152"/>
    </w:p>
    <w:p>
      <w:pPr>
        <w:pStyle w:val="Heading5"/>
        <w:numPr>
          <w:ilvl w:val="4"/>
          <w:numId w:val="1"/>
        </w:numPr>
        <w:rPr/>
      </w:pPr>
      <w:bookmarkStart w:id="153" w:name="__RefHeading___Toc3418208_2749589250"/>
      <w:bookmarkStart w:id="154" w:name="_Toc60"/>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گفتار سوم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مسیح</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شناسی</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لویاتان</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یا تاریخی 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یا متغیر؟</w:t>
      </w:r>
    </w:p>
    <w:p>
      <w:pPr>
        <w:pStyle w:val="Heading5"/>
        <w:numPr>
          <w:ilvl w:val="4"/>
          <w:numId w:val="1"/>
        </w:numPr>
        <w:rPr/>
      </w:pPr>
      <w:bookmarkStart w:id="155" w:name="__RefHeading___Toc3418210_2749589250"/>
      <w:bookmarkStart w:id="156" w:name="_Toc61"/>
      <w:bookmarkEnd w:id="155"/>
      <w:r>
        <w:rPr>
          <w:rtl w:val="true"/>
        </w:rPr>
        <w:t xml:space="preserve">اول </w:t>
      </w:r>
      <w:r>
        <w:rPr>
          <w:rtl w:val="true"/>
        </w:rPr>
        <w:t xml:space="preserve">- </w:t>
      </w:r>
      <w:r>
        <w:rPr>
          <w:rtl w:val="true"/>
        </w:rPr>
        <w:t>شریعت مسیح</w:t>
      </w:r>
      <w:bookmarkEnd w:id="156"/>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مسیح</w:t>
      </w:r>
    </w:p>
    <w:p>
      <w:pPr>
        <w:pStyle w:val="BookText"/>
        <w:rPr/>
      </w:pPr>
      <w:r>
        <w:rPr>
          <w:rFonts w:ascii="IRNazanin" w:hAnsi="IRNazanin" w:eastAsia="IRNazanin"/>
          <w:color w:val="111111"/>
          <w:sz w:val="28"/>
          <w:sz w:val="28"/>
          <w:szCs w:val="28"/>
          <w:rtl w:val="true"/>
          <w:lang w:bidi="fa-IR"/>
        </w:rPr>
        <w:t>منظور نویسنده از شریعت مسیح چیست؟ آیا منظور شریعتی است که خود حضرت عیسی آورده؟ آن شریعت چیست، کدام است و در کجا وجود دارد؟ آیا منظور احکام و فتاوای کلیسایی است؟ و آیا این احکام به معنای حقیقی کلمه، شریعت مسیح یا حتی شریعت است؟</w:t>
      </w:r>
    </w:p>
    <w:p>
      <w:pPr>
        <w:pStyle w:val="BookText"/>
        <w:rPr/>
      </w:pPr>
      <w:r>
        <w:rPr>
          <w:rFonts w:ascii="IRNazanin" w:hAnsi="IRNazanin" w:eastAsia="IRNazanin"/>
          <w:color w:val="111111"/>
          <w:sz w:val="28"/>
          <w:sz w:val="28"/>
          <w:szCs w:val="28"/>
          <w:rtl w:val="true"/>
          <w:lang w:bidi="fa-IR"/>
        </w:rPr>
        <w:t xml:space="preserve">به علاوه به ادعای نویسنده، آموزه انجیل و مسیح این است که کار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نویسنده، شریعتی که در مسیحیت برای دنیا حکم و قاعده داشته باشد، شریعت به معنای واقعی کلمه و یا شریعت الهی نیست و سخن از عرفی شدن شریعت مسیح بی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نویسنده، در شریعت مسیح تفکری وجود داشته و دارد که به مانعه الجمع بودن این دو گونه مصلحت معتقد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می توان به شریعت مسیح جمع میان مصالح را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نویسنده سرشار از ابهام گویی است و نویسنده، خود، دریافت درستی از واژه ها و کلمات نداشته، قادر به تعریف آن ها نیست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جمع میان مصالح دنیوی و اخروی در خود این شرایع ابراهیمی رخ داده و پیامبران ابراهیمی از آغاز چنین کرده اند یا این که بعدها بعضی قرائت های نادرست در این شریعت ها پیدا شده که خواسته است مصالح دنیوی را نیز تأمین کند؟ در صورت دوم، اصلاً می توان از </w:t>
      </w:r>
      <w:bookmarkStart w:id="157" w:name="pg3480_42261"/>
    </w:p>
    <w:p>
      <w:pPr>
        <w:pStyle w:val="BookText"/>
        <w:rPr/>
      </w:pPr>
      <w:bookmarkEnd w:id="157"/>
      <w:r>
        <w:rPr>
          <w:rFonts w:ascii="IRNazanin" w:hAnsi="IRNazanin" w:eastAsia="IRNazanin"/>
          <w:color w:val="111111"/>
          <w:sz w:val="28"/>
          <w:sz w:val="28"/>
          <w:szCs w:val="28"/>
          <w:rtl w:val="true"/>
          <w:lang w:bidi="fa-IR"/>
        </w:rPr>
        <w:t>عرفی شدن شریعت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که به ادعای نویسنده، آکوئیناس خواست در درون شریعت مسیح میان مصالح دنیا و آخرت جمع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از نظر تاریخی این گفتار نادرست است و احکام کلیسایی ناظر به دنیا از گذشته سابقه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چنین امری را می توان به شریعت مسیح نسبت داد؟</w:t>
      </w:r>
      <w:r>
        <w:rPr>
          <w:rFonts w:eastAsia="IRNazanin" w:cs="IRNazanin"/>
          <w:color w:val="111111"/>
          <w:sz w:val="28"/>
          <w:szCs w:val="28"/>
          <w:rtl w:val="true"/>
          <w:lang w:bidi="fa-IR"/>
        </w:rPr>
        <w:t>!</w:t>
      </w:r>
    </w:p>
    <w:p>
      <w:pPr>
        <w:pStyle w:val="Heading5"/>
        <w:numPr>
          <w:ilvl w:val="4"/>
          <w:numId w:val="1"/>
        </w:numPr>
        <w:rPr/>
      </w:pPr>
      <w:bookmarkStart w:id="158" w:name="__RefHeading___Toc3418212_2749589250"/>
      <w:bookmarkStart w:id="159" w:name="_Toc62"/>
      <w:bookmarkEnd w:id="158"/>
      <w:r>
        <w:rPr>
          <w:rtl w:val="true"/>
        </w:rPr>
        <w:t xml:space="preserve">دوم </w:t>
      </w:r>
      <w:r>
        <w:rPr>
          <w:rtl w:val="true"/>
        </w:rPr>
        <w:t xml:space="preserve">- </w:t>
      </w:r>
      <w:r>
        <w:rPr>
          <w:rtl w:val="true"/>
        </w:rPr>
        <w:t>واژه شناسی</w:t>
      </w:r>
      <w:bookmarkEnd w:id="159"/>
    </w:p>
    <w:p>
      <w:pPr>
        <w:pStyle w:val="Heading6"/>
        <w:numPr>
          <w:ilvl w:val="5"/>
          <w:numId w:val="1"/>
        </w:numPr>
        <w:rPr/>
      </w:pPr>
      <w:bookmarkStart w:id="160" w:name="__RefHeading___Toc3418214_2749589250"/>
      <w:bookmarkStart w:id="161" w:name="_Toc63"/>
      <w:bookmarkEnd w:id="160"/>
      <w:r>
        <w:rPr/>
        <w:t>1</w:t>
      </w:r>
      <w:r>
        <w:rPr>
          <w:rtl w:val="true"/>
        </w:rPr>
        <w:t xml:space="preserve">. </w:t>
      </w:r>
      <w:r>
        <w:rPr>
          <w:rtl w:val="true"/>
        </w:rPr>
        <w:t xml:space="preserve">قدسی </w:t>
      </w:r>
      <w:r>
        <w:rPr>
          <w:rtl w:val="true"/>
        </w:rPr>
        <w:t xml:space="preserve">/ </w:t>
      </w:r>
      <w:r>
        <w:rPr>
          <w:rtl w:val="true"/>
        </w:rPr>
        <w:t>عرفی</w:t>
      </w:r>
      <w:bookmarkEnd w:id="161"/>
    </w:p>
    <w:p>
      <w:pPr>
        <w:pStyle w:val="BookText"/>
        <w:rPr/>
      </w:pPr>
      <w:r>
        <w:rPr>
          <w:rFonts w:ascii="IRNazanin" w:hAnsi="IRNazanin" w:eastAsia="IRNazanin"/>
          <w:color w:val="111111"/>
          <w:sz w:val="28"/>
          <w:sz w:val="28"/>
          <w:szCs w:val="28"/>
          <w:rtl w:val="true"/>
          <w:lang w:bidi="fa-IR"/>
        </w:rPr>
        <w:t>نویسنده بر تقابل قدسی و عرفی اصرار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قدسی را در برابر </w:t>
      </w:r>
      <w:r>
        <w:rPr>
          <w:rFonts w:eastAsia="Times New Roman" w:cs="Times New Roman" w:ascii="Times New Roman" w:hAnsi="Times New Roman"/>
          <w:color w:val="111111"/>
          <w:sz w:val="28"/>
          <w:szCs w:val="28"/>
          <w:lang w:val="en-US" w:bidi="en-US"/>
        </w:rPr>
        <w:t>sacred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عرفی را در مقابل </w:t>
      </w:r>
      <w:r>
        <w:rPr>
          <w:rFonts w:eastAsia="Times New Roman" w:cs="Times New Roman" w:ascii="Times New Roman" w:hAnsi="Times New Roman"/>
          <w:color w:val="111111"/>
          <w:sz w:val="28"/>
          <w:szCs w:val="28"/>
          <w:lang w:val="en-US" w:bidi="en-US"/>
        </w:rPr>
        <w:t>secular</w:t>
      </w:r>
      <w:r>
        <w:rPr>
          <w:rFonts w:ascii="IRNazanin" w:hAnsi="IRNazanin" w:eastAsia="IRNazanin"/>
          <w:color w:val="111111"/>
          <w:sz w:val="28"/>
          <w:sz w:val="28"/>
          <w:szCs w:val="28"/>
          <w:rtl w:val="true"/>
          <w:lang w:bidi="fa-IR"/>
        </w:rPr>
        <w:t>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برابر نهادی از نظر واژه شناسی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های غربی در مقابل واژه قدس، واژه سکولار به کار می رود که به معنای زمان حاضر و جهان حاضر است</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مقدس، همیشه یا خود خدا یا چیزی است که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لویاتان، ص </w:t>
      </w:r>
      <w:r>
        <w:rPr>
          <w:rFonts w:eastAsia="IRNazanin" w:cs="IRNazanin"/>
          <w:color w:val="111111"/>
          <w:sz w:val="28"/>
          <w:szCs w:val="28"/>
          <w:lang w:bidi="fa-IR"/>
        </w:rPr>
        <w:t>358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دنیوی یا غیرمقدس </w:t>
      </w:r>
      <w:r>
        <w:rPr>
          <w:rFonts w:eastAsia="Times New Roman" w:cs="Times New Roman" w:ascii="Times New Roman" w:hAnsi="Times New Roman"/>
          <w:color w:val="111111"/>
          <w:sz w:val="28"/>
          <w:szCs w:val="28"/>
          <w:lang w:val="en-US" w:bidi="en-US"/>
        </w:rPr>
        <w:t>Profane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لویاتان، 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Times New Roman" w:cs="Times New Roman" w:ascii="Times New Roman" w:hAnsi="Times New Roman"/>
          <w:color w:val="111111"/>
          <w:sz w:val="28"/>
          <w:szCs w:val="28"/>
          <w:lang w:val="en-US" w:bidi="en-US"/>
        </w:rPr>
        <w:t>holy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قدسی، 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ریشه شناسی و زبان شناسی، به معنای کاملیت، کمال، درستی و خوشی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آن </w:t>
      </w:r>
      <w:r>
        <w:rPr>
          <w:rFonts w:eastAsia="Times New Roman" w:cs="Times New Roman" w:ascii="Times New Roman" w:hAnsi="Times New Roman"/>
          <w:color w:val="111111"/>
          <w:sz w:val="28"/>
          <w:szCs w:val="28"/>
          <w:lang w:val="en-US" w:bidi="en-US"/>
        </w:rPr>
        <w:t>unholy</w:t>
      </w:r>
      <w:r>
        <w:rPr>
          <w:rFonts w:ascii="IRNazanin" w:hAnsi="IRNazanin" w:eastAsia="IRNazanin"/>
          <w:color w:val="111111"/>
          <w:sz w:val="28"/>
          <w:sz w:val="28"/>
          <w:szCs w:val="28"/>
          <w:rtl w:val="true"/>
          <w:lang w:bidi="fa-IR"/>
        </w:rPr>
        <w:t xml:space="preserve">، یعنی شکسته، بسته، ناقص و ناخوش یا </w:t>
      </w:r>
      <w:r>
        <w:rPr>
          <w:rFonts w:eastAsia="Times New Roman" w:cs="Times New Roman" w:ascii="Times New Roman" w:hAnsi="Times New Roman"/>
          <w:color w:val="111111"/>
          <w:sz w:val="28"/>
          <w:szCs w:val="28"/>
          <w:lang w:val="en-US" w:bidi="en-US"/>
        </w:rPr>
        <w:t>sacredness</w:t>
      </w:r>
      <w:r>
        <w:rPr>
          <w:rFonts w:ascii="IRNazanin" w:hAnsi="IRNazanin" w:eastAsia="IRNazanin"/>
          <w:color w:val="111111"/>
          <w:sz w:val="28"/>
          <w:sz w:val="28"/>
          <w:szCs w:val="28"/>
          <w:rtl w:val="true"/>
          <w:lang w:bidi="fa-IR"/>
        </w:rPr>
        <w:t xml:space="preserve">عبارت است از برکنار بودن از آن چه عادی و معمولی است و متضادش یعنی </w:t>
      </w:r>
      <w:r>
        <w:rPr>
          <w:rFonts w:eastAsia="Times New Roman" w:cs="Times New Roman" w:ascii="Times New Roman" w:hAnsi="Times New Roman"/>
          <w:color w:val="111111"/>
          <w:sz w:val="28"/>
          <w:szCs w:val="28"/>
          <w:lang w:val="en-US" w:bidi="en-US"/>
        </w:rPr>
        <w:t>Profan</w:t>
      </w:r>
      <w:r>
        <w:rPr>
          <w:rFonts w:ascii="IRNazanin" w:hAnsi="IRNazanin" w:eastAsia="IRNazanin"/>
          <w:color w:val="111111"/>
          <w:sz w:val="28"/>
          <w:sz w:val="28"/>
          <w:szCs w:val="28"/>
          <w:rtl w:val="true"/>
          <w:lang w:bidi="fa-IR"/>
        </w:rPr>
        <w:t>، از حیث لغت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w:t>
      </w:r>
      <w:r>
        <w:rPr>
          <w:rFonts w:eastAsia="Times New Roman" w:cs="Times New Roman" w:ascii="Times New Roman" w:hAnsi="Times New Roman"/>
          <w:color w:val="111111"/>
          <w:sz w:val="28"/>
          <w:szCs w:val="28"/>
          <w:lang w:val="en-US" w:bidi="en-US"/>
        </w:rPr>
        <w:t>fane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انگلیسی میانه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مکان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هر بست یا حرم، کنیسه، کلیسا و مسجد، یک تجسم عینی مادی از این جدایی امر دینی از امور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Times New Roman" w:cs="Times New Roman" w:ascii="Times New Roman" w:hAnsi="Times New Roman"/>
          <w:color w:val="111111"/>
          <w:sz w:val="28"/>
          <w:szCs w:val="28"/>
          <w:lang w:val="en-US" w:bidi="en-US"/>
        </w:rPr>
        <w:t>sacred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مقدس،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است که مخصوصا برای کاربرد مقدسانه یا دینی کنار گذارده شده است یا کنایه از جهان خارج یا زمان حاضر و رسوم و تعلقات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پژوهی، مقاله دین، وینستون کینگ،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خرمشاهی، تهران، مؤسسه مطالعات و تحقیقات فرهنگی،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واژه به هیچ وجه در زبان فارسی یا عربی به معنای عرف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عربی، قدس به معنای طهارت و برکت است و در مقابل آن ناپاک، آلوده، خبیث، شوم و نامبارک قرار دارد،</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التقدیس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التطهیر والتبریک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تقدّس ای تطهّر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بیت المَقدس الی البیت المطّهرَ ای المکان الذی یتطّهر به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البرکة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خلق من 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روح الطهارة ای خلق من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قُدّستْ امة لا یؤخذ لضعیفها من قویّها ای لا طُهرَّت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ابن منظور، نشر ادب الحوزة، بی تا،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نیز به معنای اموری است که نزد مردم آشناست و معمولاً منظور از آن کارهای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واژه های عرف و معروف، واژه های نُکر و منکر قرار دارد</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بالعرف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الخیر و الرفق و الاحسان و منه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آمرا بالمعروف فلیأمُرْ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 اَمر بالخیر فلیَأمُرْ بالرفق و قدْرٍ یُحتاج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المنیر، دارالهجرة، الفیومی،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اسم جامع لکلّ ما عُرف من طاعة اللّه و التقرّب الیه و الاحسان الی الناس، وکل ماندب الیه الشرع و نهی عنه من المحسنات و المقبّحات، و هو من الصفات الغالبة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امر معروف بین الناس اذا راه و لا یُنکرونه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النصفة و حسن الصحبة مع الاهل و غیرهم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ذلک جمیعه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ابن اثیر، چاپ اسماعیلیان،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اصلان صحیحان، یدلّ احدهما علی تتابُع الشی ء متّصلاً بعضه ببعض، و الآخر علی السکون و الطّمأنینة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العُرْف المعروف و سمّی بذلک لان النفوس تسکن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ابن فارس، مرکز النشر،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قدس، قدسی و مقدس</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تقابل ابداعی نویسنده میان قدسی و عرفی، برای اجتناب از لوازم نظریه ای است که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مایه نظریه او این است که اگر دین </w:t>
      </w:r>
      <w:bookmarkStart w:id="162" w:name="pg3480_42263"/>
    </w:p>
    <w:p>
      <w:pPr>
        <w:pStyle w:val="BookText"/>
        <w:rPr/>
      </w:pPr>
      <w:bookmarkEnd w:id="162"/>
      <w:r>
        <w:rPr>
          <w:rFonts w:ascii="IRNazanin" w:hAnsi="IRNazanin" w:eastAsia="IRNazanin"/>
          <w:color w:val="111111"/>
          <w:sz w:val="28"/>
          <w:sz w:val="28"/>
          <w:szCs w:val="28"/>
          <w:rtl w:val="true"/>
          <w:lang w:bidi="fa-IR"/>
        </w:rPr>
        <w:t>وارد دنیا شود، دنیایی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وارد دنیا شود تا به همان تقدّس خود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با تاریخ ادیان الهی و سلوک انبیا و پیامبران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وارد دنیا شدند و به دنیا کار داشتند </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مواجه نشدن با این ناسازگاری، تعارض و ناهماهنگی، نویسنده تلاش می کند تا با طرح و عرضه خاصی از مطالب،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تقابل ابداعی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از ظهور و بروز چنین تعارضی اجتناب کند</w:t>
      </w:r>
      <w:r>
        <w:rPr>
          <w:rFonts w:eastAsia="IRNazanin" w:cs="IRNazanin"/>
          <w:color w:val="111111"/>
          <w:sz w:val="28"/>
          <w:szCs w:val="28"/>
          <w:rtl w:val="true"/>
          <w:lang w:bidi="fa-IR"/>
        </w:rPr>
        <w:t>.</w:t>
      </w:r>
    </w:p>
    <w:p>
      <w:pPr>
        <w:pStyle w:val="Heading6"/>
        <w:numPr>
          <w:ilvl w:val="5"/>
          <w:numId w:val="1"/>
        </w:numPr>
        <w:rPr/>
      </w:pPr>
      <w:bookmarkStart w:id="163" w:name="__RefHeading___Toc3418216_2749589250"/>
      <w:bookmarkStart w:id="164" w:name="_Toc64"/>
      <w:bookmarkEnd w:id="163"/>
      <w:r>
        <w:rPr/>
        <w:t>2</w:t>
      </w:r>
      <w:r>
        <w:rPr>
          <w:rtl w:val="true"/>
        </w:rPr>
        <w:t xml:space="preserve">. </w:t>
      </w:r>
      <w:r>
        <w:rPr>
          <w:rtl w:val="true"/>
        </w:rPr>
        <w:t>دین</w:t>
      </w:r>
      <w:bookmarkEnd w:id="164"/>
    </w:p>
    <w:p>
      <w:pPr>
        <w:pStyle w:val="BookText"/>
        <w:rPr/>
      </w:pPr>
      <w:r>
        <w:rPr>
          <w:rFonts w:ascii="IRNazanin" w:hAnsi="IRNazanin" w:eastAsia="IRNazanin"/>
          <w:color w:val="111111"/>
          <w:sz w:val="28"/>
          <w:sz w:val="28"/>
          <w:szCs w:val="28"/>
          <w:rtl w:val="true"/>
          <w:lang w:bidi="fa-IR"/>
        </w:rPr>
        <w:t>واژه دین در فرهنگ اسلامی معانی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معانی را به نقل از 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بررسی و تحقیق درباره بارِ معنایی واژه دین فرصت و مجال دیگری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و قاضی، قهر و غلبه و طاعت، جزاء و مکافات و حساب، عادت و شأن، طاعت و تعبد، قضاوت و اطاعت، خدمت و احسان، مالکیت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اساس، یعنی روابط مبتنی بر مالکیت و سیاست، شهر را نیز مدینه می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بر سیاست، سیاستمدار، حال، سلطان، ورع، و سوگند دادن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کاربردهای واژه دین به روشنی می توان سیاست، قضاوت، معاملات و روابط حقوقی، مالکیت، قدرت و سلطه، قهر و غلبه، طاعت و خدمت، احسان، اقتصاد، اخلاق و حقوق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واژه دین در ارتباط تنگاتنگ معنایی با دنیا و امور مرتبط با زندگی دنیا </w:t>
      </w:r>
      <w:bookmarkStart w:id="165" w:name="pg3480_42264"/>
    </w:p>
    <w:p>
      <w:pPr>
        <w:pStyle w:val="BookText"/>
        <w:rPr/>
      </w:pPr>
      <w:bookmarkEnd w:id="165"/>
      <w:r>
        <w:rPr>
          <w:rFonts w:ascii="IRNazanin" w:hAnsi="IRNazanin" w:eastAsia="IRNazanin"/>
          <w:color w:val="111111"/>
          <w:sz w:val="28"/>
          <w:sz w:val="28"/>
          <w:szCs w:val="28"/>
          <w:rtl w:val="true"/>
          <w:lang w:bidi="fa-IR"/>
        </w:rPr>
        <w:t>است و تمایز و تفاوت قایل شدن میان دین و دنیا در چنین فرهنگی بی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مقصود از دنیا در این جا، دنیای مذموم به معنای تبعیت از شهوات و هواهای نفسانی نیست، بلکه تدبیر زندگی دنیا مقصود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از آغاز به دو حوزه متفاوت و متمایز قدسی و عرفی قایل است و این را مفروض می گیرد و هیچ جا به بحث و اثبات این فرض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حوزه قدسی را شامل امور سرمدی و لایتغیر و حوزه عرفی را شامل مقتضیات گذران و روزمرّه زندگی جاری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دین را متعلق به حوزه قدسی و در نتیجه، متصلب، لا یتغیر و ثابت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نوعی دین شناسی ارائه می دهد و امور دنیوی و به تبع آن مصالح دنیوی را گذران و متغیر می داند و به طور طبیعی، به این نتیجه می رسد که دین بادنیا سازگار نیست؛ زیرا ثابت با متغیر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5"/>
        <w:numPr>
          <w:ilvl w:val="4"/>
          <w:numId w:val="1"/>
        </w:numPr>
        <w:rPr/>
      </w:pPr>
      <w:bookmarkStart w:id="166" w:name="__RefHeading___Toc3418218_2749589250"/>
      <w:bookmarkStart w:id="167" w:name="_Toc65"/>
      <w:bookmarkEnd w:id="166"/>
      <w:r>
        <w:rPr>
          <w:rtl w:val="true"/>
        </w:rPr>
        <w:t xml:space="preserve">سوم </w:t>
      </w:r>
      <w:r>
        <w:rPr>
          <w:rtl w:val="true"/>
        </w:rPr>
        <w:t xml:space="preserve">- </w:t>
      </w:r>
      <w:r>
        <w:rPr>
          <w:rtl w:val="true"/>
        </w:rPr>
        <w:t>لویاتان</w:t>
      </w:r>
      <w:bookmarkEnd w:id="167"/>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لویاتان</w:t>
      </w:r>
    </w:p>
    <w:p>
      <w:pPr>
        <w:pStyle w:val="BookText"/>
        <w:rPr/>
      </w:pPr>
      <w:r>
        <w:rPr>
          <w:rFonts w:ascii="IRNazanin" w:hAnsi="IRNazanin" w:eastAsia="IRNazanin"/>
          <w:color w:val="111111"/>
          <w:sz w:val="28"/>
          <w:sz w:val="28"/>
          <w:szCs w:val="28"/>
          <w:rtl w:val="true"/>
          <w:lang w:bidi="fa-IR"/>
        </w:rPr>
        <w:t>نویسنده در زمینه پیدایش لویاتان و مفهوم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لوتر به استناد این آیه انجیل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 را به خدا وابگذار و امر قیصر را به 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تفکیک میان مناسک از حقوق عرفی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بشر دو نوع مصلحت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اخروی و مصلحت دنیوی و با تفکیک این دو نوع مصحلت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اصلاح دینی، دستگاه واحد شریعت را به دو حوزه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شعایر و مناسک؛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حقوق عرفی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تفکیک دین از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اگر بخواهیم دقیق تر بگوییم، افتراق میان </w:t>
      </w:r>
    </w:p>
    <w:p>
      <w:pPr>
        <w:pStyle w:val="BookText"/>
        <w:rPr/>
      </w:pPr>
      <w:r>
        <w:rPr>
          <w:rFonts w:ascii="IRNazanin" w:hAnsi="IRNazanin" w:eastAsia="IRNazanin"/>
          <w:color w:val="111111"/>
          <w:sz w:val="28"/>
          <w:sz w:val="28"/>
          <w:szCs w:val="28"/>
          <w:rtl w:val="true"/>
          <w:lang w:bidi="fa-IR"/>
        </w:rPr>
        <w:t>نهاد دین و نهاد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پیدایش دو حوزه مصلحت، راه را برای پیدایش دولت مدرن باز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خدای میرا و عرفی، از درون گرد و غبار نهضت رفرم سر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که دایر مدار مصالح عامه است و به قول هابز، همه شئون خدا را در پهنه گیتی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تفکیک دین از سیاست یا به تعبیر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دقیق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 میان نهاد دین و نهاد سیاست و پیدایش دو حوزه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مقدمه پیدایش دولت مدرن یا لویاتان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 لوتری از مسیحیت که به هرحال امری درون دینی و کلامی است، ارتباطی با افتراق میان دو نهاد دین و سیاست و یا پیدایش دو حوزه مصلحت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 اجتماعی و ساختاری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در واقع نویسنده میان حوزه کلام، اعتقاد و نظر و حوزه ساختاری، جامعه شناختی و سیاسی را خلط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نویسنده، لویاتان که خدای میرا و عرفی است، از درون نهضت رفرم سر بیرون آورده و دایر مدار مصالح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لویاتان ربطی به قرائت لوتری و دو حوزه مصلحت ندارد، بلکه مبتنی بر قرائت انگلیکان و حوزه واحد مصلحت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قرائت لوتری از مسیحیت، در نهایت به نوعی تفکیک دین و دولت منجر می گردد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قرائت انگلیکان که در آغاز تفاوت چندانی از نظر اعتقادی با کلیسای کاتولیک نداشت و تنها ریاست شاه بر کلیسای انگلیس را به رسمیت می شناخت، با اصلاحات بعدی تقریبا میان کاتولیسم و پروتستانیسم قرار گرفت و در هر صورت کلیسا را در ظلّ و ذیل دولت </w:t>
      </w:r>
    </w:p>
    <w:p>
      <w:pPr>
        <w:pStyle w:val="BookText"/>
        <w:rPr/>
      </w:pPr>
      <w:r>
        <w:rPr>
          <w:rFonts w:ascii="IRNazanin" w:hAnsi="IRNazanin" w:eastAsia="IRNazanin"/>
          <w:color w:val="111111"/>
          <w:sz w:val="28"/>
          <w:sz w:val="28"/>
          <w:szCs w:val="28"/>
          <w:rtl w:val="true"/>
          <w:lang w:bidi="fa-IR"/>
        </w:rPr>
        <w:t>می دید و هنوز نیز پادشاه انگلیس را رییس کلیسای انگلیکان</w:t>
      </w:r>
      <w:r>
        <w:rPr>
          <w:rStyle w:val="FootnoteAnchor"/>
          <w:rtl w:val="true"/>
        </w:rPr>
        <w:footnoteReference w:id="15"/>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زمان قطع ارتباطات، با موضوع تأسف آور طلاق سلطنتی همراه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اینار، مولند، جهان مسیحیت،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انصاری و مسیح مهاجری، تهران، امیرکبیر،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اصلاحات سال </w:t>
      </w:r>
      <w:r>
        <w:rPr>
          <w:rFonts w:eastAsia="IRNazanin" w:cs="IRNazanin"/>
          <w:color w:val="111111"/>
          <w:sz w:val="28"/>
          <w:szCs w:val="28"/>
          <w:lang w:bidi="fa-IR"/>
        </w:rPr>
        <w:t>1660</w:t>
      </w:r>
      <w:r>
        <w:rPr>
          <w:rFonts w:ascii="IRNazanin" w:hAnsi="IRNazanin" w:eastAsia="IRNazanin"/>
          <w:color w:val="111111"/>
          <w:sz w:val="28"/>
          <w:sz w:val="28"/>
          <w:szCs w:val="28"/>
          <w:rtl w:val="true"/>
          <w:lang w:bidi="fa-IR"/>
        </w:rPr>
        <w:t>، کلیسای انگلستان بار دیگر تأسیس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کلیسا با تاریخ پیچیده اش، به عنوان راه وسط بین دو طریق افراطی کاتولیک رم و پروتستان نامیده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مولند،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بیست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قانونی ایمانی کلیسای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توانایی و اختیار شوراهای عمومی چنین تنظیم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شوراهای عمومی نمی توانند بدون فرمان و خواست اُمرا تشکیل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رؤسای حکومت داخلی، پادشاهان را به عنوان دارندگان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اصلی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مولند،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اسقف ها توسط مقام سلطنت که عملاً نخست وزیر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چه عضو کلیسای انگلستان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منصوب می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سیستم طبعا دارای این نقص است که راه را برای دخالت سیاست در انتصابات روحانی باز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مولند،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دینی در انگلیس به ویژه از این نظر جالب است که سهم فرمانروایان را در گسستن از کلیسای سنتی به خوبی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 هشتم، شاه انگلیس که از سال </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 وارث ذکوری نداشت تا جانشینش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گرفت از شهبانو کاترین جدا شود، ولی نتوانست موافقت پاپ را برای این جدایی بگیرد؛ زیرا جدایی با تعالیم کاتولیکی مغایرت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که از این کار منع شده بود، تصمیم گرفت از کلیسای رم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1529</w:t>
      </w:r>
      <w:r>
        <w:rPr>
          <w:rFonts w:ascii="IRNazanin" w:hAnsi="IRNazanin" w:eastAsia="IRNazanin"/>
          <w:color w:val="111111"/>
          <w:sz w:val="28"/>
          <w:sz w:val="28"/>
          <w:szCs w:val="28"/>
          <w:rtl w:val="true"/>
          <w:lang w:bidi="fa-IR"/>
        </w:rPr>
        <w:t>، مجلس انگلستان که زیر نفوذ وی بود، قانون هایی را از تصویب گذراند که اعمال گوناگونی را در کلیسا محدود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هشتم، تامس کرنمر را به سراسقفی کنتربری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سراسقف کرنمر، شاه را به دادگاه فراخواند و در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محاکمه به وی حق جدایی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این جدایی را خلاف شرع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انگلستان در پاسخ، قانون برتری را در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تصویب گذراند و شاه انگلستان را رییس عالی کلیسای این کشور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پس از تصویب این قانون، مصادره زمین های صومعه 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لحاظ آیین کلیسا، کلیسای انگلستان تشکیلات خود را نگاه داشت و نظریات کلیسای کاتولیک در آن وقت به قوت خودش باقی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تمدن،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انگلستان در دوره فرمانروایی نیرومند و صلح آمیز الیزابت، یعنی از سال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رفاه و آسایش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برپایی کلیسای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مواد سی ونه گانه ای که دولت پذیرفت، مشکل مذهب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کلیسا چنان پیوند نزدیکی با یکدیگر داشتند که دشواری مذهبی چندانی وجود نداشت تا به آرامش زندگی جامعه آسیب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لوکاس،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شورش بزرگ سال های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بر سر خصلت سیاسی کلیسای انگلستان و روابط شاه با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کشمکش ها بود که ناسازگاران به رهبری آلیور کرامول به قدرت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چارلز یکم، شاه انگلستان که از </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راند، اعدام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سلسله شاهان استوارت روی آوردند و این سلسله تا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انگلستان بار دیگر کلیسای رسمی مردم شد، ولی تساهل و مدارا بسیار بود و آشکارا وجود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تمدن،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لویاتان هابز نیز تحت تأثیر چنین قرائتی از مسیحیت است و دیانت و کلیسا را تحت نفوذ دولت مدنی دانسته، حتی اجازه اعتقاد و تفسیر از دین را نیز منوط به اراده حاکم مدنی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لوتریسم، مقدمه و زمینه نظری یا اجتماعی برای لویاتان به شمار نمی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لویاتان دایر مدار مصالح عامه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لویاتان که برای تأمین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 و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پدید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لویاتان، ص </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قانون گذار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خودش تابع قانون مدنی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قانون نیز در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نقض عهد از جانب او متصور نیست و هر کاری کند، نقض عهد به حساب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اتباع نمی توانند در اعمال او چون و چرا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عملی که انجام دهد، عین عدالت است و بی عدالتی نسبت به اتباع به حساب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مشخص می سازد اتباع چه چیزهایی را می توانند تملک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مصلحت آن است که لویاتان بفرماید و به معنای صحیح </w:t>
      </w:r>
      <w:bookmarkStart w:id="168" w:name="pg3480_42268"/>
    </w:p>
    <w:p>
      <w:pPr>
        <w:pStyle w:val="BookText"/>
        <w:rPr/>
      </w:pPr>
      <w:bookmarkEnd w:id="168"/>
      <w:r>
        <w:rPr>
          <w:rFonts w:ascii="IRNazanin" w:hAnsi="IRNazanin" w:eastAsia="IRNazanin"/>
          <w:color w:val="111111"/>
          <w:sz w:val="28"/>
          <w:sz w:val="28"/>
          <w:szCs w:val="28"/>
          <w:rtl w:val="true"/>
          <w:lang w:bidi="fa-IR"/>
        </w:rPr>
        <w:t xml:space="preserve">کلمه نمی توان لویاتان را دایر مدار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صحیح تر که هابز به کار برده است؛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زیرا هر آن چه لویاتان کند،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تعبیر نویسنده، مصحلت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او مقام یسئلُ و لایُسئل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 کند امّا مورد سؤال واقع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69" w:name="__RefHeading___Toc3418220_2749589250"/>
      <w:bookmarkStart w:id="170" w:name="_Toc66"/>
      <w:bookmarkEnd w:id="169"/>
      <w:r>
        <w:rPr>
          <w:rtl w:val="true"/>
        </w:rPr>
        <w:t xml:space="preserve">چهارم </w:t>
      </w:r>
      <w:r>
        <w:rPr>
          <w:rtl w:val="true"/>
        </w:rPr>
        <w:t xml:space="preserve">- </w:t>
      </w:r>
      <w:r>
        <w:rPr>
          <w:rtl w:val="true"/>
        </w:rPr>
        <w:t>جامعه شناسی یا تاریخی گری؟</w:t>
      </w:r>
      <w:r>
        <w:rPr>
          <w:rtl w:val="true"/>
        </w:rPr>
        <w:t>!</w:t>
      </w:r>
      <w:bookmarkEnd w:id="170"/>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یا تاریخی 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از قول پارسونز، خصوصی شدن امر دین را از جمله فرآیندهای اصلی حاکم بر جوامع بشری می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اگر در فرهنگ و تمدن و تاریخی خاص فرآیندی رخ داده باشد، این فرآیند قابل تعمیم به کل بشریت و تمامی تاریخ انسانی و لو با گذشته، فرهنگ، تمدن و ساخت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چنین تعمیمی علمی یا جامعه شناختی است؟ یا این که چنین تعمیمی غیرعلمی، ایدئولوژیک و ناشی از نوعی تاریخی گری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نویسنده به جای رویکردی علمی و جامعه شناختی، رویکردی ایدئولوژیک و تاریخی گرایانه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فرآیند خاصی را که در غرب و مسیحیت رخ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نه آن طور که نویسنده گزارش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خواهد به کل تاریخ و تمدن و فرهنگ بشری تعمیم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تعمیمی، از مبانی خاص نظری و ایدئولوژیک، یعنی از نوعی رویکرد هگلی به تاریخ و انسان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پیروی از بعضی هگل گرایان وطنی، آینده تاریخ ایران را گذشته تاریخ غرب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گونه مبانی نظری و ایدئولوژیک را هیچ کجا صریحا عرضه نکرده، در معرض داوری قرار نمی دهد</w:t>
      </w:r>
      <w:r>
        <w:rPr>
          <w:rFonts w:eastAsia="IRNazanin" w:cs="IRNazanin"/>
          <w:color w:val="111111"/>
          <w:sz w:val="28"/>
          <w:szCs w:val="28"/>
          <w:rtl w:val="true"/>
          <w:lang w:bidi="fa-IR"/>
        </w:rPr>
        <w:t xml:space="preserve">. </w:t>
      </w:r>
      <w:bookmarkStart w:id="171" w:name="pg3480_42269"/>
    </w:p>
    <w:p>
      <w:pPr>
        <w:pStyle w:val="Heading5"/>
        <w:numPr>
          <w:ilvl w:val="4"/>
          <w:numId w:val="1"/>
        </w:numPr>
        <w:rPr/>
      </w:pPr>
      <w:bookmarkStart w:id="172" w:name="__RefHeading___Toc3418222_2749589250"/>
      <w:bookmarkStart w:id="173" w:name="_Toc67"/>
      <w:bookmarkEnd w:id="171"/>
      <w:bookmarkEnd w:id="172"/>
      <w:r>
        <w:rPr>
          <w:rtl w:val="true"/>
        </w:rPr>
        <w:t xml:space="preserve">پنجم </w:t>
      </w:r>
      <w:r>
        <w:rPr>
          <w:rtl w:val="true"/>
        </w:rPr>
        <w:t xml:space="preserve">- </w:t>
      </w:r>
      <w:r>
        <w:rPr>
          <w:rtl w:val="true"/>
        </w:rPr>
        <w:t xml:space="preserve">آیا </w:t>
      </w:r>
      <w:r>
        <w:rPr>
          <w:rtl w:val="true"/>
        </w:rPr>
        <w:t>«</w:t>
      </w:r>
      <w:r>
        <w:rPr>
          <w:rtl w:val="true"/>
        </w:rPr>
        <w:t>دین</w:t>
      </w:r>
      <w:r>
        <w:rPr>
          <w:rtl w:val="true"/>
        </w:rPr>
        <w:t xml:space="preserve">» </w:t>
      </w:r>
      <w:r>
        <w:rPr>
          <w:rtl w:val="true"/>
        </w:rPr>
        <w:t>ثابت است یا متغیر؟</w:t>
      </w:r>
      <w:bookmarkEnd w:id="173"/>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یا متغیر؟</w:t>
      </w:r>
    </w:p>
    <w:p>
      <w:pPr>
        <w:pStyle w:val="BookText"/>
        <w:rPr/>
      </w:pPr>
      <w:r>
        <w:rPr>
          <w:rFonts w:ascii="IRNazanin" w:hAnsi="IRNazanin" w:eastAsia="IRNazanin"/>
          <w:color w:val="111111"/>
          <w:sz w:val="28"/>
          <w:sz w:val="28"/>
          <w:szCs w:val="28"/>
          <w:rtl w:val="true"/>
          <w:lang w:bidi="fa-IR"/>
        </w:rPr>
        <w:t>دین شامل اعتقادات، اخلاق و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دینی به یک معنا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اسلام دارای اعتقاداتی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معاد، امامت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در طول زمان، دریافت هایی تازه و عمیق تر از همین اعتقادات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نیز اشاره شده است که آیات آغازین سوره حدید و آیات سوره توحید، برای متعمقین در آخرالزمان نازل شده است یا در فرمایش های پیامبر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حامل فقه الی افقه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فهم، درک و معرفت دینی نیز در مجموع سیری تکاملی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نیز تحت عنوان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مانند خورشید است؛ زیرا در عین این که ثابت است، جریان دارد و دارای تازگی و طراوت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گردیده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خدای قرآن نیز هر روز در کاری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خدایی که دست او بسته باشد،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یَداهُ مَبْسُوطَتانِ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احکام دین نیز ما حکمی که ثابت و لایتغیر باشد، سراغ نداریم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 که عناوین احکام ثابت است، ولی در شرایط گوناگون بر حسب تحولات در موضوع یا عوارض و طواری موضوع یا دگرگونی در اصل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باب تحولات زمانی و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نیز تحول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وجوب نماز حکم ثابتی است، ولی با حالات گوناگونی که بر مکلف عارض می شود، ممکن است وظیفه به جای آوردن نماز او متفاوت گردد،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حاضر و مسافر </w:t>
      </w:r>
      <w:bookmarkStart w:id="174" w:name="pg3480_42270"/>
    </w:p>
    <w:p>
      <w:pPr>
        <w:pStyle w:val="BookText"/>
        <w:rPr/>
      </w:pPr>
      <w:bookmarkEnd w:id="174"/>
      <w:r>
        <w:rPr>
          <w:rFonts w:ascii="IRNazanin" w:hAnsi="IRNazanin" w:eastAsia="IRNazanin"/>
          <w:color w:val="111111"/>
          <w:sz w:val="28"/>
          <w:sz w:val="28"/>
          <w:szCs w:val="28"/>
          <w:rtl w:val="true"/>
          <w:lang w:bidi="fa-IR"/>
        </w:rPr>
        <w:t>یا نماز انسان سالم و مریض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دیگر نیز چنین است و عناوین احکام،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اگر احکام اسلام ثابت و لایتغیر بودند، آن گاه این انتقاد بر اسلام وارد بود که چگونه با احکامی ثابت، ادعای جاودانگی و خاتمیت دارد؟ روشن است که این تحول، تغییر و انعطاف پذیری در احکام اسلام دارای معیار و ضابطه است</w:t>
      </w:r>
      <w:r>
        <w:rPr>
          <w:rFonts w:eastAsia="IRNazanin" w:cs="IRNazanin"/>
          <w:color w:val="111111"/>
          <w:sz w:val="28"/>
          <w:szCs w:val="28"/>
          <w:rtl w:val="true"/>
          <w:lang w:bidi="fa-IR"/>
        </w:rPr>
        <w:t>.</w:t>
      </w:r>
    </w:p>
    <w:p>
      <w:pPr>
        <w:pStyle w:val="Heading3"/>
        <w:numPr>
          <w:ilvl w:val="2"/>
          <w:numId w:val="1"/>
        </w:numPr>
        <w:rPr/>
      </w:pPr>
      <w:bookmarkStart w:id="175" w:name="__RefHeading___Toc3418224_2749589250"/>
      <w:bookmarkStart w:id="176" w:name="_Toc68"/>
      <w:bookmarkEnd w:id="175"/>
      <w:r>
        <w:rPr>
          <w:rtl w:val="true"/>
        </w:rPr>
        <w:t>فصل دوم</w:t>
      </w:r>
      <w:r>
        <w:rPr>
          <w:rtl w:val="true"/>
        </w:rPr>
        <w:t xml:space="preserve">: </w:t>
      </w:r>
      <w:r>
        <w:rPr>
          <w:rtl w:val="true"/>
        </w:rPr>
        <w:t>تاریخی گری یا تاریخ سازی</w:t>
      </w:r>
      <w:bookmarkEnd w:id="176"/>
    </w:p>
    <w:p>
      <w:pPr>
        <w:pStyle w:val="Heading4"/>
        <w:numPr>
          <w:ilvl w:val="3"/>
          <w:numId w:val="1"/>
        </w:numPr>
        <w:rPr/>
      </w:pPr>
      <w:bookmarkStart w:id="177" w:name="__RefHeading___Toc3418226_2749589250"/>
      <w:bookmarkStart w:id="178" w:name="_Toc69"/>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گری یا تاریخ سازی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نگاهی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جرقه تاریخی گری در قرون وسطای متأخر</w:t>
      </w:r>
      <w:r>
        <w:rPr>
          <w:rFonts w:eastAsia="IRNazanin" w:cs="IRNazanin"/>
          <w:color w:val="111111"/>
          <w:sz w:val="28"/>
          <w:szCs w:val="28"/>
          <w:rtl w:val="true"/>
          <w:lang w:bidi="fa-IR"/>
        </w:rPr>
        <w:t>»</w:t>
      </w:r>
    </w:p>
    <w:p>
      <w:pPr>
        <w:pStyle w:val="Heading4"/>
        <w:numPr>
          <w:ilvl w:val="3"/>
          <w:numId w:val="1"/>
        </w:numPr>
        <w:rPr/>
      </w:pPr>
      <w:bookmarkStart w:id="179" w:name="__RefHeading___Toc3418228_2749589250"/>
      <w:bookmarkStart w:id="180" w:name="_Toc70"/>
      <w:bookmarkEnd w:id="179"/>
      <w:r>
        <w:rPr>
          <w:rtl w:val="true"/>
        </w:rPr>
        <w:t xml:space="preserve">نگاهی به مقاله </w:t>
      </w:r>
      <w:r>
        <w:rPr>
          <w:rtl w:val="true"/>
        </w:rPr>
        <w:t>«</w:t>
      </w:r>
      <w:r>
        <w:rPr>
          <w:rtl w:val="true"/>
        </w:rPr>
        <w:t>جرقه تاریخی گری در قرون وسطای متأخر</w:t>
      </w:r>
      <w:r>
        <w:rPr>
          <w:rtl w:val="true"/>
        </w:rPr>
        <w:t>»</w:t>
      </w:r>
      <w:bookmarkEnd w:id="180"/>
    </w:p>
    <w:p>
      <w:pPr>
        <w:pStyle w:val="Heading5"/>
        <w:numPr>
          <w:ilvl w:val="4"/>
          <w:numId w:val="1"/>
        </w:numPr>
        <w:rPr/>
      </w:pPr>
      <w:bookmarkStart w:id="181" w:name="__RefHeading___Toc3418230_2749589250"/>
      <w:bookmarkStart w:id="182" w:name="_Toc71"/>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 xml:space="preserve">نگاهی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جرقه تاریخی گری در قرون وسطای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این مقاله چند نکته قابل توجه است</w:t>
      </w:r>
      <w:r>
        <w:rPr>
          <w:rFonts w:eastAsia="IRNazanin" w:cs="IRNazanin"/>
          <w:color w:val="111111"/>
          <w:sz w:val="28"/>
          <w:szCs w:val="28"/>
          <w:rtl w:val="true"/>
          <w:lang w:bidi="fa-IR"/>
        </w:rPr>
        <w:t>:</w:t>
      </w:r>
    </w:p>
    <w:p>
      <w:pPr>
        <w:pStyle w:val="Heading5"/>
        <w:numPr>
          <w:ilvl w:val="4"/>
          <w:numId w:val="1"/>
        </w:numPr>
        <w:rPr/>
      </w:pPr>
      <w:bookmarkStart w:id="183" w:name="__RefHeading___Toc3418232_2749589250"/>
      <w:bookmarkStart w:id="184" w:name="_Toc72"/>
      <w:bookmarkEnd w:id="183"/>
      <w:r>
        <w:rPr>
          <w:rtl w:val="true"/>
        </w:rPr>
        <w:t xml:space="preserve">اول </w:t>
      </w:r>
      <w:r>
        <w:rPr>
          <w:rtl w:val="true"/>
        </w:rPr>
        <w:t xml:space="preserve">- </w:t>
      </w:r>
      <w:r>
        <w:rPr>
          <w:rtl w:val="true"/>
        </w:rPr>
        <w:t>استناد به تاریخ، تاریخی گری یا تاریخ سازی؟</w:t>
      </w:r>
      <w:r>
        <w:rPr>
          <w:rtl w:val="true"/>
        </w:rPr>
        <w:t>!</w:t>
      </w:r>
      <w:bookmarkEnd w:id="184"/>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تاریخ، تاریخی گری یا تاریخ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مقدمه کتاب، جایگاه این مقاله را چنین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کوشیدم به این پرسش پاسخ دهم که آیا در مقابل روند عرفی شدن که از زمان آکوئیناس شروع شده، مقاومتی هم صورت گرفته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رسیدم که جرقه هایی از این مقاومت را می توان به صورت تلاش برای ایدئولوژیک کردن دین بازشناسی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جرقه تاریخی گری در قرون وسطای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نویسنده، اندیشه ها و تلاش های نظری یواخیم فیوره ای، جرقه هایی از مقاومت در مقابل روند عرفی شدن است که از زمان آکوئیناس شروع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معنا که قبل از زمان آکوئیناس، روند عرفی شدن در کار نیست و این مقاومت هم پس از زمان آکوئیناس و آغاز روند عرفی شدن، جرقه اش زده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راهب متأله، یواخیم فیوره ای سی سال پیش از تولد سنت توماس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منظور همان سنت توماس آکوئیناس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کالابریا واقع در جنوب ایتالیا زاده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جای این پرسش است که چگونه کسی که به گفته نویسنده سی سال پیش از آکوئیناس زاده شده، جرقه هایی از توجیهات و درست کردن مقاومت در مقابل روندی را زده که از زمان آکوئیناس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امکان دارد که جملات نویسنده در مقدمه را با تقدیر و تأویل و مانند آن، توجیه و درست کرد، ولی ظاهر عبارت از این گونه توجیهات و درست کردن امتناع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توماس آکوئیناس در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دنیا آمد و یواخیم فیوره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داده خود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است و در سال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نیز از دنیا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میان تولد و مرگ یواخیم فیوره ای خلط نموده و در فاصله مرگ یواخیم فیوره ای و تولّد توماس آکوئیناس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اشتباه کرده و اصلاً توجه نداشته که این سنت توماسی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نام می برد، همان توماس آکوئیناسی است که قرار است یواخیم فیوره ای، در مقابل روند عرفی شدن او جرقه های مقاومت را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اگر هم توجه می کرد، چه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کسی به این گونه مطالب پیش پا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مهم و اساسی در یک استدلال و استنتاج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توجه کند، نویسنده حرف خود را زده و نتیجه ای را که می خواسته در </w:t>
      </w:r>
    </w:p>
    <w:p>
      <w:pPr>
        <w:pStyle w:val="BookText"/>
        <w:rPr/>
      </w:pPr>
      <w:r>
        <w:rPr>
          <w:rFonts w:ascii="IRNazanin" w:hAnsi="IRNazanin" w:eastAsia="IRNazanin"/>
          <w:color w:val="111111"/>
          <w:sz w:val="28"/>
          <w:sz w:val="28"/>
          <w:szCs w:val="28"/>
          <w:rtl w:val="true"/>
          <w:lang w:bidi="fa-IR"/>
        </w:rPr>
        <w:t>القای فکر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مشی نویسنده، تصرف در واقعیات به ویژه حوادث تاریخی است، یعنی یک قدم جلوتر از یواخیم فیوره ای؛ زیرا یواخیم فیوره ای با پیش بینی آینده، آینده را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نویسنده علاوه بر این، با تحریف گذشته، گذشته را 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این، به نظر می رسد نیچه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هابز و 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عمیقی در نویسنده گذارده است، همان که نویسنده به نقل از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واقعیات با تئوری های من همخوانی ندارند، پس بدابه حال واقعیات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ها گذشته، واقعیت این است که همان طور که از مقاله فرآیند عرفی شدن شریعت مسیح علیه السلام بر می آید، نویسنده آغاز روند عرفی شدن را نه از زمان توماس آکوئیناس، بلکه از زمان سنت آگوستین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که مصالح و سعادت اخروی و دنیوی مؤمنین را مانعه الجمع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 بینیم که موضوع مقاله، مقایسه و تقابل میان اندیشه های سنت آگوستین و اندیشه های یواخیم فیوره ای است، نه میان اندیشه های سنت توماس آکوئیناس و اندیشه های یواخیم فیوره ای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اشتباه ها و بی توجهی های تاریخی، مشکل دیگری هم هست و آن این که آن نوع سکولاریزاسیونی را که نویسنده در این مقطع در مقابل جمهوری اسلامی می بیند، دنیوی شدن امور و ارزش های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تفکیک دو مصلحت دین و دنیا و با سعادت اخروی و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bookmarkStart w:id="185" w:name="pg3480_42273"/>
    </w:p>
    <w:p>
      <w:pPr>
        <w:pStyle w:val="BookText"/>
        <w:rPr/>
      </w:pPr>
      <w:bookmarkEnd w:id="185"/>
      <w:r>
        <w:rPr>
          <w:rFonts w:ascii="IRNazanin" w:hAnsi="IRNazanin" w:eastAsia="IRNazanin"/>
          <w:color w:val="111111"/>
          <w:sz w:val="28"/>
          <w:sz w:val="28"/>
          <w:szCs w:val="28"/>
          <w:rtl w:val="true"/>
          <w:lang w:bidi="fa-IR"/>
        </w:rPr>
        <w:t>آگوستین نمی تواند الگوی این نوع دنیوی شدن برای جمهوری اسلامی باشد و مقاومت و تقابل یواخیم فیوره ای با آگوستین خارج از موضوع می گردد و برای نویسنده الگوی تاریخی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یواخیم فیوره ای باید در تقابل با سنت آکوئیناس قرار بگیرد که ده ها سال بعد به دنیا آمد؛ زیرا این سنت آکوئیناس است که به زعم نویسنده در مقام جمع میان مصالح دنیا و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تواند الگوی جمهوری اسلامی قرار بگیرد و مقاومت و مقابله یواخیم فیوره ای با او دارای معنا باشد و منظومه فکری و تئوریک نویسنده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میان موضوع و محمول، مبتداء و خبر، مقدمه و نتیجه، مدعا و برهان ارتباطی نباشد و از نظر تاریخی هم نادرست باشد، چه اشکالی دارد؟ واقعیات باید با تئوری نویسنده همخوانی کند نه تئوری نویسنده با واقعیات</w:t>
      </w:r>
      <w:r>
        <w:rPr>
          <w:rFonts w:eastAsia="IRNazanin" w:cs="IRNazanin"/>
          <w:color w:val="111111"/>
          <w:sz w:val="28"/>
          <w:szCs w:val="28"/>
          <w:rtl w:val="true"/>
          <w:lang w:bidi="fa-IR"/>
        </w:rPr>
        <w:t>!</w:t>
      </w:r>
    </w:p>
    <w:p>
      <w:pPr>
        <w:pStyle w:val="Heading5"/>
        <w:numPr>
          <w:ilvl w:val="4"/>
          <w:numId w:val="1"/>
        </w:numPr>
        <w:rPr/>
      </w:pPr>
      <w:bookmarkStart w:id="186" w:name="__RefHeading___Toc3418234_2749589250"/>
      <w:bookmarkStart w:id="187" w:name="_Toc73"/>
      <w:bookmarkEnd w:id="186"/>
      <w:r>
        <w:rPr>
          <w:rtl w:val="true"/>
        </w:rPr>
        <w:t xml:space="preserve">دوم </w:t>
      </w:r>
      <w:r>
        <w:rPr>
          <w:rtl w:val="true"/>
        </w:rPr>
        <w:t xml:space="preserve">- </w:t>
      </w:r>
      <w:r>
        <w:rPr>
          <w:rtl w:val="true"/>
        </w:rPr>
        <w:t>یواخیم فیوره ای و جهانگیر صالح پور</w:t>
      </w:r>
      <w:r>
        <w:rPr>
          <w:rtl w:val="true"/>
        </w:rPr>
        <w:t>!</w:t>
      </w:r>
      <w:bookmarkEnd w:id="187"/>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یواخیم فیوره ای و جهانگیر صالح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جرقه تاریخی گری در قرون وسطای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تأملاتی در اندیشه یواخیم فیوره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منظومه فکری نویسنده بسیار مهم واساسی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یواخیم فیوره ای سمبل تلاش برای ایدئولوژیک کردن دین است و از این نظر، نمونه ای برای تحلیل دکتر شریعتی و دست آوردهای تلاش او به شمار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عرفی شدن ایدئولوژی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یواخیم فیوره ای از کسانی است که بذرهای جهان نو را در سده های میانه پاشیده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مدرنیته دغدغه راستین نویسنده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دیگر یواخیم فیوره ای از کسانی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پا در عالم سنت دارند و یک پا در عالم 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عناصر دینی را در جهت موافقت با روح زمانه ای که آفاق آن از دور به چشم می آمد، بازسازی کرده و از درون دین، تفاسیر جدید کلامی و فلسفی ارائه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این جهت، الگویی برای تحلیل امام راحل است که از نظر نویسنده می توان او را فقیه دوران گذار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شیعه، در حال گذار از یک دوره به دوره ای دیگر است و امام در میانه این دو دوره ایستاده، این گذار را تسریع و تسهیل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طرفی، یواخیم فیوره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تبدیل گفتمان تعالی به گفتمان ترقی نقش مهم و اساسی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نظر الگویی برای روشن فکران دینی،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عرفی شدن گفتمان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مهم تر، یواخیم فیوره ای از دو جهت الگو و نمونه ای برای خود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جهت تاریخی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تأثیری که بر فلاسفه ایده آلیست آلمان،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لسینگ، شلینگ، فیخته، هگل، مارکس و نیز امثال 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و نویسنده خود تحت تأثیر این دسته اندیشمندان است و دیگری از جهت تاریخ سازی؛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آینده را پیش بینی می کند، خود می تواند آن را بسازد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نیز می خواهد با ارائه تاریخی مغشوش، نادرست و آشفته، آینده ای دنیوی را برای جمهوری اسلامی پیش بینی کند و خود از جمله </w:t>
      </w:r>
      <w:bookmarkStart w:id="188" w:name="pg3480_42275"/>
    </w:p>
    <w:p>
      <w:pPr>
        <w:pStyle w:val="BookText"/>
        <w:rPr/>
      </w:pPr>
      <w:bookmarkEnd w:id="188"/>
      <w:r>
        <w:rPr>
          <w:rFonts w:ascii="IRNazanin" w:hAnsi="IRNazanin" w:eastAsia="IRNazanin"/>
          <w:color w:val="111111"/>
          <w:sz w:val="28"/>
          <w:sz w:val="28"/>
          <w:szCs w:val="28"/>
          <w:rtl w:val="true"/>
          <w:lang w:bidi="fa-IR"/>
        </w:rPr>
        <w:t>سازندگان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توجه به چند نکته 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 رسد نویسنده در شخصیت پردازی یواخیم فیوره ای، خودِ آرمانی خویش را در نظر داشته و خود را حکایت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در پاره ای از مقالات این مجموعه که در نشریه کیان به چاپ رسیده است، از اسم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 صالح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توصیفاتی که از یواخیم فیوره ای دارد، وجه استفاده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گردد و این نام گذاری از آرزوهای نویسنده حکایت می کند</w:t>
      </w:r>
      <w:r>
        <w:rPr>
          <w:rFonts w:eastAsia="IRNazanin" w:cs="IRNazanin"/>
          <w:color w:val="111111"/>
          <w:sz w:val="28"/>
          <w:szCs w:val="28"/>
          <w:rtl w:val="true"/>
          <w:lang w:bidi="fa-IR"/>
        </w:rPr>
        <w:t>.</w:t>
      </w:r>
    </w:p>
    <w:p>
      <w:pPr>
        <w:pStyle w:val="Heading5"/>
        <w:numPr>
          <w:ilvl w:val="4"/>
          <w:numId w:val="1"/>
        </w:numPr>
        <w:rPr/>
      </w:pPr>
      <w:bookmarkStart w:id="189" w:name="__RefHeading___Toc3418236_2749589250"/>
      <w:bookmarkStart w:id="190" w:name="_Toc74"/>
      <w:bookmarkEnd w:id="189"/>
      <w:r>
        <w:rPr>
          <w:rtl w:val="true"/>
        </w:rPr>
        <w:t xml:space="preserve">سوم </w:t>
      </w:r>
      <w:r>
        <w:rPr>
          <w:rtl w:val="true"/>
        </w:rPr>
        <w:t xml:space="preserve">- </w:t>
      </w:r>
      <w:r>
        <w:rPr>
          <w:rtl w:val="true"/>
        </w:rPr>
        <w:t>برابر نهادها</w:t>
      </w:r>
      <w:bookmarkEnd w:id="190"/>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نهادها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جرقه تاریخی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دیگری نیز قابل توجه است و آن معادل قراردادن کور، دور و فص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این ترتیب، فص را به معنای دوره و زمان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کتب لغت،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چنین ترادف و معادل بودنی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فص را خاتم انگشتری، خالص و گزیده هر چیز، اصل و حقیقت شی ء و مَفصِل گفته اند و معنای دوره و زمان برای فص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نویسنده، مستندی برای این گونه استعمال و معناکردن دارد، می تواند بیان کند وگرنه نشان دهنده بی دقتی در برابر نهادها و معناکردن واژه ها و لغات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دیگر برابر نهادهای نویسنده را نیز با تردید جدی مواجه می سازد، همان طور که نقلیات تاریخی او یا استنادهایی که به اشخاص می دهد و مطالبی که از دیگران نقل می کند، دچار تردید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این گونه موارد در </w:t>
      </w:r>
      <w:bookmarkStart w:id="191" w:name="pg3480_42276"/>
    </w:p>
    <w:p>
      <w:pPr>
        <w:pStyle w:val="BookText"/>
        <w:rPr/>
      </w:pPr>
      <w:bookmarkEnd w:id="191"/>
      <w:r>
        <w:rPr>
          <w:rFonts w:ascii="IRNazanin" w:hAnsi="IRNazanin" w:eastAsia="IRNazanin"/>
          <w:color w:val="111111"/>
          <w:sz w:val="28"/>
          <w:sz w:val="28"/>
          <w:szCs w:val="28"/>
          <w:rtl w:val="true"/>
          <w:lang w:bidi="fa-IR"/>
        </w:rPr>
        <w:t>این مقاله مشاهده می شود و نمونه های دیگر نیز در بررسی دیگر مقالات ذکر شده است</w:t>
      </w:r>
      <w:r>
        <w:rPr>
          <w:rFonts w:eastAsia="IRNazanin" w:cs="IRNazanin"/>
          <w:color w:val="111111"/>
          <w:sz w:val="28"/>
          <w:szCs w:val="28"/>
          <w:rtl w:val="true"/>
          <w:lang w:bidi="fa-IR"/>
        </w:rPr>
        <w:t>.</w:t>
      </w:r>
    </w:p>
    <w:p>
      <w:pPr>
        <w:pStyle w:val="Heading3"/>
        <w:numPr>
          <w:ilvl w:val="2"/>
          <w:numId w:val="1"/>
        </w:numPr>
        <w:rPr/>
      </w:pPr>
      <w:bookmarkStart w:id="192" w:name="__RefHeading___Toc3418238_2749589250"/>
      <w:bookmarkStart w:id="193" w:name="_Toc75"/>
      <w:bookmarkEnd w:id="192"/>
      <w:r>
        <w:rPr>
          <w:rtl w:val="true"/>
        </w:rPr>
        <w:t>فصل سوم</w:t>
      </w:r>
      <w:r>
        <w:rPr>
          <w:rtl w:val="true"/>
        </w:rPr>
        <w:t xml:space="preserve">: </w:t>
      </w:r>
      <w:r>
        <w:rPr>
          <w:rtl w:val="true"/>
        </w:rPr>
        <w:t>فقه و سکولاریزاسیون</w:t>
      </w:r>
      <w:bookmarkEnd w:id="193"/>
    </w:p>
    <w:p>
      <w:pPr>
        <w:pStyle w:val="Heading4"/>
        <w:numPr>
          <w:ilvl w:val="3"/>
          <w:numId w:val="1"/>
        </w:numPr>
        <w:rPr/>
      </w:pPr>
      <w:bookmarkStart w:id="194" w:name="__RefHeading___Toc3418240_2749589250"/>
      <w:bookmarkStart w:id="195" w:name="_Toc76"/>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سکولاریزاسیون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نگاهی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عرفی شدن فقه شیعی</w:t>
      </w:r>
      <w:r>
        <w:rPr>
          <w:rFonts w:eastAsia="IRNazanin" w:cs="IRNazanin"/>
          <w:color w:val="111111"/>
          <w:sz w:val="28"/>
          <w:szCs w:val="28"/>
          <w:rtl w:val="true"/>
          <w:lang w:bidi="fa-IR"/>
        </w:rPr>
        <w:t>»</w:t>
      </w:r>
    </w:p>
    <w:p>
      <w:pPr>
        <w:pStyle w:val="Heading4"/>
        <w:numPr>
          <w:ilvl w:val="3"/>
          <w:numId w:val="1"/>
        </w:numPr>
        <w:rPr/>
      </w:pPr>
      <w:bookmarkStart w:id="196" w:name="__RefHeading___Toc3418242_2749589250"/>
      <w:bookmarkStart w:id="197" w:name="_Toc77"/>
      <w:bookmarkEnd w:id="196"/>
      <w:r>
        <w:rPr>
          <w:rtl w:val="true"/>
        </w:rPr>
        <w:t xml:space="preserve">نگاهی به مقاله </w:t>
      </w:r>
      <w:r>
        <w:rPr>
          <w:rtl w:val="true"/>
        </w:rPr>
        <w:t>«</w:t>
      </w:r>
      <w:r>
        <w:rPr>
          <w:rtl w:val="true"/>
        </w:rPr>
        <w:t>فرآیند عرفی شدن فقه شیعی</w:t>
      </w:r>
      <w:r>
        <w:rPr>
          <w:rtl w:val="true"/>
        </w:rPr>
        <w:t>»</w:t>
      </w:r>
      <w:bookmarkEnd w:id="197"/>
    </w:p>
    <w:p>
      <w:pPr>
        <w:pStyle w:val="Heading5"/>
        <w:numPr>
          <w:ilvl w:val="4"/>
          <w:numId w:val="1"/>
        </w:numPr>
        <w:rPr/>
      </w:pPr>
      <w:bookmarkStart w:id="198" w:name="__RefHeading___Toc3418244_2749589250"/>
      <w:bookmarkStart w:id="199" w:name="_Toc78"/>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 xml:space="preserve">نگاهی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عرفی شدن فقه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 تحلیل و نقد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عرفی شدن فقه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مدار بحث را بر دو ادعای اصلی مقاله استوار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مدعای اصلی را نویسنده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مقاله حاضر درصدد اثبات آن است، این مدعاست که می توان در کلّ مسیر پرفراز و نشیب فقه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القاعده هر دستگاه حقوق شرعی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تمایل تاریخی مشاهده کرد که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عرفی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اجتماعی گوناگونی موجب این فرآیند شده است و بازسازی ها و تجدید بناهایی که در این دستگاه حقوقی رخ داده، نوعا در جهت تسریع این فرآیند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تلاش می شود، نقش دکترین ولایت مطلقه فقیه به عنوان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جهت تسریع این فرآیند باز کرده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ادعای مقاله حاضر آن است که نظریه ولایت مطلقه فقیه به هر دو معنای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دنیوی شدن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 شدن سیاست و عرصه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باعث عرفی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 شدن و دنیوی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می گردد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نظر نویسنده، نوعی تمایل تاریخی در کل مسیر فقه شیعی به نام فرآیند عرفی شدن یا همان سکولاریزاسیون قابل مشاهده </w:t>
      </w:r>
      <w:bookmarkStart w:id="200" w:name="pg3480_42277"/>
    </w:p>
    <w:p>
      <w:pPr>
        <w:pStyle w:val="BookText"/>
        <w:rPr/>
      </w:pPr>
      <w:bookmarkEnd w:id="20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01" w:name="__RefHeading___Toc3418246_2749589250"/>
      <w:bookmarkStart w:id="202" w:name="_Toc79"/>
      <w:bookmarkEnd w:id="201"/>
      <w:r>
        <w:rPr>
          <w:rtl w:val="true"/>
        </w:rPr>
        <w:t xml:space="preserve">اول </w:t>
      </w:r>
      <w:r>
        <w:rPr>
          <w:rtl w:val="true"/>
        </w:rPr>
        <w:t xml:space="preserve">- </w:t>
      </w:r>
      <w:r>
        <w:rPr>
          <w:rtl w:val="true"/>
        </w:rPr>
        <w:t>سکولاریزاسیون</w:t>
      </w:r>
      <w:r>
        <w:rPr>
          <w:rtl w:val="true"/>
        </w:rPr>
        <w:t xml:space="preserve">: </w:t>
      </w:r>
      <w:r>
        <w:rPr>
          <w:rtl w:val="true"/>
        </w:rPr>
        <w:t>تعریف سکولاریزاسیون چیست؟</w:t>
      </w:r>
      <w:bookmarkEnd w:id="202"/>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سکولاریزاسیون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سکولاریزاسیون چیست؟</w:t>
      </w:r>
    </w:p>
    <w:p>
      <w:pPr>
        <w:pStyle w:val="BookText"/>
        <w:rPr/>
      </w:pPr>
      <w:r>
        <w:rPr>
          <w:rFonts w:ascii="IRNazanin" w:hAnsi="IRNazanin" w:eastAsia="IRNazanin"/>
          <w:color w:val="111111"/>
          <w:sz w:val="28"/>
          <w:sz w:val="28"/>
          <w:szCs w:val="28"/>
          <w:rtl w:val="true"/>
          <w:lang w:bidi="fa-IR"/>
        </w:rPr>
        <w:t xml:space="preserve">نویسنده تعریف درست و روشنی از این فرآیند ارائه نمی کند؛ زیرا از طرفی، فرآیند عرفی شدن را از مهم ترین تجلیات مدرنیته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اصلی ترین شاخص های 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از طرفی دیگر نیز آن را در کل مسیر فقه شیعی، یعنی در طول زمانی بیش از هزار سال قابل مشاهده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منطقی این دو باور این است که بیش از هزار سال است که مهم ترین تجلیات مدرنیته و یکی از اصلی ترین شاخص های تجدد در فقه شیعه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بعید است حتی خود نویسنده آن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نویسنده در مقاله بعدی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فقه شیعی نیز در مقابل دگرگونی، مقاومت زیادی از خود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معلوم نیست که آیا فقه شیعی در طول سیر خود، تمایل تاریخی به سکولار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مظاهر مدرنیته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 این که در مقابل دگرگونی مقاومت زیادی از خودش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که با چنین تمایل تاریخی به سکولار شدن و مدرنیته، فقه آن هم از صدها سال گذشته تا کنون سکولار شده است، یا نیازمند نظریه پردازی نویسنده است تا پس از این سکولار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شیفته نظریه پردازی است هرچند عناصر و اجزای این نظریه با یکدیگر انسجام نداشته باشد و با اندک تأملی، تهافت و ناسازگاری آن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ببینیم نویسنده سکولاریزاسیون را </w:t>
      </w:r>
    </w:p>
    <w:p>
      <w:pPr>
        <w:pStyle w:val="BookText"/>
        <w:rPr/>
      </w:pPr>
      <w:r>
        <w:rPr>
          <w:rFonts w:ascii="IRNazanin" w:hAnsi="IRNazanin" w:eastAsia="IRNazanin"/>
          <w:color w:val="111111"/>
          <w:sz w:val="28"/>
          <w:sz w:val="28"/>
          <w:szCs w:val="28"/>
          <w:rtl w:val="true"/>
          <w:lang w:bidi="fa-IR"/>
        </w:rPr>
        <w:t>چگونه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تبیین سکولاریزاسیون در همین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دو معنی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 شدن، یعنی عقلانی شدن در گزاره های معطوف به امور حقیقی و عقلایی شدن در گزاره های متعلق به حوزه امور هنجاری و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 ساختاری میان ساخت سیاسی و نهاد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سکولار </w:t>
      </w:r>
      <w:r>
        <w:rPr>
          <w:rFonts w:eastAsia="Times New Roman" w:cs="Times New Roman" w:ascii="Times New Roman" w:hAnsi="Times New Roman"/>
          <w:color w:val="111111"/>
          <w:sz w:val="28"/>
          <w:szCs w:val="28"/>
          <w:lang w:val="en-US" w:bidi="en-US"/>
        </w:rPr>
        <w:t>Seculur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اصطلاح لاتینی </w:t>
      </w:r>
      <w:r>
        <w:rPr>
          <w:rFonts w:eastAsia="Times New Roman" w:cs="Times New Roman" w:ascii="Times New Roman" w:hAnsi="Times New Roman"/>
          <w:color w:val="111111"/>
          <w:sz w:val="28"/>
          <w:szCs w:val="28"/>
          <w:lang w:val="en-US" w:bidi="en-US"/>
        </w:rPr>
        <w:t>Sueculum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قرن و سده گرفته شده و به زمان حاضر و اتفاقات این جهان در مقابل ابدیت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کاربردهای این واژه در اواخر قرن سوم، برای توصیف آن دسته از روحانیونی به کار می رفته است که گوشه نشینی رهبانی را به سمت زندگی در دنیا ترک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کلیسا در سده های میانه، روحانیون به دو دسته تقسیم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دسته اول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صومعه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 های مقدس را اداره می کردند و تشکیلات کلیسا را می گرداندند و به زندگی مردم نظم و ترتیب می دادند، به این نام نامیده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کشیش های روستا، اسقف ها، سراسقف ها، کاردینال ها و پاپ ها در جرگه روحانیون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سکولاریزاسیون در زبان های اروپایی، اولین بار در معاهده سال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وستفالی به کار رفت و مقصود از آن، توضیح و توصیف </w:t>
      </w:r>
    </w:p>
    <w:p>
      <w:pPr>
        <w:pStyle w:val="BookText"/>
        <w:rPr/>
      </w:pPr>
      <w:r>
        <w:rPr>
          <w:rFonts w:ascii="IRNazanin" w:hAnsi="IRNazanin" w:eastAsia="IRNazanin"/>
          <w:color w:val="111111"/>
          <w:sz w:val="28"/>
          <w:sz w:val="28"/>
          <w:szCs w:val="28"/>
          <w:rtl w:val="true"/>
          <w:lang w:bidi="fa-IR"/>
        </w:rPr>
        <w:t>انتقال سرزمین هایی به زیر سلطه اقتدارات سیاسی غیرروحانی بود که پیش تر تحت نظارت کلیسا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ایام، واژه یا تعبیر سکولاریس در بین مردم متداول بود و تمییز و تفکیک میان </w:t>
      </w:r>
      <w:r>
        <w:rPr>
          <w:rFonts w:eastAsia="Times New Roman" w:cs="Times New Roman" w:ascii="Times New Roman" w:hAnsi="Times New Roman"/>
          <w:color w:val="111111"/>
          <w:sz w:val="28"/>
          <w:szCs w:val="28"/>
          <w:lang w:val="en-US" w:bidi="en-US"/>
        </w:rPr>
        <w:t>Sacred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مقدس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Secular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اجمالاً در حکم تمییز و تفکیک مفاهیم مابعدالطبیعی مسیحی از همه اشیا و اموری بود که این جهانی یا غیرمقدس و ناسوتی تلقی می شدند؛ تداعی کننده قول به برتری امور و مفاهیم مقدس یا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دیر زمانی بود که کلیسا کشیش 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کشیش هایی که دنیوی دانسته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روحانیانی که در خدمت جامعه وسیع تر بیرونِ تشکیلات دینی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می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تعبیر سکولاریزاسیون به معنای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مرتبط با مفهوم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معاف و مرخص کردن روحانیان از قید عهد و پیمانشان اطلاق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قرن بیستم که مفهوم مورد نظر، فحواهای کلی تر اجتماعی یافت، باز هم به معنای متنوع تری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شناسان از این اصطلاح، برای نشان دادن مجموعه ای از جریانات استفاده می کنند که طی آن عنان کنترل محیط اجتماعی، زمان، امکانات، منابع و افراد از کف مقامات دینی خارج شده، روش ها و رویه های تجربی مشربانه و غایات و اهداف این جهانی به جای شعایر و نحوه عمل های نمادینی نشسته است که معطوف به غایات آن جهانی یا </w:t>
      </w:r>
    </w:p>
    <w:p>
      <w:pPr>
        <w:pStyle w:val="BookText"/>
        <w:rPr/>
      </w:pPr>
      <w:r>
        <w:rPr>
          <w:rFonts w:ascii="IRNazanin" w:hAnsi="IRNazanin" w:eastAsia="IRNazanin"/>
          <w:color w:val="111111"/>
          <w:sz w:val="28"/>
          <w:sz w:val="28"/>
          <w:szCs w:val="28"/>
          <w:rtl w:val="true"/>
          <w:lang w:bidi="fa-IR"/>
        </w:rPr>
        <w:t>مافوق طبیعی اند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سکولاریزاسیون، فرآیندی است که طی آن وجدان دینی، فعالیت های دینی و نهادهای دینی اعتبار و اهمیت اجتماعی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معناست که دین در عملکرد نظام اجتماعی به حاشیه رانده می شود و کارکردهای اساسی در عملکرد جامعه، با خارج شدن از زیر نفوذ و نظارت عواملی که اختصاصا به امر ماوراء طبیعی عنایت دارند، عقلانی می گردد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در تاریخ معاصر غرب، جدایی نهادهایی دینی و سیاسی که به بارزترین شکل در جدایی کلیسا از دولت مشهود است، همانا به معنای غیردینی شدن جامعه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با توجه به این زمینه تاریخی و معنای لغوی، معنای اصلی و صحیح سکولاریزاسیون، دنیایی کردن یا دنیایی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جای به کار بردن معنای صحیح و اصلی سکولاریزاسیون، برای اجتناب از بار ارزشی واژه دنیایی و دنیوی شدن، معنا و برابر نهادی نادرست که ارتباطی به معنای لغوی یا زمینه تاریخی آن ندارد،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نویسنده صرفا رویکردی علمی، تبیینی و توصیفی نداشته و ملاحظات غیرعلمی نیز در کار او مؤثر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دنیایی شدن یا دنیایی کردن در هر دو معنایی که نویسنده از سکولاریزاسیون می کند،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اول که دنیوی شدن </w:t>
      </w:r>
    </w:p>
    <w:p>
      <w:pPr>
        <w:pStyle w:val="BookText"/>
        <w:rPr/>
      </w:pPr>
      <w:r>
        <w:rPr>
          <w:rFonts w:ascii="IRNazanin" w:hAnsi="IRNazanin" w:eastAsia="IRNazanin"/>
          <w:color w:val="111111"/>
          <w:sz w:val="28"/>
          <w:sz w:val="28"/>
          <w:szCs w:val="28"/>
          <w:rtl w:val="true"/>
          <w:lang w:bidi="fa-IR"/>
        </w:rPr>
        <w:t>دین است، خود نویسنده نیز به این مطلب تصریح می کند و در معنای دوم نیز دنیایی کردن ساخت سیاسی و عرصه سیاسی، به وسیله جدا کردن دین از سیاست و فرستادن دین به عرصه خصوصی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سکولاریزاسیون از نظر نویسنده به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 کردن دین و دنیوی کردن سیاست و عرصه 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جامعه شناسی دین، برای سکولاریزاسیون شش معنا یا کاربرد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دین، سازگاری هر چه بیش تر آدم 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جدایی دین و جامعه، جایگزینی صورت های مذهبی به جای باور داشت های مذهبی، سلب تقدس از جهان و حرکت از جامعه مقدس به جامعه دنیوی و به جهت تشتت معنایی سکولاریزاسیون، این اصطلاح نادقیق و مبهم ارزیابی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هر حال از آن جا که محور بحث، مقاله حاضر است به تعریف نویسنده از سکولاریزاسیون بازمی گردیم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در بیان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سکولاریزاسیون را به دو معنای عقلانی شدن در گزاره های معطوف به امور حقیقی و عقلایی شدن در گزاره های متعلق به حوزه امور هنجاری و اعتباری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نویسنده، گزاره های دینی معطوف به امور حقیقی و عقلانی نیست وگرنه تعبیر عقلانی شدن این گزاره ها، معنایی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نویسنده، گزاره های هنجاری و اعتباری دین را نیز عقلایی نمی داند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قرآن پیام ها و دعوت خود را خطاب به عقول </w:t>
      </w:r>
    </w:p>
    <w:p>
      <w:pPr>
        <w:pStyle w:val="BookText"/>
        <w:rPr/>
      </w:pPr>
      <w:r>
        <w:rPr>
          <w:rFonts w:ascii="IRNazanin" w:hAnsi="IRNazanin" w:eastAsia="IRNazanin"/>
          <w:color w:val="111111"/>
          <w:sz w:val="28"/>
          <w:sz w:val="28"/>
          <w:szCs w:val="28"/>
          <w:rtl w:val="true"/>
          <w:lang w:bidi="fa-IR"/>
        </w:rPr>
        <w:t>آدمیان و درک و فهم آن ها ابراز می کند</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یُبَیِّنُ اللّه ُ لَکُمْ آیَاتِهِ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بَیَّنَّا لَکُمُ الآیَاتِ إِن کُنْتُمْ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وَصَّاکُم بِهِ لَعَلَّکُمْ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قُرْآنا عَرَبِیّا لَعَلَّکُمْ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زخرف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یُبَیِّنُ اللّه ُ لَکُمُ الآیَاتِ لَعَلَّکُمْ تَتَفَکَّرُونَ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نُفَصِّلُ الْأَیَاتِ لِقَوْمٍ یَتَفَکَّرُونَ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فلسفه که جایگاهی ارزشمند میان علوم اسلامی دارد، درصدد تبیین عقلانی عقاید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رساله های عملیه نیز گفته می شود که اعتقاد به اصول دین، باید از روی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نظر نمی رسد که هیچ مسلمانی عقاید دینی خود را غیر عقلانی بداند و اگر هم نویسنده عقاید اسلامی را عقلانی می داند، از نظر او باید اسلام را از آغاز دینی سکولار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سکولاریزاسیون در اسلام امری بی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می دانیم که در فقه و اصول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شود و اگر نگوییم همه احکام دین، حداقل بخش معظم آن موافق بنای عقلا و عقلایی دانسته می شود تا آن جا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به الشرع، حکم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جای بحث از عقلانی بودن عقاید اسلامی و عقلایی بودن احکام شرع در محل دیگر است و این جا فقط به پی آمدهای تعریف نویسنده اشاره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نویسنده از عقلانی شدن عقاید اسلامی، </w:t>
      </w:r>
      <w:r>
        <w:rPr>
          <w:rFonts w:eastAsia="Times New Roman" w:cs="Times New Roman" w:ascii="Times New Roman" w:hAnsi="Times New Roman"/>
          <w:color w:val="111111"/>
          <w:sz w:val="28"/>
          <w:szCs w:val="28"/>
          <w:lang w:val="en-US" w:bidi="en-US"/>
        </w:rPr>
        <w:t>rational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شدن آن و</w:t>
      </w:r>
    </w:p>
    <w:p>
      <w:pPr>
        <w:pStyle w:val="BookText"/>
        <w:rPr/>
      </w:pPr>
      <w:r>
        <w:rPr>
          <w:rFonts w:ascii="IRNazanin" w:hAnsi="IRNazanin" w:eastAsia="IRNazanin"/>
          <w:color w:val="111111"/>
          <w:sz w:val="28"/>
          <w:sz w:val="28"/>
          <w:szCs w:val="28"/>
          <w:rtl w:val="true"/>
          <w:lang w:bidi="fa-IR"/>
        </w:rPr>
        <w:t xml:space="preserve">نیز مقصود او از عقلایی شدن احکام شرع، </w:t>
      </w:r>
      <w:r>
        <w:rPr>
          <w:rFonts w:eastAsia="Times New Roman" w:cs="Times New Roman" w:ascii="Times New Roman" w:hAnsi="Times New Roman"/>
          <w:color w:val="111111"/>
          <w:sz w:val="28"/>
          <w:szCs w:val="28"/>
          <w:lang w:val="en-US" w:bidi="en-US"/>
        </w:rPr>
        <w:t>rationalize</w:t>
      </w:r>
      <w:r>
        <w:rPr>
          <w:rFonts w:ascii="IRNazanin" w:hAnsi="IRNazanin" w:eastAsia="IRNazanin"/>
          <w:color w:val="111111"/>
          <w:sz w:val="28"/>
          <w:sz w:val="28"/>
          <w:szCs w:val="28"/>
          <w:rtl w:val="true"/>
          <w:lang w:bidi="fa-IR"/>
        </w:rPr>
        <w:t>شدن آن است؛ یعنی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عقل، تنها معنای عقل حسابگر، عقل معاش، عقل دنیوی و به تعبیر خودش، عقل ابزاری را در نظر دارد و توجه نمی کند که عقل حسابگر و عقل ابزاری، برای حسابگری و برای این که ابزار واقع شود، نیازمند معیار، ضابطه، هدف و مقصد است و این ها از دل عقل ابزاری و عقل حسابگر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عقل منحصر در عقل حسابگر و عقل ابزاری است و نه عقل حسابگر و عقل ابزاری، کامل و بی نیاز از عقل ماهوی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ابزاری به عقل ماهوی نیاز دارد تا ضابطه، معیار، هدف و مقصد را برای آن بیان کند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نویسنده هم چنین از طرفی به نقش ارزش ها اذعان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آن را انکار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نویسنده عقلانیت صوری را به جای عقلانیت ماهوی می 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وی در دامان آشفتگی، اغتشاش نظری و تئوری پردازی کاملاً پارادوکسیکال سقوط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 بیش تر از عقلانیت صوری و عقلانیت ماهوی و نیز به خصوص کنش ناظر به ارزش ها،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 جامعه، ماکس وبر،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مترجمان، انتشارات مولی،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 اول و فصل 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تحلیل از جایگاه عقلانیت ابزاری و عقلانیت ماهوی و تعامل این دو در اندیشه وبر،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مدرنیته، لوآی صفی،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موثقی، نشر دادگستر، بهار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وبری توسعه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عقلانی یا عقلایی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نویسنده به چه معناست؟ با توجه به مطالب دو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شدن شریعت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قرمز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دگم های دینی تخطی و از دگم های دیگری تبعیت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دگم ها را کنار گذارده، از حق و حقیقت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کنار </w:t>
      </w:r>
    </w:p>
    <w:p>
      <w:pPr>
        <w:pStyle w:val="BookText"/>
        <w:rPr/>
      </w:pPr>
      <w:r>
        <w:rPr>
          <w:rFonts w:ascii="IRNazanin" w:hAnsi="IRNazanin" w:eastAsia="IRNazanin"/>
          <w:color w:val="111111"/>
          <w:sz w:val="28"/>
          <w:sz w:val="28"/>
          <w:szCs w:val="28"/>
          <w:rtl w:val="true"/>
          <w:lang w:bidi="fa-IR"/>
        </w:rPr>
        <w:t xml:space="preserve">زدن عقاید و احکام دین و حقایق دین به نام دگم و جزم و روی آوردن به هر آن چه فضای مدرن و تجدد که خود به وسیله رسانه ها و فرهنگ دنیوی و مادی ساخته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قول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مانند این ها تبعیت کردن، یعنی عدول از حقایق دینی به فریب، غرور و خرافه های تجدد، تنها به این جهت که سیطره فرهنگی و تمدنی از آن غرب و تجدد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دوم سکولاریزاسیون از نظر نویسنده، افتراق ساختاری میان ساخت سیاسی و نهاد دین است </w:t>
      </w:r>
      <w:r>
        <w:rPr>
          <w:rFonts w:eastAsia="Times New Roman" w:cs="Times New Roman" w:ascii="Times New Roman" w:hAnsi="Times New Roman"/>
          <w:color w:val="111111"/>
          <w:sz w:val="28"/>
          <w:szCs w:val="28"/>
          <w:lang w:val="en-US" w:bidi="en-US"/>
        </w:rPr>
        <w:t>state differentiation - Church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نویسنده، نهاد دین را به معنای </w:t>
      </w:r>
      <w:r>
        <w:rPr>
          <w:rFonts w:eastAsia="Times New Roman" w:cs="Times New Roman" w:ascii="Times New Roman" w:hAnsi="Times New Roman"/>
          <w:color w:val="111111"/>
          <w:sz w:val="28"/>
          <w:szCs w:val="28"/>
          <w:lang w:val="en-US" w:bidi="en-US"/>
        </w:rPr>
        <w:t>Church</w:t>
      </w:r>
      <w:r>
        <w:rPr>
          <w:rFonts w:ascii="IRNazanin" w:hAnsi="IRNazanin" w:eastAsia="IRNazanin"/>
          <w:color w:val="111111"/>
          <w:sz w:val="28"/>
          <w:sz w:val="28"/>
          <w:szCs w:val="28"/>
          <w:rtl w:val="true"/>
          <w:lang w:bidi="fa-IR"/>
        </w:rPr>
        <w:t xml:space="preserve">می داند و واژه </w:t>
      </w:r>
      <w:r>
        <w:rPr>
          <w:rFonts w:eastAsia="Times New Roman" w:cs="Times New Roman" w:ascii="Times New Roman" w:hAnsi="Times New Roman"/>
          <w:color w:val="111111"/>
          <w:sz w:val="28"/>
          <w:szCs w:val="28"/>
          <w:lang w:val="en-US" w:bidi="en-US"/>
        </w:rPr>
        <w:t>Church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کلیسا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نیز نویسنده از جدایی دولت و کلیسا صحبت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اسلام یا تشیع چیزی به نام کلیسا وجود دارد؟ آیا ما در اسلام یا تشیع، دین را به معنای کلیسا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برابر دانستن نهاد دین با کلیسا مطلب کوچکی نیست و بسیار مهم است و نشان می دهد که نویسنده، الگویی مسیحی از دین را اصل و اساس قرارداده و بر همان اساس می خواهد نه تنها اسلام و تشیع را تحلیل کند، بلکه فرآیندهای گذشته و آینده اسلام و تشیع را نیز تبیین نماید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عرفی شدن فقه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برای توضیح نظریاتش در ارائه دین شناسی خود، سه بار جمله انجیل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این آیه انجیل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قیصر را به قیصر و سهم خدا را به خدا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این که در کتاب مقدس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سهم </w:t>
      </w:r>
    </w:p>
    <w:p>
      <w:pPr>
        <w:pStyle w:val="BookText"/>
        <w:rPr/>
      </w:pPr>
      <w:r>
        <w:rPr>
          <w:rFonts w:ascii="IRNazanin" w:hAnsi="IRNazanin" w:eastAsia="IRNazanin"/>
          <w:color w:val="111111"/>
          <w:sz w:val="28"/>
          <w:sz w:val="28"/>
          <w:szCs w:val="28"/>
          <w:rtl w:val="true"/>
          <w:lang w:bidi="fa-IR"/>
        </w:rPr>
        <w:t>خدا را به خدا واگذار و سهم قیصر را به 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قیصر را به قیصر وابگذارید و امر خدا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نویسنده این جمله انجیل را هرجا یک طور نقل نموده و در هر سه جا نیز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داستان از اصل چیز دیگری است، سه بار استناد نادرست و غلط به یک جمله انجیل در تبیین فرآیند عرفی شدن فقه شیعی نشان می دهد که نویسنده، تفسیری انحرافی از مسیحیت را برای تبیین حقایق اسلام و فقه شیعی، الگو و نمونه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برداشتی اشتباه از این جمله انجیل و بدون مراجعه به متن انجیل و تحلیل زمینه تاریخی اظهار این جمله و تنها تحت تأثیر فرهنگ و تبیین های سکولار و تمدن غربی، مبتنی بر همین جمله انجیل و تفسیر غلط آن می خواهد اسلام و فقه شیعی را نیز تبیین و در واقع مُثله و دستکاری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اساس چارچوب تحلیلی نویسنده است، نوعی دین شناسی است که اسلام نیز باید بر آن منطبق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تفسیر نویسنده از حضرت مسیح و این جمله انجیل، چند نکته قابل تذکر و توجه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شرایط خاصی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فریسیان با هم مشورت کردند تا راهی بیابند که عیسی را به هنگام بحث به دام بیندازند و مدرکی از سخنانش علیه او به دست آورده و دستگیرش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 گرفتند چند نفر از پیروان خود را با عده ای از هواداران هیرودیس پادشاه نزد عیسی بفرستند و این سؤال را از او بکنند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شما درست کارید و هر چه می گویید به آن </w:t>
      </w:r>
    </w:p>
    <w:p>
      <w:pPr>
        <w:pStyle w:val="BookText"/>
        <w:rPr/>
      </w:pPr>
      <w:r>
        <w:rPr>
          <w:rFonts w:ascii="IRNazanin" w:hAnsi="IRNazanin" w:eastAsia="IRNazanin"/>
          <w:color w:val="111111"/>
          <w:sz w:val="28"/>
          <w:sz w:val="28"/>
          <w:szCs w:val="28"/>
          <w:rtl w:val="true"/>
          <w:lang w:bidi="fa-IR"/>
        </w:rPr>
        <w:t>عمل می کنید و بدون این که از کسی باکی داشته باشید یا به آن چه مردم می گویند توجه کنید، حقیقت را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بفرمایید آیا باید به دولت روم باج و خراج داد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که می دانست آن ها چه نقشه ای در سر دارند،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ریاکاران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سؤال ها می خواهید مرا غافل گیر کنید؟ یکی از سکه هایی را که با آن باج و خراج می دهید،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سکه 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عکس و اسم چه کسی روی سکه نقش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امپراتور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مال امپراتور را به امپراتور بدهید و مال خدا را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عیسی ایشان را مات و مبهوت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رها کرده،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انجیل متی، فصل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جملات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عیسی با زیرکی، در دامی که برای او گسترده بودند، نیفتاد و پاسخی داد که آنان نتوانند سوء استفاده و علیه او از آن بهره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ظاهر پاسخ آنان را ساکت کرد و فریب داد، ولی تعمق در پاسخ نشان دهنده زیرکی، فراست، توانایی گفتار و هوشمندی حضرت عیسی است؛ زیرا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امپراتور را به امپراتور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خراجی که امپراتور از روی زور و قدرت و در پی جنگ و تسلط بر بنی اسرائیل از آنان می گرفت، در واقع مال او نبود تا به او پرداخت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در این جا، مشروعیتی برای مالیات پرداختن به امپراتور را اثبات نکرد، بلکه پرداخت مالیات را منوط به این کرد که آن مال، مال امپراتور باشد و با توجه به این که مال، مال امپراتور نیست، </w:t>
      </w:r>
    </w:p>
    <w:p>
      <w:pPr>
        <w:pStyle w:val="BookText"/>
        <w:rPr/>
      </w:pPr>
      <w:r>
        <w:rPr>
          <w:rFonts w:ascii="IRNazanin" w:hAnsi="IRNazanin" w:eastAsia="IRNazanin"/>
          <w:color w:val="111111"/>
          <w:sz w:val="28"/>
          <w:sz w:val="28"/>
          <w:szCs w:val="28"/>
          <w:rtl w:val="true"/>
          <w:lang w:bidi="fa-IR"/>
        </w:rPr>
        <w:t>بنابراین پرداخت مالیات به امپراتور از نظر حضرت عیسی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دریافت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امپراتور و مشروعیت و مالیات دادن به او را انکار، قدرت امپراتور را نفی و حوزه عمومی را از او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روشن شود حضرت عیسی چه در سر داشت، به این جمله انجیل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مبرید که آمده ام صلح و آرامش را بر زمین برقرار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آمده ام تا شمشیر را برقرار 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انجیل متی،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شمشیر ندارید، بهتر است لباس خود را بفروشید و شمشیری بخرید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انجیل لوقا،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گفتار، گفتار یک انسان انقلابی و سیاسی است، نه یک زاهد گوشه نشینِ دنیا و سیاست به امپراتور سپرده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درباره حضرت مسیح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حضرت عیسی فرصت پیدا می کرد، حکومت برقرار می نمود</w:t>
      </w:r>
      <w:r>
        <w:rPr>
          <w:rFonts w:eastAsia="IRNazanin" w:cs="IRNazanin"/>
          <w:color w:val="111111"/>
          <w:sz w:val="28"/>
          <w:szCs w:val="28"/>
          <w:rtl w:val="true"/>
          <w:lang w:bidi="fa-IR"/>
        </w:rPr>
        <w:t>».</w:t>
      </w:r>
      <w:r>
        <w:rPr>
          <w:rStyle w:val="FootnoteAnchor"/>
          <w:rtl w:val="true"/>
        </w:rPr>
        <w:footnoteReference w:id="2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دین شناسی و مسیح شناسی نویسنده، با دین شناسی و مسیح شناسی امام راحل متفاوت است، کمااین که برداشت او از احکام حکومتی و رابطه دین و دولت و ولایت فقیه با مبانی و نظریات امام راحل، در این موارد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تأسف باید گفت نویسنده نتوانسته است به درستی امام راحل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روش </w:t>
      </w:r>
    </w:p>
    <w:p>
      <w:pPr>
        <w:pStyle w:val="BookText"/>
        <w:rPr/>
      </w:pPr>
      <w:r>
        <w:rPr>
          <w:rFonts w:ascii="IRNazanin" w:hAnsi="IRNazanin" w:eastAsia="IRNazanin"/>
          <w:color w:val="111111"/>
          <w:sz w:val="28"/>
          <w:sz w:val="28"/>
          <w:szCs w:val="28"/>
          <w:rtl w:val="true"/>
          <w:lang w:bidi="fa-IR"/>
        </w:rPr>
        <w:t xml:space="preserve">دریافت او از واقعیت، روش خاصی است و معتقد به فهم و دریافت واقعیت نیست، اعتقاد دارد که واقعیت را باید تحریف نمود تا با تئوری هماهنگ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دادن واقعیت با تئوری، نه انطباق دادن تئوری با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روشی، امکان شناخت امام راحل یا هر حقیقت دیگری برای نویسنده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نهاد دین یعنی 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اصطلاحی جامعه 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 زاییده شیوه های عمل اجتماعی هستند که روابط اجتماعی را شکل می دهند و در روابط اجتماعی و از طریق روابط اجتماعی حفظ شده، شامل شیوه های عمل استاندارد شده ای هستند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نهادها، شیوه های اساسی فعالیت اجتماعی اند که اکثریت اعضای یک جامعه معین، از آن ها پیروی می کنند و شامل هنجارها و ارزش هایی هستند که تعداد بسیاری از مردم با آن ها هم نوایی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را تشکیل می دهند؛ زیرا شیوه های نسبتا ثابت رفتار را که در طول زمان پایدار می ماند، ارائه می کنند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نهادهای اجتماعی، وسیله پیوند زندگی اجتماعی هستند و ترتیبات اساسی زندگی را که انسان ها در کنش متقابل با یکدیگر پیدا می کنند و از طریق آن ها تداوم در طول نسل ها به دست می آید، فراهم می کنند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نویسنده دریافتی مخصوص به خود از اصطلاح نهاد دارد که با معنای علمی این اصطلاح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براساس همان الگوبرداری از کلیسا، نهاد دین را چنین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در مراتب و مراحل نزولی خود تبدیل به نهادی اجتماعی می شود و همه عناصر این نهاد اعم از شبکه روحانیون، دستگاه های آموزشی دین، سیستم مالی و اداری، شبکه ارتباطی، اشکال نازل شده معرفت دینی در اذهان توده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عموما با خرافه و جادو آمیخته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دین در آن ها پیکر مادی می یابد، باید در تحلیلی جامعه شناختی، جزو دین محسوب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نویسنده درکی جامعه شناختی از نهاد دین ندارد؛ زیرا از نظر جامعه شناختی، اصطلاح نهاد دین، ناظر به شیوه های عمل اجتماعی، روابط اجتماعی، هنجارها و ارزش ها است، نه شبکه روحانیون</w:t>
      </w:r>
      <w:r>
        <w:rPr>
          <w:rFonts w:eastAsia="IRNazanin" w:cs="IRNazanin"/>
          <w:color w:val="111111"/>
          <w:sz w:val="28"/>
          <w:szCs w:val="28"/>
          <w:rtl w:val="true"/>
          <w:lang w:bidi="fa-IR"/>
        </w:rPr>
        <w:t>.</w:t>
      </w:r>
      <w:r>
        <w:rPr>
          <w:rStyle w:val="FootnoteAnchor"/>
          <w:rtl w:val="true"/>
        </w:rPr>
        <w:footnoteReference w:id="2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نویسنده، معرفت دینی، معارف دینی، متون دینی، بسط تاریخی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دین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اشکال نازل شده معرفت دینی در اذهان توده ها که عموما با خرافه و جادو آمیخته می شوند، جزو دین به حساب می 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نویسنده را به چنین اشتباهی در باب مفهوم دین و نهاد دین رسانده، برداشتی نادرست از گفتار دورکیم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دورکیم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نظام واحدی از اعتقادات و اعمالی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مؤمنان را در جامعه اخلاقی واحدی به نام کلیسا گرد می آورد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مقصود دورکیم از کلیسا، سازمان اجتماعی منظم معتقدان است، نه سازمان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واژه کلیسا در گفتار دورکیم، سازمان و سلسله مراتب روحانیت را استنباط کرده است که آشکارا برداشتی خطاست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این ها گذشته، با افتراق ساختاری نهاد دین و نهاد دولت، این مسئله که دین چگونه در عرصه سیاست حضور دارد یا می تواند داشته باشد، در بیان نویسنده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نویسنده در کتاب حاضر نشان می دهد که از اصل، جایگاهی برای دین در عرصه عمومی قایل نیست و تنها جای راستین برای دین را عرصه خصوصی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نویسنده را باید در نهایت، طرفدار سکولاریسم حداکثری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نویسنده، درست است که در کوتاه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میان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دولت دینی و ولایت مطلقه فقیه، فرآیند و روندی معکوس سکولاریزاسیون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دنیوی شدن دین و جداسازی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قدسی شدن و سیطره قواعد قدسی بر حوزه عمومی و ادغام دو نهاد دین و سیاست پدید آمد، ولی در درازمدت، </w:t>
      </w:r>
    </w:p>
    <w:p>
      <w:pPr>
        <w:pStyle w:val="BookText"/>
        <w:rPr/>
      </w:pPr>
      <w:r>
        <w:rPr>
          <w:rFonts w:ascii="IRNazanin" w:hAnsi="IRNazanin" w:eastAsia="IRNazanin"/>
          <w:color w:val="111111"/>
          <w:sz w:val="28"/>
          <w:sz w:val="28"/>
          <w:szCs w:val="28"/>
          <w:rtl w:val="true"/>
          <w:lang w:bidi="fa-IR"/>
        </w:rPr>
        <w:t xml:space="preserve">قدسی سازی حوزه عمومی به دنیوی شدن قدس و قدسی و ادغام این دو نهاد، به جداسازی دین از سیاست خواهد انجامید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تفسیر ستایش ها و مبالغه هایی که نویسنده در شأن امام راحل در این مقاله و مقاله بعدی دارد، روشن می شود و به زعم نویسنده، امام با قدسی کردن حوزه عمومی و ادغام دین و دولت، فرآیند جداسازی دین از سیاست و دنیایی شدن امر قدسی را تسریع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راحل، قهرمان سکولاریزاسیون در ایران و جمهوری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نکته بازخواهیم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از امام راحل و اندیشه های آن بزرگوار دریافت درستی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تمایزات آشکار تفسیر و تحلیل نویسنده با اندیشه ها و نظریات امام راحل، این موارد را می توان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راحل، اسلام را دینی سیاسی می داند، ولی نویسنده اساسا دین را متعلق به حوزه خصوصی و غیرسیاسی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راحل، عیسی مسیح علیه السلام را پیامبری در صحنه اجتماع و سیاست می دانست که اگر فرصتی به دست می آورد، حکومت برقرار می کرد، ولی نویسنده بدون مراجعه به متن انجیل، به استناد جمله ای از انجیل و دریافتی نادرست از آن، به تفکیک دین و سیاست در گفتار مسیح قایل است، بلکه جمله انجیل را به معنای سکولاریزاسیون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ولایت مطلقه فقیه را به معنای حکومت و قدرت سیاسی فقیه می داند، ولی نویسنده ولایت مطلقه را به معنای حکومت مطلقه می داند</w:t>
      </w:r>
      <w:r>
        <w:rPr>
          <w:rFonts w:eastAsia="IRNazanin" w:cs="IRNazanin"/>
          <w:color w:val="111111"/>
          <w:sz w:val="28"/>
          <w:szCs w:val="28"/>
          <w:rtl w:val="true"/>
          <w:lang w:bidi="fa-IR"/>
        </w:rPr>
        <w:t xml:space="preserve">. </w:t>
      </w:r>
      <w:bookmarkStart w:id="203" w:name="pg3480_42292"/>
    </w:p>
    <w:p>
      <w:pPr>
        <w:pStyle w:val="BookText"/>
        <w:rPr/>
      </w:pPr>
      <w:bookmarkEnd w:id="20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راحل تمامی فقه را عرصه احکام حکومتی می داند، ولی نویسنده تنها ابوابی از فقه را که عموما ناظر بر قرارداد هستند، عرصه حکومت و دولت می داند</w:t>
      </w:r>
      <w:r>
        <w:rPr>
          <w:rFonts w:eastAsia="IRNazanin" w:cs="IRNazanin"/>
          <w:color w:val="111111"/>
          <w:sz w:val="28"/>
          <w:szCs w:val="28"/>
          <w:rtl w:val="true"/>
          <w:lang w:bidi="fa-IR"/>
        </w:rPr>
        <w:t>.</w:t>
      </w:r>
    </w:p>
    <w:p>
      <w:pPr>
        <w:pStyle w:val="Heading5"/>
        <w:numPr>
          <w:ilvl w:val="4"/>
          <w:numId w:val="1"/>
        </w:numPr>
        <w:rPr/>
      </w:pPr>
      <w:bookmarkStart w:id="204" w:name="__RefHeading___Toc3418248_2749589250"/>
      <w:bookmarkStart w:id="205" w:name="_Toc80"/>
      <w:bookmarkEnd w:id="204"/>
      <w:r>
        <w:rPr>
          <w:rtl w:val="true"/>
        </w:rPr>
        <w:t xml:space="preserve">دوم </w:t>
      </w:r>
      <w:r>
        <w:rPr>
          <w:rtl w:val="true"/>
        </w:rPr>
        <w:t xml:space="preserve">- </w:t>
      </w:r>
      <w:r>
        <w:rPr>
          <w:rtl w:val="true"/>
        </w:rPr>
        <w:t>دین شناسی</w:t>
      </w:r>
      <w:bookmarkEnd w:id="205"/>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شناسی</w:t>
      </w:r>
    </w:p>
    <w:p>
      <w:pPr>
        <w:pStyle w:val="BookText"/>
        <w:rPr/>
      </w:pPr>
      <w:r>
        <w:rPr>
          <w:rFonts w:ascii="IRNazanin" w:hAnsi="IRNazanin" w:eastAsia="IRNazanin"/>
          <w:color w:val="111111"/>
          <w:sz w:val="28"/>
          <w:sz w:val="28"/>
          <w:szCs w:val="28"/>
          <w:rtl w:val="true"/>
          <w:lang w:bidi="fa-IR"/>
        </w:rPr>
        <w:t>تئوری سکولاریزاسیون مبتنی بر نوعی دین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نویسنده، اساسا دین با امور ثابت و مفاهیم قدسی سروکار دارد و دولت با امور دایم التغییر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امر، زمینه اصلی افتراق میان دو نهاد متولی دین 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سکولاریزاسیون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این گونه دین شناسی را از دورکیم گرفته است که از نظر او عمیق ترین افتراقی که در زندگی بشر رخ می دهد، انفکاک میان دو امر مقدس و مفید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دورکیم، ادیان مهم ترین منبع ارزش های قدسی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قدسی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شعایر، دگم ها و آیین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کارکرد عناصر قدسی، حفظ پیوندهای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سرمدی در همه ادیان وجود دارد که پایه ارزش های اخلاقی را می گذارد و همین ارزش ها، به نظمی اخلاقی منجر می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تقسیم کار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همبستگی گروهی به هم می خورد، پس دین باید بتواند ناکارکردی های خود را در شرایط جدید جبران کند و این جز با بازسازی و تجدید معماری آن که با نوعی عرفی شدن همراه است، میسر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شناسی دورکیم و دوگانه انگاری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عرفی او نیز مبتنی بر </w:t>
      </w:r>
    </w:p>
    <w:p>
      <w:pPr>
        <w:pStyle w:val="BookText"/>
        <w:rPr/>
      </w:pPr>
      <w:r>
        <w:rPr>
          <w:rFonts w:ascii="IRNazanin" w:hAnsi="IRNazanin" w:eastAsia="IRNazanin"/>
          <w:color w:val="111111"/>
          <w:sz w:val="28"/>
          <w:sz w:val="28"/>
          <w:szCs w:val="28"/>
          <w:rtl w:val="true"/>
          <w:lang w:bidi="fa-IR"/>
        </w:rPr>
        <w:t>جهان بینی مسیحی و انجیلی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ظاهرا بر همین اساس است که نویسنده در همین مقاله ای که درباره عرفی شدن فقه شیعی نوشته است، ناگزیر می شود سه بار به جمله انجیل استناد کند؛ زیرا دین شناسی او دین شناسی رایج مسیحی است و او در این گونه دین شناسی که برپایه دوگانه انگاری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استوار است، از دورکیم تبعیت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نقد عرفی شدن ایدئولوژی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بیش تری به دین شناسی دورکیمی نویسنده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تنها دو مطلب را در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قول از دورکیم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دورکیم این چیز سرمدی که در همه ادیان وجود دارد و سرچشمه ارزش های قدسی است و خود را در حلیه های قدسی می پوشاند، چیست؟</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دورکیم، بازسازی و تجدید معماری دین، برای جبران ناکارکردی هایش در شرایط جدید که با نوعی عرفی شدن همراه است، چگونه خواهد بود؟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دورکیم، این چیز سرمدی چیزی جز جامعه نیست که خود را در حلیه های قدسی پوشانده و در پس این حلیه ها و ارزش های قدسی، موجب حفظ پیوندهای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پیشرفت های علمی و آشکار شدن نادرستی های اعتقادات غلط دینی و تعارض علم </w:t>
      </w:r>
    </w:p>
    <w:p>
      <w:pPr>
        <w:pStyle w:val="BookText"/>
        <w:rPr/>
      </w:pPr>
      <w:r>
        <w:rPr>
          <w:rFonts w:ascii="IRNazanin" w:hAnsi="IRNazanin" w:eastAsia="IRNazanin"/>
          <w:color w:val="111111"/>
          <w:sz w:val="28"/>
          <w:sz w:val="28"/>
          <w:szCs w:val="28"/>
          <w:rtl w:val="true"/>
          <w:lang w:bidi="fa-IR"/>
        </w:rPr>
        <w:t xml:space="preserve">و دین، اکنون جامعه برای حفظ پیوندهای اجتماعی نیازمند بازسازی و تجدید معماری دین است و این دین جدید را جامعه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 صورت دین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آفریند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دین شناسی دورکیمی، در واقع این است که ادیان هیچ منشأ الهی و آسمانی نداشته، تنها منشأ واقعی و امر سرمدی که در دین و در پی ظواهر قدسی آن وجود دارد، جامعه است و با تعارض علم و دین، جامعه بشری به جهت استمرار نیاز به کارکرد دین که حفظ پیوندهای اجتماعی است، دینِ آفریده خود را بازسازی و تجدید معماری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دین زمینی و انسانی از آن جایی که کارکرد مفیدی دارد، مطلوب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در تفصیل نظریه دورکیم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بررسی و نقد عرفی شدن ایدئولوژی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سستی مبانی تئوریک و روش شناختی این نظریه را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چنین مبانی سست و نادرستی را اساس شناخت اسلام و فقه شیعی قرار 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نویسنده، اساسا دین با امور ثابت سروکار دارد و دولت با امور دایم التغییر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در حوزه امور دایم التغییر جایگاه و نقشی نخواهد داشت و لاجرم این گونه دین شناسی نادرست، ناگزیر به سکولاریزم حداکثری و فرستادن دین به عرصه خصوصی و شخصی نمودن آن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برخلاف ادعای نویسنده که نوشتار خود را تحقیقی جامعه شناختی و مطالعه فرآیند سکولاریزاسیون می داند، از آن جا که این مطالعه بر نوعی دین شناسی و مبانی نظری</w:t>
      </w:r>
    </w:p>
    <w:p>
      <w:pPr>
        <w:pStyle w:val="BookText"/>
        <w:rPr/>
      </w:pPr>
      <w:r>
        <w:rPr>
          <w:rFonts w:ascii="IRNazanin" w:hAnsi="IRNazanin" w:eastAsia="IRNazanin"/>
          <w:color w:val="111111"/>
          <w:sz w:val="28"/>
          <w:sz w:val="28"/>
          <w:szCs w:val="28"/>
          <w:rtl w:val="true"/>
          <w:lang w:bidi="fa-IR"/>
        </w:rPr>
        <w:t>خاص استوار است، پژوهشی جهت دار است و جز مشتی ادعا برای اثبات سکولاریسم چیزی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هیچ تحقیق و پژوهش آزاد علمی در آن به چشم نمی آید و به جای توصیف فرآیند سکولاریزاسیون، به تبلیغ و ترویج سکولاریسم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این گونه دین شناسی و مبانی نظری، کاری که ولایت فقیه انجام می دهد، وارد کردن امور غیردینی و متغیر 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از این جهت از نظر نویسنده، ولایت فقیه، امری مفید، مطلوب و البته مرضی و آسیب شناختی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این تعابیر را برای ایدئولوژی دینی که آن را منزل گاهی در فرآیند عرفی شدن می داند، به کار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افتراق و جداسازی دین از دولت و سیاست و حذف هرگونه حضور دین در عرصه عمومی، جداسازی ثابت از متغیر و در نتیجه قرار دادن هر چیز سر جای خودش است و مآل ولایت فقیه نیز همین خواهد بود؛ یعنی جداسازی دین از دولت و سیاست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ولایت فقیه زمینه سکولاریزاسیون و فرستادن دین به عرصه خصوصی و شخصی کردن آن را فراهم می کند، مفید، مطلوب و سودمند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بحث و نیز نقد مقاله بعدی، توضیح خواهیم داد که مبانی نظری نویسنده نادرست است و اسلام، دینی ثابت، منجمد و متحجر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اسلام، مکانیزم هایی قرار دارد که تغییرات و تحولات اجتماعی و اقتصادی و مقتضیات زمان و مکان را در نظر گرفته است و </w:t>
      </w:r>
      <w:bookmarkStart w:id="206" w:name="pg3480_42296"/>
    </w:p>
    <w:p>
      <w:pPr>
        <w:pStyle w:val="BookText"/>
        <w:rPr/>
      </w:pPr>
      <w:bookmarkEnd w:id="206"/>
      <w:r>
        <w:rPr>
          <w:rFonts w:ascii="IRNazanin" w:hAnsi="IRNazanin" w:eastAsia="IRNazanin"/>
          <w:color w:val="111111"/>
          <w:sz w:val="28"/>
          <w:sz w:val="28"/>
          <w:szCs w:val="28"/>
          <w:rtl w:val="true"/>
          <w:lang w:bidi="fa-IR"/>
        </w:rPr>
        <w:t>متناسب با این تحولات، مقتضیات و تحول در موضوعات، احکام نیز متحول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تغییر، تحول و پویایی در احکام شرع، امری غیردینی وارد دین نشده است، بلکه توانایی های درونی اسلام ظهور و بروز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نیز امری غیردینی را وارد دین نمی سازد، بلکه توانایی ها و قوّت های فقه اسلام و فقه شیعه به منصه ظهور و بروز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و قرآن، دینی که به عرصه خصوصی اختصاص داشته باشد، معنا و مفهوم ندارد، بلکه حتی در نماز که عبادت معبود است، نمازگزار به وصف جمعی اظهار عبادت، بندگی و استعانت می کند و از معبود هدایت می 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 اهدنا الصراط المستقیم</w:t>
      </w:r>
      <w:r>
        <w:rPr>
          <w:rFonts w:eastAsia="IRNazanin" w:cs="IRNazanin"/>
          <w:color w:val="111111"/>
          <w:sz w:val="28"/>
          <w:szCs w:val="28"/>
          <w:rtl w:val="true"/>
          <w:lang w:bidi="fa-IR"/>
        </w:rPr>
        <w:t>).</w:t>
      </w:r>
    </w:p>
    <w:p>
      <w:pPr>
        <w:pStyle w:val="Heading5"/>
        <w:numPr>
          <w:ilvl w:val="4"/>
          <w:numId w:val="1"/>
        </w:numPr>
        <w:rPr/>
      </w:pPr>
      <w:bookmarkStart w:id="207" w:name="__RefHeading___Toc3418250_2749589250"/>
      <w:bookmarkStart w:id="208" w:name="_Toc81"/>
      <w:bookmarkEnd w:id="207"/>
      <w:r>
        <w:rPr>
          <w:rtl w:val="true"/>
        </w:rPr>
        <w:t xml:space="preserve">سوم </w:t>
      </w:r>
      <w:r>
        <w:rPr>
          <w:rtl w:val="true"/>
        </w:rPr>
        <w:t xml:space="preserve">- </w:t>
      </w:r>
      <w:r>
        <w:rPr>
          <w:rtl w:val="true"/>
        </w:rPr>
        <w:t xml:space="preserve">قدسی </w:t>
      </w:r>
      <w:r>
        <w:rPr>
          <w:rtl w:val="true"/>
        </w:rPr>
        <w:t xml:space="preserve">/ </w:t>
      </w:r>
      <w:r>
        <w:rPr>
          <w:rtl w:val="true"/>
        </w:rPr>
        <w:t>عرفی</w:t>
      </w:r>
      <w:bookmarkEnd w:id="208"/>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w:t>
      </w:r>
    </w:p>
    <w:p>
      <w:pPr>
        <w:pStyle w:val="BookText"/>
        <w:rPr/>
      </w:pPr>
      <w:r>
        <w:rPr>
          <w:rFonts w:ascii="IRNazanin" w:hAnsi="IRNazanin" w:eastAsia="IRNazanin"/>
          <w:color w:val="111111"/>
          <w:sz w:val="28"/>
          <w:sz w:val="28"/>
          <w:szCs w:val="28"/>
          <w:rtl w:val="true"/>
          <w:lang w:bidi="fa-IR"/>
        </w:rPr>
        <w:t>قدسی چیست و عناصر آن کدام است؟</w:t>
      </w:r>
    </w:p>
    <w:p>
      <w:pPr>
        <w:pStyle w:val="BookText"/>
        <w:rPr/>
      </w:pPr>
      <w:r>
        <w:rPr>
          <w:rFonts w:ascii="IRNazanin" w:hAnsi="IRNazanin" w:eastAsia="IRNazanin"/>
          <w:color w:val="111111"/>
          <w:sz w:val="28"/>
          <w:sz w:val="28"/>
          <w:szCs w:val="28"/>
          <w:rtl w:val="true"/>
          <w:lang w:bidi="fa-IR"/>
        </w:rPr>
        <w:t xml:space="preserve">با توجه به نوشتار نویسنده و نقل قول های او، قدس برابر با جزم و در تقابل با خرد و عقلانیت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عناصر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شعایر، دگم ها و آیین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اعتقادات اسلامی، دگم ها و جزم های غیرخردمندانه هستند که برای ایجاد پیوندهای اجتماعی و برای حفظ آن ها پدید آمده 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مبنای تئوریکی شاید برای تحلیل یک دین ابتدایی توتمی و یک گروه خویشاوندی کلان که موضوع مطالعه دورکیم بوده است، به کار آید، ولی آیا می تواند بسط تاریخی اسلام یا گرایش های معاصر به اسلام در جهان کنونی را تبیین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های قدسی</w:t>
      </w:r>
    </w:p>
    <w:p>
      <w:pPr>
        <w:pStyle w:val="BookText"/>
        <w:rPr/>
      </w:pPr>
      <w:r>
        <w:rPr>
          <w:rFonts w:ascii="IRNazanin" w:hAnsi="IRNazanin" w:eastAsia="IRNazanin"/>
          <w:color w:val="111111"/>
          <w:sz w:val="28"/>
          <w:sz w:val="28"/>
          <w:szCs w:val="28"/>
          <w:rtl w:val="true"/>
          <w:lang w:bidi="fa-IR"/>
        </w:rPr>
        <w:t>نویسنده درباره ارزش های قدسی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های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رو برای توجیه خود به مبانی خردپسندانه و مبتنی بر مفیدیت فرو کاسته نمی شوند و اساسا و بنابر تعریف، خود را ملزم به توجیه نمی دانند، حال آن که ارزش های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سودمندی ناسوتی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فایده قابل اثبات خود شناخته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چارچوب تئوریک، نظام مفهومی و تعاریف ارائه شده از سوی نویسنده، در تبیین اسلام بسیار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جای این پرسش است که آیا پیام ها و آیات قرآنی که سرشار از عرضه آیات الهی به خرد آدمیان است و از آنان تعقل و تأمل و تفکر می طلبد و آن ها را به اندیشیدن دعوت می کند، حاوی ارزش های قدسی هست یا نه؟</w:t>
      </w:r>
      <w:r>
        <w:rPr>
          <w:rStyle w:val="FootnoteAnchor"/>
          <w:rtl w:val="true"/>
        </w:rPr>
        <w:footnoteReference w:id="31"/>
      </w:r>
      <w:r>
        <w:rPr>
          <w:rFonts w:ascii="IRNazanin" w:hAnsi="IRNazanin" w:eastAsia="IRNazanin"/>
          <w:color w:val="111111"/>
          <w:sz w:val="28"/>
          <w:sz w:val="28"/>
          <w:szCs w:val="28"/>
          <w:rtl w:val="true"/>
          <w:lang w:bidi="fa-IR"/>
        </w:rPr>
        <w:t>آیا به جهت آن که آیات قرآن،</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کُنْتُمْ أَعْدَاءً فَأَلَّفَ بَیْنَ قُلُوبِکُمْ فَأَصْبَحْتُم بِنِعْمَتِهِ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 غَلیظَ الْقَلْبِ لاَنْفَضُّوا مِنْ حَوْلِکَ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وَلَکُمْ فِی الْقِصَاصِ حَیَاةٌ یَا أُوْلِی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الْعَدَاوَةَ وَالْبَغْضَاءَ فِی الْخَمْرِ وَالْمَیْسِرِ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مَااستَطَعْتُم مِن قُوَّةٍ وَمِن رِبَاطِ الْخَیْلِ تُرْهِبُونَ بِهِ عَدُوَّ اللّه ِ وَعَدُوَّکُمْ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سودمندی ناسوتی با فایده قابل اثبات را</w:t>
      </w:r>
    </w:p>
    <w:p>
      <w:pPr>
        <w:pStyle w:val="BookText"/>
        <w:rPr/>
      </w:pPr>
      <w:r>
        <w:rPr>
          <w:rFonts w:ascii="IRNazanin" w:hAnsi="IRNazanin" w:eastAsia="IRNazanin"/>
          <w:color w:val="111111"/>
          <w:sz w:val="28"/>
          <w:sz w:val="28"/>
          <w:szCs w:val="28"/>
          <w:rtl w:val="true"/>
          <w:lang w:bidi="fa-IR"/>
        </w:rPr>
        <w:t>عرضه می دارد، حاوی ارزش های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ضعف و ناتوانی و خلط و اشتباه، ناشی از دوگانه انگاری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است که با جهان بینی اسلام و قرآن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در نظام مفهومی پیشنهادی نویسنده، در </w:t>
      </w:r>
      <w:r>
        <w:rPr>
          <w:rFonts w:eastAsia="Times New Roman" w:cs="Times New Roman" w:ascii="Times New Roman" w:hAnsi="Times New Roman"/>
          <w:color w:val="111111"/>
          <w:sz w:val="28"/>
          <w:szCs w:val="28"/>
          <w:lang w:val="en-US" w:bidi="en-US"/>
        </w:rPr>
        <w:t>Fane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حرم قرار دارد؛ زیرا در ادیان توتمیستی، توتم در حرم قرار گرفته و توتم و هر چه وابسته آن است، محترم تلقی شده، امور بیگانه با توتم، خارج از حرم و حرمت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ساحت و حریم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ساحه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قرآن و مفاهیم آن اساسا با ادیان توتمیستی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اصرار بر چنین مقایسه ای باشد، در نهایت می توان مواردی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اللّه الحرام، البلدالحرام و الشهرالحرام را تقریبا معادل </w:t>
      </w:r>
      <w:r>
        <w:rPr>
          <w:rFonts w:eastAsia="Times New Roman" w:cs="Times New Roman" w:ascii="Times New Roman" w:hAnsi="Times New Roman"/>
          <w:color w:val="111111"/>
          <w:sz w:val="28"/>
          <w:szCs w:val="28"/>
          <w:lang w:val="en-US" w:bidi="en-US"/>
        </w:rPr>
        <w:t>Fane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مقدس پیشنهادی نویسنده دانست وگرنه قدس و قدوس حقیقی و علی الاطلاق که همه قداست ها از اوست، در همه جا و همه چیز حضور دارد و تمام عالم وجه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معکم اینما کنتم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شماست هر کجا که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فَأَیْنََما تُوَلُّوْا فَثَمَّ وَجْهُ اللّه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 که برگردید پس آنجا روی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إِلَیْهِ مِنْ حَبْلِ الْوَرِیدِ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رگ گردن به او نزدیکتریم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وَالاْخِرُ وَالظَّاهِرُ وَالْبَاطِنُ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اول و آخر و ظاهر و باطن</w:t>
      </w:r>
      <w:r>
        <w:rPr>
          <w:rFonts w:eastAsia="IRNazanin" w:cs="IRNazanin"/>
          <w:color w:val="111111"/>
          <w:sz w:val="28"/>
          <w:szCs w:val="28"/>
          <w:rtl w:val="true"/>
          <w:lang w:bidi="fa-IR"/>
        </w:rPr>
        <w:t xml:space="preserve">» </w:t>
      </w:r>
      <w:bookmarkStart w:id="209" w:name="pg3480_42299"/>
    </w:p>
    <w:p>
      <w:pPr>
        <w:pStyle w:val="BookText"/>
        <w:rPr/>
      </w:pPr>
      <w:bookmarkEnd w:id="209"/>
      <w:r>
        <w:rPr>
          <w:rFonts w:ascii="IRNazanin" w:hAnsi="IRNazanin" w:eastAsia="IRNazanin"/>
          <w:color w:val="111111"/>
          <w:sz w:val="28"/>
          <w:sz w:val="28"/>
          <w:szCs w:val="28"/>
          <w:rtl w:val="true"/>
          <w:lang w:bidi="fa-IR"/>
        </w:rPr>
        <w:t>در عین حال، حرم الهی گسترده تر از این است که به محدوده مشخص و معینی محدود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حرم اللّه </w:t>
      </w:r>
      <w:r>
        <w:rPr>
          <w:rFonts w:eastAsia="IRNazanin" w:cs="IRNazanin"/>
          <w:color w:val="111111"/>
          <w:sz w:val="28"/>
          <w:szCs w:val="28"/>
          <w:rtl w:val="true"/>
          <w:lang w:bidi="fa-IR"/>
        </w:rPr>
        <w:t>.</w:t>
      </w:r>
    </w:p>
    <w:p>
      <w:pPr>
        <w:pStyle w:val="Heading5"/>
        <w:numPr>
          <w:ilvl w:val="4"/>
          <w:numId w:val="1"/>
        </w:numPr>
        <w:rPr/>
      </w:pPr>
      <w:bookmarkStart w:id="210" w:name="__RefHeading___Toc3418252_2749589250"/>
      <w:bookmarkStart w:id="211" w:name="_Toc82"/>
      <w:bookmarkEnd w:id="210"/>
      <w:r>
        <w:rPr>
          <w:rtl w:val="true"/>
        </w:rPr>
        <w:t xml:space="preserve">چهارم </w:t>
      </w:r>
      <w:r>
        <w:rPr>
          <w:rtl w:val="true"/>
        </w:rPr>
        <w:t xml:space="preserve">- </w:t>
      </w:r>
      <w:r>
        <w:rPr>
          <w:rtl w:val="true"/>
        </w:rPr>
        <w:t>ولایت فقیه</w:t>
      </w:r>
      <w:bookmarkEnd w:id="211"/>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 xml:space="preserve">تا این جا دیدیم که نویسنده بر اساس الگو برداری از دین شناسی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دورکیمی و بر اساس گرایش تاریخی گرایانه هگلی، فرآیند محتوم سکولاریزاسیون را برای فقه شیعی حتمی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نویسنده، ولایت فقیه به همراه مصلحت، دو مکانیزم اصلی سکولاریزاسیون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 کردن عرفی عرفی شدن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دولتی دین خصوصی و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شتاب سکولاریزه کردن، اصلاً با دیگر مکانیزم های این فرآیند قابل مقایسه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برای ولایت مطلقه فقیه، به عنوان واسطه میان عالم لاهوت و عالم ناسوت، دو جنبه و حیث قایل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یلی الربی؛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یلی الخلقی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جنبه نخست را چنین تشریح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فقیه نسبت به دستگاه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نسبت به نظام سیاسی، جامعه، مردم یا کشور، بلکه تنها نسبت به دستگاه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ولایت مطلقه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فقیه، مصدر جعل و تشریع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ولایت فقیه از طرف شارع مقدس جعل و تشریع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دستگاه فقه شیعی باید آن را به عنوان یکی از منابع و ادله فقهی در کنار ادله اربعه به رسمیت بشناسد، بلکه ولایت ذروه سنام ارکان دین و مقدم بر همه آن هاست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وارده باب ارکان دین نزد اهل سنت، ارکان دین این گونه برشمرده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شهادة ان لا اله الاّ اللّه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ارکان دین نزد شیعیان این گونه بر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الزکاة؛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تقدم ولایت بر دیگر 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حج و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ربطی به تقدم ولایت بر منابع و ادله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از تقدم ولایت که از ارکان دین است بر دیگر ارکان دین، تقدم ولایت بر ادله احکام را نتیجه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چنین سطحی از دانش، آگاهی و اطلاع، حکم دستوری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دستگاه فقه شیعی باید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فقه شیعی صادر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مقام جعل و تشریع برای پیامبر و امام معصوم ثابت</w:t>
      </w:r>
    </w:p>
    <w:p>
      <w:pPr>
        <w:pStyle w:val="BookText"/>
        <w:rPr/>
      </w:pPr>
      <w:r>
        <w:rPr>
          <w:rFonts w:ascii="IRNazanin" w:hAnsi="IRNazanin" w:eastAsia="IRNazanin"/>
          <w:color w:val="111111"/>
          <w:sz w:val="28"/>
          <w:sz w:val="28"/>
          <w:szCs w:val="28"/>
          <w:rtl w:val="true"/>
          <w:lang w:bidi="fa-IR"/>
        </w:rPr>
        <w:t>باشد، به چه دلیل چنین مقامی برای ولی فقیه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راحل نیز ناظر به حکومت است، نه ناظر به جعل، تقنین و تشریع احکام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از نظر امام راحل دو گونه احکام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 و احکام سلطانی و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راحل این است که شأن وضع احکام سلطانی و حکومتی که برای پیامبر صلی الله علیه و آله به عنوان حاکم و سلطان مسلمانان ثابت بوده است، برای ولی فقیه نیز به عنوان حاکم و سلطان مسلمانان ثابت است و روشن است که شأن وضع و جعل حکم سلطانی، با شأن وضع و جعل حکم شرعی از نظر امام راحل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راحل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که شعبه ای از ولایت مطلقه رسول اللّه صلی الله علیه و آله است، یکی از احکام اولیه اسلام و مقدم بر تمام احکام فرعیه حتی نماز و روزه و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ممّامر ثبوت الولایة للفقهاء من قبل المعصومین علیهم السلام فی جمیع ما ثبت لهم الولایة من جهة کونهم سلطانا علی الامة</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ثبت للنبی صلی الله علیه و آله و للامام علیه السلام من جهة ولایته و سلطنته ثابت للفقیه، و اما اذا لهم ولایة من غیر هذه الناحیة فلا</w:t>
      </w:r>
      <w:r>
        <w:rPr>
          <w:rFonts w:eastAsia="IRNazanin" w:cs="IRNazanin"/>
          <w:color w:val="111111"/>
          <w:sz w:val="28"/>
          <w:szCs w:val="28"/>
          <w:rtl w:val="true"/>
          <w:lang w:bidi="fa-IR"/>
        </w:rPr>
        <w:t>».</w:t>
      </w:r>
      <w:r>
        <w:rPr>
          <w:rStyle w:val="FootnoteAnchor"/>
          <w:rtl w:val="true"/>
        </w:rPr>
        <w:footnoteReference w:id="3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به جهت ناآگاهی از مبانی و اصطلاحات شرعی، فقهی و </w:t>
      </w:r>
    </w:p>
    <w:p>
      <w:pPr>
        <w:pStyle w:val="BookText"/>
        <w:rPr/>
      </w:pPr>
      <w:r>
        <w:rPr>
          <w:rFonts w:ascii="IRNazanin" w:hAnsi="IRNazanin" w:eastAsia="IRNazanin"/>
          <w:color w:val="111111"/>
          <w:sz w:val="28"/>
          <w:sz w:val="28"/>
          <w:szCs w:val="28"/>
          <w:rtl w:val="true"/>
          <w:lang w:bidi="fa-IR"/>
        </w:rPr>
        <w:t xml:space="preserve">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 تأسف بار آن را در بند پیشین دیدیم که ادله احکام را با ارکان دین یکی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و حکم سلطانی را یکی انگاشته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جا که دریافت نویسنده از ولایت مطلقه، همان حکومت مطلقه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اشکال ابتدایی دولت مدرن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گمان می کند که مقصود امام راحل از ولایت مطلقه، نوعی حکومت مطلقه افلاطونی است و این نظریه افلاطونی از طریق تأثیر بر عارفان مسلمان و به جهت مشرب عرفانی امام راحل، ایشان را تحت 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دریافت نویسنده از جهات گوناگون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به معنای حکومت مطلقه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حتمی میان حکومت مطلقه و مدرنیته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اندیشمندان فقه شیعی نیز به ولایت فقیه اعتقاد دارند و استناد این نظر و گرایش به مشرب عرفانی، بیش از ظنی نادرست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پس از تقسیم ولایت فقیه به دو جنبه یلی الربی و یلی الخلقی و اختصاص جنبه یلی الربی به تصرف و تغییر احکام شرعی و تقدم آن بر دیگر منابع و ادله شرعی و سپس استناد و تصرفات حکومتی به جنبه نمایندگی ولی فقیه از حاکمیت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مشروعیت شرعی، الهی یا حتی مشروعیت مرکب الهی، ملی و مردمی در تصرفات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مقدمات، می توان بسیاری از شبهات حول ولایت مطلقه فقیه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منتفی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ولی فقیه در وجه یلی الربی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مطلقا می تواند در امور یلی الربی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دستگاه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و تصرف نماید و آن را به مقتضای مصالح و منافع ملی،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نویسنده مشروعیت الهی ولی فقیه، تنها به کار دنیوی کردن فقه شیعی می آید، نه حکومت و اداره کشور؛ پس اموری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اداره کشور، مبتنی بر قرارداد اجتماعی، انتخاب و جنبه یلی الخلقی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نویسنده آشکارتر از آن است که نیاز به تذکر و توضیح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تحلیل نویسنده از ولایت مطلقه فقیه، برداشتی نادرست و تحریف واقعیت این نظریه نزد امام راحل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راحل، ولایت مطلقه که برای فقیه ثابت است، به معنای ولایت او بر تمامی امور حکومتی و سلطانی و قدرت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راحل در کتاب بیع در بیان ولایت مطلقه فقیه بر اساس نصب از ناحیه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وجه یلی الربی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ولایت مطلقه را ولایت بر امت و ولایت سیاسی معرفی می 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الاسلام هو الحکومة بشئون ها، و الاحکام قوانین الاسلام، و هی شأن من شئون ها، بل الاحکام مطلوبات بالعرض، و امور آلیة لاجرائها و بسط العدالة، فکون الفقیه حصنا للاسلام کحصن سورالمدینة لها لا معنی له الاکونه والیا له نحو ما لرسول اللّه و الائمة صلوات اللّه علیهم اجمعین من الولایة علی جمیع الامور السلطانیة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فالفقهاء امناء الرسل و حصون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عبارة اخری عن الولایة المطلقة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ممامر ثبوت الولایة للفقهاء من قبل المعصومین علیهم السلام فی جمیع ما ثبت لهم الولایة فیه من جهة کونهم سلطانا علی الامة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ثبت للنبی صلی الله علیه و آله و الامام علیه السلام من جهة ولایته و سلطنته ثابت للفقیه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لیعلم أن کل ما ورد ثبوته للامام او السلطان او والی المسلمین او ولی الأمر او الرسول او النبی او ما یشابهما من العناوین یثبت بادلة الولایة للفقیه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موارد تنافی تفسیر نویسنده و برداشت او از ولایت مطلقه فقیه با نظریه امام راحل در این باب، این است که نویسنده، سکولاریزاسیون به معنای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افتراق ساختاری میان دو نهاد دین و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تبعات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فرآیند افتراق، فقه ناظر به مقولات ثابت که نوعا مناسک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فقه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عرصه تخصصی نهاد دین شده و سایر ابواب فقه که عموما ناظر بر مفاهیمی قراردادی هستند، به حقوق عرفی بدل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بر اساس چارچوب تحلیلی که از فرهنگ و تاریخی </w:t>
      </w:r>
      <w:bookmarkStart w:id="212" w:name="pg3480_42305"/>
    </w:p>
    <w:p>
      <w:pPr>
        <w:pStyle w:val="BookText"/>
        <w:rPr/>
      </w:pPr>
      <w:bookmarkEnd w:id="212"/>
      <w:r>
        <w:rPr>
          <w:rFonts w:ascii="IRNazanin" w:hAnsi="IRNazanin" w:eastAsia="IRNazanin"/>
          <w:color w:val="111111"/>
          <w:sz w:val="28"/>
          <w:sz w:val="28"/>
          <w:szCs w:val="28"/>
          <w:rtl w:val="true"/>
          <w:lang w:bidi="fa-IR"/>
        </w:rPr>
        <w:t xml:space="preserve">مسیحی وام گرفته است، دو بین و دوگانه اندیش است و به دو حوزه مقولات ثابت مناسک، فقه العباده و دیگر ابواب فقه که به حقوق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 و قراردادی است،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حوزه نخست را به نهاد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تحلیل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حوزه دوم را به نهاد دولت می سپارد و این در حالی است که امام راحل، دیدی یکپارچه، منسجم و تفسیری قرآنی از اسلام دارد و اسلام را حکومت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الاسلام هوالحکومة بشئون ها</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اسلام تمامش سیاست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همان عبارت منقول از حضرت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می تواند هرامری را چه عبادی یا غیرعبادی که جریان آن مخالف مصالح اسلام است، از آن مادام که چنین است، جلوگیری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دین را سیاست و حکومت دانسته، عرصه حکومت را هم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عبادی و غیرعبادی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ولی نویسنده تلاش در ارائه تفسیر و تطبیقی مسیحی و انجیلی از اسلام و ولایت فقیه دارد</w:t>
      </w:r>
      <w:r>
        <w:rPr>
          <w:rFonts w:eastAsia="IRNazanin" w:cs="IRNazanin"/>
          <w:color w:val="111111"/>
          <w:sz w:val="28"/>
          <w:szCs w:val="28"/>
          <w:rtl w:val="true"/>
          <w:lang w:bidi="fa-IR"/>
        </w:rPr>
        <w:t>.</w:t>
      </w:r>
    </w:p>
    <w:p>
      <w:pPr>
        <w:pStyle w:val="Heading5"/>
        <w:numPr>
          <w:ilvl w:val="4"/>
          <w:numId w:val="1"/>
        </w:numPr>
        <w:rPr/>
      </w:pPr>
      <w:bookmarkStart w:id="213" w:name="__RefHeading___Toc3418254_2749589250"/>
      <w:bookmarkStart w:id="214" w:name="_Toc83"/>
      <w:bookmarkEnd w:id="213"/>
      <w:r>
        <w:rPr>
          <w:rtl w:val="true"/>
        </w:rPr>
        <w:t xml:space="preserve">پنجم </w:t>
      </w:r>
      <w:r>
        <w:rPr>
          <w:rtl w:val="true"/>
        </w:rPr>
        <w:t xml:space="preserve">- </w:t>
      </w:r>
      <w:r>
        <w:rPr>
          <w:rtl w:val="true"/>
        </w:rPr>
        <w:t>مصلحت</w:t>
      </w:r>
      <w:bookmarkEnd w:id="214"/>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مصلحت، در نقد دو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شدن شریعت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فقیه دوران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مورد را تذکر می دهیم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عنصر مصلحت، آن گونه که نویسنده گمان می برد، به ابتکار امام وارد اندیشه تشیع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هزاران بار در متون فقهی شیعی از آن سخن به میان آمده و به آن استناد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قتضاء المصلحة العامة و السیاسة ذلک فی کثیر من الازمنة و الامکنة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جواهر،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التصرف فیه بحسب ما یراه من مصلحة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مبسوط، شیخ طوسی،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فیه مصلحة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مبسوط، شیخ طوسی،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للامام علیه السلام و والی المسلمین ان یعمل ما هو صلاح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هو دخیل فی النظام و صلاح للجامعة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امام خمینی،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لافیه 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مبسوط، شیخ طوسی،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ذلک مصلحة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مبسوط، شیخ طوسی،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لاقتضاء المصلحة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محقق حلّی،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اقتضت المصلحة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ج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فیه مصلحه للاسلام و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جواهر،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فیه مصلحة للمسلمین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مبسوط، شیخ طوسی،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فالحاکم یصنع ما یراه مصلحة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مبسوط، شیخ طوسی،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 ما یراه اصلح فی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طوسی، تهذیب،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استبصار، شیخ طوسی،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مراعاة المصلحة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شرائع،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لفرض مصلحة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جواهر،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فی ذلک مصلحة لماله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مبسوط، شیخ طوسی،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 معجم فقهی آقای گلپایگانی، بیش از دوازده هزار مورد، واژه مصلحت در متون فقهی شیعی و بیش از پانصد مورد در جواهر الکلام، شمارش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ارجاع حاضر در پاورقی از این دو مقاله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تبعیت احکام از مصالح و مفاسد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ساعدی، فصلنامه تخصصی فقه اهل بیت، ش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مصلحت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اکبر کلانتری، نشریه فقه، 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مصلحت مرسله را مصلحت بدون هیچ قید و بندی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یسعرها علی ما یراه من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مفید، </w:t>
      </w:r>
      <w:r>
        <w:rPr>
          <w:rFonts w:eastAsia="IRNazanin" w:cs="IRNazanin"/>
          <w:color w:val="111111"/>
          <w:sz w:val="28"/>
          <w:szCs w:val="28"/>
          <w:lang w:bidi="fa-IR"/>
        </w:rPr>
        <w:t>616</w:t>
      </w:r>
      <w:r>
        <w:rPr>
          <w:rFonts w:eastAsia="IRNazanin" w:cs="IRNazanin"/>
          <w:color w:val="111111"/>
          <w:sz w:val="28"/>
          <w:szCs w:val="28"/>
          <w:rtl w:val="true"/>
          <w:lang w:bidi="fa-IR"/>
        </w:rPr>
        <w:t>.</w:t>
      </w:r>
      <w:bookmarkStart w:id="215" w:name="pg3480_42307"/>
    </w:p>
    <w:p>
      <w:pPr>
        <w:pStyle w:val="BookText"/>
        <w:rPr/>
      </w:pPr>
      <w:bookmarkEnd w:id="215"/>
      <w:r>
        <w:rPr>
          <w:rFonts w:ascii="IRNazanin" w:hAnsi="IRNazanin" w:eastAsia="IRNazanin"/>
          <w:color w:val="111111"/>
          <w:sz w:val="28"/>
          <w:sz w:val="28"/>
          <w:szCs w:val="28"/>
          <w:rtl w:val="true"/>
          <w:lang w:bidi="fa-IR"/>
        </w:rPr>
        <w:t>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فقهی، مصالح مرسله یعنی مصالحی که شارع مقدس آن ها را بیان نکرده است، نه این که این مصالح بدون قید و بند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این پرسش است که آیا می توان بر اساس چنین سطح آگاهی از فقه، در آن نظریه پردازی کرد و درباره فقه و اسلامی که به فرمایش امام راحل باید برای فهم و درک آن سالیان طولانی زحمت کشید، تئوری ارائه داد؟</w:t>
      </w:r>
    </w:p>
    <w:p>
      <w:pPr>
        <w:pStyle w:val="BookText"/>
        <w:rPr/>
      </w:pPr>
      <w:r>
        <w:rPr>
          <w:rFonts w:ascii="IRNazanin" w:hAnsi="IRNazanin" w:eastAsia="IRNazanin"/>
          <w:color w:val="111111"/>
          <w:sz w:val="28"/>
          <w:sz w:val="28"/>
          <w:szCs w:val="28"/>
          <w:rtl w:val="true"/>
          <w:lang w:bidi="fa-IR"/>
        </w:rPr>
        <w:t>آیا در هر چیزی تخصص لازم است، جز در دین، اسلام، فقه و تشیع و بر اساس شنیده ها و مقداری ظن و گمان می توان در این باره نظریه پردازی نمود و فلسفه فقه ارائه کرد؟</w:t>
      </w:r>
      <w:r>
        <w:rPr>
          <w:rFonts w:eastAsia="IRNazanin" w:cs="IRNazanin"/>
          <w:color w:val="111111"/>
          <w:sz w:val="28"/>
          <w:szCs w:val="28"/>
          <w:rtl w:val="true"/>
          <w:lang w:bidi="fa-IR"/>
        </w:rPr>
        <w:t>!</w:t>
      </w:r>
    </w:p>
    <w:p>
      <w:pPr>
        <w:pStyle w:val="Heading5"/>
        <w:numPr>
          <w:ilvl w:val="4"/>
          <w:numId w:val="1"/>
        </w:numPr>
        <w:rPr/>
      </w:pPr>
      <w:bookmarkStart w:id="216" w:name="__RefHeading___Toc3418256_2749589250"/>
      <w:bookmarkStart w:id="217" w:name="_Toc84"/>
      <w:bookmarkEnd w:id="216"/>
      <w:r>
        <w:rPr>
          <w:rtl w:val="true"/>
        </w:rPr>
        <w:t xml:space="preserve">ششم </w:t>
      </w:r>
      <w:r>
        <w:rPr>
          <w:rtl w:val="true"/>
        </w:rPr>
        <w:t xml:space="preserve">- </w:t>
      </w:r>
      <w:r>
        <w:rPr>
          <w:rtl w:val="true"/>
        </w:rPr>
        <w:t>فقه شناسی</w:t>
      </w:r>
      <w:bookmarkEnd w:id="217"/>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شناسی</w:t>
      </w:r>
    </w:p>
    <w:p>
      <w:pPr>
        <w:pStyle w:val="BookText"/>
        <w:rPr/>
      </w:pPr>
      <w:r>
        <w:rPr>
          <w:rFonts w:ascii="IRNazanin" w:hAnsi="IRNazanin" w:eastAsia="IRNazanin"/>
          <w:color w:val="111111"/>
          <w:sz w:val="28"/>
          <w:sz w:val="28"/>
          <w:szCs w:val="28"/>
          <w:rtl w:val="true"/>
          <w:lang w:bidi="fa-IR"/>
        </w:rPr>
        <w:t>نویسنده درباره فقه شیعی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یک دوره جامعه شناسی تاریخی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نگاهی مشرفانه و از بیرون به فقه یک بار در برش عرضی و یک بار در برش طولی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تحولات فقه شیعی را آشکار می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طلبه درس شریعت که می خواهد نقش زمان و مکان را در اجتهاد درک کند، فرض است که یک دوره جامعه شناسی فقه را در بستری تاریخی مطالعه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در حوزه های علمیه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اهل القرا با فقه اهل مدینه تفاوت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گفتار نویسنده بر می آید که تاکنون یک دوره جامعه شناسی تاریخی فقه، با نگاه از بیرون در دو برش عرضی و طولی نگاشته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اطلاعات و آگاهی های فقهی نویسنده را نیز در همین مقاله </w:t>
      </w:r>
    </w:p>
    <w:p>
      <w:pPr>
        <w:pStyle w:val="BookText"/>
        <w:rPr/>
      </w:pPr>
      <w:r>
        <w:rPr>
          <w:rFonts w:ascii="IRNazanin" w:hAnsi="IRNazanin" w:eastAsia="IRNazanin"/>
          <w:color w:val="111111"/>
          <w:sz w:val="28"/>
          <w:sz w:val="28"/>
          <w:szCs w:val="28"/>
          <w:rtl w:val="true"/>
          <w:lang w:bidi="fa-IR"/>
        </w:rPr>
        <w:t>مشاهده کردیم و معلوم است که خود او هم امکان چنین تحقیق و مطالعه ای درباره فقه شیعی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این پرسش وجود دارد که احکامی که نویسنده در باب فقه شیعی صادر می کند، از کجا می آید و مستند به چیست؟</w:t>
      </w:r>
    </w:p>
    <w:p>
      <w:pPr>
        <w:pStyle w:val="BookText"/>
        <w:rPr/>
      </w:pPr>
      <w:r>
        <w:rPr>
          <w:rFonts w:ascii="IRNazanin" w:hAnsi="IRNazanin" w:eastAsia="IRNazanin"/>
          <w:color w:val="111111"/>
          <w:sz w:val="28"/>
          <w:sz w:val="28"/>
          <w:szCs w:val="28"/>
          <w:rtl w:val="true"/>
          <w:lang w:bidi="fa-IR"/>
        </w:rPr>
        <w:t>نویسنده در مقام ارائه یک تئوری درباره تحولات فقه شیعی است و این تئوری مبتنی بر نگارش یک دوره جامعه شناسی تاریخی فقه شیعی، در دو برش عرضی و طولی است که تاکنون انجام نگرفته؛ یعنی به تعبیر روشن و واضح، تئوری فقه شناسانه نویسنده اساس و مبنای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مستند نویسنده، الگوبرداری از جامعه شناسی حقوق است که آن را مورد بررسی قرار خواهیم داد و آشکار خواهد شد که دریافت صحیحی از جامعه شناسی حقوق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بعدی نویسنده نیز تأکیدی بر این ناآگاهی درباره فقه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اهل القرا با فقه اهل مدینه 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دو مذهب فقهی حنفی و مالکی است که اولی نسبت به دومی، به قیاس گرایش بیش تری داشته و دومی نسبت به اولی به احادیث وارده گرایش بیش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 ویژگی های هر یک از مذاهب اهل سنت، مطلب جداگانه ای است که قابل بحث، بررسی و مطالعه است، ولی چه ربطی به جامعه شناسی تاریخی فقه شیعه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نویسنده بدون اطلاع از مفاد و محتوای جمله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اصلاً هم به حوزه های علمیه ربطی ندارد و گویندگان جمله هم اندیشمندان اهل سنت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را شنیده و گمان برده که این </w:t>
      </w:r>
      <w:bookmarkStart w:id="218" w:name="pg3480_42309"/>
    </w:p>
    <w:p>
      <w:pPr>
        <w:pStyle w:val="BookText"/>
        <w:rPr/>
      </w:pPr>
      <w:bookmarkEnd w:id="218"/>
      <w:r>
        <w:rPr>
          <w:rFonts w:ascii="IRNazanin" w:hAnsi="IRNazanin" w:eastAsia="IRNazanin"/>
          <w:color w:val="111111"/>
          <w:sz w:val="28"/>
          <w:sz w:val="28"/>
          <w:szCs w:val="28"/>
          <w:rtl w:val="true"/>
          <w:lang w:bidi="fa-IR"/>
        </w:rPr>
        <w:t>مطلب درباره فقه شیعی است و آن را به صورت قرینه و شاهدی بر نظر خود نقل کرده است</w:t>
      </w:r>
      <w:r>
        <w:rPr>
          <w:rFonts w:eastAsia="IRNazanin" w:cs="IRNazanin"/>
          <w:color w:val="111111"/>
          <w:sz w:val="28"/>
          <w:szCs w:val="28"/>
          <w:rtl w:val="true"/>
          <w:lang w:bidi="fa-IR"/>
        </w:rPr>
        <w:t>!</w:t>
      </w:r>
    </w:p>
    <w:p>
      <w:pPr>
        <w:pStyle w:val="Heading5"/>
        <w:numPr>
          <w:ilvl w:val="4"/>
          <w:numId w:val="1"/>
        </w:numPr>
        <w:rPr/>
      </w:pPr>
      <w:bookmarkStart w:id="219" w:name="__RefHeading___Toc3418258_2749589250"/>
      <w:bookmarkStart w:id="220" w:name="_Toc85"/>
      <w:bookmarkEnd w:id="219"/>
      <w:r>
        <w:rPr>
          <w:rtl w:val="true"/>
        </w:rPr>
        <w:t xml:space="preserve">هفتم </w:t>
      </w:r>
      <w:r>
        <w:rPr>
          <w:rtl w:val="true"/>
        </w:rPr>
        <w:t xml:space="preserve">- </w:t>
      </w:r>
      <w:r>
        <w:rPr>
          <w:rtl w:val="true"/>
        </w:rPr>
        <w:t>جامعه شناسی حقوق</w:t>
      </w:r>
      <w:bookmarkEnd w:id="220"/>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حقوق</w:t>
      </w:r>
    </w:p>
    <w:p>
      <w:pPr>
        <w:pStyle w:val="BookText"/>
        <w:rPr/>
      </w:pPr>
      <w:r>
        <w:rPr>
          <w:rFonts w:ascii="IRNazanin" w:hAnsi="IRNazanin" w:eastAsia="IRNazanin"/>
          <w:color w:val="111111"/>
          <w:sz w:val="28"/>
          <w:sz w:val="28"/>
          <w:szCs w:val="28"/>
          <w:rtl w:val="true"/>
          <w:lang w:bidi="fa-IR"/>
        </w:rPr>
        <w:t>نویسنده در ادامه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نقش و تأثیر عوامل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تحول فقه مورد مطالعه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شناسان متعددی تلاش کرده اند از کنار هم گذاشتن تحولات تاریخی دستگاه های حقوقی، به قانون مندی هایی در این زمینه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گورویچ، بخشی از این تئوری ها را که درصدد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نظام های حقوق است، به شرح زیر استقراء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نقل گفتار گورویچ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با مروری بر آثار جامعه شناسان دین و جامعه شناسان حقوق، بتوان به این فهرست موارد دیگری نیز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به گفتار گورویچ در قبل و بعد عبارات یاد شده، بلکه در جای جای کتابِ گورویچ التفات نکرده است؛ زیرا گورویچ قبل از عبارت منقول در متن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نسق ها، قانون نیستند، یعنی نه قوانین پویای تحولند و نه قوانین آماری؛ زیرا درجه عدم تعیّن که مشخص واقعیت اجتماعی است، بسیار مایه ور است و خصوصا این عدم تعین وجه مشخص واقعیت حقوقی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گورویچ در ادامه گفتار بر احتمالی بودن و گرایشی بودن نظم و </w:t>
      </w:r>
    </w:p>
    <w:p>
      <w:pPr>
        <w:pStyle w:val="BookText"/>
        <w:rPr/>
      </w:pPr>
      <w:r>
        <w:rPr>
          <w:rFonts w:ascii="IRNazanin" w:hAnsi="IRNazanin" w:eastAsia="IRNazanin"/>
          <w:color w:val="111111"/>
          <w:sz w:val="28"/>
          <w:sz w:val="28"/>
          <w:szCs w:val="28"/>
          <w:rtl w:val="true"/>
          <w:lang w:bidi="fa-IR"/>
        </w:rPr>
        <w:t>نسق ها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حالی که گورویچ بر قانونی نبودن این گرایش ها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نویسنده این است که این گرایش ها، قانون مندی تحولات حقوقی هستند و خود نیز به نوعی تمایل تاریخی در فقه شیعی قایل است و آن را قابل مشاهده می داند و این تمایل تاریخی را علی القاعده، متوجه هر دستگاه حقوق شرعی دیگر هم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تمایل و گرایش تاریخی، از نظر جامعه شناسی حقوق که به معنای قانون نبودن و قاعده نبودن و عدم تعین است، در برداشت و تصور نویسنده تبدیل به قانون مندی و قاعده عام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گورویچ پس از عبارت منقول در کتاب،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حقیقت تمامی این نظم و نسق ها فقط بالنسبة به تحول و تبدل حقوق در برخی از صور نوعی جوامع قابل اعمالند و خصوصا نسبت به جامعه های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مطالعه دورکیم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می شوند</w:t>
      </w:r>
      <w:r>
        <w:rPr>
          <w:rFonts w:eastAsia="IRNazanin" w:cs="IRNazanin"/>
          <w:color w:val="111111"/>
          <w:sz w:val="28"/>
          <w:szCs w:val="28"/>
          <w:rtl w:val="true"/>
          <w:lang w:bidi="fa-IR"/>
        </w:rPr>
        <w:t>...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بنابراین، گورویچ به نسبی بودن این تحولات، آن هم تنها در برخی از صور نوعی جوامع تأکید می کند، در حالی که نویسنده این گونه تحولات را حتمی گرفته، و تعمیم می دهد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گورویچ به این مسئله، رویکردی علمی و جامعه شناسانه است، ولی رویکرد نویسنده رویکردی غیرعلمی و خارج از حد و حدود جامعه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نویسنده به جای جامعه شناسی فقه یا جامعه شناسی حقوق، نوعی تاریخی گری ارائه می دهد و برخلاف تاریخی گری های دیگر، تاریخی گری نویسنده تنها بر چند ادعا استوار </w:t>
      </w:r>
      <w:bookmarkStart w:id="221" w:name="pg3480_42311"/>
    </w:p>
    <w:p>
      <w:pPr>
        <w:pStyle w:val="BookText"/>
        <w:rPr/>
      </w:pPr>
      <w:bookmarkEnd w:id="221"/>
      <w:r>
        <w:rPr>
          <w:rFonts w:ascii="IRNazanin" w:hAnsi="IRNazanin" w:eastAsia="IRNazanin"/>
          <w:color w:val="111111"/>
          <w:sz w:val="28"/>
          <w:sz w:val="28"/>
          <w:szCs w:val="28"/>
          <w:rtl w:val="true"/>
          <w:lang w:bidi="fa-IR"/>
        </w:rPr>
        <w:t>است و نویسنده خود را نیازمند ارائه نمونه های واقعی و خارجی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جاست که نویسنده حتی از تاریخی گری هگلی نیز خارج شده، به نوعی به مکتب قدرت می پیوندد و اعتقاد دارد که با دستور به تاریخ و واقعیت اجتماعی می توان تاریخ و واقعیت اجتماعی را دگرگون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نمونه می توان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 دستوری نویسنده را حتی در همین مقاله مورد توجه قرار داد</w:t>
      </w:r>
      <w:r>
        <w:rPr>
          <w:rFonts w:eastAsia="IRNazanin" w:cs="IRNazanin"/>
          <w:color w:val="111111"/>
          <w:sz w:val="28"/>
          <w:szCs w:val="28"/>
          <w:rtl w:val="true"/>
          <w:lang w:bidi="fa-IR"/>
        </w:rPr>
        <w:t>).</w:t>
      </w:r>
    </w:p>
    <w:p>
      <w:pPr>
        <w:pStyle w:val="Heading5"/>
        <w:numPr>
          <w:ilvl w:val="4"/>
          <w:numId w:val="1"/>
        </w:numPr>
        <w:rPr/>
      </w:pPr>
      <w:bookmarkStart w:id="222" w:name="__RefHeading___Toc3418260_2749589250"/>
      <w:bookmarkStart w:id="223" w:name="_Toc86"/>
      <w:bookmarkEnd w:id="222"/>
      <w:r>
        <w:rPr>
          <w:rtl w:val="true"/>
        </w:rPr>
        <w:t xml:space="preserve">هشتم </w:t>
      </w:r>
      <w:r>
        <w:rPr>
          <w:rtl w:val="true"/>
        </w:rPr>
        <w:t xml:space="preserve">- </w:t>
      </w:r>
      <w:r>
        <w:rPr>
          <w:rtl w:val="true"/>
        </w:rPr>
        <w:t xml:space="preserve">برابر نهادها </w:t>
      </w:r>
      <w:r>
        <w:rPr>
          <w:rtl w:val="true"/>
        </w:rPr>
        <w:t xml:space="preserve">/ </w:t>
      </w:r>
      <w:r>
        <w:rPr>
          <w:rtl w:val="true"/>
        </w:rPr>
        <w:t>تعریف مفاهیم</w:t>
      </w:r>
      <w:bookmarkEnd w:id="223"/>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نهادها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مفاهیم</w:t>
      </w:r>
    </w:p>
    <w:p>
      <w:pPr>
        <w:pStyle w:val="BookText"/>
        <w:rPr/>
      </w:pPr>
      <w:r>
        <w:rPr>
          <w:rFonts w:ascii="IRNazanin" w:hAnsi="IRNazanin" w:eastAsia="IRNazanin"/>
          <w:color w:val="111111"/>
          <w:sz w:val="28"/>
          <w:sz w:val="28"/>
          <w:szCs w:val="28"/>
          <w:rtl w:val="true"/>
          <w:lang w:bidi="fa-IR"/>
        </w:rPr>
        <w:t>گرچه به طور کلی، بررسی برابر نهادهای نویسنده و تعریفی که از مفاهیم و اصطلاحات ارائه می دهد ضرورت دارد، در این جا تنها به یک مورد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منبع ارزش های قدسی، سنت و کاریزماست و سرسپردن به این ارزش ها، از طریق نوعی پیوند فوق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تبعیت از ارزش ها و هنجارهای عرفی از طریق قرارداد معتبر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این جا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و تفاوت قایل شده، اولی را نوعی پیوند فوق عقلانی و غیرعقلانی و دومی را طریقی برای تبعیت از ارزش ها و هنجارهای عرفی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نقدهای متعددی بر این گونه تبیین ماهیت بیعت و برابر نهاد نویسنده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بیع است و بیع به معنای خرید و فروش و معامله و مبادله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تبیین و برابر نهاد نویسنده از نظر لغوی غلط است؛ زیرا در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معامله و مبادله</w:t>
      </w:r>
    </w:p>
    <w:p>
      <w:pPr>
        <w:pStyle w:val="BookText"/>
        <w:rPr/>
      </w:pPr>
      <w:r>
        <w:rPr>
          <w:rFonts w:ascii="IRNazanin" w:hAnsi="IRNazanin" w:eastAsia="IRNazanin"/>
          <w:color w:val="111111"/>
          <w:sz w:val="28"/>
          <w:sz w:val="28"/>
          <w:szCs w:val="28"/>
          <w:rtl w:val="true"/>
          <w:lang w:bidi="fa-IR"/>
        </w:rPr>
        <w:t>وجود دارد و با قرارداد تنافی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بیعت عملی بود که به دنبال معامله، مبادله و قرارداد انجام می گرفت و در واقع، نوعی نشانه و سمبل برای قرارداد و معامله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به نشانه تمام شدن و قطعی شدن معامله و قرارداد، دست می دادند و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علاوه بر خرید و فروش و معامله، برای قراردادهای سیاسی و اجتماعی نیز 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نه تنها تقابل میان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بلکه حتی بیعت به نوعی رسمی شدن قرارداد و نشانه قرارداد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المبایعة و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تبایعوا علی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کقولک اصفقوا علیه</w:t>
      </w:r>
    </w:p>
    <w:p>
      <w:pPr>
        <w:pStyle w:val="BookText"/>
        <w:rPr/>
      </w:pPr>
      <w:r>
        <w:rPr>
          <w:rFonts w:ascii="IRNazanin" w:hAnsi="IRNazanin" w:eastAsia="IRNazanin"/>
          <w:color w:val="111111"/>
          <w:sz w:val="28"/>
          <w:sz w:val="28"/>
          <w:szCs w:val="28"/>
          <w:rtl w:val="true"/>
          <w:lang w:bidi="fa-IR"/>
        </w:rPr>
        <w:t>و با یعه علیه مبایعة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عاهده</w:t>
      </w:r>
    </w:p>
    <w:p>
      <w:pPr>
        <w:pStyle w:val="BookText"/>
        <w:rPr/>
      </w:pPr>
      <w:r>
        <w:rPr>
          <w:rFonts w:ascii="IRNazanin" w:hAnsi="IRNazanin" w:eastAsia="IRNazanin"/>
          <w:color w:val="111111"/>
          <w:sz w:val="28"/>
          <w:sz w:val="28"/>
          <w:szCs w:val="28"/>
          <w:rtl w:val="true"/>
          <w:lang w:bidi="fa-IR"/>
        </w:rPr>
        <w:t>و بایعتُه من البیع و البیعة جمیعا و التبایع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گذشته، بیعت نوعی هنجار عرفی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میان بیعت و هنجار عرفی نیز تقابل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بیعت، به صورت دست دادن پس از قرارداد، در نقاط مختلف دنیا مرسوم است و هنوز یک هنجار عرفی به شمار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همراه با فکر، اندیشه، عقلانیت و حتی شرط و شروط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که پیامبر در مکه از اهل مدینه بیعت خواست، آنان مهلت خواستند تا از دیگرانی که در مدینه مانده اند، نظرخواهی کنند و بار دوم نیز که بیعت انجام گرفت، بیعت خاصی بود و بیعت النساء نامیده می شود؛ زیرا ظاهرا تا پای جان و تا جنگیدن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قضیه بیعت شجره نیز که مسلمانان قبل از آن هم با پیامبر بیعت کرده بودند، پیامبر بیعت مجدد خواست که مسلمانان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تعریف و تبیین </w:t>
      </w:r>
    </w:p>
    <w:p>
      <w:pPr>
        <w:pStyle w:val="BookText"/>
        <w:rPr/>
      </w:pPr>
      <w:r>
        <w:rPr>
          <w:rFonts w:ascii="IRNazanin" w:hAnsi="IRNazanin" w:eastAsia="IRNazanin"/>
          <w:color w:val="111111"/>
          <w:sz w:val="28"/>
          <w:sz w:val="28"/>
          <w:szCs w:val="28"/>
          <w:rtl w:val="true"/>
          <w:lang w:bidi="fa-IR"/>
        </w:rPr>
        <w:t>بیعت به امری فوق عقلانی، هیچ معنای صحیحی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بیعت در تاریخ صدر اسلام، گاه با شرط و شروط و چون و چرا نیز همراه بوده، چنان که در قضیه بیعت نساء در مکه و اهل مکه در تفاسیر، تواریخ و سیر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نظر نویسنده قرارداد و التزام بر قرارداد، امری عرفی است یا 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اگر به مرور، قراردادشکنی یک هنجار عرفی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 که گردن کشان جهانی به محض این که احساس قدرت کنند، از این امر ابایی ندارد و نمونه های آن را در همین دوران معاصر، در رفتار صدام و پاره کردن قرارداد الجزایر جلوی تلویزیون و رفتار امریکا در زیر پانهادن کنوانسیون های بین المللی که امضا کرده یا قراردادهای دو جانبه مشاهده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آیا از نظر نویسنده باید ملتزم به قرارداد بود یا نه؟</w:t>
      </w:r>
    </w:p>
    <w:p>
      <w:pPr>
        <w:pStyle w:val="BookText"/>
        <w:rPr/>
      </w:pPr>
      <w:r>
        <w:rPr>
          <w:rFonts w:ascii="IRNazanin" w:hAnsi="IRNazanin" w:eastAsia="IRNazanin"/>
          <w:color w:val="111111"/>
          <w:sz w:val="28"/>
          <w:sz w:val="28"/>
          <w:szCs w:val="28"/>
          <w:rtl w:val="true"/>
          <w:lang w:bidi="fa-IR"/>
        </w:rPr>
        <w:t>آیا از نظر نویسنده، دینی مانند اسلام که بر وفای بر قرارداد تأکید دارد،</w:t>
      </w:r>
      <w:r>
        <w:rPr>
          <w:rStyle w:val="FootnoteAnchor"/>
          <w:rtl w:val="true"/>
        </w:rPr>
        <w:footnoteReference w:id="41"/>
      </w:r>
      <w:r>
        <w:rPr>
          <w:rFonts w:ascii="IRNazanin" w:hAnsi="IRNazanin" w:eastAsia="IRNazanin"/>
          <w:color w:val="111111"/>
          <w:sz w:val="28"/>
          <w:sz w:val="28"/>
          <w:szCs w:val="28"/>
          <w:rtl w:val="true"/>
          <w:lang w:bidi="fa-IR"/>
        </w:rPr>
        <w:t>دینی عرفی است یا قدسی؟</w:t>
      </w:r>
    </w:p>
    <w:p>
      <w:pPr>
        <w:pStyle w:val="BookText"/>
        <w:rPr/>
      </w:pPr>
      <w:r>
        <w:rPr>
          <w:rFonts w:ascii="IRNazanin" w:hAnsi="IRNazanin" w:eastAsia="IRNazanin"/>
          <w:color w:val="111111"/>
          <w:sz w:val="28"/>
          <w:sz w:val="28"/>
          <w:szCs w:val="28"/>
          <w:rtl w:val="true"/>
          <w:lang w:bidi="fa-IR"/>
        </w:rPr>
        <w:t>این ها نمونه هایی از اغتشاش مفاهیم و برابر نهادهای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تعاریف و برابر نهادهای او هم پذیرفته شود، چارچوبی پارادوکسیکال خواهد بود و توانایی تبیین حقایق تاریخی و مفاهیم اسلامی را نخواهد داشت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اسلام از اصل دینی عرفی است، سخن گفتن از فرآیند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سکولاریزاسیون در آن بی معناست و اگر اسلام از اصل دینی عرفی است پس نویسنده چگونه تاکیدات اسلام و قرآن بر وفای به قراردادها را، که او آن را مایه سکولاریزاسیون می داند، توجیه می کند؟</w:t>
      </w:r>
      <w:r>
        <w:rPr>
          <w:rFonts w:eastAsia="IRNazanin" w:cs="IRNazanin"/>
          <w:color w:val="111111"/>
          <w:sz w:val="28"/>
          <w:szCs w:val="28"/>
          <w:rtl w:val="true"/>
          <w:lang w:bidi="fa-IR"/>
        </w:rPr>
        <w:t xml:space="preserve">! </w:t>
      </w:r>
      <w:bookmarkStart w:id="224" w:name="pg3480_42315"/>
    </w:p>
    <w:p>
      <w:pPr>
        <w:pStyle w:val="Heading3"/>
        <w:numPr>
          <w:ilvl w:val="2"/>
          <w:numId w:val="1"/>
        </w:numPr>
        <w:rPr/>
      </w:pPr>
      <w:bookmarkStart w:id="225" w:name="__RefHeading___Toc3418262_2749589250"/>
      <w:bookmarkStart w:id="226" w:name="_Toc87"/>
      <w:bookmarkEnd w:id="224"/>
      <w:bookmarkEnd w:id="225"/>
      <w:r>
        <w:rPr>
          <w:rtl w:val="true"/>
        </w:rPr>
        <w:t>فصل چهارم</w:t>
      </w:r>
      <w:r>
        <w:rPr>
          <w:rtl w:val="true"/>
        </w:rPr>
        <w:t xml:space="preserve">: </w:t>
      </w:r>
      <w:r>
        <w:rPr>
          <w:rtl w:val="true"/>
        </w:rPr>
        <w:t>دین و سکولاریزاسیون</w:t>
      </w:r>
      <w:bookmarkEnd w:id="226"/>
    </w:p>
    <w:p>
      <w:pPr>
        <w:pStyle w:val="Heading4"/>
        <w:numPr>
          <w:ilvl w:val="3"/>
          <w:numId w:val="1"/>
        </w:numPr>
        <w:rPr/>
      </w:pPr>
      <w:bookmarkStart w:id="227" w:name="__RefHeading___Toc3418264_2749589250"/>
      <w:bookmarkStart w:id="228" w:name="_Toc88"/>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سکولاریزاسیون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نگاهی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فقیه دوران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 جواهری تا فقه المصلحة</w:t>
      </w:r>
    </w:p>
    <w:p>
      <w:pPr>
        <w:pStyle w:val="Heading4"/>
        <w:numPr>
          <w:ilvl w:val="3"/>
          <w:numId w:val="1"/>
        </w:numPr>
        <w:rPr/>
      </w:pPr>
      <w:bookmarkStart w:id="229" w:name="__RefHeading___Toc3418266_2749589250"/>
      <w:bookmarkStart w:id="230" w:name="_Toc89"/>
      <w:bookmarkEnd w:id="229"/>
      <w:r>
        <w:rPr>
          <w:rtl w:val="true"/>
        </w:rPr>
        <w:t xml:space="preserve">نگاهی به مقاله </w:t>
      </w:r>
      <w:r>
        <w:rPr>
          <w:rtl w:val="true"/>
        </w:rPr>
        <w:t>«</w:t>
      </w:r>
      <w:r>
        <w:rPr>
          <w:rtl w:val="true"/>
        </w:rPr>
        <w:t>امام خمینی، فقیه دوران گذار</w:t>
      </w:r>
      <w:r>
        <w:rPr>
          <w:rtl w:val="true"/>
        </w:rPr>
        <w:t xml:space="preserve">» </w:t>
      </w:r>
      <w:r>
        <w:rPr>
          <w:rtl w:val="true"/>
        </w:rPr>
        <w:t>از فقه جواهری تا فقه المصلحة</w:t>
      </w:r>
      <w:bookmarkEnd w:id="230"/>
    </w:p>
    <w:p>
      <w:pPr>
        <w:pStyle w:val="Heading5"/>
        <w:numPr>
          <w:ilvl w:val="4"/>
          <w:numId w:val="1"/>
        </w:numPr>
        <w:rPr/>
      </w:pPr>
      <w:bookmarkStart w:id="231" w:name="__RefHeading___Toc3418268_2749589250"/>
      <w:bookmarkStart w:id="232" w:name="_Toc90"/>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 xml:space="preserve">نگاهی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فقیه دوران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 جواهری تا فقه المصلحة</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مسیحی</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شناسی</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مطلقه فقیه و سکولاریزاسیون</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سکولاریزاسیون</w:t>
      </w:r>
    </w:p>
    <w:p>
      <w:pPr>
        <w:pStyle w:val="Heading5"/>
        <w:numPr>
          <w:ilvl w:val="4"/>
          <w:numId w:val="1"/>
        </w:numPr>
        <w:rPr/>
      </w:pPr>
      <w:bookmarkStart w:id="233" w:name="__RefHeading___Toc3418270_2749589250"/>
      <w:bookmarkStart w:id="234" w:name="_Toc91"/>
      <w:bookmarkEnd w:id="233"/>
      <w:r>
        <w:rPr>
          <w:rtl w:val="true"/>
        </w:rPr>
        <w:t xml:space="preserve">اول </w:t>
      </w:r>
      <w:r>
        <w:rPr>
          <w:rtl w:val="true"/>
        </w:rPr>
        <w:t xml:space="preserve">- </w:t>
      </w:r>
      <w:r>
        <w:rPr>
          <w:rtl w:val="true"/>
        </w:rPr>
        <w:t xml:space="preserve">الگوی غربی </w:t>
      </w:r>
      <w:r>
        <w:rPr>
          <w:rtl w:val="true"/>
        </w:rPr>
        <w:t xml:space="preserve">/ </w:t>
      </w:r>
      <w:r>
        <w:rPr>
          <w:rtl w:val="true"/>
        </w:rPr>
        <w:t>چارچوب مسیحی</w:t>
      </w:r>
      <w:bookmarkEnd w:id="234"/>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مسیحی</w:t>
      </w:r>
    </w:p>
    <w:p>
      <w:pPr>
        <w:pStyle w:val="BookText"/>
        <w:rPr/>
      </w:pPr>
      <w:r>
        <w:rPr>
          <w:rFonts w:ascii="IRNazanin" w:hAnsi="IRNazanin" w:eastAsia="IRNazanin"/>
          <w:color w:val="111111"/>
          <w:sz w:val="28"/>
          <w:sz w:val="28"/>
          <w:szCs w:val="28"/>
          <w:rtl w:val="true"/>
          <w:lang w:bidi="fa-IR"/>
        </w:rPr>
        <w:t xml:space="preserve">نویسنده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فقیه دوران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الگویی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را در نظر دارد که در عین حال، دریافت درستی هم از آن ندارد و درصدد تطبیق، بلکه تحمیل این الگوی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بر اسلام، فقه شیعه و امام راحل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نمونه های زیر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قرار دادن اندیشمندان پیشامدرن برای تحلیل امام 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وران این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وسطای متأخر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در مفصل سنت و تجدد قرار گرفته اند، هم برای فهم بنیادهای مدرنیته و هم به عنوان الگویی برای مقایسه با متکلمین و فلاسفه اسلامی، اهمیت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فیلسوفان دوران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پایی در سنت و پایی در مدرنینه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عصر پیشامدرن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 از سنت به مدرنیته را تسریع و تسهیل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قیاس می توان امام را فقیه دوران گذار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قراردادن تحولات انقلابی فرانسه برای فقه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گذار در برخی جوامع به نحوی آرام و هموار صورت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جوامعی مثل فرانسه، مقاومت نهادهای رسمی و حکومتی راهی جز تحول انقلابی باقی نگذاشت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فقه شیعی نیز در مقابل دگرگونی، مقاومت زیادی از خود نشان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دگرگونی دستگاه فقه شیعه محتاج نیرویی انقلابی بود و بیش </w:t>
      </w:r>
    </w:p>
    <w:p>
      <w:pPr>
        <w:pStyle w:val="BookText"/>
        <w:rPr/>
      </w:pPr>
      <w:r>
        <w:rPr>
          <w:rFonts w:ascii="IRNazanin" w:hAnsi="IRNazanin" w:eastAsia="IRNazanin"/>
          <w:color w:val="111111"/>
          <w:sz w:val="28"/>
          <w:sz w:val="28"/>
          <w:szCs w:val="28"/>
          <w:rtl w:val="true"/>
          <w:lang w:bidi="fa-IR"/>
        </w:rPr>
        <w:t>از هر چیز، کاریزمای امام بود که این دگرگونی را به دستگاه فقهی تحمیل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باید توضیح دهم که چگونه این گذار انفجاری کاریزماتیک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قراردادن دولت های مطلقه برای تحلیل ولایت مطلقه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یک دولت مدرن در حال شکل گیری است، میل به اتاتیسم شدت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ولایت مطلقه فقیه پاسخی است به میل به اتاتیسم در ایران پس از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نظریه پردازان دولت معتقدند، دولت های مدرن در ابتدا دولت های مطلقه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مطلقه نظیر دولت بیسمارک، موتور لوکوموتیو توسعه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خصیصه را هم در تئوری دولت هگل می توان دید، هم در لویاتان هابز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ولایت مطلقه فقیه نیز می تواند به نحوی قرائت شود که شکلی از دولت مدرن از دل آن بیرون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 قراردادن تئوری های منسوب به متألهین مسیحی برای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صحیح تر تحمیلِ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مناط و عنصر مصلحت در فقه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اصلی این دسته از 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بود که کلیه قواعد و مقررات شرعی، دایر مدار مصلحت بشریت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 می توان نوعی تئولوژی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 که احکام از طریق توسل به نصوص، استنتاج و استخراج نشوند، بلکه با تکیه بر فلسفه اصلی احکام که همانا مصالح و ارزش های عموم بشری هستند، پایه حقوق گذاشته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 توان منشأ این قبیل ارزش های عموم بشری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درون نص، با توسل به چند مرحله تنقیح مناط به دست آورد و به این ترتیب، از درون شرع نیز به این هدف نقب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فقیه می تواند در روند استخراج فلسفه احکام چندین مرحله تنقیح مناط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فقیه می تواند آن قدر تنقیح مناط کند که فی المثل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اصلی و نهایی شارع، ایجاد نظم اجتماعی و جلوگیری از هرج و مرج بوده است؟</w:t>
      </w:r>
    </w:p>
    <w:p>
      <w:pPr>
        <w:pStyle w:val="BookText"/>
        <w:rPr/>
      </w:pPr>
      <w:r>
        <w:rPr>
          <w:rFonts w:ascii="IRNazanin" w:hAnsi="IRNazanin" w:eastAsia="IRNazanin"/>
          <w:color w:val="111111"/>
          <w:sz w:val="28"/>
          <w:sz w:val="28"/>
          <w:szCs w:val="28"/>
          <w:rtl w:val="true"/>
          <w:lang w:bidi="fa-IR"/>
        </w:rPr>
        <w:t xml:space="preserve">آیا می توان با تنقیح مناط، به یک مقوله کلی به نام مصلحت نوعیه احکام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دولت اسلامی در حوزه عمومی به جای شارع می نشیند و با هدف تأمین مصالح ملی، قانون وضع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آکوئیناس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را به چهار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قوانین سرمدی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قوانین 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قوانین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تنظیم کننده رابطه بنده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قوانین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حاکم بر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قوانین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قوانینی که توسط خود انسان ها اعتبار و وضع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این تقسیم بندی می کوشد راهی برای ورود عنصر مصلحت در قوانین بگشاید و به جمع میان عقل و وحی مدد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قراردادن اندیشمندان پیشامدرن برای تحلیل امام راحل، بر این فرض متکی است که تاریخ یک مسیر مشخص و تک خطی را طی می کند و جوامع غربی این مسیر را سریع تر و زودتر پیموده اند و جوامع غیرغربی در پی آن ها رَوان، بلکه دَوان هستند و گذشته تاریخ غرب، آینده تاریخ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فرضی خود متکی بر نوعی تحلیل تاریخ و تاریخی گری و انکار تفاوت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تمدنی و انکار اراده انسان و انکار گزینه های متعدد انتخاب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فرض و تحلیل، ناخودآگاه متأثر از بعضی هگل گرایان وطنی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نویسنده هر گاه به سطح آگاهی می آید، تا حدودی التفات پیدا </w:t>
      </w:r>
    </w:p>
    <w:p>
      <w:pPr>
        <w:pStyle w:val="BookText"/>
        <w:rPr/>
      </w:pPr>
      <w:r>
        <w:rPr>
          <w:rFonts w:ascii="IRNazanin" w:hAnsi="IRNazanin" w:eastAsia="IRNazanin"/>
          <w:color w:val="111111"/>
          <w:sz w:val="28"/>
          <w:sz w:val="28"/>
          <w:szCs w:val="28"/>
          <w:rtl w:val="true"/>
          <w:lang w:bidi="fa-IR"/>
        </w:rPr>
        <w:t>می کند که این متد تحلیلی نادرست و منسوخ است و خود در مواردی این گونه تحلیل خطی و یکنواخت را مردود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دهه اخیر، بسیاری از جامعه شناسان، انسان شناسان، محققین علم سیاست و پژوهشگران دیسپلین های علوم انسانی، نظریه های ناظر به مکانیسم و فرآیند عرفی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نظریه عام مورد نظر نویسنده که درصدد ارائه و قالب نمودن آن به خواننده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تجدیدنظر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دیگر این فرآیند را خطی، یکنواخت و بازگشت ناپذیر نمی دانند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نویسنده در نفی مدرنیزاسیون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مدعای اصلی این ایدئولوژی آن است که می توان طی مسیری تک خطی، جهان واقع در موقعیت سنت را با طی مراحل و منازل و فازهایی به جهان متمدن و قافله تمدن ملحق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 مدرنیزاسیون، تک خطی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وضعیت سنتی همه کشورها را یکسان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قرن نوزدهم، چین قرن نوزدهم، هند قرن نوزدهم و انگلستان قرن هفدهم با هم مشابهند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مدرنیزاسیون بین وضعیت سنتی و وضعیت مدرن خطی می کشد و اتصال آن دو را تک خطی می بیند، در حالی که پروژه مدرنیته اساسا چند خطی است و طرق و اشکال مختلفی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الگو قراردادن اندیشمندان پیشامدرن برای تحلیل امام راحل مبتنی بر تاریخی گری است و نویسنده ناخودآگاه گرفتار آن است و این مبنا، توجیه و استدلال قابل قبولی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متد تحلیلی از نظر نویسنده نیز مردود است و این مورد از تناقض های متعددی است که </w:t>
      </w:r>
    </w:p>
    <w:p>
      <w:pPr>
        <w:pStyle w:val="BookText"/>
        <w:rPr/>
      </w:pPr>
      <w:r>
        <w:rPr>
          <w:rFonts w:ascii="IRNazanin" w:hAnsi="IRNazanin" w:eastAsia="IRNazanin"/>
          <w:color w:val="111111"/>
          <w:sz w:val="28"/>
          <w:sz w:val="28"/>
          <w:szCs w:val="28"/>
          <w:rtl w:val="true"/>
          <w:lang w:bidi="fa-IR"/>
        </w:rPr>
        <w:t>نویسنده در متد و مبانی تحلیل به آن دچار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قراردادن تحولات انقلابی فرانسه برای تحلیل مسائل ایران، از جمله روند فقه شیعی، اولاً چاره ای جز تناقض گویی برای نویسنده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حالی که در این مقاله، سخن از مقاومت زیاد سنت فقه شیعی در مقابل دگرگونی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مقاله قبلی، سخن از نوعی تمایل تاریخی به عرفی شدن در فقه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نیز از موارد جدی تناقض گویی و تنگی قافیه برای نویسنده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تأثیر شخصیت امام راحل در تحولات جاری در فقه شیعی، شکی نیست، ولی همان طور که خواهیم دید این تحولات در فقه سنتی شیعه و فقه جواهری ریشه و معنا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مشکل نویسنده این است که درک صحیحی از جایگاه و نقش عنصر مصلحت در فقه شیعی نداشته، حتی فرصت نیافته است که متن گفتار امام در باب ولایت فقیه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خواهیم دید، نویسنده دریافت صحیحی از مفهوم ولایت مطلقه فقیه نداشته، هم چنین دریافت صحیحی نیز از دولت مدرن ندارد و تلاش نموده دو دریافت ناصحیح را به یکدیگر منطبق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استنتاجی که نویسنده از الگو قراردادن تئوری های منسوب به متألهین مسیحی برای تحلیل تنقیح مناط و عنصر مصلحت در فقه شیعی دارد، مبتنی بر دریافتی نادرست از نظریه های متألهین مسیحی و </w:t>
      </w:r>
    </w:p>
    <w:p>
      <w:pPr>
        <w:pStyle w:val="BookText"/>
        <w:rPr/>
      </w:pPr>
      <w:r>
        <w:rPr>
          <w:rFonts w:ascii="IRNazanin" w:hAnsi="IRNazanin" w:eastAsia="IRNazanin"/>
          <w:color w:val="111111"/>
          <w:sz w:val="28"/>
          <w:sz w:val="28"/>
          <w:szCs w:val="28"/>
          <w:rtl w:val="true"/>
          <w:lang w:bidi="fa-IR"/>
        </w:rPr>
        <w:t>ناآگاهی نسبت به مفاهیم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این سخن نویسنده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تنقیح مناط و مصلحت 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در حوزه عمومی جای شارع می نشیند و با هدف تأمین مصالح ملی، قانون وضع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ناشی از ناآگاهی نسبت به تفاوت احکام حکومتی و احکام اولیه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اصل حکومت و امکان صدور حکم حکومتی، حکم اولیه شرعی است و توسط شارع مقدس بیان شده است، ولی مضمون و محتوای حکم حکومتی، حکم اولیه شرعی نیست؛ کمااین که مضامین احکام ثانویه شرعی نیز، با حکم اولیه شرعی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اسلامی در حوزه عمومی به جای شارع می 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کاملاً نادرست و به شدت نگران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مشروع اسلامی مورد تأیید و توافق شارع است و اجازه قانون گذاری دارد، ولی کماکان حوزه عمومی محل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 این که مشروعیت حاکم و مشروعیت تبعیت از او ناشی از تشریع شارع مقدس است و این به معنای حضور شارع مقدس و احکام شارع در حوزه عمومی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نویسنده این نگرانی را ایجاد می کند که نویسنده می خواهد شارع مقدس و احکام شرع مقدس را از حوزه عمومی خارج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 و شارع را به حوزه خصوصی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حوزه عمومی را در آغاز به دولت اسلامی و در مراحل بعد به مطلق دولت واگذار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مویّد </w:t>
      </w:r>
    </w:p>
    <w:p>
      <w:pPr>
        <w:pStyle w:val="BookText"/>
        <w:rPr/>
      </w:pPr>
      <w:r>
        <w:rPr>
          <w:rFonts w:ascii="IRNazanin" w:hAnsi="IRNazanin" w:eastAsia="IRNazanin"/>
          <w:color w:val="111111"/>
          <w:sz w:val="28"/>
          <w:sz w:val="28"/>
          <w:szCs w:val="28"/>
          <w:rtl w:val="true"/>
          <w:lang w:bidi="fa-IR"/>
        </w:rPr>
        <w:t>این استنباط آن است که نویسنده، دین را متعلق به حوزه خصوصی می داند و دولت اسلامی در چارچوب تئوریک نویسنده، چیزی بیش از یک نام و عنوان آسیب شناختی، مرضی و غلط انداز نیست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درباره تئوری هایی که نویسنده آن ها را به متألهین مسیحی نسبت می دهد، جای سخن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تنها نمونه ای از ناآگاهی نویسنده نسبت به اندیشه های مسیحی را یادآور می شویم که به خوبی نشان می دهد نویسنده تصوری نادرست از اندیشه های مسیحی و غربی داشته و همین تصورات نادرست را الگوی تحلیل فقه شیعی، امام خمینی و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ایران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نظریه آکوئیناس را در بیان نویسنده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تنها به چند مورد از اشتباه های نویسنده در نقل نظریه آکوئیناس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های دیگری که در این باره رخ داده، نیازمند بحث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نظریه آکوئیناس، سلسله مراتبی از قوانین بر کون و مکان حکومت می کنند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ازلی؛ </w:t>
      </w:r>
      <w:r>
        <w:rPr>
          <w:rFonts w:eastAsia="Times New Roman" w:cs="Times New Roman" w:ascii="Times New Roman" w:hAnsi="Times New Roman"/>
          <w:color w:val="111111"/>
          <w:sz w:val="28"/>
          <w:szCs w:val="28"/>
          <w:lang w:val="en-US" w:bidi="en-US"/>
        </w:rPr>
        <w:t>Eternal Law</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طبیعی؛ </w:t>
      </w:r>
      <w:r>
        <w:rPr>
          <w:rFonts w:eastAsia="Times New Roman" w:cs="Times New Roman" w:ascii="Times New Roman" w:hAnsi="Times New Roman"/>
          <w:color w:val="111111"/>
          <w:sz w:val="28"/>
          <w:szCs w:val="28"/>
          <w:lang w:val="en-US" w:bidi="en-US"/>
        </w:rPr>
        <w:t>Natural Law</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انسانی؛ </w:t>
      </w:r>
      <w:r>
        <w:rPr>
          <w:rFonts w:eastAsia="Times New Roman" w:cs="Times New Roman" w:ascii="Times New Roman" w:hAnsi="Times New Roman"/>
          <w:color w:val="111111"/>
          <w:sz w:val="28"/>
          <w:szCs w:val="28"/>
          <w:lang w:val="en-US" w:bidi="en-US"/>
        </w:rPr>
        <w:t>Human Law</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الهی؛ </w:t>
      </w:r>
      <w:r>
        <w:rPr>
          <w:rFonts w:eastAsia="Times New Roman" w:cs="Times New Roman" w:ascii="Times New Roman" w:hAnsi="Times New Roman"/>
          <w:color w:val="111111"/>
          <w:sz w:val="28"/>
          <w:szCs w:val="28"/>
          <w:lang w:val="en-US" w:bidi="en-US"/>
        </w:rPr>
        <w:t>Divine Law</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آکوئیناس در مسئله نود و یکم از الهیات عالی که در باب انواع مختلف قانون است، در نتیجه گیری از ماده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درباره وجود یا عدم وجود قانون 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قانونی به نام قانون ازلی وجود دارد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موجود در ذهن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بر کون و مکان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علمی قانون در علم حق تعالی که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نتیجه گیری از ماده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آیا قانونی به نام قانون طبیعت، در عالم وجود ما هست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انسان، نوعی قانون طبیعی وجود دارد که عبارت از مشارکت و بهره مندی او در قانون ازلی است و با الهام از این قانون ازلی است که او میان نیک و بد فرق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مبحث مستقلات عقلیه و این که شارع در علم اصول رئیس العقلاء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گیری از ماده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آیا قانون انسانی وجود دارد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قانون های ازلی و طبیعی، قانون دیگری وجود دارد که فکر بشر آن را برای تنظیم جزئیات و دقایق احکامی که در قانون طبیعی هست، به وجود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گذاری های عادی بشری و انسانی که عقل عملی به آن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گیری از ماده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آیا ضرورت داشت که قانون الهی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قوانین طبیعی و انسانی، یک قانون الهی هم لازم بوده است تا انسان را به امر الهی، در مسیری مصون از لغزش و خطا به سوی هدف فوق الطبیعه اش که نیل به رحمت جاودانی است، رهنمون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آکوئیناس در ادامه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الهی را به قانون الهی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الهی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آکوئیناس، قانون ازلی هم بر موجودات صاحب عقل و هم بر موجودات فاقد عقل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طبیعی همان قانون ازلی است که در عالم موجودات صاحب عقل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 و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انسان، تنها برخی از اصول کلی و اساسی قانون طبیعی را درمی یابد، لازم است احکام و مقرراتی که دقیق تر از قانون طبیعی هستند، برای تنظیم اعمال و افعال وی در اختیارش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و مقررات را دو منبع متفاوت در اختیارش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های انسانی و قانون های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های انسانی مجموعه ای از احکام و مقررات برای تنظیم رفتار بشری هستند که عقل انسان، آن را از روی قانون طبیعی کشف و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انسانی، تمام قانون های جوامع بشری هستند، به شرطی که این قوانین حقیقتا قانون باشند، نه این که اوامر یک اراده قوی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و عنوان قانون منعکس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الهی مجموعه ای از فرامین ناشی از اراده خدا هستند که به صورت وحی بر بندگان خدا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انسانی و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وضعی هستند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آکوئیناس، قوانینی که به دست دولت ها وضع می شوند، از جمله قانون های انسانی هستند و حوزه اطلاق آن ها به دو دلیل محدود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این که در داخل قلمرو خود، مطیع قانون طبیعی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قانونی که مافوق قانون انسانی است، تبعیت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این که دامنه اطلاق آن ها به حوزه قانون الهی کشیده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آکوئیناس در مسئله نودم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آیا عقل انسانی برای وضع و ایجاد قانون صلاحیت دارد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قانون وضع انسان را با توجه به مصلحت عامه تنظیم می کند، عقل هر انسانی به تنهایی قدرت وضع قانون را ندارد، اما توده مردم یک کشور یا پادشاهی که نماینده آن مردم است، هر دو دارای چنین حقی هستند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وی در توضیح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حقیقت مطلب را دقیق بیان کنیم، باید گفت که قانون رأسا و بدوا به نظامی که هدفش مصلحت همگان است، توجه دارد، ولی تنظیم هر چیزی به قصد تأمین هدفی که محتوای مصلحت همگان باشد، نیازمند قدرت است و این قدرت به تمام مردم یا به شخص واحدی که نماینده تمام مردم است، تعلق دارد</w:t>
      </w:r>
      <w:r>
        <w:rPr>
          <w:rFonts w:eastAsia="IRNazanin" w:cs="IRNazanin"/>
          <w:color w:val="111111"/>
          <w:sz w:val="28"/>
          <w:szCs w:val="28"/>
          <w:rtl w:val="true"/>
          <w:lang w:bidi="fa-IR"/>
        </w:rPr>
        <w:t>.</w:t>
      </w:r>
      <w:r>
        <w:rPr>
          <w:rStyle w:val="FootnoteAnchor"/>
          <w:rtl w:val="true"/>
        </w:rPr>
        <w:footnoteReference w:id="4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مطلب مفید است که آکوئیناس در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ظاهرا متأثر از مباحث ارسطو در کتاب سوم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شرحی بر سیاستِ ارسطو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خلاصه ای که از نظریه آکوئیناس درباره مراتب قوانین و نیز عنصر مصلحت بیان شد، این اشتباه ها آشکار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ترتیب قوانین را از نظر آکوئیناس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سرمدی یا ازلی؛</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الهی؛</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طبیعی؛</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ترتیب قوانین از نظر آکوئیناس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ازلی؛</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طبیعی؛</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انسانی؛</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قوانین الهی را به قوانین تنظیم کننده رابطه بنده و خدا تفسیر می کند، در حالی که همان طور که از بیان آکوئیناس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او به عهد قدیم، تورات و ده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آید، آکوئیناس، قوانین الهی را اعم از قوانین تنظیم کننده رابطه بنده با خدا، رابطه بندگان با یکدیگر و رابطه بنده با خودش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قوانین طبیعی را به قوانین حاکم بر طبیعت تفسیر می کند، در حالی که آکوئیناس، قانون طبیعی را از آنِ موجودات صاحب عقل می داند و طبیعت منهای انسان را مشمول قانون ازلی به شمار می 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قوانین موضوعه را به قوانینی که توسط خود انسان ها اعتبار و وضع شود تفسیر می کند، در حالی که آکوئیناس، قوانین موضوعه را اعم از قانون انسانی و قانون الهی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آکوئیناس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تقسیم بندی می کوشد، راهی برای ورود عنصر مصلحت در قوانین بگشاید و به جمع میان عقل و وحی مدد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آکوئیناس، مصلحت را در مسئله نودم مورد بحث قرار می دهد و ترتیب قوانین را در مسئله نود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بحث و تحلیل او از مصلحت مقدم بر بحث و تحلیل او از ترتیب قوانین است و در اندیشه و نظریه آکوئیناس، عنصر مصلحت بر ترتیب قوانین ترتبی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آکوئیناس از مراتب قوانین هم بحث نکرده بود، لحاظ عنصر مصلحت در قانون انسانی به قوت خود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آکوئیناس دو مطلب متفاوت، مصلحت و سلسله مراتب قوانین را در کنار هم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لحاظ مصلحت در بحث آکوئیناس، قانون انسانی است و نه تنها قانون الهی از لحاظِ عنصر مصلحت خارج است، بلکه قانون گذاری انسان محدود به این است که دامنه آن به حوزه قانون الهی کشیده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آکوئیناس معتقد است که در قانون الهی نیز مصلحت بندگان به نوعی دیگر لحاظ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ارتباطی میان لحاظِ عنصر مصلحت در قانون انسانی و جمع میان عقل و وحی وجود ندارد تا آکوئیناس بخواهد با وارد کردن عنصر </w:t>
      </w:r>
    </w:p>
    <w:p>
      <w:pPr>
        <w:pStyle w:val="BookText"/>
        <w:rPr/>
      </w:pPr>
      <w:r>
        <w:rPr>
          <w:rFonts w:ascii="IRNazanin" w:hAnsi="IRNazanin" w:eastAsia="IRNazanin"/>
          <w:color w:val="111111"/>
          <w:sz w:val="28"/>
          <w:sz w:val="28"/>
          <w:szCs w:val="28"/>
          <w:rtl w:val="true"/>
          <w:lang w:bidi="fa-IR"/>
        </w:rPr>
        <w:t>مصحلت به جمع میان عقل و وحی مدد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مقصود نویسنده از مطالبی که از متألهین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آکوئیناس باشد، آن گاه این انتقادات بر او وارد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آکوئیناس کلیه قواعد و مقررات شرعی را دایر مدار مصلحت بشریت می داند، ولی تفسیر خاصی از مصلحت بشریت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مصلحت بشریت، تأمین سعادت دنیوی و اخروی اوست و عقل انسانی از درک حقیقت و تمامیت این سعادت دنیوی و اخروی قاصر است و از همین جاست که نیازمند وحی و قانون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با عقل انسانی مصلحت وسعادت بشری را دریافت و براین اساس به احکام شرعی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آکوئیناس این نیست که نوعی تئولوژی عقلانی یا طبیعی تأمین کند که احکام دیگر، از طریق توسل به نصوص استنباط و استخراج نشوند؛ زیرا همان طور که بیان شد، آکوئیناس به لزوم قانون الهی و وحیانی بودن آن معتقد است و دست عقل بشری را از دریافت تمامیت و حقیقت فلسفه اصلی احکام الهی کوتاه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هم لازم است که دیدگاه امام راحل در باب مصلحت، با نظر آکوئیناس در این باره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امام راحل در صورت تزاحم احکام اولیه الهیه با مصلحت نظام، مصلحت نظام مقدم است، در حالی که در نظر آکوئیناس، حوزه مصلحت در قانون گذاری انسانی، محدود به عدم مخالفت و تنافی با احکام الهی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نویسنده با استناد مکرر به نظر آکوئیناس درباره </w:t>
      </w:r>
      <w:bookmarkStart w:id="235" w:name="pg3480_42328"/>
    </w:p>
    <w:p>
      <w:pPr>
        <w:pStyle w:val="BookText"/>
        <w:rPr/>
      </w:pPr>
      <w:bookmarkEnd w:id="235"/>
      <w:r>
        <w:rPr>
          <w:rFonts w:ascii="IRNazanin" w:hAnsi="IRNazanin" w:eastAsia="IRNazanin"/>
          <w:color w:val="111111"/>
          <w:sz w:val="28"/>
          <w:sz w:val="28"/>
          <w:szCs w:val="28"/>
          <w:rtl w:val="true"/>
          <w:lang w:bidi="fa-IR"/>
        </w:rPr>
        <w:t xml:space="preserve">مصلحت، می خواهد نقش مصلحت در سکولار کردن دین و به دنبال آن سکولارشدن سیاست و جامعه را 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عنصر مصلحت در دستگاه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سکولارشدن دین سکولارشدن سیاست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نویسنده در هیچ جا، نه تنها نتوانسته است این رابطه و نسبت را نشان دهد، بلکه اثبات این ادعا را به طور کلی مغفول گذاشته است</w:t>
      </w:r>
      <w:r>
        <w:rPr>
          <w:rFonts w:eastAsia="IRNazanin" w:cs="IRNazanin"/>
          <w:color w:val="111111"/>
          <w:sz w:val="28"/>
          <w:szCs w:val="28"/>
          <w:rtl w:val="true"/>
          <w:lang w:bidi="fa-IR"/>
        </w:rPr>
        <w:t>.</w:t>
      </w:r>
    </w:p>
    <w:p>
      <w:pPr>
        <w:pStyle w:val="Heading5"/>
        <w:numPr>
          <w:ilvl w:val="4"/>
          <w:numId w:val="1"/>
        </w:numPr>
        <w:rPr/>
      </w:pPr>
      <w:bookmarkStart w:id="236" w:name="__RefHeading___Toc3418272_2749589250"/>
      <w:bookmarkStart w:id="237" w:name="_Toc92"/>
      <w:bookmarkEnd w:id="236"/>
      <w:r>
        <w:rPr>
          <w:rtl w:val="true"/>
        </w:rPr>
        <w:t xml:space="preserve">دوم </w:t>
      </w:r>
      <w:r>
        <w:rPr>
          <w:rtl w:val="true"/>
        </w:rPr>
        <w:t xml:space="preserve">- </w:t>
      </w:r>
      <w:r>
        <w:rPr>
          <w:rtl w:val="true"/>
        </w:rPr>
        <w:t>فقه شناسی</w:t>
      </w:r>
      <w:bookmarkEnd w:id="237"/>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شناسی</w:t>
      </w:r>
    </w:p>
    <w:p>
      <w:pPr>
        <w:pStyle w:val="BookText"/>
        <w:rPr/>
      </w:pPr>
      <w:r>
        <w:rPr>
          <w:rFonts w:ascii="IRNazanin" w:hAnsi="IRNazanin" w:eastAsia="IRNazanin"/>
          <w:color w:val="111111"/>
          <w:sz w:val="28"/>
          <w:sz w:val="28"/>
          <w:szCs w:val="28"/>
          <w:rtl w:val="true"/>
          <w:lang w:bidi="fa-IR"/>
        </w:rPr>
        <w:t>ادعاهای نویسنده در باب فقه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فقه شیعی در مقابل دگرگونی، مقاومت زیادی از خود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نویسنده مدعای مقاله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عرفی شدن فقه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اساس قرار داده است که در فقه شیعی، نوعی تمایل تاریخی به عرفی شدن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این تنافی و تهافت را به نویسنده وامی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مدت ها پیش، پاره ای روش های 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قیاس، سدّ ذرایع، استحسان، تنقیح مناط، مصالح مرسله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ها مجال را برای دگرگونی آرام فقه اهل سنت مساعد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آشنایان با علم اصول می دانند که امثال قیاس، سدّ ذرایع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سنت از مصادر و ادله به حساب می آیند و این امور روش های استنباط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ادله مورد توافق همه مذاهب فقهی اهل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بعضی از این منابع را پذیرفته و بعضی دیگر از این منابع را مردود </w:t>
      </w:r>
    </w:p>
    <w:p>
      <w:pPr>
        <w:pStyle w:val="BookText"/>
        <w:rPr/>
      </w:pP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گفتار نویسنده این است که فقه اهل سنت امکان دگرگونی آرام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نویسنده از دگرگونی، مدرنیزه شدن را در نظر دارد، جای این پرسش است که آیا فقه اهل سنت به آرامی مدرنیزه شده است؟ نمونه بارز عدم دگرگونی را می توان در فقه حنبلی و مانند آن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مکاتب فقهی اهل سنت نیز مشابه همین گونه مباحث فقهی شیعه و امور مبتلا به را دارند، ولی این که کدام یک از این مذاهب فقهی اسلامی برای پاسخ گویی به تحولات اجتماعی تواناتر هستند، مطلب جداگانه ای است که باید در جای خود مورد بحث و بررسی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استنباطی به طور کل چیز دیگری است و لازمه هر مکتب فقهی یا حقوقی است و امکان ندارد که یک مکتب فقهی یا حقوقی روش استنباط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حدود نیمی از مباحث اصولی شیعه و نیمی از حجم آن درباره روش های استنباط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به عنوان یکی از ادله اربعه، صرفا مجموعه ای از قواعد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برائت، استصحاب و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آشنایان با علم اصول می 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 مورد بحث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روش های استنباط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منابع استنباط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قواعد عملی به طور کل ماهیتی متفاوت از روش های استنباط یا </w:t>
      </w:r>
    </w:p>
    <w:p>
      <w:pPr>
        <w:pStyle w:val="BookText"/>
        <w:rPr/>
      </w:pPr>
      <w:r>
        <w:rPr>
          <w:rFonts w:ascii="IRNazanin" w:hAnsi="IRNazanin" w:eastAsia="IRNazanin"/>
          <w:color w:val="111111"/>
          <w:sz w:val="28"/>
          <w:sz w:val="28"/>
          <w:szCs w:val="28"/>
          <w:rtl w:val="true"/>
          <w:lang w:bidi="fa-IR"/>
        </w:rPr>
        <w:t>منابع استنباط دارد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الهی را از چه منابعی به دست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حجج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احکام الهی را از منابع استنباط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نتوانستیم در موردی حکم الهی را از منابع به دست آوریم، وظیفه ما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عملی در پاسخ به پرسش سوم است و عقل در پرسش های اول و دوم مورد بحث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علاوه بعضی از این اصول عملی، به عنوان اصلی عملی اصلاً عقلی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 در صورتی که استصحاب عقلی باشد، اصل عملی نبوده و از امارات به حساب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قیاس با فقه اهل سنت، عنصر مصلحت نقش چندانی در فقه شیعی بازی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 که جمهور اهل سنت، اخذ به مصالح مرسله نمی کنند و تنها مالکیه و حنابله آن را اجازه می دهند</w:t>
      </w:r>
      <w:r>
        <w:rPr>
          <w:rStyle w:val="FootnoteAnchor"/>
          <w:rtl w:val="true"/>
        </w:rPr>
        <w:footnoteReference w:id="46"/>
      </w:r>
      <w:r>
        <w:rPr>
          <w:rFonts w:ascii="IRNazanin" w:hAnsi="IRNazanin" w:eastAsia="IRNazanin"/>
          <w:color w:val="111111"/>
          <w:sz w:val="28"/>
          <w:sz w:val="28"/>
          <w:szCs w:val="28"/>
          <w:rtl w:val="true"/>
          <w:lang w:bidi="fa-IR"/>
        </w:rPr>
        <w:t>و در میان مالکیه مخالف هم دارد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فقه شیعی هزاران بار به مصلحت استناد و اشاره شده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فقه و قانون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قسمتی از مقاله، با عنوان تفاوت های فقه و قانون، آرای لون فولر را درباره ویژگی های قانون نقل کرده، این ویژگی ها را در مقایسه </w:t>
      </w:r>
    </w:p>
    <w:p>
      <w:pPr>
        <w:pStyle w:val="BookText"/>
        <w:rPr/>
      </w:pPr>
      <w:r>
        <w:rPr>
          <w:rFonts w:ascii="IRNazanin" w:hAnsi="IRNazanin" w:eastAsia="IRNazanin"/>
          <w:color w:val="111111"/>
          <w:sz w:val="28"/>
          <w:sz w:val="28"/>
          <w:szCs w:val="28"/>
          <w:rtl w:val="true"/>
          <w:lang w:bidi="fa-IR"/>
        </w:rPr>
        <w:t>با ویژگی های فقه به عنوان تفاوت های فقه و قانون به حساب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این که مطالبی را که نقل می کند،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معمولاً نقلیات نویسنده نادرست است، این فرض بسیار مورد تردید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ویژگی های ادعایی را درباره این هر دو، فقه و قانون، مورد بررسی قرار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باید عام و همه شمول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توضیح و تبیین این ویژگی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قلمرو هر کشور باید قانون واحدی حاکم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آشنایان با حقوق تطبیقی می دانند که در کشورهایی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کانادا و انگلیس، قانون واحدی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ایالت لوئیزیانا در امریکا و ایالت کبک در کانادا، قوانین خاص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سیستم 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که از اساس با قوانین دیگر مناطق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کامن لا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کشوری مانند انگلیس، چند سیستم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کامن لا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یکدیگر قرار دارند و چگونگی طرح دعوا و مرجع رسیدگی کننده، در این که عمل و موضوع واحد تحت چه عنوانی قرار گیرد و با چه سیستمی رسیدگی شود، مؤثر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برخلاف گفته نویسنده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دستگاه فقهی ما فاقد چنین عمومیتی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اتفاقا دستگاه فقهی دارای چنین عمومیتی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به هنگام استنباط حکم فقهی آن را عمومی تلقی می کند و آن را </w:t>
      </w:r>
    </w:p>
    <w:p>
      <w:pPr>
        <w:pStyle w:val="BookText"/>
        <w:rPr/>
      </w:pPr>
      <w:r>
        <w:rPr>
          <w:rFonts w:ascii="IRNazanin" w:hAnsi="IRNazanin" w:eastAsia="IRNazanin"/>
          <w:color w:val="111111"/>
          <w:sz w:val="28"/>
          <w:sz w:val="28"/>
          <w:szCs w:val="28"/>
          <w:rtl w:val="true"/>
          <w:lang w:bidi="fa-IR"/>
        </w:rPr>
        <w:t>مخصوص محل، منطقه یا بخش خاصی نمی داند و این احکام را احکام مکلّفین دانسته، حتی غیرمسلمانان را نیز در این احکام شریک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قوانین جزای سیستم فقهی ما محلی است، هم تطبیق این قوانین به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تطبیق کاری کارشناسانه است که غالبا خود فقیه آن را انجام می دهد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با توجه به این که گفتار نویسنده از اساس نادرست است، امکان دارد گفتار او را این گونه توجیه کنیم که منظور از قوانین جزایی، تعزیرات است که تنها بخشی از قوانین جزایی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تعزیرات خصوصیتی دارد که آن را از دیگر قوانین جزایی جدا می کند؛ زیرا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 بید الحاکم و علی مایراه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تناسب شخصیت و وضعیت مجرم او را تعزیر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را مورد عفو قرار می دهد یا به توبیخ بسنده می کند یا او را جریمه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خصوصیت تعزیرات، خصوصیت مترقی و پیشرفته ای است که بعضی سیستم های حقوقی اروپایی نیز در حال حرکت به این سو هستند که شخصیت مجرم و وضعیت او را در عفو یا مجازات و مقدار مجازات لحاظ کنند و دست قاضی را در این موارد باز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ویژگی تنها ویژگی تعزیرات است، نه ویژگی قوانین جزایی سیستم فقهی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ویژگی لحاظ رعایت شخصیت مجرم است، نه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محلی بودن در این جا معنای صحیح و روشنی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تعزیر به هیچ وجه ربطی به فقیه به عنوان فقیه ندارد، بلکه به </w:t>
      </w:r>
    </w:p>
    <w:p>
      <w:pPr>
        <w:pStyle w:val="BookText"/>
        <w:rPr/>
      </w:pPr>
      <w:r>
        <w:rPr>
          <w:rFonts w:ascii="IRNazanin" w:hAnsi="IRNazanin" w:eastAsia="IRNazanin"/>
          <w:color w:val="111111"/>
          <w:sz w:val="28"/>
          <w:sz w:val="28"/>
          <w:szCs w:val="28"/>
          <w:rtl w:val="true"/>
          <w:lang w:bidi="fa-IR"/>
        </w:rPr>
        <w:t>قاضی مربوط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اتفاقا بعضی از سیستم های حقوقی دنیا، این ویژگی تعزیرات را الگو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جزایی سیستم فقهی ما با هیچ توجیه و تبیینی، محلی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 این قوانین بر مصادیق شأن فقیه بما هو فقیه نیست، بلکه شأن قاضی 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فقیه ممکن است قاضی و حاکم باشد یا نباشد و قاضی و حاکم هم ممکن است فقیه باشد و ممکن است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استنباط احکام فقهی ربطی به حضور فقهای مختلف، در نقاط مختلف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ظاهرا یک نوع ملوک الطوایفی را فرض کرده که هر فقیهی، در گوشه ای برای خود ولایتی برپا کرده است و بر اساس دکترین فقهی خود استنباط، تطبیق و اجرا نیز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تصوری از فقه، فقاهت و ولایت فقیه، تنها در ذهن نویسنده وجود دارد و به نظریه ولایت فقیه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 جمله درباره فقه می گوید و در این دو جمله اشتباهات متعدد دارد، آیا می تواند درباره فقه نظریه پردازی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یالها من مصیبة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باید علنی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توضیح می دهد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باید به همه کسانی که انتظار داریم آن قانون را به کار بندند، </w:t>
      </w:r>
    </w:p>
    <w:p>
      <w:pPr>
        <w:pStyle w:val="BookText"/>
        <w:rPr/>
      </w:pPr>
      <w:r>
        <w:rPr>
          <w:rFonts w:ascii="IRNazanin" w:hAnsi="IRNazanin" w:eastAsia="IRNazanin"/>
          <w:color w:val="111111"/>
          <w:sz w:val="28"/>
          <w:sz w:val="28"/>
          <w:szCs w:val="28"/>
          <w:rtl w:val="true"/>
          <w:lang w:bidi="fa-IR"/>
        </w:rPr>
        <w:t xml:space="preserve">اظهار و اعلان بشود، اما ممکن است در دستگاه فقهی ما، احکامی وجود داشته باشد که به هر دلیل اعلان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و اعلان قانون چگونه است؟</w:t>
      </w:r>
    </w:p>
    <w:p>
      <w:pPr>
        <w:pStyle w:val="BookText"/>
        <w:rPr/>
      </w:pPr>
      <w:r>
        <w:rPr>
          <w:rFonts w:ascii="IRNazanin" w:hAnsi="IRNazanin" w:eastAsia="IRNazanin"/>
          <w:color w:val="111111"/>
          <w:sz w:val="28"/>
          <w:sz w:val="28"/>
          <w:szCs w:val="28"/>
          <w:rtl w:val="true"/>
          <w:lang w:bidi="fa-IR"/>
        </w:rPr>
        <w:t>قانون در متون خاصی مانند روزنامه رسمی درج می گردد و قانون گذار پس از گذشت مدت معینی، مثلاً ده یا پانزده روز پس از درج قانون در روزنامه رسمی، همه آحاد ملت را آگاه به آن قانون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اظهار و اعلان قانون در روزنامه رسمی که توسط دادگستری منتشر می شود و قریب به اتفاق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گروهی از حقوق دانان و اهل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را ندیده و نمی بینند و اطلاعی از آن ندارند، برای آگاهی از قانون کافی است و به این ترتیب، مردم آگاه به قانون تلقی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فقه، احکامی وجود دارد که اعلان نشده، یعنی چه؟</w:t>
      </w:r>
    </w:p>
    <w:p>
      <w:pPr>
        <w:pStyle w:val="BookText"/>
        <w:rPr/>
      </w:pPr>
      <w:r>
        <w:rPr>
          <w:rFonts w:ascii="IRNazanin" w:hAnsi="IRNazanin" w:eastAsia="IRNazanin"/>
          <w:color w:val="111111"/>
          <w:sz w:val="28"/>
          <w:sz w:val="28"/>
          <w:szCs w:val="28"/>
          <w:rtl w:val="true"/>
          <w:lang w:bidi="fa-IR"/>
        </w:rPr>
        <w:t>در فقه وجود دارد، یعنی در کتب فقهی موجود است و کتب فقهی در این مورد، مشابه روزنامه رسمی است که اهل فن از آن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مثالی که نویسنده از نظر امام راحل درباره ازدواج معاطاتی زده است، این نظر در کتب فقهی امام از گذشته وجود دارد</w:t>
      </w:r>
      <w:r>
        <w:rPr>
          <w:rStyle w:val="FootnoteAnchor"/>
          <w:rtl w:val="true"/>
        </w:rPr>
        <w:footnoteReference w:id="50"/>
      </w:r>
      <w:r>
        <w:rPr>
          <w:rFonts w:ascii="IRNazanin" w:hAnsi="IRNazanin" w:eastAsia="IRNazanin"/>
          <w:color w:val="111111"/>
          <w:sz w:val="28"/>
          <w:sz w:val="28"/>
          <w:szCs w:val="28"/>
          <w:rtl w:val="true"/>
          <w:lang w:bidi="fa-IR"/>
        </w:rPr>
        <w:t>و تعبیر به این که امام تا آن زمان نظر خود را اعلان نکردند نادرست است، مگر این که نظر نویسنده این باشد که درج در روزنامه رسمی علنی است، ولی درج در کتب فقهی غیرعلنی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اولاً عطف به ما سبق نمی شود و ثانیا اجرای پاره ای قوانین مشمول مرور زمان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آگاهان به علم حقوق می دانند که در شرایطی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جایی که قانون جدید ترتیبات خفیف تری را برای جرم در نظر گرفته یا آیین دادرسی را تغییر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قانون عطف به ما سبق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فقیهی امروز فتوایی صادر کند و بر مقلدینش واجب باشد که اعمال گذشته خود را بر مبنای فتوای امروز تصحیح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آگاهان به فقه و اصول می دانند مطلبی که نویسنده بیان می دارد،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فقه و اصول از آن بحث شده، ناسازگار است و اعمال تکلیفی گذشته مقلدان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اندیشه وران علم فقه، مرور زمان را به استناد روایتی از حضرت امیر علیه السلام و بعضی دیگر، برای نظم امور می پذیرند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باید واضح، بدون تعقید و قابل فهم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نویسنده در پی تصویری آرمانی از قانون است و آن تصویر آرمانی را که چه بسا در عالم واقع، قانون برخلاف آن باشد، می خواهد با قسمت هایی از فقه که به نظر او معقَّد است، مقایسه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منصفانه پذیرفت که کشداربودن و تعقید در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 و واقعی، نه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احیانا ممکن است در عبارتی فقهی نیز تعقید مشاهده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نقیصه در هر دو مورد صدق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قوانین باید واجد سازگاری درونی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در قانون و هم در فقه، ممکن است احیانا ناسازگاری درونی </w:t>
      </w:r>
    </w:p>
    <w:p>
      <w:pPr>
        <w:pStyle w:val="BookText"/>
        <w:rPr/>
      </w:pP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گفته شد، نویسنده تصویری آرمانی و نه واقعی از قانون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احیانا با مواردی از فقه موجود، یعنی بیش از هزار سال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 کند که روش نادرستی در مقایسه و بررسی است؛ زیرا در هر دو مورد یا باید تصویر آرمانی را مورد نظر و ملاک قرارداد، یا وجود واقعی را وگرنه قیاس نادرستی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قوانین نباید تکلیف به ما لایطاق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فقه گفته شده است که تکلیف به ما لایطاق، از مولای حکیم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مبنا فقه نیز تکلیف به مالایطاق را نادرست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باید ضمن دوام، قابلیت تغییر و تحول بر اثر تحول مناسبات واقعی اجتماعی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مورد فقه ادعا شده است که خود را به طور گسترده با تحول مناسبات واقعی اجتماع هماهنگ می سازد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باید ضمانت اجرایی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ضمانت اجرایی بیرون از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ضمانت اجرای فقه نیز بیرون از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ضمانت اجرا، مجری فقه یا قانون،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ادامه، خود برخی ویژگی ها را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دیگر این که دستگاه های حقوقی چنان که از نامشان برمی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اما دستگاه های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238" w:name="pg3480_42337"/>
    </w:p>
    <w:p>
      <w:pPr>
        <w:pStyle w:val="BookText"/>
        <w:rPr/>
      </w:pPr>
      <w:bookmarkEnd w:id="238"/>
      <w:r>
        <w:rPr>
          <w:rFonts w:ascii="IRNazanin" w:hAnsi="IRNazanin" w:eastAsia="IRNazanin"/>
          <w:color w:val="111111"/>
          <w:sz w:val="28"/>
          <w:sz w:val="28"/>
          <w:szCs w:val="28"/>
          <w:rtl w:val="true"/>
          <w:lang w:bidi="fa-IR"/>
        </w:rPr>
        <w:t>نویسنده گمان برده است که منظور از واژه حقوق، جمع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واژه اصطلاح خاصی است و در مقابل واژه </w:t>
      </w:r>
      <w:r>
        <w:rPr>
          <w:rFonts w:eastAsia="Times New Roman" w:cs="Times New Roman" w:ascii="Times New Roman" w:hAnsi="Times New Roman"/>
          <w:color w:val="111111"/>
          <w:sz w:val="28"/>
          <w:szCs w:val="28"/>
          <w:lang w:val="en-US" w:bidi="en-US"/>
        </w:rPr>
        <w:t>Law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 می رود،</w:t>
      </w:r>
      <w:r>
        <w:rPr>
          <w:rStyle w:val="FootnoteAnchor"/>
          <w:rtl w:val="true"/>
        </w:rPr>
        <w:footnoteReference w:id="53"/>
      </w:r>
      <w:r>
        <w:rPr>
          <w:rFonts w:ascii="IRNazanin" w:hAnsi="IRNazanin" w:eastAsia="IRNazanin"/>
          <w:color w:val="111111"/>
          <w:sz w:val="28"/>
          <w:sz w:val="28"/>
          <w:szCs w:val="28"/>
          <w:rtl w:val="true"/>
          <w:lang w:bidi="fa-IR"/>
        </w:rPr>
        <w:t xml:space="preserve">واژه </w:t>
      </w:r>
      <w:r>
        <w:rPr>
          <w:rFonts w:eastAsia="Times New Roman" w:cs="Times New Roman" w:ascii="Times New Roman" w:hAnsi="Times New Roman"/>
          <w:color w:val="111111"/>
          <w:sz w:val="28"/>
          <w:szCs w:val="28"/>
          <w:lang w:val="en-US" w:bidi="en-US"/>
        </w:rPr>
        <w:t>Law</w:t>
      </w:r>
      <w:r>
        <w:rPr>
          <w:rFonts w:ascii="IRNazanin" w:hAnsi="IRNazanin" w:eastAsia="IRNazanin"/>
          <w:color w:val="111111"/>
          <w:sz w:val="28"/>
          <w:sz w:val="28"/>
          <w:szCs w:val="28"/>
          <w:rtl w:val="true"/>
          <w:lang w:bidi="fa-IR"/>
        </w:rPr>
        <w:t>به معنای قانون، قاعده و شریعت است و در معنای آن مفهوم حق وجود ندارد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به علاوه حق وتکلیف دو روی یک سکه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بدون تکلیف و تکلیف بدون حق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ادامه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آخر آن که در دستگاه های حقوقی، افتراق یافتگی به چشم می خورد، اما دستگاه های فقهی فاقد چنین خصیصه ای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افتراق یافتگی در دستگاه های حقوقی، تفکیک وظایف دادستان و دادیار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آیین دادرسی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آشنایان با علم حقوق می دانند که هر سیستم حقوقی، برای خود دستگاه قضایی و نحوه رسیدگی و دادرسی خاصی دارد که با سیستم حقوقی دیگر، می تواند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آیین دادرسی و دستگاه قضایی در دو سیستم 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ژرمنی و کامن لا، کاملاً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آشنایان با فقه و فقاهت و تاریخ فقه می دانند که در تاریخ فقه اسلامی، تفکیک وظایف به طور وسیع وجود داشته و حتی احتمال داده شده که سیستم های کنونی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نحوه تفکیک وظایف را از سیستم قضایی اسلام اقتباس کرده باشند</w:t>
      </w:r>
      <w:r>
        <w:rPr>
          <w:rFonts w:eastAsia="IRNazanin" w:cs="IRNazanin"/>
          <w:color w:val="111111"/>
          <w:sz w:val="28"/>
          <w:szCs w:val="28"/>
          <w:rtl w:val="true"/>
          <w:lang w:bidi="fa-IR"/>
        </w:rPr>
        <w:t>.</w:t>
      </w:r>
      <w:r>
        <w:rPr>
          <w:rStyle w:val="FootnoteAnchor"/>
          <w:rtl w:val="true"/>
        </w:rPr>
        <w:footnoteReference w:id="55"/>
      </w:r>
    </w:p>
    <w:p>
      <w:pPr>
        <w:pStyle w:val="Heading5"/>
        <w:numPr>
          <w:ilvl w:val="4"/>
          <w:numId w:val="1"/>
        </w:numPr>
        <w:rPr/>
      </w:pPr>
      <w:bookmarkStart w:id="239" w:name="__RefHeading___Toc3418274_2749589250"/>
      <w:bookmarkStart w:id="240" w:name="_Toc93"/>
      <w:bookmarkEnd w:id="239"/>
      <w:r>
        <w:rPr>
          <w:rtl w:val="true"/>
        </w:rPr>
        <w:t xml:space="preserve">سوم </w:t>
      </w:r>
      <w:r>
        <w:rPr>
          <w:rtl w:val="true"/>
        </w:rPr>
        <w:t xml:space="preserve">- </w:t>
      </w:r>
      <w:r>
        <w:rPr>
          <w:rtl w:val="true"/>
        </w:rPr>
        <w:t>ولایت فقیه</w:t>
      </w:r>
      <w:bookmarkEnd w:id="24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p>
    <w:p>
      <w:pPr>
        <w:pStyle w:val="BookText"/>
        <w:rPr/>
      </w:pPr>
      <w:r>
        <w:rPr>
          <w:rFonts w:ascii="IRNazanin" w:hAnsi="IRNazanin" w:eastAsia="IRNazanin"/>
          <w:color w:val="111111"/>
          <w:sz w:val="28"/>
          <w:sz w:val="28"/>
          <w:szCs w:val="28"/>
          <w:rtl w:val="true"/>
          <w:lang w:bidi="fa-IR"/>
        </w:rPr>
        <w:t>نویسنده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ای عقلانی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یک دولت مدرن در حال شکل گیری است، میل به اتاتیسم شدت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ولایت مطلقه فقیه، پاسخی است به میل به اتاتیسم در ایران پس از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توضیح می 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های مدرن در ابتدا دولت هایی مطلقه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خصیصه را هم در تئوری دولت هگل می توان دید، هم در لویاتان هابز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نویسنده ولایت مطلقه فقیه را نوعی دولت مطلقه مانند لویاتان هابز، می داند که از اشکال آغازین و ابتدایی دولت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خواهد با ارائه قرائت انتخابی از ولایت فقیه، شکلی از دولت مدرن را از آن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تلاش می کند ولایت را معادل حاکمیت و مطلقه را صفت حاکمیت قرار دهد و در این راستا به نظریه بُدن، در باب مطلقه بودن حاکمیت نیز استناد می کند و از ولایت فقیه به فقه منتقل شده و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توان در گذار به سوی مدرنیته و در تیزاب نقد مدرن، مخمری به کار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کند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دستگاه فقهی ما به یک دستگاه حقوق عرفی تبدیل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مخمر را نیز مصلحت معرفی می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هسته عقلانی نظریه ولایت مطلقه فقیه، از نظر نویسنده در تحلیل نهایی این است که دستگاه فقهی را به یک دستگاه حقوقی عرفی تبدیل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مدرن از نظر نویسنده دولت انتخابی است؛ در عین حال این دولت انتخابی مدرن، مطلقه هم هست و در این راستا به بُدن و هابز استناد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معادل حاکمیت و ولایت مطلقه معادل حاکمیت مطلقه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 به مدد مخمر مصلحت، ولایت مطلقه فقیه را به حاکمیت قانون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نویسنده تصور صحیحی از فقه یا قانون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دیدیم و در ادامه همین بخش خواهیم دید که نویسنده تصور صحیحی از ولایت فقیه یا دولت مدرن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که نویسنده تصور صحیحی از جایگاه مصلحت در فقه شیعی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سکولاریزاسیون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خواهیم دید که نویسنده تصور صحیحی از سکولاریزاسیون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آشنایان با نظرات بُدن و هابز می دانند که دولت مورد نظر این دو، دولت های انتخابی نیستند؛ چنان که بُدن از حکومت سلطنتی دفاع نموده و هابز نیز از اقسام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لویاتان مورد نظر هابز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w:t>
      </w:r>
    </w:p>
    <w:p>
      <w:pPr>
        <w:pStyle w:val="BookText"/>
        <w:rPr/>
      </w:pPr>
      <w:r>
        <w:rPr>
          <w:rFonts w:ascii="IRNazanin" w:hAnsi="IRNazanin" w:eastAsia="IRNazanin"/>
          <w:color w:val="111111"/>
          <w:sz w:val="28"/>
          <w:sz w:val="28"/>
          <w:szCs w:val="28"/>
          <w:rtl w:val="true"/>
          <w:lang w:bidi="fa-IR"/>
        </w:rPr>
        <w:t>اکتسابی را بر می شمارد که با زور و غلبه به دست می آید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بنابراین، میان دولت مدرن مطلقه و انتخابی بودن آن ارتباطی نیست تا نویسنده بکوشد با ارائه قرائت انتخابی از ولایت مطلقه فقیه، آن را به دولت مدرن تبدیل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به جهت ناآشنایی با فقه و متون فقهی و نظرات امام راحل، تلاش کرده ولایت را معادل حاکمیت قرار دهد و مطلقه را نیز صفت آن بگیرد، در حالی که امام راحل در بیع، از هر دو نوع ولایت مطلقه و ولایت مقیده سخن گفته و صراحتا ولایت مطلقه را معادل حاکمیت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معادله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و ولایت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 و ترتیب صحیح معادله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توصیف ولایت متوجه نشده و آن را به همان معنای رایج این اصطلاح در علوم سیاسی تصور کرده است، در حالی که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ولایت، اصطلاحی فقهی و اصولی است و همان طور که در اصول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شناخت ولایت مطلقه در </w:t>
      </w:r>
      <w:bookmarkStart w:id="241" w:name="pg3480_42341"/>
    </w:p>
    <w:p>
      <w:pPr>
        <w:pStyle w:val="BookText"/>
        <w:rPr/>
      </w:pPr>
      <w:bookmarkEnd w:id="241"/>
      <w:r>
        <w:rPr>
          <w:rFonts w:ascii="IRNazanin" w:hAnsi="IRNazanin" w:eastAsia="IRNazanin"/>
          <w:color w:val="111111"/>
          <w:sz w:val="28"/>
          <w:sz w:val="28"/>
          <w:szCs w:val="28"/>
          <w:rtl w:val="true"/>
          <w:lang w:bidi="fa-IR"/>
        </w:rPr>
        <w:t>آغاز باید ولایت مقیده را شناخت تا وجه اطلاق را ملتفت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مقیده، ولایت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حسبیه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7"/>
      </w:r>
      <w:r>
        <w:rPr>
          <w:rFonts w:ascii="IRNazanin" w:hAnsi="IRNazanin" w:eastAsia="IRNazanin"/>
          <w:color w:val="111111"/>
          <w:sz w:val="28"/>
          <w:sz w:val="28"/>
          <w:szCs w:val="28"/>
          <w:rtl w:val="true"/>
          <w:lang w:bidi="fa-IR"/>
        </w:rPr>
        <w:t>و ولایت مطلقه، ولایتی فراتر از امور حسبیه بوده، ناظر به امور حکومتی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این معادله را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مطلقه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حاکمیت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اندیشه امام راحل، ولایت فقیه و حکومت اسلامی حکومت قانون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مطلقه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قانون</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عنصر مصلحت نیز، عنصری بیگانه با ولایت فقیه نیست تا با تدبیر به ولایت فقیه افزوده گردد و آن را به حکومت قانون تبدیل کند، بلکه عنصر مصلحت از مفهوم ولایت جدایی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ولایت مطلقه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عمل بر طبق مصلحت مردم</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242" w:name="__RefHeading___Toc3418276_2749589250"/>
      <w:bookmarkStart w:id="243" w:name="_Toc94"/>
      <w:bookmarkEnd w:id="242"/>
      <w:r>
        <w:rPr>
          <w:rtl w:val="true"/>
        </w:rPr>
        <w:t xml:space="preserve">- </w:t>
      </w:r>
      <w:r>
        <w:rPr>
          <w:rtl w:val="true"/>
        </w:rPr>
        <w:t>ولایت مطلقه فقیه و سکولاریزاسیون</w:t>
      </w:r>
      <w:bookmarkEnd w:id="2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مطلقه فقیه و سکولاریزاسیون</w:t>
      </w:r>
    </w:p>
    <w:p>
      <w:pPr>
        <w:pStyle w:val="BookText"/>
        <w:rPr/>
      </w:pPr>
      <w:r>
        <w:rPr>
          <w:rFonts w:ascii="IRNazanin" w:hAnsi="IRNazanin" w:eastAsia="IRNazanin"/>
          <w:color w:val="111111"/>
          <w:sz w:val="28"/>
          <w:sz w:val="28"/>
          <w:szCs w:val="28"/>
          <w:rtl w:val="true"/>
          <w:lang w:bidi="fa-IR"/>
        </w:rPr>
        <w:t>از نظر نویسنده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گره خوردن دستگاه فقاهت و فقه با دستگاه دولت، نهاد سیاست آثار و مقتضیات خود را به نهاد دین تحمیل می کند و به این ترتیب، دین دولتی شده سکولار می گردد؛ زیرا دولت، مهم ترین کانون و عامل عرفی کننده است و از آن جا که باید بر اساس عقلانیت ابزاری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سنجشگر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در پیوند با فقه این ویژگی عقلانیت ابزاری و سنجشگر را به فقه نیز منتقل می سازد و بدین ترتیب، فقه متصل به دولت در چالش با مدرنیته آن قدر صیقل می خورد تا تنها هسته عقلانی اش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ولایت مطلقه فقیه امام نیز برای افزایش ظرفیت دستگاه دینی و فقهی ما، در چالش با جهان مدرن ارائه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تأسیس دولت جمهوری اسلامی، سه راه را پیش رو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اعتنایی به تحولات زمانه و تصلب بر فقه سنتی؛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راندن دین از حوزه عمومی و سپردن حکومت به یک دولت عرفی؛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المصلحة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امام راه سوم را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مورد نظر امام، مصلحت مرسله یا آزاد از قیود شرعی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دولت اسلامی در حوزه امور عمومی به جای شارع می نشیند و با هدف تأمین مصالح ملی، قانون وضع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مصلحت سنجی، یعنی ارزیابی 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وارد یک دستگاه جزمی بشود، سریعا آن را 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عرفی شدن دو معنا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قدسیات به عرفیات یا تبدیل جزم به خرد که در فقه المصلحة رخ می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تمایز یافتن نهاد دین از نهاد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پاورقی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سکولاریزاسیونی که نویسنده در این مقاله در پی اثبات آن است، فرآیندی است که در پی پیوند فقه با دولت حاصل می شود که به این ترتیب دولت اقتضائات خود را که ضرورتِ لحاظ عقلانیتِ متعارف ابزاری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سنجشگر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بر فقه تحمیل می کند و فقه دولتی به ناچار به فقه المصلحة تغییر ماهیت می دهد که به دین دنیوی و دین خصوصی منجر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فقه المصلحة دین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خصوصی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 تحلیل نویسنده، متکی بر نوعی دین شناسی و فقه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شناسی نویسنده، دین فاقد عقلانیت متعارف ابزاری و سنجشگر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واقع، حاوی جزمیات غیرعقلانی و غیرخردمندانه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این که به تعبیر دیگر، خود دین جزم و غیرعقلانی یا ضد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دین شناسی قادر به تبیین و تحلیل دین اسلام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نخبگان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رویارویی با مدرنیته، دین را ابزار چالش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ولایت فقیه را برای چالش و رویارویی با مدرنیته از دل سنت های دینی بیرون کشیدند و در پیوند با دولت و عرصه سیاست، ناگزیر به سوی فقه المصلحة رفتند و به مصالح مرسله، یعنی مصالح بدون هیچ قید و بندی دست یازیدند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تحلیل، ناشی از تحمیل تئوری های جامعه شناسی جهان سوم و جامعه شناسی انقلاب، بر واقعیت های تاریخی این مرز و بوم است</w:t>
      </w:r>
      <w:r>
        <w:rPr>
          <w:rFonts w:eastAsia="IRNazanin" w:cs="IRNazanin"/>
          <w:color w:val="111111"/>
          <w:sz w:val="28"/>
          <w:szCs w:val="28"/>
          <w:rtl w:val="true"/>
          <w:lang w:bidi="fa-IR"/>
        </w:rPr>
        <w:t xml:space="preserve">. </w:t>
      </w:r>
      <w:bookmarkStart w:id="244" w:name="pg3480_42344"/>
    </w:p>
    <w:p>
      <w:pPr>
        <w:pStyle w:val="BookText"/>
        <w:rPr/>
      </w:pPr>
      <w:bookmarkEnd w:id="244"/>
      <w:r>
        <w:rPr>
          <w:rFonts w:ascii="IRNazanin" w:hAnsi="IRNazanin" w:eastAsia="IRNazanin"/>
          <w:color w:val="111111"/>
          <w:sz w:val="28"/>
          <w:sz w:val="28"/>
          <w:szCs w:val="28"/>
          <w:rtl w:val="true"/>
          <w:lang w:bidi="fa-IR"/>
        </w:rPr>
        <w:t>واقعیت این است که اندیشه ولایت فقیه، قبل از تکوین و تحقق مدرنیته در فقه شیعی وجود داشته است و این که ولایت فقیه به عنوان ابزاری در چالش با مدرنیته استخراج شده است، چیزی جز ادعایی اثبات نشده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عنصر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نه مصالح مرسله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گذشته در اندیشه فقهی شیعی و امام راحل وجود داشته و امام راحل، ولایت را دایر مدار احراز مصالح مردم می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مصالح مرسله نیز به طور کل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در فقه مالکی وجود دارد که فقه حنبلی نیز به آن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مرسله به معنای آزاد از هر قید و بند شرعی نیست، بلکه به معنای این است که این مصالح را شارع مقدس رها ساخته و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نویسنده حتی از معنای مصالح مرسله هم آگاه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جزم یا ناظر به امور ثابت نیست و در بررسی دین شناسی نویسنده، این مطلب به تفصیل بیش تری بحث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برداشتی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تاریخی تمدن مسیحی و دین مسیحیت دارد و در پی تحمیل این الگو بر فقه شیعه است</w:t>
      </w:r>
      <w:r>
        <w:rPr>
          <w:rFonts w:eastAsia="IRNazanin" w:cs="IRNazanin"/>
          <w:color w:val="111111"/>
          <w:sz w:val="28"/>
          <w:szCs w:val="28"/>
          <w:rtl w:val="true"/>
          <w:lang w:bidi="fa-IR"/>
        </w:rPr>
        <w:t>.</w:t>
      </w:r>
    </w:p>
    <w:p>
      <w:pPr>
        <w:pStyle w:val="Heading5"/>
        <w:numPr>
          <w:ilvl w:val="4"/>
          <w:numId w:val="1"/>
        </w:numPr>
        <w:rPr/>
      </w:pPr>
      <w:bookmarkStart w:id="245" w:name="__RefHeading___Toc3418278_2749589250"/>
      <w:bookmarkStart w:id="246" w:name="_Toc95"/>
      <w:bookmarkEnd w:id="245"/>
      <w:r>
        <w:rPr>
          <w:rtl w:val="true"/>
        </w:rPr>
        <w:t xml:space="preserve">چهارم </w:t>
      </w:r>
      <w:r>
        <w:rPr>
          <w:rtl w:val="true"/>
        </w:rPr>
        <w:t xml:space="preserve">- </w:t>
      </w:r>
      <w:r>
        <w:rPr>
          <w:rtl w:val="true"/>
        </w:rPr>
        <w:t>مصلحت</w:t>
      </w:r>
      <w:bookmarkEnd w:id="246"/>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w:t>
      </w:r>
    </w:p>
    <w:p>
      <w:pPr>
        <w:pStyle w:val="BookText"/>
        <w:rPr/>
      </w:pPr>
      <w:r>
        <w:rPr>
          <w:rFonts w:ascii="IRNazanin" w:hAnsi="IRNazanin" w:eastAsia="IRNazanin"/>
          <w:color w:val="111111"/>
          <w:sz w:val="28"/>
          <w:sz w:val="28"/>
          <w:szCs w:val="28"/>
          <w:rtl w:val="true"/>
          <w:lang w:bidi="fa-IR"/>
        </w:rPr>
        <w:t>مصلحت در تصویر نویسنده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قیاس با فقه اهل سنت، عنصر مصلحت نقش چندانی در فقه شیعی بازی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خوردن دستگاه فقاهت با دستگاه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نهاد سیاست آثار و مقتضیات خود را به نهاد دین تحمیل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دولتمردان بر مبنای عقلانیت متعارف، امور را رتق وفتق می کنند و اگر دستگاه فقهی به نهاد دولت گره بخورد، لاجرم این ویژگی به فقه نیز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بقا، باید رفتاری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حداقلی از عقلانیت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راه بقا توسل به عقل سنجشگر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من، این مخمر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تبدیل دستگاه فقهی به دستگاه حقوق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چیزی جز مصلحت نیست، در اندیشه امام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همین روست که عنوان فرعی مقاله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 جواهری تا فقه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تفاوت های فقه و قانون را بر می شمارد که بحث از آن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الگوبرداری از تئوری های مصلحت که به اندیشمندان مسیحی نسبت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توان با تنقیح مناط، به یک مقوله کلی به نام مصلحت نوعیه احکام رسید؟ مصلحت نوعیه تقریبا معادل کلمه </w:t>
      </w:r>
      <w:r>
        <w:rPr>
          <w:rFonts w:eastAsia="Times New Roman" w:cs="Times New Roman" w:ascii="Times New Roman" w:hAnsi="Times New Roman"/>
          <w:color w:val="111111"/>
          <w:sz w:val="28"/>
          <w:szCs w:val="28"/>
          <w:lang w:val="en-US" w:bidi="en-US"/>
        </w:rPr>
        <w:t>common wealth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نوعیه یعنی آن چه عموم در آن ذینفع هستند و مصلحت نوع اقتضا می کند مبنای احکام حقوق عمومی قرار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مصلحتی که امام از آن سخن می گفتند، مصلحت مرسله یا آزاد از قیود شرعی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مصلحت سنجی که عبارت است از ارزیابی 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وارد یک دستگاه جزمی بشود، سریعا آن را عرفی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پس از تأسیس دولت جمهوری اسلامی، سه راه پیش رو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سوم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متون فقه شیعی، هزاران بار به مصلحت استناد شده است و همواره عنصر مصلحت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کلامی نیز شیعیان اعتقاد دارند که احکام شرعی تابع مصالح و مفاسد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وجود عنصر مصلحت در فقه شیعی، موجب عرفی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نیست، کما این که تاکنون در طول صدها سال، آن را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معنای صحیحی از دنیوی بودن متصور است و آن این که فقه برای دنیای آدمیان برنامه 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 بودن به این معنا، از صدها سال پیش در فقه اسلام و فقه شیعی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نویسنده از دنیوی شدن چنین چیزی را در نظر ندارد، بلکه دنیوی شدن فقه را به این معنا می داند که فقه در نهایت عرصه قانون گذاری را واگذار کند و در این عرصه حضور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مصلحت از گذشته و قبل از پیوند دین با دولت در دوران جمهوری اسلامی در اندیشه امام راحل و فقه شیعی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امر بدیع و نوظهوری نیست و ارتباطی نیز به پیوند با دولت ندارد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آشنایان با فقه و حقوق می دانند که صدر و ذیل جمله نویسنده، با یکدیگر ارتباطی ندارد؛ زیرا لحاظ مصلحت نوعیه، به احکام حقوق عمومی اختصاص نداشته، می تواند احکام حقوقی خصوصی را نیز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شارع یا قانون گذار می تواند به جهت حفظ مصالح عمومی، مقرّر دارد که معاملات </w:t>
      </w:r>
    </w:p>
    <w:p>
      <w:pPr>
        <w:pStyle w:val="BookText"/>
        <w:rPr/>
      </w:pPr>
      <w:r>
        <w:rPr>
          <w:rFonts w:ascii="IRNazanin" w:hAnsi="IRNazanin" w:eastAsia="IRNazanin"/>
          <w:color w:val="111111"/>
          <w:sz w:val="28"/>
          <w:sz w:val="28"/>
          <w:szCs w:val="28"/>
          <w:rtl w:val="true"/>
          <w:lang w:bidi="fa-IR"/>
        </w:rPr>
        <w:t>خصوصی افراد به شکل خاصی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دفترخانه های اسناد رسمی ثبت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مصلحت نوعیه احکام چیست و چگونه قابل تشخیص است؟</w:t>
      </w:r>
    </w:p>
    <w:p>
      <w:pPr>
        <w:pStyle w:val="BookText"/>
        <w:rPr/>
      </w:pPr>
      <w:r>
        <w:rPr>
          <w:rFonts w:ascii="IRNazanin" w:hAnsi="IRNazanin" w:eastAsia="IRNazanin"/>
          <w:color w:val="111111"/>
          <w:sz w:val="28"/>
          <w:sz w:val="28"/>
          <w:szCs w:val="28"/>
          <w:rtl w:val="true"/>
          <w:lang w:bidi="fa-IR"/>
        </w:rPr>
        <w:t>نویسنده از دادن تعریف مصلحت و ضوابط آن اجتناب می کند و بیش تر به مکانیزم های تشخیص مصلحت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که خود تصویر روشنی از مصلحت ندارد و با توجه به مبانی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مصلحت هر آن چیزی است که به طریق بین الاذهانی به آن برسیم، ولو این بین الاذهانی خود تابع جزم های دیگری باشد که ناشی از سیطره تبلیغات، ثروت و قدرت، بر عرصه سیاسی و پولیتی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راحل، مقصود از مصلحت نوعیه احکام،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الاحکام مطلوبات بالعرض و امور آلیة لاجرائها و بسط العدالة</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 که در بررسی مقاله قبلی نویسنده مشاهده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مرسله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اصطلاحی اصولی است و مقصود از آن مصلحتی است که شارع بیان آن را رها کرده باشد؛ یعنی لازم ندیده که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مصلحت مرسله به معنای مصلحت آزاد از قیود شرعی نیست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صرف وجود و حضور عنصر مصلحت، موجب عرفی شدن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دستگاه فقهی و حقوقی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عنصر مصلحت از گذشته در فقه شیعه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مقصود از دنیوی شدن، داشتن احکام و مقررات برای دنیاست، این ویژگی از گذشته در فقه اسلام و فقه شیعی موجود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دستگاه جزمی اگر به معنای یک دستگاه نابخردانه است، فقه شیعی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شیعی را که در اصول آن به عقل و مبنای عقلا استناد می شود، نمی توان جزمی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تعریفی که نویسنده از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 دهد، مبتنی بر جزم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نویسنده انتقال از جزمی به سوی جزمی دیگر را در نظر دارد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مصلحت قبل از تأسیس دولت جمهوری اسلامی، در اندیشه فقهی امام وجود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 و سکولاریزاسیون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بندی سخنان نویسنده درباره مصلحت در این مقاله بدینگونه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پیوند دستگاه فقاهت با دولت، عنصر مصلحت که همان رفتار عقلانی و عقلانیت متعارف و عقل سنجشگر و عقلانیت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ای و 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است، با این پیوند به دستگاه فقهی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عنصر مصلحت به فقه سنتی و جواهری، فقه المصلحة پدید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پیوند با دولت به سوی فقه المصلحة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عنصر مصلحت </w:t>
      </w:r>
    </w:p>
    <w:p>
      <w:pPr>
        <w:pStyle w:val="BookText"/>
        <w:rPr/>
      </w:pPr>
      <w:r>
        <w:rPr>
          <w:rFonts w:ascii="IRNazanin" w:hAnsi="IRNazanin" w:eastAsia="IRNazanin"/>
          <w:color w:val="111111"/>
          <w:sz w:val="28"/>
          <w:sz w:val="28"/>
          <w:szCs w:val="28"/>
          <w:rtl w:val="true"/>
          <w:lang w:bidi="fa-IR"/>
        </w:rPr>
        <w:t>این توانایی را دارد که با ورود به فقه، آن را سریعا عرفی کند و در نتیجه، فقه به قانون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دولت، به جای شارع می نشیند و بر اساس مصالح ملی، قانون وضع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مصلحتی که امام به طرف آن رفتند و فقه المصلحة را برگزیند، مصلحت مرسله یا آزاد از قیود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مصلحت نوعیه یا مصلحت عمومی، مبنای احکام حقوق عمومی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روشنی دیده می شود که نویسنده از ارائه تعریف برای مصلحت ناتوان است و در نهایت، مصلحت را به عقلانیت ابزاری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عقلانیت سنجشگر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می برد، در حالی که عقلانیت ابزاری و عقلانیت سنجشگر مشخص نمی سازند که چه چیزی هدف قرار گیرد و چه چیزی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هدف قرار گرفت، چگونه باید به آن رسید و برای فلان فایده مشخص چه مقدار هزینه باید صرف کرد و آیا این مقدار هزینه، با این مقدار فایده به صرفه است یا نه و این دو بیش از این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گذشته نیز مصلحت به آن چه عقلا تشخیص دهند منتهی شد، ولی این که عقلا بر اساس چه ضابطه ای مصلحت را تشخیص می دهند، مشخص نشد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عرفی شدن شریعت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مصلحت را به سودگرایی و فایده گرایی سکولار بنتام و میل تأویل برد که نوعی سودگرایی کمّی و یا کیفی است که اشکال های خودش را دارد و مورد بررسی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مبنای نویسنده، ظاهرا جمع بندی صحیح این است که گفته شود، مصلحت هر آن چیزی است که عقلانیت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نخبگان و یا برگزیدگان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مصلحت بدانند و هیچ ضابطه دیگری غیر از رأی عمومی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گذشته از احکام دین، حتی اهداف، آرمان ها، مبانی و اصول دین نیز در تعیین هدف و مصلحت به کار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دریافتی به نوعی مصلحت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قیاس عدل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شود که از تعامل با دین و متون دینی محروم است؛ زیرا در دین شناسی نویسنده، دین اولاً به حوزه خصوصی مربوط است، نه حوزه عمومی و ثانیا دین از خود چیزی برای گفتن ندارد و تابع زمینه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تصویر روشنی از مصلحت و ضوابط آن ندارد و به جای ارائه تعریف مصلحت و ضوابط آن، به مکانیزم های تشخیص مصلحت پرداخته که عبارت است از عرف عقلا یعنی دولت و نمایندگان مردم که به نوعی تحقق بین الاذهانی تشخیص مصلحت است؛ یعنی مصلحت هر آن چیزی است که نمایندگان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دهند که از نظر نویسنده خود این بین الاذهانی نیز تحت تأثیر جزم هایی دیگر است که از سلطه و هژمونی فرهنگی، اقتصادی و سیاسی برمی خیزد و ناشی از 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یا روح</w:t>
      </w:r>
    </w:p>
    <w:p>
      <w:pPr>
        <w:pStyle w:val="BookText"/>
        <w:rPr/>
      </w:pPr>
      <w:r>
        <w:rPr>
          <w:rFonts w:ascii="IRNazanin" w:hAnsi="IRNazanin" w:eastAsia="IRNazanin"/>
          <w:color w:val="111111"/>
          <w:sz w:val="28"/>
          <w:sz w:val="28"/>
          <w:szCs w:val="28"/>
          <w:rtl w:val="true"/>
          <w:lang w:bidi="fa-IR"/>
        </w:rPr>
        <w:t>زمانه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تصویر روشنی از دنیوی بودن یا شدن ندارد و در دین شناسی او، دین مربوط به حوزه امور ثابت و حوزه خصوصی است و حضور دین در عرصه عمومی، پدیده ای مرضی و آسیب شناختی و در بعضی موارد، از نظر آثار و نتایج سیاسی و اجتماعی، مفید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گونه حکم دینی در عرصه دنیوی ذاتا و ماهیتا غیردینی و انحرافی است و در فقه شناسی او، فقه مربوط به رابطه انسان و خداست و عرصه عمومی از آنِ قانون گذاری است و به مدد عنصر مصلحت، فقه تبدیل به حقوق عرفی می شود و در واقع، عرصه عمومی را وا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آشنایان با فقه اسلام و فقه شیعی می دانند که فقه از آغاز به تبع قرآن کریم در امور دنیوی وارد شده و برای دنیا برنامه، احکام و مقررات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های مهم و قابل توجه فقهی، کتاب البیع، کتاب المتاجر و مانند آن هاست که ناظر به معاملات دنیوی است مانند بخشی از آیات الاحکام که درباره معاملات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فقه باز هم به تبع آیات قرآن ناظر به حوزه عمومی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 کتاب الحدود، کتاب القصاص، کتاب الدیات، الاحکام السلطانیه، ولایه الفقیه و </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یک دین شناسی نادرست و با ناآگاهی نسبت به فقه اسلام و شیعی است که نویسنده گمان می کند به مدد عنصر مصلحت، فقه شیعی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گردید</w:t>
      </w:r>
      <w:r>
        <w:rPr>
          <w:rFonts w:eastAsia="IRNazanin" w:cs="IRNazanin"/>
          <w:color w:val="111111"/>
          <w:sz w:val="28"/>
          <w:szCs w:val="28"/>
          <w:rtl w:val="true"/>
          <w:lang w:bidi="fa-IR"/>
        </w:rPr>
        <w:t xml:space="preserve">! </w:t>
      </w:r>
      <w:bookmarkStart w:id="247" w:name="pg3480_42352"/>
    </w:p>
    <w:p>
      <w:pPr>
        <w:pStyle w:val="Heading5"/>
        <w:numPr>
          <w:ilvl w:val="4"/>
          <w:numId w:val="1"/>
        </w:numPr>
        <w:rPr/>
      </w:pPr>
      <w:bookmarkStart w:id="248" w:name="__RefHeading___Toc3418280_2749589250"/>
      <w:bookmarkStart w:id="249" w:name="_Toc96"/>
      <w:bookmarkEnd w:id="247"/>
      <w:bookmarkEnd w:id="248"/>
      <w:r>
        <w:rPr>
          <w:rtl w:val="true"/>
        </w:rPr>
        <w:t xml:space="preserve">پنجم </w:t>
      </w:r>
      <w:r>
        <w:rPr>
          <w:rtl w:val="true"/>
        </w:rPr>
        <w:t xml:space="preserve">- </w:t>
      </w:r>
      <w:r>
        <w:rPr>
          <w:rtl w:val="true"/>
        </w:rPr>
        <w:t>سکولاریزاسیون</w:t>
      </w:r>
      <w:bookmarkEnd w:id="249"/>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سکولاریزاسیون</w:t>
      </w:r>
    </w:p>
    <w:p>
      <w:pPr>
        <w:pStyle w:val="BookText"/>
        <w:rPr/>
      </w:pPr>
      <w:r>
        <w:rPr>
          <w:rFonts w:ascii="IRNazanin" w:hAnsi="IRNazanin" w:eastAsia="IRNazanin"/>
          <w:color w:val="111111"/>
          <w:sz w:val="28"/>
          <w:sz w:val="28"/>
          <w:szCs w:val="28"/>
          <w:rtl w:val="true"/>
          <w:lang w:bidi="fa-IR"/>
        </w:rPr>
        <w:t>دیدگاه نویسنده درباره سکولاریزاسیون را می توان چنین جمع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سکولاریزاسیون را این گونه معنا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تبدیل قدسیات به عرفیات و تبدیل جزم به خرد که در فقه المصلحة رخ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شدن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تمایز یافتن نهاد دین از نهاد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شدن عرصه عمومی و خصوصی شدن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سکولاریزاسیون به معنای دنیوی شدن دین، مقدمه سکولاریزاسیون به معنای دنیوی شدن عرصه عمومی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سکولاریزاسیون به معنای دنیوی شدن عرصه عمومی و خصوصی شدن دین، مانع تحقق سکولاریزاسیون به معنای دنیوی شدن دین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سکولاریزاسیون به معنای دنیوی شدن دین، بنیادی تر و بازگشت ناپذیرتر از تحمیلِ دنیوی کردنِ عرصه عمومی و خصوصی کردن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پاورقی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فرآیند سکولاریزه شدن فقه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شدن دین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فقه المصلحة رخ می دهد که با پیوند دین و دولت، عقلانیت متعارف ابزاری و سنجشگر، از دولت به دین منتقل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پیوند دین و دولت انتقال عقلانیت سنجشگر از دولت به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المصلحة دنیوی شدن فقه شیعی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بخش پایانی مقاله نیز نمونه هایی از تحول اسلوب استنباط و شم الفقاهة امام راحل را ارائه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نویسنده مبتنی بر نوعی دین شناسی است که دین را ناظر به امور ثابت می داند و دین را خارج از دنیا دانسته، ورود دین به دنیا و حکم دنیوی دادن را خلاف ماهیت و ذات دین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دین شناسی بر گرفته از تاریخ مسیحیت و فرهنگ مسیحی است و قادر به تحلیل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است که برای دنیا نیز دارای احکام و قوانین است و پیامبر این دین دارای حکومت دنیوی هم بوده است و احکام حکومتی صادر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سکولاریزاسیون به معنای دنیوی شدن دین، از نظر نویسنده با فقه المصلحة تحقق می یابد، در حالی که دیدیم مصلحت در فقه اسلام و فقه شیعی، از صدها سال پیش حضور داشته و مورد استناد واقع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عنصر خارجی و بدعت در دین امری نوظهور نیست تا به دگرگونی فقه اسلام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تعریف دین و فقه به قدسیات به معنای جزمیات، معنای قابل قبولی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مبانی فقه، عقل و بنای عقلا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دینی را که می گوید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یطاع بالعلم و یعبد بالعلم و خیرالدنیا و الآخرة مع العلم و شرالدنیا و الآخرة مع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همانا خداوند با علم و دانش اطاعت و عبادت می شود و نیکی دنیا و آخرت با علم است و شر دنیا و آخرت با جهل و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دینی جزمی و نابخردانه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بررسی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عرفی شدن شریعت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از نظر تاریخی، با این که به زعم نویسنده آگوستین طرح خصوصی شدن دین را ارائه داد و این انگاره صدها سال بر کلیسای کاتولیک سیطره داشته، بعدها فرآیند دنیوی شدن دین، با اندیشه های آکوئیناس در کلیسای کاتولیک تحقق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مباحث گذشته دیدیم که دین از اصل ناظر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معنای صحیح کلمه، دین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دین را ابزار دنیا و کسب و حفظ قدرت قرار دادن مذموم است و می تواند به دین گریزی جامعه بیانجامد و این مطلب جدیدی نیست و بارها در آیات قرآن و روایات وارده مذمت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مصلحت بیان شد که در درون فقه، عقلانیت ابزاری و سنجشگر وجود دارد و این عنصر، خارجی و امری بدیع و نوظهور در فقه ما نیست، گرچه فقه محدود به این عقلانیت ابزاری و سنجشگر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هم به طور خلاصه ربطی به عنصر مصلحت ندارد که به تفصیل توضیح داده می 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نویسنده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 خواهم داد چگونه اسلوب استنباط و </w:t>
      </w:r>
    </w:p>
    <w:p>
      <w:pPr>
        <w:pStyle w:val="BookText"/>
        <w:rPr/>
      </w:pPr>
      <w:r>
        <w:rPr>
          <w:rFonts w:ascii="IRNazanin" w:hAnsi="IRNazanin" w:eastAsia="IRNazanin"/>
          <w:color w:val="111111"/>
          <w:sz w:val="28"/>
          <w:sz w:val="28"/>
          <w:szCs w:val="28"/>
          <w:rtl w:val="true"/>
          <w:lang w:bidi="fa-IR"/>
        </w:rPr>
        <w:t>شم الفقاهة امام متحول شد و حتی در پاره ای موارد، ناگزیر شد از فتوایی که در قم یا نجف صادر کرده بود، عدول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تعابیر سنگینی است و آدمی انتظار یک بحث علمی در این دو مورد را دارد تا نشان دهنده تحول اسلوب استنباط، شم الفقاهه امام و ناگزیری عدول از فتوای گذشته باشد، در حالی که پنج موردی که نویسنده بر می شمارد، تکافوی چنین ادعاهایی را نمی کند؛ به علاوه مطلب برای نویسنده هم مفهوم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تحول و دگرگونی در فتوای یک مجتهد، امری عادی است که از جمله با تغییر نظر مجتهد یا تحول موضوع روی می دهد، ولی هر تغییر نظری، تحول در اسلوب استنباط و شم الفقاهه به شمار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در اسلوب استنباط و شم الفقاهه نیازمند بحث علمی است که در این مقاله موجود نیست؛ زیرا به ادعای نویسنده، متد و روش استنباطی امام تحول یافت، ولی چگونه و به چه دلیل؟ در مقاله حاضر توضیح روشنی در این باره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اول که ارجاع وحدت رویه در تعزیرات به آقای منتظری است، با کدام یک از نظریات گذشته امام راحل متناقض و متغایر است تا دلیلی برای ادعای نویسنده به حساب آید؟ این مطلب به هیچ وجه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مورد اول، ادعای ایشان را اثبات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دوم این است که امام در پاسخ آقای قدیری از جمله فرموده 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عرض کنم که شما مراجعه کنید به کتاب جامع المدارک مرحوم آیت اللّه آقای حاج سیداحمد خوانساری که بازی با شطرنج را بدون </w:t>
      </w:r>
    </w:p>
    <w:p>
      <w:pPr>
        <w:pStyle w:val="BookText"/>
        <w:rPr/>
      </w:pPr>
      <w:r>
        <w:rPr>
          <w:rFonts w:ascii="IRNazanin" w:hAnsi="IRNazanin" w:eastAsia="IRNazanin"/>
          <w:color w:val="111111"/>
          <w:sz w:val="28"/>
          <w:sz w:val="28"/>
          <w:szCs w:val="28"/>
          <w:rtl w:val="true"/>
          <w:lang w:bidi="fa-IR"/>
        </w:rPr>
        <w:t>رهن جایز می داند و در تمام ادله خدشه می کند، در صورتی که مقام احتیاط و تقوای ایشان و نیز مقام علمیت و دقت نظرشان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امام راحل از جمله به عنوان شاهد و گواه بر مطلب، به آقای قدیری می گوید که نظر آقای خوانساری نیز چنین است، ولی ظاهرا نویسنده از این 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مراجعه کنید به کتاب جامع 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طور فهمیده که امام راحل آقای قدیری را به تقلید آقای خوانساری ارجاع می دهد، در حالی که اولاً آقای قدیری در مقام تقلید نبوده و خود مجتهد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تقلید از آقای خوانساری که در آن زمان در قید حیات نبودند، تقلید ابتدایی میت حساب می شود که امام جایز نمی 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مورد سوم، از نظر نویسنده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شخص ثالث همه معاملات است به مانند لویاتان هابز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اولاً در فرمایش امام راحل این نیست که دولت شخص ثالث همه معاملات است، بلکه دولت یکی از طرفین معامله ای است که اشخاصی که می خواهند از خدمات دولتی استفاده کنند، با دولت منعقد می کنند و دولت که خود یکی از دو طرف اصلی معامله است می تواند به نفع شخص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کارگران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شروطی را مقرر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معامله شخص ثالث داشته باشد، آن شخص ثالث مطمئنا دولت نیست، بلکه دولت طرف اصلی این گونه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مطلب اصلاً ربطی به لویاتان هابز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در فلسفه سیاسی هابز، حقوق خود را وا می گذارند و دولت این حقوق را بر عهده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لویاتان، صص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چهارم تغییر فتوای امام درباره نحوه مالکیت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مقتضیات زمان و مکان و ورود عنصر مصلحت به دستگاه فقهی امام باعث شد که ایشان پاره ای فتاوای خویش را تغییر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درباره فتاوایی که مربوط به حوزه امور خصوصی بودند، رأی خود را عوض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مباحثی نظیر بلاد کبیره یا لیالی مقمره، هم چنان بر فتاوای سنتی خویش پای می فشرد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نویسنده تنها علت تحولی را که می تواند تصور کند، ورود عنصر مصلحت در نظریات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از گذشته هم این عنصر در نظریات امام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قابل توجه است که اتفاقا نظر امام درباره لیالی مقمره که از نظر نویسنده مربوط به حوزه خصوصی است، از فتوا به احتیاط تغییر یافته بود و دلیل آن هم ارائه تحقیقات علمی فقهی جدید در این باره بود</w:t>
      </w:r>
      <w:r>
        <w:rPr>
          <w:rFonts w:eastAsia="IRNazanin" w:cs="IRNazanin"/>
          <w:color w:val="111111"/>
          <w:sz w:val="28"/>
          <w:szCs w:val="28"/>
          <w:rtl w:val="true"/>
          <w:lang w:bidi="fa-IR"/>
        </w:rPr>
        <w:t>.</w:t>
      </w:r>
      <w:r>
        <w:rPr>
          <w:rStyle w:val="FootnoteAnchor"/>
          <w:rtl w:val="true"/>
        </w:rPr>
        <w:footnoteReference w:id="6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تغییر فتوای امام راحل درباره نحوه مالکیت زمین، نشان دهنده ورود عنصر مصلحت به دستگاه فقهی ایشان نیست؛ زیرا هم عنصر مصلحت از گذشته در دستگاه فقهی امام وجود داشته و هم تغییر فتوا می تواند علل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تغییر موضوع یا تحول در مقتضیات زمانی و مکانی موضوع یا حتی تحقیقات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مورد چهارم نیز ادعای نویسنده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w:t>
      </w:r>
    </w:p>
    <w:p>
      <w:pPr>
        <w:pStyle w:val="BookText"/>
        <w:rPr/>
      </w:pPr>
      <w:r>
        <w:rPr>
          <w:rFonts w:ascii="IRNazanin" w:hAnsi="IRNazanin" w:eastAsia="IRNazanin"/>
          <w:color w:val="111111"/>
          <w:sz w:val="28"/>
          <w:sz w:val="28"/>
          <w:szCs w:val="28"/>
          <w:rtl w:val="true"/>
          <w:lang w:bidi="fa-IR"/>
        </w:rPr>
        <w:t>دیگری نیز وجود دارد که برای اجتناب از پیچیده شدن مطلب، وارد آن نکات نمی گردیم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پنجم، تفویض اختیارات به مجلس و ارجاع به مجمع تشخیص مصلحت نظام نیز هیچ ارتباطی با تحول اسلوب استنباط، شم الفقاهه و عدول ناگزیر فتوا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نویسنده برای نشان دادن تفاوت مبنا و فتوای فقهای سنت گرا و فقه سنتی، نامه آقای گلپایگانی به نمایندگان مجلس را نقل می کند، در حالی که از نقل نویسنده برمی آید که اصل موضوعِ دگرگونی احکام با تشخیص دگرگونی موضوعات از نظر کارشناسی مورد تأیید آقای گلپایگانی بوده و تنها بحث در مرجع تصمیم گیری است که آقای گلپایگانی تصمیم گیری در این باره را منحصر به شخص ولی فقیه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نویسنده به عوض آن که تحول اسلوب استنباط و شمّ الفقاهه امام راحل را نشان دهد، هماهنگی نظریّات امام راحل و فقیهان سنت گرا را در مبانی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جملات آقای گلپایگانی که نویسنده نقل کرده، جالب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مواردی که حفظ جهات و مصالحی در بین باشد که در شرع مسلم است و حفظ آن جهات به قدری اهمیت دارد که شارع به هیچ وجه راضی به فوت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حفظ آن جهات بشود و حتی در بعضی صور احتمال از بین رفتن آن هم منجز است و فقیه باید سد ثغور آن را از همه جهات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جملات نشان می دهد که از نظر آقای گلپایگانی، به عنوان یک فقیه سنت گرا و ناسکولار، مصلحت چنان جایگاهی دارد که فقیه باید </w:t>
      </w:r>
      <w:bookmarkStart w:id="250" w:name="pg3480_42359"/>
    </w:p>
    <w:p>
      <w:pPr>
        <w:pStyle w:val="BookText"/>
        <w:rPr/>
      </w:pPr>
      <w:bookmarkEnd w:id="250"/>
      <w:r>
        <w:rPr>
          <w:rFonts w:ascii="IRNazanin" w:hAnsi="IRNazanin" w:eastAsia="IRNazanin"/>
          <w:color w:val="111111"/>
          <w:sz w:val="28"/>
          <w:sz w:val="28"/>
          <w:szCs w:val="28"/>
          <w:rtl w:val="true"/>
          <w:lang w:bidi="fa-IR"/>
        </w:rPr>
        <w:t>آن را حفظ نماید</w:t>
      </w:r>
      <w:r>
        <w:rPr>
          <w:rFonts w:eastAsia="IRNazanin" w:cs="IRNazanin"/>
          <w:color w:val="111111"/>
          <w:sz w:val="28"/>
          <w:szCs w:val="28"/>
          <w:rtl w:val="true"/>
          <w:lang w:bidi="fa-IR"/>
        </w:rPr>
        <w:t>.</w:t>
      </w:r>
    </w:p>
    <w:p>
      <w:pPr>
        <w:pStyle w:val="Heading3"/>
        <w:numPr>
          <w:ilvl w:val="2"/>
          <w:numId w:val="1"/>
        </w:numPr>
        <w:rPr/>
      </w:pPr>
      <w:bookmarkStart w:id="251" w:name="__RefHeading___Toc3418282_2749589250"/>
      <w:bookmarkStart w:id="252" w:name="_Toc97"/>
      <w:bookmarkEnd w:id="251"/>
      <w:r>
        <w:rPr>
          <w:rtl w:val="true"/>
        </w:rPr>
        <w:t>فصل پنجم</w:t>
      </w:r>
      <w:r>
        <w:rPr>
          <w:rtl w:val="true"/>
        </w:rPr>
        <w:t xml:space="preserve">: </w:t>
      </w:r>
      <w:r>
        <w:rPr>
          <w:rtl w:val="true"/>
        </w:rPr>
        <w:t>عرفی شدن یا دگم های مُدرن؟</w:t>
      </w:r>
      <w:r>
        <w:rPr>
          <w:rtl w:val="true"/>
        </w:rPr>
        <w:t>!</w:t>
      </w:r>
      <w:bookmarkEnd w:id="252"/>
    </w:p>
    <w:p>
      <w:pPr>
        <w:pStyle w:val="Heading4"/>
        <w:numPr>
          <w:ilvl w:val="3"/>
          <w:numId w:val="1"/>
        </w:numPr>
        <w:rPr/>
      </w:pPr>
      <w:bookmarkStart w:id="253" w:name="__RefHeading___Toc3418284_2749589250"/>
      <w:bookmarkStart w:id="254" w:name="_Toc98"/>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شدن یا دگم های مُدرن؟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نگاهی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یا هنجار؟</w:t>
      </w:r>
      <w:r>
        <w:rPr>
          <w:rFonts w:eastAsia="IRNazanin" w:cs="IRNazanin"/>
          <w:color w:val="111111"/>
          <w:sz w:val="28"/>
          <w:szCs w:val="28"/>
          <w:rtl w:val="true"/>
          <w:lang w:bidi="fa-IR"/>
        </w:rPr>
        <w:t>»</w:t>
      </w:r>
    </w:p>
    <w:p>
      <w:pPr>
        <w:pStyle w:val="Heading4"/>
        <w:numPr>
          <w:ilvl w:val="3"/>
          <w:numId w:val="1"/>
        </w:numPr>
        <w:rPr/>
      </w:pPr>
      <w:bookmarkStart w:id="255" w:name="__RefHeading___Toc3418286_2749589250"/>
      <w:bookmarkStart w:id="256" w:name="_Toc99"/>
      <w:bookmarkEnd w:id="255"/>
      <w:r>
        <w:rPr>
          <w:rtl w:val="true"/>
        </w:rPr>
        <w:t xml:space="preserve">نگاهی به مقاله </w:t>
      </w:r>
      <w:r>
        <w:rPr>
          <w:rtl w:val="true"/>
        </w:rPr>
        <w:t>«</w:t>
      </w:r>
      <w:r>
        <w:rPr>
          <w:rtl w:val="true"/>
        </w:rPr>
        <w:t>خط قرمز</w:t>
      </w:r>
      <w:r>
        <w:rPr>
          <w:rtl w:val="true"/>
        </w:rPr>
        <w:t xml:space="preserve">: </w:t>
      </w:r>
      <w:r>
        <w:rPr>
          <w:rtl w:val="true"/>
        </w:rPr>
        <w:t>ارزش یا هنجار؟</w:t>
      </w:r>
      <w:r>
        <w:rPr>
          <w:rtl w:val="true"/>
        </w:rPr>
        <w:t>»</w:t>
      </w:r>
      <w:bookmarkEnd w:id="256"/>
    </w:p>
    <w:p>
      <w:pPr>
        <w:pStyle w:val="BookText"/>
        <w:rPr/>
      </w:pPr>
      <w:r>
        <w:rPr>
          <w:rFonts w:ascii="IRNazanin" w:hAnsi="IRNazanin" w:eastAsia="IRNazanin"/>
          <w:color w:val="111111"/>
          <w:sz w:val="28"/>
          <w:sz w:val="28"/>
          <w:szCs w:val="28"/>
          <w:rtl w:val="true"/>
          <w:lang w:bidi="fa-IR"/>
        </w:rPr>
        <w:t xml:space="preserve">نگاهی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یا هنجار؟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یا 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مقاله ای با اهمیت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قسمت های دیگر کتاب، سکولاریزاسیون را جایگزینی خرد به جای جزم معرفی می کرد، اما این جا با واقع بینی سکولاریزاسیون را جایگزینی دگم ها و جزم های جدیدی به جای دگم ها و جزم های دینی و اعتقادی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دگم ها و جزم های جدید با دگم ها و جزم های قبلی و سنتی، این است که این دگم ها و جزم های جدید، جمعی و بین الاذهانی هستند و دگم ها و جزم های دینی و اعتقادی از نظر نویسنده، فردی و تک ذهنی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بارها گفته شد، اعتقادات و احکام دینی از نظر مسلمانان جزم و دگم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اعتقادات خود را عقلانی و استدلالی می دانند و در اصول فقه نیز به دلیل عقل و بنای عقلا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شیعیان امامیه که عدلیه هستند، نقل را در برابر عقل قطعی معتبر نمی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اعتقادات و احکام دینی تک ذهنی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بحث و گفت وگو، نقد و نظر و مطالعه و تحقیق در اعتقادات و احکام دین برای همه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طبیعی، همان طور که هر کار و تحقیق علمی دیگر، مقدمات علمی و تخصص لازم دارد، بحث و نقد و نظر درباره اعتقادات و احکام دینی نیز مقدمات خودش را دارد و همان طور که در </w:t>
      </w:r>
    </w:p>
    <w:p>
      <w:pPr>
        <w:pStyle w:val="BookText"/>
        <w:rPr/>
      </w:pPr>
      <w:r>
        <w:rPr>
          <w:rFonts w:ascii="IRNazanin" w:hAnsi="IRNazanin" w:eastAsia="IRNazanin"/>
          <w:color w:val="111111"/>
          <w:sz w:val="28"/>
          <w:sz w:val="28"/>
          <w:szCs w:val="28"/>
          <w:rtl w:val="true"/>
          <w:lang w:bidi="fa-IR"/>
        </w:rPr>
        <w:t xml:space="preserve">باب سیاست، عرصه قانون گذاری و تصمیم گیری به نخبگان سیاسی واگذار می گردد و مقصود از عقلانیت جمعی و بین الاذهانی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جمع نخبگان سیاسی و اذهان آنان است، مباحث اعتقادی و احکام دین نیز میان نخبگان علمی و دینی، بحث و گفت وگو و نقد و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 ذهنی و فردی نیست، به خصوص این که عقلانیت جمعی نخبگان علمی در طول تاریخ، این گونه مباحث را مورد نقد و نظر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و احکام دین در اسلام، مبتنی و نشأت گرفته از متن وحیانی قرآن کریم است و اگر به سنت پیامبر یا عترت آن بزرگوار استناد می شود، به دستور خود قرآن کریم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پیامبر امر می کند آن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شما را بر حذر می دارد اجتناب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جزمیات و دگم های بین الاذهانی و جمعی، مبتنی بر چیست و از کجا نشأت می گیرد؟</w:t>
      </w:r>
    </w:p>
    <w:p>
      <w:pPr>
        <w:pStyle w:val="BookText"/>
        <w:rPr/>
      </w:pPr>
      <w:r>
        <w:rPr>
          <w:rFonts w:ascii="IRNazanin" w:hAnsi="IRNazanin" w:eastAsia="IRNazanin"/>
          <w:color w:val="111111"/>
          <w:sz w:val="28"/>
          <w:sz w:val="28"/>
          <w:szCs w:val="28"/>
          <w:rtl w:val="true"/>
          <w:lang w:bidi="fa-IR"/>
        </w:rPr>
        <w:t>اگر بخواهیم گفتار نویسنده را در دیگر قسمت های کتاب ملاک قرار دهیم، باید گفت روح هر عصری، جزم ها و دگم های آن عصر را می سازد، ولی این روح از کجا می آید، در گفتار نویسنده روشن نیست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بخش های دیگری از گفتار نویسنده در باب نیروهای عرفی کننده را معیار قرار دهیم، باید گفت این جزم ها و دگم های جدید بین الاذهانی و جمعی، ساخته و پرداخته تحولات اقتصادی و بین المللی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گونه نویسنده ما را می خواند تا از اعتقادات و احکام اسلام، به نفع و در جهت آن چه سیطره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فرهنگ و تمدن غربی و مسیحی به ما تحمیل می کند،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مبانی نویسنده، از نظر او روند و فرآیند این چنینی سکولاریزاسیون، مفیدتر و بنابراین مطلوب تر است و این روند و فرآیند ناگزیر تاریخی است که چاره ای از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 این پرسش نیز هست که آیا هنجارها هیچ گونه ارتباطی با ارزش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ناگزیر هنجارها تحت تأثیر ارزش ها شکل می گیرند و با تغییر ارزش ها، هنجارها نیز دگرگون می شوند؟ چگونه نویسنده ما را به هنجارگرایی می خواند و هیچ گونه توجهی به مبانی ارزشی هنجارها ننموده، آن را مغفول و مسکوت باقی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دیگر مقالات کتاب، نقلیات نویسنده تأمل بر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مطلبی را که در این مقاله به دوکولانژ نسبت داده،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توکویل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موارد در کتاب به وفور یافت می گردد و اعتماد را از نقلیات نویسنده سلب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خط قرمز را موره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این موره ها عرف هستند، بعضی دیگر قانون و بعضی دیگر توسط مردم قرارداد و وضع می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هم به خرد گذشتگان یا منابع دینی متکی اند و ارزش خوانده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نویسنده بعضی هنجارها را ارزش تلقی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bookmarkStart w:id="257" w:name="pg3480_42362"/>
    </w:p>
    <w:p>
      <w:pPr>
        <w:pStyle w:val="BookText"/>
        <w:rPr/>
      </w:pPr>
      <w:bookmarkEnd w:id="257"/>
      <w:r>
        <w:rPr>
          <w:rFonts w:ascii="IRNazanin" w:hAnsi="IRNazanin" w:eastAsia="IRNazanin"/>
          <w:color w:val="111111"/>
          <w:sz w:val="28"/>
          <w:sz w:val="28"/>
          <w:szCs w:val="28"/>
          <w:rtl w:val="true"/>
          <w:lang w:bidi="fa-IR"/>
        </w:rPr>
        <w:t>خطوط قرمز ارزش باشند، هنجار نیز هستند، ولی ممکن است هنجار باشد، اما ارزش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جان کلام نویسنده این است که خط قرمز در عرصه عمومی، باید هنجارهایی باشند که توسط مردم و به طور بین الاذهانی وضع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سؤال این است که این هنجارها از کجا می آیند؟ آیا غیر از این است که این هنجارها از مبانی نظری و تئوریک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خیزند و نشأت می گیرند؟</w:t>
      </w:r>
    </w:p>
    <w:p>
      <w:pPr>
        <w:pStyle w:val="BookText"/>
        <w:rPr/>
      </w:pPr>
      <w:r>
        <w:rPr>
          <w:rFonts w:ascii="IRNazanin" w:hAnsi="IRNazanin" w:eastAsia="IRNazanin"/>
          <w:color w:val="111111"/>
          <w:sz w:val="28"/>
          <w:sz w:val="28"/>
          <w:szCs w:val="28"/>
          <w:rtl w:val="true"/>
          <w:lang w:bidi="fa-IR"/>
        </w:rPr>
        <w:t>در نتیجه، معنای گفتار نویسنده این می شود که اگر ارزش ها و احکام دینی توسط بین الاذهانی قبول شود، آن گاه هنجاری خواهد بود و تا زمانی که خصلت بین الاذهانی خود را حفظ کند، می تواند در عرصه عمومی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دیگر گفتار این است که بین الاذهانی بودن، به یک هنجار در عرصه عمومی مشروعیت می بخشد و در جهان کنونی و با دست آوردهای معرفت شناسی، روشن است که این گونه خصلت بین الاذهانی، مصنوع تبلیغات، تصورات و پیش فرض هاست</w:t>
      </w:r>
      <w:r>
        <w:rPr>
          <w:rFonts w:eastAsia="IRNazanin" w:cs="IRNazanin"/>
          <w:color w:val="111111"/>
          <w:sz w:val="28"/>
          <w:szCs w:val="28"/>
          <w:rtl w:val="true"/>
          <w:lang w:bidi="fa-IR"/>
        </w:rPr>
        <w:t>.</w:t>
      </w:r>
    </w:p>
    <w:p>
      <w:pPr>
        <w:pStyle w:val="Heading3"/>
        <w:numPr>
          <w:ilvl w:val="2"/>
          <w:numId w:val="1"/>
        </w:numPr>
        <w:rPr/>
      </w:pPr>
      <w:bookmarkStart w:id="258" w:name="__RefHeading___Toc3418288_2749589250"/>
      <w:bookmarkStart w:id="259" w:name="_Toc100"/>
      <w:bookmarkEnd w:id="258"/>
      <w:r>
        <w:rPr>
          <w:rtl w:val="true"/>
        </w:rPr>
        <w:t>فصل ششم</w:t>
      </w:r>
      <w:r>
        <w:rPr>
          <w:rtl w:val="true"/>
        </w:rPr>
        <w:t xml:space="preserve">: </w:t>
      </w:r>
      <w:r>
        <w:rPr>
          <w:rtl w:val="true"/>
        </w:rPr>
        <w:t>دین و دموکراسی</w:t>
      </w:r>
      <w:bookmarkEnd w:id="259"/>
    </w:p>
    <w:p>
      <w:pPr>
        <w:pStyle w:val="Heading4"/>
        <w:numPr>
          <w:ilvl w:val="3"/>
          <w:numId w:val="1"/>
        </w:numPr>
        <w:rPr/>
      </w:pPr>
      <w:bookmarkStart w:id="260" w:name="__RefHeading___Toc3418290_2749589250"/>
      <w:bookmarkStart w:id="261" w:name="_Toc101"/>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دموکراسی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نگاهی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دموکراتیک حکومتی</w:t>
      </w:r>
      <w:r>
        <w:rPr>
          <w:rFonts w:eastAsia="IRNazanin" w:cs="IRNazanin"/>
          <w:color w:val="111111"/>
          <w:sz w:val="28"/>
          <w:szCs w:val="28"/>
          <w:rtl w:val="true"/>
          <w:lang w:bidi="fa-IR"/>
        </w:rPr>
        <w:t>»</w:t>
      </w:r>
    </w:p>
    <w:p>
      <w:pPr>
        <w:pStyle w:val="Heading4"/>
        <w:numPr>
          <w:ilvl w:val="3"/>
          <w:numId w:val="1"/>
        </w:numPr>
        <w:rPr/>
      </w:pPr>
      <w:bookmarkStart w:id="262" w:name="__RefHeading___Toc3418292_2749589250"/>
      <w:bookmarkStart w:id="263" w:name="_Toc102"/>
      <w:bookmarkEnd w:id="262"/>
      <w:r>
        <w:rPr>
          <w:rtl w:val="true"/>
        </w:rPr>
        <w:t xml:space="preserve">نگاهی به مقاله </w:t>
      </w:r>
      <w:r>
        <w:rPr>
          <w:rtl w:val="true"/>
        </w:rPr>
        <w:t>«</w:t>
      </w:r>
      <w:r>
        <w:rPr>
          <w:rtl w:val="true"/>
        </w:rPr>
        <w:t>دین دموکراتیک حکومتی</w:t>
      </w:r>
      <w:r>
        <w:rPr>
          <w:rtl w:val="true"/>
        </w:rPr>
        <w:t>»</w:t>
      </w:r>
      <w:bookmarkEnd w:id="263"/>
    </w:p>
    <w:p>
      <w:pPr>
        <w:pStyle w:val="Heading5"/>
        <w:numPr>
          <w:ilvl w:val="4"/>
          <w:numId w:val="1"/>
        </w:numPr>
        <w:rPr/>
      </w:pPr>
      <w:bookmarkStart w:id="264" w:name="__RefHeading___Toc3418294_2749589250"/>
      <w:bookmarkStart w:id="265" w:name="_Toc103"/>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 xml:space="preserve">نگاهی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دموکراتیک حکومتی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دموکراتیک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دین و دموکراسی را مورد پرسش و بررسی قرار می دهد و برای پاسخ گویی به این پرسش، نخست مدل های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حداکثری،</w:t>
      </w:r>
      <w:r>
        <w:rPr>
          <w:rStyle w:val="FootnoteAnchor"/>
          <w:rtl w:val="true"/>
        </w:rPr>
        <w:footnoteReference w:id="65"/>
      </w:r>
      <w:r>
        <w:rPr>
          <w:rFonts w:ascii="IRNazanin" w:hAnsi="IRNazanin" w:eastAsia="IRNazanin"/>
          <w:color w:val="111111"/>
          <w:sz w:val="28"/>
          <w:sz w:val="28"/>
          <w:szCs w:val="28"/>
          <w:rtl w:val="true"/>
          <w:lang w:bidi="fa-IR"/>
        </w:rPr>
        <w:t xml:space="preserve">حد وسطی </w:t>
      </w:r>
      <w:r>
        <w:rPr>
          <w:rStyle w:val="FootnoteAnchor"/>
          <w:rtl w:val="true"/>
        </w:rPr>
        <w:footnoteReference w:id="66"/>
      </w:r>
      <w:r>
        <w:rPr>
          <w:rFonts w:ascii="IRNazanin" w:hAnsi="IRNazanin" w:eastAsia="IRNazanin"/>
          <w:color w:val="111111"/>
          <w:sz w:val="28"/>
          <w:sz w:val="28"/>
          <w:szCs w:val="28"/>
          <w:rtl w:val="true"/>
          <w:lang w:bidi="fa-IR"/>
        </w:rPr>
        <w:t xml:space="preserve">و </w:t>
      </w:r>
      <w:bookmarkStart w:id="266" w:name="pg3480_42363"/>
    </w:p>
    <w:p>
      <w:pPr>
        <w:pStyle w:val="BookText"/>
        <w:rPr/>
      </w:pPr>
      <w:bookmarkEnd w:id="266"/>
      <w:r>
        <w:rPr>
          <w:rFonts w:ascii="IRNazanin" w:hAnsi="IRNazanin" w:eastAsia="IRNazanin"/>
          <w:color w:val="111111"/>
          <w:sz w:val="28"/>
          <w:sz w:val="28"/>
          <w:szCs w:val="28"/>
          <w:rtl w:val="true"/>
          <w:lang w:bidi="fa-IR"/>
        </w:rPr>
        <w:t>حداقلی</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روایت ها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عرفانی، روایت فقهی، روایت ایدئولوژیک، روایت فرهنگی و روایت عصری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داده، نظر می 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روایتی از دین که می تواند با دموکراسی نسبتی برقرار کند، روایت عصری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برای تدقیق رابطه میان دین و دموکراسی، به نسبت میان حاملان این دو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 و نخبگان طبقات متوسط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و برای هماهنگی حاملان این دو مقوله،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ارائه می کند که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دین و فقهی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محورهای عمده مقاله را بررسی می کنیم</w:t>
      </w:r>
      <w:r>
        <w:rPr>
          <w:rFonts w:eastAsia="IRNazanin" w:cs="IRNazanin"/>
          <w:color w:val="111111"/>
          <w:sz w:val="28"/>
          <w:szCs w:val="28"/>
          <w:rtl w:val="true"/>
          <w:lang w:bidi="fa-IR"/>
        </w:rPr>
        <w:t>:</w:t>
      </w:r>
    </w:p>
    <w:p>
      <w:pPr>
        <w:pStyle w:val="Heading5"/>
        <w:numPr>
          <w:ilvl w:val="4"/>
          <w:numId w:val="1"/>
        </w:numPr>
        <w:rPr/>
      </w:pPr>
      <w:bookmarkStart w:id="267" w:name="__RefHeading___Toc3418296_2749589250"/>
      <w:bookmarkStart w:id="268" w:name="_Toc104"/>
      <w:bookmarkEnd w:id="267"/>
      <w:r>
        <w:rPr>
          <w:rtl w:val="true"/>
        </w:rPr>
        <w:t xml:space="preserve">اول </w:t>
      </w:r>
      <w:r>
        <w:rPr>
          <w:rtl w:val="true"/>
        </w:rPr>
        <w:t xml:space="preserve">- </w:t>
      </w:r>
      <w:r>
        <w:rPr>
          <w:rtl w:val="true"/>
        </w:rPr>
        <w:t>دین دولتی</w:t>
      </w:r>
      <w:bookmarkEnd w:id="268"/>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دولتی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نویسنده این است که برای توسعه و دموکراسی، به دولتی کردن دین نیازمندیم و دولتی کردن دین، امکان پیدایش فقه عمومی بر اساس فقه المصلحة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دین عرفی تر شده، ظرفیت های دموکراسی توسعه پیدا می کند و این خود به پلورالیزه کردن </w:t>
      </w:r>
    </w:p>
    <w:p>
      <w:pPr>
        <w:pStyle w:val="BookText"/>
        <w:rPr/>
      </w:pPr>
      <w:r>
        <w:rPr>
          <w:rFonts w:ascii="IRNazanin" w:hAnsi="IRNazanin" w:eastAsia="IRNazanin"/>
          <w:color w:val="111111"/>
          <w:sz w:val="28"/>
          <w:sz w:val="28"/>
          <w:szCs w:val="28"/>
          <w:rtl w:val="true"/>
          <w:lang w:bidi="fa-IR"/>
        </w:rPr>
        <w:t>نهاد دین و در نتیجه دموکراسی بیش تر می انجامد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دین هر چه دولتی تر شود، استعداد پذیرش مدارا و تساهل را بیش تر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آن جا که نویسنده، دین را ناظر به امور ثابت، غیردنیوی و خارج از حوزه عمومی می داند، اصل این پدیده را مرضی و آسیب شناختی تلقی می کند که چاره ای از آن نیست و در عین حال آثار مطلوب و مفیدی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صحت و سلامت دین از نظر او، خصوصی شدن دین و احیانا شخصی شدن آن است؛ زیرا دین از اساس، امری خصوصی است و ورود آن در عرصه سیاست، به خاطر اوضاع کنونی عالم است که ما ناچاریم تمام داشته های خود را به صحنه بیاوریم و دین را نیز عرفی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جان کلام نویسنده این است که از آن جایی که دین، مبنای تئوری دولت دینی در جمهوری اسلامی ایران است، باید خود را با واقعیات سیاسی، اقتصادی، اجتماعی، بین المللی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دهد و در سازگاری و انطباق با واقعیات، لاجرم عرفی و عصری شده، واقعیات را توجیه تئوریک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الزامات ناشی از واقعیات، دین دولتی و دولت دینی را دموکراتیزه و پلورالیزه خواهد 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پرسشی که در این جا پیش می آید، این است که با تأثیر واقعیات بر دین و تئوری دینی، چه حاجت به این تلاش های تئوریک، </w:t>
      </w:r>
      <w:bookmarkStart w:id="269" w:name="pg3480_42365"/>
    </w:p>
    <w:p>
      <w:pPr>
        <w:pStyle w:val="BookText"/>
        <w:rPr/>
      </w:pPr>
      <w:bookmarkEnd w:id="269"/>
      <w:r>
        <w:rPr>
          <w:rFonts w:ascii="IRNazanin" w:hAnsi="IRNazanin" w:eastAsia="IRNazanin"/>
          <w:color w:val="111111"/>
          <w:sz w:val="28"/>
          <w:sz w:val="28"/>
          <w:szCs w:val="28"/>
          <w:rtl w:val="true"/>
          <w:lang w:bidi="fa-IR"/>
        </w:rPr>
        <w:t xml:space="preserve">نظریه پردازانه و ارائه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نویسنده صرف مواجهه با واقعیات و زمینه را برای دولتی تر شدن و دنیوی شدن فقه و دین کافی نمی داند که به چنین نظریه پردازی های وسیعی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نشان دهنده نادرستی نظریه نویسنده در باب سکولارشدن دین، در پی ورود به عرصه عمومی و سیاست است که می خواهد با تئوری پردازی آن را جبران کند</w:t>
      </w:r>
      <w:r>
        <w:rPr>
          <w:rFonts w:eastAsia="IRNazanin" w:cs="IRNazanin"/>
          <w:color w:val="111111"/>
          <w:sz w:val="28"/>
          <w:szCs w:val="28"/>
          <w:rtl w:val="true"/>
          <w:lang w:bidi="fa-IR"/>
        </w:rPr>
        <w:t>!</w:t>
      </w:r>
    </w:p>
    <w:p>
      <w:pPr>
        <w:pStyle w:val="Heading5"/>
        <w:numPr>
          <w:ilvl w:val="4"/>
          <w:numId w:val="1"/>
        </w:numPr>
        <w:rPr/>
      </w:pPr>
      <w:bookmarkStart w:id="270" w:name="__RefHeading___Toc3418298_2749589250"/>
      <w:bookmarkStart w:id="271" w:name="_Toc105"/>
      <w:bookmarkEnd w:id="270"/>
      <w:r>
        <w:rPr>
          <w:rtl w:val="true"/>
        </w:rPr>
        <w:t xml:space="preserve">دوم </w:t>
      </w:r>
      <w:r>
        <w:rPr>
          <w:rtl w:val="true"/>
        </w:rPr>
        <w:t xml:space="preserve">- </w:t>
      </w:r>
      <w:r>
        <w:rPr>
          <w:rtl w:val="true"/>
        </w:rPr>
        <w:t>دموکراسی حداقلی</w:t>
      </w:r>
      <w:bookmarkEnd w:id="271"/>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حداقلی</w:t>
      </w:r>
    </w:p>
    <w:p>
      <w:pPr>
        <w:pStyle w:val="BookText"/>
        <w:rPr/>
      </w:pPr>
      <w:r>
        <w:rPr>
          <w:rFonts w:ascii="IRNazanin" w:hAnsi="IRNazanin" w:eastAsia="IRNazanin"/>
          <w:color w:val="111111"/>
          <w:sz w:val="28"/>
          <w:sz w:val="28"/>
          <w:szCs w:val="28"/>
          <w:rtl w:val="true"/>
          <w:lang w:bidi="fa-IR"/>
        </w:rPr>
        <w:t xml:space="preserve">نویسنده تنها مدل دموکراسی قابل جمع با دین را دموکراسی حداقلی، قابل مشاهده است و می داند که از نظر او، فاصله اندکی با خود کامگی و انحصار قدرت دارد، در حالی که در سخنان امام 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گذار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عملی و عینی در مراحل گوناگون تاریخی در جمهوری اسلامی ایران، تحقق دموکراسی حد وسط یعنی رعایت حق اقلیت برای آن که بتواند از طرق مسالمت آمیز و قانونی به اکثریت تبدیل شود، قابل مشاهده است و این، حادثه ای است که در دوره های گوناگون و متعدد انتخاباتی، در جمهوری اسلامی ایران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تلاش تئوریک نویسنده برای جمع کردن میان دین و دموکراسی حداقلی با ارائه تئوری دین عرفی یا عصری، واقعیت سیاسی در جمهوری اسلامی ایران یک قدم جلوتر از آرمان مقطعی و تلاش تئوریک ایشان بوده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از میان روایت های عرفانی، فقهی، ایدئولوژیک، فرهنگی و عصری از دین، تنها روایت عصری را سازگار با دموکراسی معرفی </w:t>
      </w:r>
      <w:bookmarkStart w:id="272" w:name="pg3480_42366"/>
    </w:p>
    <w:p>
      <w:pPr>
        <w:pStyle w:val="BookText"/>
        <w:rPr/>
      </w:pPr>
      <w:bookmarkEnd w:id="272"/>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نویسنده در باب روایت عرفانی می گوید، تنها درباره برخی روایت های سطحی و قشری صحیح است وگرنه روایت های دیگر عرفانی متصور است که با دموکراسی نیز سازگار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امام عارف در مصاحبه های گوناگون، تأکید فراوان بر دموکراسی داشت و نیز آن چه نویسنده در باب روایت ایدئولوژیک می گوید، ممکن است با بعضی روایت های ایدئولوژیک چپ یا فاشیستی انطباق داشته باشد و گرنه روایت های ایدئولوژیک دموکراتیک یا لیبرالیستی، صد البته از نظر نویسنده نیز با دموکراسی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روایت فقهی سازگار با دموکراسی متصور است، کما این که فقه امام راحل با دموکراسی ناسازگار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فرهنگی نیز از نظر نویسنده بلااقتضاء است و می تواند با دموکراسی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نویسنده درباره سازگاری روایت عصری با دموکراسی می گوید، تنها با بعضی اشکال آن هماهنگ است و گرنه روایت عصری در اعصار ماقبل خرد، در چارچوب تحلیلی نویسنده، را نمی توان با دموکراسی سازگار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برخلاف نظر نویسنده، چندان نسبت ذاتی و ارتباط یا تقابل میان این روایات از دین و دموکراسی وجود ندارد</w:t>
      </w:r>
      <w:r>
        <w:rPr>
          <w:rFonts w:eastAsia="IRNazanin" w:cs="IRNazanin"/>
          <w:color w:val="111111"/>
          <w:sz w:val="28"/>
          <w:szCs w:val="28"/>
          <w:rtl w:val="true"/>
          <w:lang w:bidi="fa-IR"/>
        </w:rPr>
        <w:t>!</w:t>
      </w:r>
    </w:p>
    <w:p>
      <w:pPr>
        <w:pStyle w:val="Heading5"/>
        <w:numPr>
          <w:ilvl w:val="4"/>
          <w:numId w:val="1"/>
        </w:numPr>
        <w:rPr/>
      </w:pPr>
      <w:bookmarkStart w:id="273" w:name="__RefHeading___Toc3418300_2749589250"/>
      <w:bookmarkStart w:id="274" w:name="_Toc106"/>
      <w:bookmarkEnd w:id="273"/>
      <w:r>
        <w:rPr>
          <w:rtl w:val="true"/>
        </w:rPr>
        <w:t xml:space="preserve">سوم </w:t>
      </w:r>
      <w:r>
        <w:rPr>
          <w:rtl w:val="true"/>
        </w:rPr>
        <w:t xml:space="preserve">- </w:t>
      </w:r>
      <w:r>
        <w:rPr>
          <w:rtl w:val="true"/>
        </w:rPr>
        <w:t>فقه و دموکراسی</w:t>
      </w:r>
      <w:bookmarkEnd w:id="274"/>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دموکراسی</w:t>
      </w:r>
    </w:p>
    <w:p>
      <w:pPr>
        <w:pStyle w:val="BookText"/>
        <w:rPr/>
      </w:pPr>
      <w:r>
        <w:rPr>
          <w:rFonts w:ascii="IRNazanin" w:hAnsi="IRNazanin" w:eastAsia="IRNazanin"/>
          <w:color w:val="111111"/>
          <w:sz w:val="28"/>
          <w:sz w:val="28"/>
          <w:szCs w:val="28"/>
          <w:rtl w:val="true"/>
          <w:lang w:bidi="fa-IR"/>
        </w:rPr>
        <w:t>نویسنده در تبیین نسبت روایت فقهی از دین با دموکراسی حداقلی می گوید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تنظیمات دموکراتیک، تبعیت اقلیت از اکثریت در امور مربوط به حقوق عمومی، جزء ضروریات و قواعد بازی است و الاّ چنین نظامی </w:t>
      </w:r>
    </w:p>
    <w:p>
      <w:pPr>
        <w:pStyle w:val="BookText"/>
        <w:rPr/>
      </w:pPr>
      <w:r>
        <w:rPr>
          <w:rFonts w:ascii="IRNazanin" w:hAnsi="IRNazanin" w:eastAsia="IRNazanin"/>
          <w:color w:val="111111"/>
          <w:sz w:val="28"/>
          <w:sz w:val="28"/>
          <w:szCs w:val="28"/>
          <w:rtl w:val="true"/>
          <w:lang w:bidi="fa-IR"/>
        </w:rPr>
        <w:t xml:space="preserve">پا نمی گیرد، حال آن که در قرائت فقهی از دین، هیچ مبرّر و حجت شرعی، برای رعایت اصل تبعیت اقلیت از اکثریت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مطلب را موجب ناهماهنگی روایت فقهی با دموکراسی حداقلی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آشنایان با مسائل فقهی می دانند که تبعیت مقلدان از مجتهد،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تبعیت مردم از حاکم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حاکم، نه تنها بر مقلدانِ دیگر مجتهدان، بلکه برخود آن مجتهدان نیز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از آن جا که فقه را ناظر بر حقوق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گمان برده است که تنها رابطه فقهی بین مردم و مجتهد،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رابطه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مردم و مجتهد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شود، غفلت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بنا بر این اشتباه تحلیلی، نظر می دهد که روایت فقهی از دین با دموکراسی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با گرایش اکثریت به یک فقیه، عنوان حاکم برای او ثابت گردد، و این مطلب از نظرات امام راحل قابل استنتاج است، در این صورت حکم این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فتوای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مقلدان دیگر مجتهدان و نیز برخود آن مجتهدان نافذ است؛ زیرا دیگر مقام، مقام اجتهاد، تقلید، مفتی و مستفتی نیست، بلکه مقام حاکم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تحریم تنباکو نیز تبعیت دیگر مجتهدان یا مقلدان دیگر مجتهدان از میرزای شیرازی، به جهت این بود که نظر او را حکم تلقی نمودند و نه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او را بر خود نافذ دانسته و از آن تبعیت کردند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است که نویسنده در ادامه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دولتی معرفی می کند که قواعد حقوق عمومی و </w:t>
      </w:r>
    </w:p>
    <w:p>
      <w:pPr>
        <w:pStyle w:val="BookText"/>
        <w:rPr/>
      </w:pPr>
      <w:r>
        <w:rPr>
          <w:rFonts w:ascii="IRNazanin" w:hAnsi="IRNazanin" w:eastAsia="IRNazanin"/>
          <w:color w:val="111111"/>
          <w:sz w:val="28"/>
          <w:sz w:val="28"/>
          <w:szCs w:val="28"/>
          <w:rtl w:val="true"/>
          <w:lang w:bidi="fa-IR"/>
        </w:rPr>
        <w:t>حقوق اساسی آن از فقه استخراج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از فقهی که نویسنده آن را تنها ناظر بر حقوق خصوصی می داند، قواعد حقوق عمومی و حقوق اساسی استخراج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نویسنده پاسخ دهد، با داخل کردن عنصر مصلحت در فقه، چنین تحولی در فقه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چنین اشتباه مضاعفی از مباحث گذشته، درباره مصلحت روشن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برداشت و تبیین نویسنده از عنصر مصلحت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مصلحت، عنصر جدیدی در فقه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قرائت فقهی از دین، مبرّر و حجت شرعی برای رعایت اصل تبعیت اقلیت از اکثریت وجود دارد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فقه شیعه،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نویسنده سنگ بنای پلورالیسمی را که دموکراسی بر آن بنا می شود، تکثر در مرجعیت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خواهد از روایت فقهی برای دموکراسی مدد بگیرد، در حالی که در گذشته، نسبت میان روایت فقهی و دموکراسی را انکار کرده است و این جا خود به آن تمسک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عرضه دکترین های متفاوت و متنوع و روایت های متعدد از فقه عمومی و حقوق اساسی چیزی است که آن را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مایه تفاوت فقه و حقوق دانسته که باید رفع و رجوع شود و فقه به </w:t>
      </w:r>
      <w:bookmarkStart w:id="275" w:name="pg3480_42369"/>
    </w:p>
    <w:p>
      <w:pPr>
        <w:pStyle w:val="BookText"/>
        <w:rPr/>
      </w:pPr>
      <w:bookmarkEnd w:id="275"/>
      <w:r>
        <w:rPr>
          <w:rFonts w:ascii="IRNazanin" w:hAnsi="IRNazanin" w:eastAsia="IRNazanin"/>
          <w:color w:val="111111"/>
          <w:sz w:val="28"/>
          <w:sz w:val="28"/>
          <w:szCs w:val="28"/>
          <w:rtl w:val="true"/>
          <w:lang w:bidi="fa-IR"/>
        </w:rPr>
        <w:t>قانون تبدیل گردد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آن جا گفتیم که دریافت نویسنده از نسبت فقه، حقوق، قانون و ویژگی های هر کدام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تناقض موجود در اندیشه نویسنده را یادآور می شویم</w:t>
      </w:r>
      <w:r>
        <w:rPr>
          <w:rFonts w:eastAsia="IRNazanin" w:cs="IRNazanin"/>
          <w:color w:val="111111"/>
          <w:sz w:val="28"/>
          <w:szCs w:val="28"/>
          <w:rtl w:val="true"/>
          <w:lang w:bidi="fa-IR"/>
        </w:rPr>
        <w:t>.</w:t>
      </w:r>
    </w:p>
    <w:p>
      <w:pPr>
        <w:pStyle w:val="Heading5"/>
        <w:numPr>
          <w:ilvl w:val="4"/>
          <w:numId w:val="1"/>
        </w:numPr>
        <w:rPr/>
      </w:pPr>
      <w:bookmarkStart w:id="276" w:name="__RefHeading___Toc3418302_2749589250"/>
      <w:bookmarkStart w:id="277" w:name="_Toc107"/>
      <w:bookmarkEnd w:id="276"/>
      <w:r>
        <w:rPr>
          <w:rtl w:val="true"/>
        </w:rPr>
        <w:t xml:space="preserve">چهارم </w:t>
      </w:r>
      <w:r>
        <w:rPr>
          <w:rtl w:val="true"/>
        </w:rPr>
        <w:t xml:space="preserve">- </w:t>
      </w:r>
      <w:r>
        <w:rPr>
          <w:rtl w:val="true"/>
        </w:rPr>
        <w:t>خصوصی بودن فقه</w:t>
      </w:r>
      <w:bookmarkEnd w:id="277"/>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 بودن فقه</w:t>
      </w:r>
    </w:p>
    <w:p>
      <w:pPr>
        <w:pStyle w:val="BookText"/>
        <w:rPr/>
      </w:pPr>
      <w:r>
        <w:rPr>
          <w:rFonts w:ascii="IRNazanin" w:hAnsi="IRNazanin" w:eastAsia="IRNazanin"/>
          <w:color w:val="111111"/>
          <w:sz w:val="28"/>
          <w:sz w:val="28"/>
          <w:szCs w:val="28"/>
          <w:rtl w:val="true"/>
          <w:lang w:bidi="fa-IR"/>
        </w:rPr>
        <w:t>نویسنده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مشکلات فقه آن است که متعلق احکامش، اشخاصی حقیقی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نیز نویسنده به فتوای یکی از مجتهدان استناد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نویسنده در این جا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از دل همین فقه، ولایت فقیه و ولایت عامه بیرون آمده که مَثَلِ اعلای شخص حقوقی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مجتهدی در موردی خاص فتوایی داده که در آن منافع و مصالح اشخاص حقیقی را نیز درنظر گرفته است، آیا به این معناست که متعلق احکام فقه، اشخاص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به استناد یک فتوا، آن هم بدون تجزیه و تحلیل آن، حکم عام برای علم گسترده ای چون فقه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روش، علمی و تحقیقی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ولایت فقیه و ولایت عامه و مانند آن که از همین فقه ناشی شده است، آشنایان با فقه می دانند که در موارد گوناگون در</w:t>
      </w:r>
      <w:bookmarkStart w:id="278" w:name="pg3480_42370"/>
    </w:p>
    <w:p>
      <w:pPr>
        <w:pStyle w:val="BookText"/>
        <w:rPr/>
      </w:pPr>
      <w:bookmarkEnd w:id="278"/>
      <w:r>
        <w:rPr>
          <w:rFonts w:ascii="IRNazanin" w:hAnsi="IRNazanin" w:eastAsia="IRNazanin"/>
          <w:color w:val="111111"/>
          <w:sz w:val="28"/>
          <w:sz w:val="28"/>
          <w:szCs w:val="28"/>
          <w:rtl w:val="true"/>
          <w:lang w:bidi="fa-IR"/>
        </w:rPr>
        <w:t>کتاب های فقهی، به مسئله دولت و حکومت اشاره و استناد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الجهاد، کتاب القضاء، کتاب الحدود، کتاب القصاص، کتاب الدیات و</w:t>
      </w:r>
      <w:r>
        <w:rPr>
          <w:rFonts w:eastAsia="IRNazanin" w:cs="IRNazanin"/>
          <w:color w:val="111111"/>
          <w:sz w:val="28"/>
          <w:szCs w:val="28"/>
          <w:rtl w:val="true"/>
          <w:lang w:bidi="fa-IR"/>
        </w:rPr>
        <w:t>...).</w:t>
      </w:r>
    </w:p>
    <w:p>
      <w:pPr>
        <w:pStyle w:val="Heading5"/>
        <w:numPr>
          <w:ilvl w:val="4"/>
          <w:numId w:val="1"/>
        </w:numPr>
        <w:rPr/>
      </w:pPr>
      <w:bookmarkStart w:id="279" w:name="__RefHeading___Toc3418304_2749589250"/>
      <w:bookmarkStart w:id="280" w:name="_Toc108"/>
      <w:bookmarkEnd w:id="279"/>
      <w:r>
        <w:rPr>
          <w:rtl w:val="true"/>
        </w:rPr>
        <w:t xml:space="preserve">پنجم </w:t>
      </w:r>
      <w:r>
        <w:rPr>
          <w:rtl w:val="true"/>
        </w:rPr>
        <w:t xml:space="preserve">- </w:t>
      </w:r>
      <w:r>
        <w:rPr>
          <w:rtl w:val="true"/>
        </w:rPr>
        <w:t>فقه شناسی</w:t>
      </w:r>
      <w:bookmarkEnd w:id="280"/>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شناسی</w:t>
      </w:r>
    </w:p>
    <w:p>
      <w:pPr>
        <w:pStyle w:val="BookText"/>
        <w:rPr/>
      </w:pPr>
      <w:r>
        <w:rPr>
          <w:rFonts w:ascii="IRNazanin" w:hAnsi="IRNazanin" w:eastAsia="IRNazanin"/>
          <w:color w:val="111111"/>
          <w:sz w:val="28"/>
          <w:sz w:val="28"/>
          <w:szCs w:val="28"/>
          <w:rtl w:val="true"/>
          <w:lang w:bidi="fa-IR"/>
        </w:rPr>
        <w:t>آیا نویسنده یک دوره فقه را مرور کرده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آموزشی در این باره دیده است؟ توانائی های لازم را در این زمینه دارد یا این که با همین متدهای علمی که نمونه اش را در این جا ملاحظه می کنیم، دست به تحلیل، تعمیم و تئوری پردازی زده است و برای مطالعه و مرورِ انجام نگرفته هم، پیشاپیش حکم صادر می کند؟</w:t>
      </w:r>
      <w:r>
        <w:rPr>
          <w:rFonts w:eastAsia="IRNazanin" w:cs="IRNazanin"/>
          <w:color w:val="111111"/>
          <w:sz w:val="28"/>
          <w:szCs w:val="28"/>
          <w:rtl w:val="true"/>
          <w:lang w:bidi="fa-IR"/>
        </w:rPr>
        <w:t>!</w:t>
      </w:r>
    </w:p>
    <w:p>
      <w:pPr>
        <w:pStyle w:val="Heading5"/>
        <w:numPr>
          <w:ilvl w:val="4"/>
          <w:numId w:val="1"/>
        </w:numPr>
        <w:rPr/>
      </w:pPr>
      <w:bookmarkStart w:id="281" w:name="__RefHeading___Toc3418306_2749589250"/>
      <w:bookmarkStart w:id="282" w:name="_Toc109"/>
      <w:bookmarkEnd w:id="281"/>
      <w:r>
        <w:rPr>
          <w:rtl w:val="true"/>
        </w:rPr>
        <w:t xml:space="preserve">ششم </w:t>
      </w:r>
      <w:r>
        <w:rPr>
          <w:rtl w:val="true"/>
        </w:rPr>
        <w:t xml:space="preserve">- </w:t>
      </w:r>
      <w:r>
        <w:rPr>
          <w:rtl w:val="true"/>
        </w:rPr>
        <w:t>فقه و دولت</w:t>
      </w:r>
      <w:bookmarkEnd w:id="282"/>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دولت</w:t>
      </w:r>
    </w:p>
    <w:p>
      <w:pPr>
        <w:pStyle w:val="BookText"/>
        <w:rPr/>
      </w:pPr>
      <w:r>
        <w:rPr>
          <w:rFonts w:ascii="IRNazanin" w:hAnsi="IRNazanin" w:eastAsia="IRNazanin"/>
          <w:color w:val="111111"/>
          <w:sz w:val="28"/>
          <w:sz w:val="28"/>
          <w:szCs w:val="28"/>
          <w:rtl w:val="true"/>
          <w:lang w:bidi="fa-IR"/>
        </w:rPr>
        <w:t>روشن است که درگیری بیش تر آیات و فقه با عرصه سیاست و دولت، موجب گسترش و بسط احکام فقه در عرصه دولت، سیاست و حوزه عمومی خواهد شد، ولی ادعای نویسنده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دین، دولتی تر شود،</w:t>
      </w:r>
      <w:r>
        <w:rPr>
          <w:rStyle w:val="FootnoteAnchor"/>
          <w:rtl w:val="true"/>
        </w:rPr>
        <w:footnoteReference w:id="71"/>
      </w:r>
      <w:r>
        <w:rPr>
          <w:rFonts w:ascii="IRNazanin" w:hAnsi="IRNazanin" w:eastAsia="IRNazanin"/>
          <w:color w:val="111111"/>
          <w:sz w:val="28"/>
          <w:sz w:val="28"/>
          <w:szCs w:val="28"/>
          <w:rtl w:val="true"/>
          <w:lang w:bidi="fa-IR"/>
        </w:rPr>
        <w:t>زمینه تأسیس</w:t>
      </w:r>
      <w:r>
        <w:rPr>
          <w:rStyle w:val="FootnoteAnchor"/>
          <w:rtl w:val="true"/>
        </w:rPr>
        <w:footnoteReference w:id="72"/>
      </w:r>
      <w:r>
        <w:rPr>
          <w:rFonts w:ascii="IRNazanin" w:hAnsi="IRNazanin" w:eastAsia="IRNazanin"/>
          <w:color w:val="111111"/>
          <w:sz w:val="28"/>
          <w:sz w:val="28"/>
          <w:szCs w:val="28"/>
          <w:rtl w:val="true"/>
          <w:lang w:bidi="fa-IR"/>
        </w:rPr>
        <w:t xml:space="preserve">و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مهیاتر می شود، فقهی که مناط احکامش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اما این مصلحت چیست و ضابطه آن کدام است؟ نویسنده در هیچ جا به این مطلب مهم که اساس نظریه فقه المصلحة اوست، اشاره نمی 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w:t>
      </w:r>
      <w:bookmarkStart w:id="283" w:name="pg3480_42371"/>
    </w:p>
    <w:p>
      <w:pPr>
        <w:pStyle w:val="BookText"/>
        <w:rPr/>
      </w:pPr>
      <w:bookmarkEnd w:id="283"/>
      <w:r>
        <w:rPr>
          <w:rFonts w:ascii="IRNazanin" w:hAnsi="IRNazanin" w:eastAsia="IRNazanin"/>
          <w:color w:val="111111"/>
          <w:sz w:val="28"/>
          <w:sz w:val="28"/>
          <w:szCs w:val="28"/>
          <w:rtl w:val="true"/>
          <w:lang w:bidi="fa-IR"/>
        </w:rPr>
        <w:t xml:space="preserve">عبارتی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دریافت نویسنده از فقه، ولایت فقیه و مصلحت به طور کلی با نظر امام راحل متفاوت است و دستگاه فقه تشیع، از گذشته با این عنصر آشنایی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و مصلحتی که موردنظر نویسنده است، به عرفی شدن و سکولارشدن اسلام و فقه منجر می گردد و از آن جا که این سکولاریزاسیون به دموکراتیزه شدن دین و دولت می انجامد، از نظر نویسنده مطلوب است</w:t>
      </w:r>
      <w:r>
        <w:rPr>
          <w:rFonts w:eastAsia="IRNazanin" w:cs="IRNazanin"/>
          <w:color w:val="111111"/>
          <w:sz w:val="28"/>
          <w:szCs w:val="28"/>
          <w:rtl w:val="true"/>
          <w:lang w:bidi="fa-IR"/>
        </w:rPr>
        <w:t>!</w:t>
      </w:r>
    </w:p>
    <w:p>
      <w:pPr>
        <w:pStyle w:val="Heading5"/>
        <w:numPr>
          <w:ilvl w:val="4"/>
          <w:numId w:val="1"/>
        </w:numPr>
        <w:rPr/>
      </w:pPr>
      <w:bookmarkStart w:id="284" w:name="__RefHeading___Toc3418308_2749589250"/>
      <w:bookmarkStart w:id="285" w:name="_Toc110"/>
      <w:bookmarkEnd w:id="284"/>
      <w:r>
        <w:rPr>
          <w:rtl w:val="true"/>
        </w:rPr>
        <w:t xml:space="preserve">هفتم </w:t>
      </w:r>
      <w:r>
        <w:rPr>
          <w:rtl w:val="true"/>
        </w:rPr>
        <w:t xml:space="preserve">- </w:t>
      </w:r>
      <w:r>
        <w:rPr>
          <w:rtl w:val="true"/>
        </w:rPr>
        <w:t>مسیحیت شناسی</w:t>
      </w:r>
      <w:bookmarkEnd w:id="285"/>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شناسی</w:t>
      </w:r>
    </w:p>
    <w:p>
      <w:pPr>
        <w:pStyle w:val="BookText"/>
        <w:rPr/>
      </w:pPr>
      <w:r>
        <w:rPr>
          <w:rFonts w:ascii="IRNazanin" w:hAnsi="IRNazanin" w:eastAsia="IRNazanin"/>
          <w:color w:val="111111"/>
          <w:sz w:val="28"/>
          <w:sz w:val="28"/>
          <w:szCs w:val="28"/>
          <w:rtl w:val="true"/>
          <w:lang w:bidi="fa-IR"/>
        </w:rPr>
        <w:t>نویسنده در تبیین مراتب و مراحل نزول دین، به بحث از ظرف عینی اسلام پرداخته، آن را با ظرف عینی مسیحیت مقایسه می کند و می گوید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کنید ظرف عینی اسلام را با ظرف عینی مسیحیت که مشحون بود از سنن عقلانی یونانی و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دین وظیفه تمدن سازی را هم به عهده داشت و ناچار بود روح جاهلی و بدوی اعراب بادیه نشین را تلطیف کند، اما در دومی، دین در ظرف یک تمدن عظیم پا به عرصه نهاد و لذا توانست مسیر سنت آگوستین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خرد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آسان تر طی کند تا مسیر سنت آنسلم را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 ایمان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 عینی مسیحیت مشحون از سنن عقلانی یونانی و رومی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مسیحیت مسیر سنت آگوستین را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خرد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آسان تر طی کرد تا مسیر سنت آنسلم را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 ایمان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واقعا معلوم نیست که نویسنده گفتار آگوستین را چگونه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فهم نویسنده این است که مقصود آگوستین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با گفتار نویسنده در دیگر جاهای کتاب نمی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فهم نویسنده از جمله آگوستین،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با ظرف تمدن عظیم و مشحون از سنن عقلانی یونانی و رومی چه ربطی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نفی و تخطئه خرد نیازمند سنن عقلانی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 تر طی کردن مسیر آگوستین یعنی چه؟ یعنی دین مسیحیت در مسیری که آگوستین ترسیم کرده بود، حرکت کرد؟</w:t>
      </w:r>
    </w:p>
    <w:p>
      <w:pPr>
        <w:pStyle w:val="BookText"/>
        <w:rPr/>
      </w:pPr>
      <w:r>
        <w:rPr>
          <w:rFonts w:ascii="IRNazanin" w:hAnsi="IRNazanin" w:eastAsia="IRNazanin"/>
          <w:color w:val="111111"/>
          <w:sz w:val="28"/>
          <w:sz w:val="28"/>
          <w:szCs w:val="28"/>
          <w:rtl w:val="true"/>
          <w:lang w:bidi="fa-IR"/>
        </w:rPr>
        <w:t>می دانیم که از نظر تاریخی این طور نیست و در نهایت، اندیشه آگوستین به اندیشه آکوئیناسی و تلفیق ایمان و خرد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می گوید آن را آسان تر طی کرد؛ یعنی کنار گذاشت که این هم با مطالبی که نویسنده درباره لزوم جدایی دین از سیاست می گوید، سازگار نیست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جمله آگوستین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ایمان برخرد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سنن عقلانی یونانی و رومی سازگار است، یا جمله آنسلم، تقدم خرد بر ایمان؟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واقعا محتوای گفتار آگوستین با گفتار آنسلم متفاوت است؟</w:t>
      </w:r>
    </w:p>
    <w:p>
      <w:pPr>
        <w:pStyle w:val="BookText"/>
        <w:rPr/>
      </w:pPr>
      <w:r>
        <w:rPr>
          <w:rFonts w:ascii="IRNazanin" w:hAnsi="IRNazanin" w:eastAsia="IRNazanin"/>
          <w:color w:val="111111"/>
          <w:sz w:val="28"/>
          <w:sz w:val="28"/>
          <w:szCs w:val="28"/>
          <w:rtl w:val="true"/>
          <w:lang w:bidi="fa-IR"/>
        </w:rPr>
        <w:t>کالین براون که متأله مسیحی و پروتستان است، گفتار آنسلم را چنین گزارش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آنسلم در جمله معروف او خلاصه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می آورم تا بفهمم</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نظر مصلحین کلیسا در مورد حقیقت، اصولاً ادامه نظر آنسلم و نویسندگان کتاب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به قول آنسلم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ایمان می آورم تا بفهمم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ویل دورانت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آنسلم به پیروی از قدیس آوگوستینوس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درصدد نیستم که ادارک کنم تا مگر از آن راه ایمان آورم من ایمان دارم تا مگر به برکت آن برایم ادراک حاصل آید</w:t>
      </w:r>
      <w:r>
        <w:rPr>
          <w:rFonts w:eastAsia="IRNazanin" w:cs="IRNazanin"/>
          <w:color w:val="111111"/>
          <w:sz w:val="28"/>
          <w:szCs w:val="28"/>
          <w:rtl w:val="true"/>
          <w:lang w:bidi="fa-IR"/>
        </w:rPr>
        <w:t>.</w:t>
      </w:r>
      <w:r>
        <w:rPr>
          <w:rStyle w:val="FootnoteAnchor"/>
          <w:rtl w:val="true"/>
        </w:rPr>
        <w:footnoteReference w:id="7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 آن را از بیکن و دیگران نقل کرده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بنابراین، هم آگوستین و هم آنسلم از تقدم ایمان سخن می گویند</w:t>
      </w:r>
      <w:r>
        <w:rPr>
          <w:rStyle w:val="FootnoteAnchor"/>
          <w:rtl w:val="true"/>
        </w:rPr>
        <w:footnoteReference w:id="79"/>
      </w:r>
      <w:r>
        <w:rPr>
          <w:rFonts w:ascii="IRNazanin" w:hAnsi="IRNazanin" w:eastAsia="IRNazanin"/>
          <w:color w:val="111111"/>
          <w:sz w:val="28"/>
          <w:sz w:val="28"/>
          <w:szCs w:val="28"/>
          <w:rtl w:val="true"/>
          <w:lang w:bidi="fa-IR"/>
        </w:rPr>
        <w:t>و از این نظر، تفاوتی میان این دو نیست و ترتیبی میان سنن عقلانی و تقدم ایمان بر خرد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ظاهرا نویسنده از روش خاصی در نگارش استفاده می کند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می گویم و معنا خودش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بدون اطلاع از تاریخ، کلام، شریعت و متون مقدس مسیحیت، درباره آن اظهارنظر و آن را با اسلام مقایسه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اطلاعات او درباره اسلام، فقه شیعی، کلام اسلامی و متن وحیانی اسلام با آگاهی های او در باب مسیحیت نیز چندان توفیر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شاید توجه به آن مفید باشد، آثار و نتایج مجادلات نوشتاری نویسنده و آقای سروش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در مقاله حکومت دموکراتیک دینی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های دینی هم می توانند دموکراتیک و غیردموکراتیک باشند و این بستگی دارد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بهره ای که از عقل جمعی می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حرمتی که به حقوق بشر می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دموکراسی و دین، از نمونه های تاریخی توفیق بین عقل و شرع است و هر توفیقی که نظرا در این امر حاصل آید، در عمل هم تجلی خواهد کرد</w:t>
      </w:r>
      <w:r>
        <w:rPr>
          <w:rFonts w:eastAsia="IRNazanin" w:cs="IRNazanin"/>
          <w:color w:val="111111"/>
          <w:sz w:val="28"/>
          <w:szCs w:val="28"/>
          <w:rtl w:val="true"/>
          <w:lang w:bidi="fa-IR"/>
        </w:rPr>
        <w:t>.</w:t>
      </w:r>
      <w:r>
        <w:rPr>
          <w:rStyle w:val="FootnoteAnchor"/>
          <w:rtl w:val="true"/>
        </w:rPr>
        <w:footnoteReference w:id="8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مقاله سروش، مقالاتی نگاشته شد که در شماره های متعدد کیان به چاپ رسیدند و امکان جمع میان دین و دموکراسی را مورد پرسش جدی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حجاریان در همان راستای مورد نظر سروش که جمع اسلام و دموکراسی بود، نوشته شد، اما این بار امکان جمع میان اسلام و دموکراسی را از طریق روایت عصری یا عرفی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دنیوی کردن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 این مجادلات، نسبت دین و ایدئولوژی بود که سروش چنین نسبتی را انکار می کرد و حجاریان وجود و تحقق این نسبت را لازمه مسیر عرفی شدن دین می دانست و نظریه قبض و بسط سروش را نیز منزلی در همین مسیر به حساب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مجادلات، سروش در مقالات گوناگون خود که برخی از آن ها در مجموعه مدیریت و مدارا به چاپ رسیده است،</w:t>
      </w:r>
      <w:r>
        <w:rPr>
          <w:rStyle w:val="FootnoteAnchor"/>
          <w:rtl w:val="true"/>
        </w:rPr>
        <w:footnoteReference w:id="81"/>
      </w:r>
      <w:r>
        <w:rPr>
          <w:rFonts w:ascii="IRNazanin" w:hAnsi="IRNazanin" w:eastAsia="IRNazanin"/>
          <w:color w:val="111111"/>
          <w:sz w:val="28"/>
          <w:sz w:val="28"/>
          <w:szCs w:val="28"/>
          <w:rtl w:val="true"/>
          <w:lang w:bidi="fa-IR"/>
        </w:rPr>
        <w:t>متأثر از این مجادلات به موضوعاتی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دین دنیوی و مانند این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تعاریفی که او از سکولاریزم ارائه می دهد و نمونه هایی که برمی شمارد، با تعاریف و نمونه های حجاریان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در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در 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دو جا از حجاریان نقل قول می کند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او در مصاحبه با ایسنا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به معنایی که می گویم معتقد به جدایی دین و سیاست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سیاست یک تدبیر کلان دنیوی است که سراپا چون و چراپذیر و نقدپذیر است و از طرف دیگر، مواضع دینی، مواضع چون و چراناپذیر و نقدناپذیر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ذاتا سکولار است و این سکولاریته از آن نازدودنی است و هیچ گاه مقدس نمی شود</w:t>
      </w:r>
      <w:r>
        <w:rPr>
          <w:rFonts w:eastAsia="IRNazanin" w:cs="IRNazanin"/>
          <w:color w:val="111111"/>
          <w:sz w:val="28"/>
          <w:szCs w:val="28"/>
          <w:rtl w:val="true"/>
          <w:lang w:bidi="fa-IR"/>
        </w:rPr>
        <w:t>.</w:t>
      </w:r>
      <w:r>
        <w:rPr>
          <w:rStyle w:val="FootnoteAnchor"/>
          <w:rtl w:val="true"/>
        </w:rPr>
        <w:footnoteReference w:id="8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است که چگونه سروش نتوانسته خلط مباحث و مفاهیم حجاریان را دریابد و آن را به محکِ محکمات دینی بیازماید؟</w:t>
      </w:r>
      <w:r>
        <w:rPr>
          <w:rFonts w:eastAsia="IRNazanin" w:cs="IRNazanin"/>
          <w:color w:val="111111"/>
          <w:sz w:val="28"/>
          <w:szCs w:val="28"/>
          <w:rtl w:val="true"/>
          <w:lang w:bidi="fa-IR"/>
        </w:rPr>
        <w:t xml:space="preserve">! </w:t>
      </w:r>
      <w:bookmarkStart w:id="286" w:name="pg3480_42376"/>
    </w:p>
    <w:p>
      <w:pPr>
        <w:pStyle w:val="Heading2"/>
        <w:numPr>
          <w:ilvl w:val="1"/>
          <w:numId w:val="1"/>
        </w:numPr>
        <w:rPr/>
      </w:pPr>
      <w:bookmarkStart w:id="287" w:name="__RefHeading___Toc3418310_2749589250"/>
      <w:bookmarkStart w:id="288" w:name="_Toc111"/>
      <w:bookmarkEnd w:id="286"/>
      <w:bookmarkEnd w:id="287"/>
      <w:r>
        <w:rPr>
          <w:rtl w:val="true"/>
        </w:rPr>
        <w:t>بخش چهارم</w:t>
      </w:r>
      <w:r>
        <w:rPr>
          <w:rtl w:val="true"/>
        </w:rPr>
        <w:t xml:space="preserve">: </w:t>
      </w:r>
      <w:r>
        <w:rPr>
          <w:rtl w:val="true"/>
        </w:rPr>
        <w:t>عرفی شدن ایدئولوژی ها</w:t>
      </w:r>
      <w:bookmarkEnd w:id="288"/>
    </w:p>
    <w:p>
      <w:pPr>
        <w:pStyle w:val="Heading3"/>
        <w:numPr>
          <w:ilvl w:val="2"/>
          <w:numId w:val="1"/>
        </w:numPr>
        <w:rPr/>
      </w:pPr>
      <w:bookmarkStart w:id="289" w:name="__RefHeading___Toc3418312_2749589250"/>
      <w:bookmarkStart w:id="290" w:name="_Toc112"/>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شدن ایدئولوژی ها</w:t>
      </w:r>
    </w:p>
    <w:p>
      <w:pPr>
        <w:pStyle w:val="BookText"/>
        <w:rPr/>
      </w:pPr>
      <w:r>
        <w:rPr>
          <w:rFonts w:ascii="IRNazanin" w:hAnsi="IRNazanin" w:eastAsia="IRNazanin"/>
          <w:color w:val="111111"/>
          <w:sz w:val="28"/>
          <w:sz w:val="28"/>
          <w:szCs w:val="28"/>
          <w:rtl w:val="true"/>
          <w:lang w:bidi="fa-IR"/>
        </w:rPr>
        <w:t>زیر فصل ها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و جامعه </w:t>
      </w:r>
      <w:bookmarkStart w:id="291" w:name="pg3480_42377"/>
    </w:p>
    <w:p>
      <w:pPr>
        <w:pStyle w:val="Heading3"/>
        <w:numPr>
          <w:ilvl w:val="2"/>
          <w:numId w:val="1"/>
        </w:numPr>
        <w:rPr/>
      </w:pPr>
      <w:bookmarkStart w:id="292" w:name="__RefHeading___Toc3418314_2749589250"/>
      <w:bookmarkStart w:id="293" w:name="_Toc113"/>
      <w:bookmarkEnd w:id="291"/>
      <w:bookmarkEnd w:id="292"/>
      <w:r>
        <w:rPr>
          <w:rtl w:val="true"/>
        </w:rPr>
        <w:t>دین و جامعه</w:t>
      </w:r>
      <w:bookmarkEnd w:id="293"/>
    </w:p>
    <w:p>
      <w:pPr>
        <w:pStyle w:val="Heading4"/>
        <w:numPr>
          <w:ilvl w:val="3"/>
          <w:numId w:val="1"/>
        </w:numPr>
        <w:rPr/>
      </w:pPr>
      <w:bookmarkStart w:id="294" w:name="__RefHeading___Toc3418316_2749589250"/>
      <w:bookmarkStart w:id="295" w:name="_Toc114"/>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دین و جامعه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نگاهی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شدن ایدئولوژی ها</w:t>
      </w:r>
      <w:r>
        <w:rPr>
          <w:rFonts w:eastAsia="IRNazanin" w:cs="IRNazanin"/>
          <w:color w:val="111111"/>
          <w:sz w:val="28"/>
          <w:szCs w:val="28"/>
          <w:rtl w:val="true"/>
          <w:lang w:bidi="fa-IR"/>
        </w:rPr>
        <w:t>»</w:t>
      </w:r>
    </w:p>
    <w:p>
      <w:pPr>
        <w:pStyle w:val="Heading4"/>
        <w:numPr>
          <w:ilvl w:val="3"/>
          <w:numId w:val="1"/>
        </w:numPr>
        <w:rPr/>
      </w:pPr>
      <w:bookmarkStart w:id="296" w:name="__RefHeading___Toc3418318_2749589250"/>
      <w:bookmarkStart w:id="297" w:name="_Toc115"/>
      <w:bookmarkEnd w:id="296"/>
      <w:r>
        <w:rPr>
          <w:rtl w:val="true"/>
        </w:rPr>
        <w:t xml:space="preserve">نگاهی به مقاله </w:t>
      </w:r>
      <w:r>
        <w:rPr>
          <w:rtl w:val="true"/>
        </w:rPr>
        <w:t>«</w:t>
      </w:r>
      <w:r>
        <w:rPr>
          <w:rtl w:val="true"/>
        </w:rPr>
        <w:t>عرفی شدن ایدئولوژی ها</w:t>
      </w:r>
      <w:r>
        <w:rPr>
          <w:rtl w:val="true"/>
        </w:rPr>
        <w:t>»</w:t>
      </w:r>
      <w:bookmarkEnd w:id="297"/>
    </w:p>
    <w:p>
      <w:pPr>
        <w:pStyle w:val="Heading5"/>
        <w:numPr>
          <w:ilvl w:val="4"/>
          <w:numId w:val="1"/>
        </w:numPr>
        <w:rPr/>
      </w:pPr>
      <w:bookmarkStart w:id="298" w:name="__RefHeading___Toc3418320_2749589250"/>
      <w:bookmarkStart w:id="299" w:name="_Toc116"/>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 xml:space="preserve">نگاهی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شدن ایدئولوژی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شدن ایدئولوژی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قسمتی از مناظره قلمی نویسنده با سروش است، نویسنده ایدئولوژیک شدن را منزلگاهی در مسیر عرفی شدن و سکولاریزه شدن دین دانسته، دنیوی شدن دین را امری محتوم تلقی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جهت فوایدی که این دنیوی شدن دارد، آن را مطلوب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مبانی دین شناختی نویسنده و نیز تاریخی گری او را که اساس نظریه پردازی اوست، بررسی می کنیم و با تناسب بیش تری که این بخش با پرداختن اجمالی به دورکیم و نقد دین شناسی او دارد، در ادامه، گزیده ای از مبانی دین شناسی دورکیم و انتقادهایی را که بر این مبانی وارد شده است طرح می کنیم</w:t>
      </w:r>
      <w:r>
        <w:rPr>
          <w:rFonts w:eastAsia="IRNazanin" w:cs="IRNazanin"/>
          <w:color w:val="111111"/>
          <w:sz w:val="28"/>
          <w:szCs w:val="28"/>
          <w:rtl w:val="true"/>
          <w:lang w:bidi="fa-IR"/>
        </w:rPr>
        <w:t>:</w:t>
      </w:r>
    </w:p>
    <w:p>
      <w:pPr>
        <w:pStyle w:val="Heading5"/>
        <w:numPr>
          <w:ilvl w:val="4"/>
          <w:numId w:val="1"/>
        </w:numPr>
        <w:rPr/>
      </w:pPr>
      <w:bookmarkStart w:id="300" w:name="__RefHeading___Toc3418322_2749589250"/>
      <w:bookmarkStart w:id="301" w:name="_Toc117"/>
      <w:bookmarkEnd w:id="300"/>
      <w:r>
        <w:rPr>
          <w:rtl w:val="true"/>
        </w:rPr>
        <w:t xml:space="preserve">اول </w:t>
      </w:r>
      <w:r>
        <w:rPr>
          <w:rtl w:val="true"/>
        </w:rPr>
        <w:t xml:space="preserve">- </w:t>
      </w:r>
      <w:r>
        <w:rPr>
          <w:rtl w:val="true"/>
        </w:rPr>
        <w:t>مبانی دین شناختی نویسنده</w:t>
      </w:r>
      <w:bookmarkEnd w:id="301"/>
    </w:p>
    <w:p>
      <w:pPr>
        <w:pStyle w:val="Heading6"/>
        <w:numPr>
          <w:ilvl w:val="5"/>
          <w:numId w:val="1"/>
        </w:numPr>
        <w:rPr/>
      </w:pPr>
      <w:bookmarkStart w:id="302" w:name="__RefHeading___Toc3418324_2749589250"/>
      <w:bookmarkStart w:id="303" w:name="_Toc118"/>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دین شناختی نویسنده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شناسی دورکیمی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شناسی مسیحی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یا لویاتان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یا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یا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دغدغه دین یا مدرنیته؟</w:t>
      </w:r>
      <w:r>
        <w:rPr>
          <w:rFonts w:eastAsia="IRNazanin" w:cs="IRNazanin"/>
          <w:color w:val="111111"/>
          <w:sz w:val="28"/>
          <w:szCs w:val="28"/>
          <w:rtl w:val="true"/>
          <w:lang w:bidi="fa-IR"/>
        </w:rPr>
        <w:t>!</w:t>
      </w:r>
    </w:p>
    <w:p>
      <w:pPr>
        <w:pStyle w:val="Heading6"/>
        <w:numPr>
          <w:ilvl w:val="5"/>
          <w:numId w:val="1"/>
        </w:numPr>
        <w:rPr/>
      </w:pPr>
      <w:bookmarkStart w:id="304" w:name="__RefHeading___Toc3418326_2749589250"/>
      <w:bookmarkStart w:id="305" w:name="_Toc119"/>
      <w:bookmarkEnd w:id="304"/>
      <w:r>
        <w:rPr/>
        <w:t>1</w:t>
      </w:r>
      <w:r>
        <w:rPr>
          <w:rtl w:val="true"/>
        </w:rPr>
        <w:t xml:space="preserve">. </w:t>
      </w:r>
      <w:r>
        <w:rPr>
          <w:rtl w:val="true"/>
        </w:rPr>
        <w:t>دین شناسی دورکیمی</w:t>
      </w:r>
      <w:bookmarkEnd w:id="3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شناسی دورکیمی</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شناسی دورکیمی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دورکیم با استناد به دین و فرهنگ غربی و مسیحی، گونه شناسی خاصی ارائه می دهد که مبنای دین شناسی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شناسی را نویسنده به عنوان گونه شناسی عام و ابتکاری، از جانب خود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این گونه شناسی را به عنوان افتراق خاص دوران انتقال از </w:t>
      </w:r>
    </w:p>
    <w:p>
      <w:pPr>
        <w:pStyle w:val="BookText"/>
        <w:rPr/>
      </w:pPr>
      <w:r>
        <w:rPr>
          <w:rFonts w:ascii="IRNazanin" w:hAnsi="IRNazanin" w:eastAsia="IRNazanin"/>
          <w:color w:val="111111"/>
          <w:sz w:val="28"/>
          <w:sz w:val="28"/>
          <w:szCs w:val="28"/>
          <w:rtl w:val="true"/>
          <w:lang w:bidi="fa-IR"/>
        </w:rPr>
        <w:t>سنت به مدرنیته نیز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شناسی دورکیم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دورکیم افتراق میان لاهوت و ناسوت پایه ای ترین افتراق در اندیشه بشری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افتراق دوران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دورکیم آن را لاهوتی و ناسوتی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Sacred / Profane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خوانده است، همه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تبیین های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 توان در گونه شناسی عام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sacred / secular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مندرج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گونه شناسی عام نویسنده همان گونه شناسی دورکیمی است و </w:t>
      </w:r>
      <w:r>
        <w:rPr>
          <w:rFonts w:eastAsia="Times New Roman" w:cs="Times New Roman" w:ascii="Times New Roman" w:hAnsi="Times New Roman"/>
          <w:color w:val="111111"/>
          <w:sz w:val="28"/>
          <w:szCs w:val="28"/>
          <w:lang w:val="en-US" w:bidi="en-US"/>
        </w:rPr>
        <w:t>secular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دنیوی و ناقدسی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دیگر </w:t>
      </w:r>
      <w:r>
        <w:rPr>
          <w:rFonts w:eastAsia="Times New Roman" w:cs="Times New Roman" w:ascii="Times New Roman" w:hAnsi="Times New Roman"/>
          <w:color w:val="111111"/>
          <w:sz w:val="28"/>
          <w:szCs w:val="28"/>
          <w:lang w:val="en-US" w:bidi="en-US"/>
        </w:rPr>
        <w:t>profane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خارج از حریم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مدرنیته بر پایه نظریه تقسیم کار دورکیم</w:t>
      </w:r>
    </w:p>
    <w:p>
      <w:pPr>
        <w:pStyle w:val="BookText"/>
        <w:rPr/>
      </w:pPr>
      <w:r>
        <w:rPr>
          <w:rFonts w:ascii="IRNazanin" w:hAnsi="IRNazanin" w:eastAsia="IRNazanin"/>
          <w:color w:val="111111"/>
          <w:sz w:val="28"/>
          <w:sz w:val="28"/>
          <w:szCs w:val="28"/>
          <w:rtl w:val="true"/>
          <w:lang w:bidi="fa-IR"/>
        </w:rPr>
        <w:t xml:space="preserve">نویسنده، تبیین دورکیم را از مدرنیته که بر نظریه تقسیم کار او استوار است، برای تبیین مدرنیته و فرآیند سکولاریزاسیون به کار برده و تحلیل و تبیین دورکیمی را به عنوان فرآیند عام و یک تئوری کلی عمومی و متاتئوری که قرار است تمام تئوری های دیگر را پوشش داده و تبیینی از کل فرآیند تاریخ بشری و مدرنیته و جهان سوم و ادیان و اسلام و فقه شیعه عرضه کند، ارائه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جاهای متعدد از جمله صص</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شناسی دورکیمی</w:t>
      </w:r>
    </w:p>
    <w:p>
      <w:pPr>
        <w:pStyle w:val="BookText"/>
        <w:rPr/>
      </w:pPr>
      <w:r>
        <w:rPr>
          <w:rFonts w:ascii="IRNazanin" w:hAnsi="IRNazanin" w:eastAsia="IRNazanin"/>
          <w:color w:val="111111"/>
          <w:sz w:val="28"/>
          <w:sz w:val="28"/>
          <w:szCs w:val="28"/>
          <w:rtl w:val="true"/>
          <w:lang w:bidi="fa-IR"/>
        </w:rPr>
        <w:t>دورکیم مبتنی بر این گونه شناسی، دین شناسی خاص خود را ارائه می کند که مورد تأیید نویسنده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قول دورکیم، جزء مقوم دین را سرمدیت فرض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حلیه های قدسی نظیر اسطوره ها، مناسک، شعایر و دگم ها می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صص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لحاظ نظری، اساسا دین با امور ثابت و مفاهیم قدسی سروکار دارد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نویسنده نظریه تقسیم کار دورکیم را اساس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متاتئوری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سکولاریزاسیون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کار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سنت ها از جمله دین را به عصری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سکولاریزاسیون مورد نظر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سکولاریزاسیون 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جدید که سامان آن ناشی از قرارداد و مبادله است، به نظمی وضعی نیازمند است که بدون آن، هویت جمعی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سنت 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تحولات عصر، ناکارکرد می شوند و باید بتوانند برای پاسخ گویی به نیازهای جدید، خود را بازسازی کنند تا بتوانند نقش سامان دهی و ایجاد پیوندهای اجتماعی را مجددا بازی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سامان عرصه اجتماعی به قرارداد سپرده شده و دین در شرایط جدید نیاز به بازسازی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دو نکته در این جا 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دورکیم از سرمدیتی که جزء و مقوّم دین است،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بازسازی دین چیست؟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سرمدیت مورد نظر دورکیم، همان جامعه است که آفریننده دین است و خود در پرده دین، تجلی و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دین نیز، ظهور و تجلی جدیدی از جامعه به شکل نوین خواهد بود</w:t>
      </w:r>
      <w:r>
        <w:rPr>
          <w:rStyle w:val="FootnoteAnchor"/>
          <w:rtl w:val="true"/>
        </w:rPr>
        <w:footnoteReference w:id="84"/>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شناسی نویسنده و نظریه او در باب سکولاریزاسیون، برگرفته از نظریات دورکیم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دورکیم از جمله مبتنی بر تصور خاصی از دیانت مسیحی است</w:t>
      </w:r>
      <w:r>
        <w:rPr>
          <w:rStyle w:val="FootnoteAnchor"/>
          <w:rtl w:val="true"/>
        </w:rPr>
        <w:footnoteReference w:id="85"/>
      </w:r>
      <w:r>
        <w:rPr>
          <w:rFonts w:ascii="IRNazanin" w:hAnsi="IRNazanin" w:eastAsia="IRNazanin"/>
          <w:color w:val="111111"/>
          <w:sz w:val="28"/>
          <w:sz w:val="28"/>
          <w:szCs w:val="28"/>
          <w:rtl w:val="true"/>
          <w:lang w:bidi="fa-IR"/>
        </w:rPr>
        <w:t>که میان دین و دنیا تمایز و تفکیک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تفاوت و تمایز میان دین و دنیا را به دوگانه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تبدیل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عرفی برابر نهادی برای </w:t>
      </w:r>
      <w:r>
        <w:rPr>
          <w:rFonts w:eastAsia="Times New Roman" w:cs="Times New Roman" w:ascii="Times New Roman" w:hAnsi="Times New Roman"/>
          <w:color w:val="111111"/>
          <w:sz w:val="28"/>
          <w:szCs w:val="28"/>
          <w:lang w:val="en-US" w:bidi="en-US"/>
        </w:rPr>
        <w:t>profane</w:t>
      </w:r>
      <w:r>
        <w:rPr>
          <w:rFonts w:ascii="IRNazanin" w:hAnsi="IRNazanin" w:eastAsia="IRNazanin"/>
          <w:color w:val="111111"/>
          <w:sz w:val="28"/>
          <w:sz w:val="28"/>
          <w:szCs w:val="28"/>
          <w:rtl w:val="true"/>
          <w:lang w:bidi="fa-IR"/>
        </w:rPr>
        <w:t xml:space="preserve">، به معنای خارج از حرم، حریم و </w:t>
      </w:r>
      <w:r>
        <w:rPr>
          <w:rFonts w:eastAsia="Times New Roman" w:cs="Times New Roman" w:ascii="Times New Roman" w:hAnsi="Times New Roman"/>
          <w:color w:val="111111"/>
          <w:sz w:val="28"/>
          <w:szCs w:val="28"/>
          <w:lang w:val="en-US" w:bidi="en-US"/>
        </w:rPr>
        <w:t>secular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دنیایی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جهانی، این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دوگانه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تقابل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در زبان فارسی یا زبان عربی وجود ندارد و به طور کلی، معنای قدسی و عرفی در این زبان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دورکیم از قدسی، </w:t>
      </w:r>
      <w:r>
        <w:rPr>
          <w:rFonts w:eastAsia="Times New Roman" w:cs="Times New Roman" w:ascii="Times New Roman" w:hAnsi="Times New Roman"/>
          <w:color w:val="111111"/>
          <w:sz w:val="28"/>
          <w:szCs w:val="28"/>
          <w:lang w:val="en-US" w:bidi="en-US"/>
        </w:rPr>
        <w:t>sacred</w:t>
      </w:r>
      <w:r>
        <w:rPr>
          <w:rFonts w:ascii="IRNazanin" w:hAnsi="IRNazanin" w:eastAsia="IRNazanin"/>
          <w:color w:val="111111"/>
          <w:sz w:val="28"/>
          <w:sz w:val="28"/>
          <w:szCs w:val="28"/>
          <w:rtl w:val="true"/>
          <w:lang w:bidi="fa-IR"/>
        </w:rPr>
        <w:t>، امور ثابت، در حرم و محترم بود، در حالی که در فرهنگ قرآنی، مقصود از قدسی، نهایت طهارت و پاکی است و از جمله و به خصوص در امور دنیوی و سیاسی نیز این واژه به کار رفته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فانّی سَمِعْتُ رسولَ اللّه صلی الله علیه و آله یَقولُ فی غَیر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اُمةٌ لا یُؤخذُ لُلضَّعیفِ فیها حَقُّهُ مِنَ الْقَوِی غیرَ مُتَتَعْتِع</w:t>
      </w:r>
      <w:r>
        <w:rPr>
          <w:rFonts w:eastAsia="Amiri" w:cs="Amiri" w:ascii="Amiri" w:hAnsi="Amiri"/>
          <w:color w:val="111111"/>
          <w:sz w:val="28"/>
          <w:szCs w:val="28"/>
          <w:rtl w:val="true"/>
          <w:lang w:bidi="ar-SA"/>
        </w:rPr>
        <w:t>».</w:t>
      </w:r>
      <w:r>
        <w:rPr>
          <w:rStyle w:val="FootnoteAnchor"/>
          <w:rtl w:val="true"/>
        </w:rPr>
        <w:footnoteReference w:id="86"/>
      </w:r>
      <w:bookmarkStart w:id="306" w:name="pg3480_42381"/>
    </w:p>
    <w:p>
      <w:pPr>
        <w:pStyle w:val="BookText"/>
        <w:rPr/>
      </w:pPr>
      <w:bookmarkEnd w:id="3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بارها از رسول خدا صلی الله علیه و آله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به پاکی و قداست نرسد مگر اینکه حق ناتوان را از قدرتمند با صراحت و روانی کلام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نظر اسلام، پیامبر صلی الله علیه و آله و علی علیه السلام، صحنه سیاست، اجتماع و قدرت، صحنه ای است که لزوما باید قدس، قدسی، تقدس و تقدیس در آن تجلی یابد، کما این که اسلام دین طهارت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الاسلام علی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واژه طهارت در قرآن کریم، در عرصه های متنوع اقتصادی، خانوادگی،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عرف و معروف نیز منکر قرار دارد، نه 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معاصر که انتظار می رود آشنایی خوبی هم با اسلام و فرهنگ اسلامی داشته باشد،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 به جدایی دین و سیاست هستم؛ زیرا صحنه سیاست، صحنه قدسی نیست و فوق چون و چرا نمی باشد و صحنه سیاست، صحنه نقد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در حالی که از نظر پیامبر صلی الله علیه و آله و علی علیه السلام، صحنه سیاست که صحنه قدرت است، از آن جایی که صحنه نقد و چون و چرا و صحنه گرفتن حق ضعیف از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قدسی است</w:t>
      </w:r>
      <w:r>
        <w:rPr>
          <w:rFonts w:eastAsia="IRNazanin" w:cs="IRNazanin"/>
          <w:color w:val="111111"/>
          <w:sz w:val="28"/>
          <w:szCs w:val="28"/>
          <w:rtl w:val="true"/>
          <w:lang w:bidi="fa-IR"/>
        </w:rPr>
        <w:t>!</w:t>
      </w:r>
    </w:p>
    <w:p>
      <w:pPr>
        <w:pStyle w:val="Heading6"/>
        <w:numPr>
          <w:ilvl w:val="5"/>
          <w:numId w:val="1"/>
        </w:numPr>
        <w:rPr/>
      </w:pPr>
      <w:bookmarkStart w:id="307" w:name="__RefHeading___Toc3418328_2749589250"/>
      <w:bookmarkStart w:id="308" w:name="_Toc120"/>
      <w:bookmarkEnd w:id="307"/>
      <w:r>
        <w:rPr/>
        <w:t>2</w:t>
      </w:r>
      <w:r>
        <w:rPr>
          <w:rtl w:val="true"/>
        </w:rPr>
        <w:t xml:space="preserve">. </w:t>
      </w:r>
      <w:r>
        <w:rPr>
          <w:rtl w:val="true"/>
        </w:rPr>
        <w:t>دین شناسی مسیحی</w:t>
      </w:r>
      <w:bookmarkEnd w:id="30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شناسی مسیحی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شناسی دورکیمی ریشه در دین شناسی مسیحی داشته، نشأت گرفته از آن است، کمااین که سکولاریزاسیون نیز سابقه و تبیین مسیحی دارد</w:t>
      </w:r>
      <w:r>
        <w:rPr>
          <w:rFonts w:eastAsia="IRNazanin" w:cs="IRNazanin"/>
          <w:color w:val="111111"/>
          <w:sz w:val="28"/>
          <w:szCs w:val="28"/>
          <w:rtl w:val="true"/>
          <w:lang w:bidi="fa-IR"/>
        </w:rPr>
        <w:t xml:space="preserve">: </w:t>
      </w:r>
      <w:bookmarkStart w:id="309" w:name="pg3480_42382"/>
    </w:p>
    <w:p>
      <w:pPr>
        <w:pStyle w:val="BookText"/>
        <w:rPr/>
      </w:pPr>
      <w:bookmarkEnd w:id="30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نخواهیم این آیه انجیل که سهم قیصر را به قیصر و سهم خدا را به خدا واگذار را به عنوان سابقه ای برای تبیین فرآیند عرفی شدن تلقی کنیم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در کتاب مقدس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خدا را به خدا واگذار و سهم قیصر را به قیصر، دقیقا به این معناست که دین به ساحه خصوصی معطوف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 که دولت مدرنِ هابزی نیز که مورد علاقه و استناد نویسنده است، از چنین دین شناسی مسیحی نشأت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 را پایه گذار اندیشه دولت مدرن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تفسیر آیه امر قیصر را به قیصر وابگذارید و امر خدا را به خدا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سپهر عمومی، در قبضه قدرت قیصر است و کلیسا متولی فضای خصوصی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اللّه است و لویاتان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شئون خدا را دارد</w:t>
      </w:r>
      <w:r>
        <w:rPr>
          <w:rFonts w:eastAsia="IRNazanin" w:cs="IRNazanin"/>
          <w:color w:val="111111"/>
          <w:sz w:val="28"/>
          <w:szCs w:val="28"/>
          <w:rtl w:val="true"/>
          <w:lang w:bidi="fa-IR"/>
        </w:rPr>
        <w:t>.</w:t>
      </w:r>
    </w:p>
    <w:p>
      <w:pPr>
        <w:pStyle w:val="Heading6"/>
        <w:numPr>
          <w:ilvl w:val="5"/>
          <w:numId w:val="1"/>
        </w:numPr>
        <w:rPr/>
      </w:pPr>
      <w:bookmarkStart w:id="310" w:name="__RefHeading___Toc3418330_2749589250"/>
      <w:bookmarkStart w:id="311" w:name="_Toc121"/>
      <w:bookmarkEnd w:id="310"/>
      <w:r>
        <w:rPr/>
        <w:t>3</w:t>
      </w:r>
      <w:r>
        <w:rPr>
          <w:rtl w:val="true"/>
        </w:rPr>
        <w:t xml:space="preserve">. </w:t>
      </w:r>
      <w:r>
        <w:rPr>
          <w:rtl w:val="true"/>
        </w:rPr>
        <w:t>دین یا لویاتان</w:t>
      </w:r>
      <w:bookmarkEnd w:id="31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یا لویاتان</w:t>
      </w:r>
    </w:p>
    <w:p>
      <w:pPr>
        <w:pStyle w:val="BookText"/>
        <w:rPr/>
      </w:pPr>
      <w:r>
        <w:rPr>
          <w:rFonts w:ascii="IRNazanin" w:hAnsi="IRNazanin" w:eastAsia="IRNazanin"/>
          <w:color w:val="111111"/>
          <w:sz w:val="28"/>
          <w:sz w:val="28"/>
          <w:szCs w:val="28"/>
          <w:rtl w:val="true"/>
          <w:lang w:bidi="fa-IR"/>
        </w:rPr>
        <w:t>نویسنده ادعا می کند که سامان دوران جدید، ناشی از قرارداد و مبادله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ضمانت قرارداد به چیست و پشتیبان قرارداد کیست؟</w:t>
      </w:r>
    </w:p>
    <w:p>
      <w:pPr>
        <w:pStyle w:val="BookText"/>
        <w:rPr/>
      </w:pPr>
      <w:r>
        <w:rPr>
          <w:rFonts w:ascii="IRNazanin" w:hAnsi="IRNazanin" w:eastAsia="IRNazanin"/>
          <w:color w:val="111111"/>
          <w:sz w:val="28"/>
          <w:sz w:val="28"/>
          <w:szCs w:val="28"/>
          <w:rtl w:val="true"/>
          <w:lang w:bidi="fa-IR"/>
        </w:rPr>
        <w:t>هابز که از نظر نویسنده، پایه گذار اندیشه دولت مدرن است، به صراحت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 بدون قدرت شمشیر الفاظی توخالی بیش تر نیستند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سامان دوران جدید در نهایت و در واقع ناشی از قدرت </w:t>
      </w:r>
    </w:p>
    <w:p>
      <w:pPr>
        <w:pStyle w:val="BookText"/>
        <w:rPr/>
      </w:pPr>
      <w:r>
        <w:rPr>
          <w:rFonts w:ascii="IRNazanin" w:hAnsi="IRNazanin" w:eastAsia="IRNazanin"/>
          <w:color w:val="111111"/>
          <w:sz w:val="28"/>
          <w:sz w:val="28"/>
          <w:szCs w:val="28"/>
          <w:rtl w:val="true"/>
          <w:lang w:bidi="fa-IR"/>
        </w:rPr>
        <w:t>است، ولی قدرتی سکولار، دنیوی و غیر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نویسنده، عرصه عمومی به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عرصه خصوصی به کلیسا واگذار می شود و چنین مطلبی را نیز به هابز نسبت می دهد، در حالی که هابز به صراحت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آن است که حاکم مدنی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این که برخلاف نقل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هابز، عقل را مفسر انجیل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واقعی و نهایی انجیل، حاکم مدنی است و هر تفسیری را که او روا بداند، صحیح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عرصه عمومی به قدرت دنیوی سپرده شده، بلکه حتی عرصه خصوصی نیز جولانگاه قدرت دنیوی است و دین تا آن جا مجاز و روا است که قدرت دنیوی اجازه بدهد و دین و حقیقت آن چیزی است که قدرت دنیوی بگوید و روا بدارد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خصوص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راست بودن گزارش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عقل یا وجدان خصوصی خودمان را قاضی قرار دهیم، بلکه باید عقل عمومی یعنی عقل جانشین عالی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حاکم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داور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مسئله اعتراف و اقرار به باور و عقیده خود در آن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اعتقادات به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رسیم، عقل خصوصی می باید خود را تسلیم عقل عمومی یعنی عقل جانشین و نماینده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حاکم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جانب در این مورد و در مورد تمامی مسائل دیگری که حل آن ها بستگی به کتاب مقدس بر طبق تفسیر مجاز از جانب دولت داشته باشد، تسلیم هستم و خود را از اتباع آن دولت می 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جز شخص حاکم در دولت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از کلام خداوند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جانشین ابراهیم در دولت 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حاکم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مفسران کلام خداوند محسوب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کسی که در دولت مسیحی جای موسی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حاکم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پیام آور خداست و تنها مفسر فرامین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حتی مغایرت رفتار با قانون سلطان را موجب تکفیر و ارتداد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حاکم مدنی را مهبط وحی الهی می انگارد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ایشان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حاکم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پیشوایان عالیه دین اند و تنها اشخاصی هستند که برای مسیحیان از جانب خداوند سخن می گویند، الا این که خداوند این روزها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حکام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فوق طبیعی سخن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شخصی که همه کسانی که از هیچ وحی و الهام خاصی برخوردار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نیستند و تشخیص پیامبری هم بر عهده حاکم مدنی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وی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کشوری همان پیشوای عالیه، یعنی همان حاکم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هابز از همه این ها بالاتر می رود و می گوید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 دنیوی، نمایش و جلوه خداوندند و نیز حکام مادون را می توان نمایش و تصویری از حاکم اصلی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سخن بر سر تقسیم دو عرصه و دو حوزه عمومی و خصوصی نیست، بلکه سخن بر سر قبضه شدن تمامی عرصه ها به دست قدرت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درون مایه و نتیجه نظریه نویسنده این است که از دین در تمامی عرصه ها خلع ید شده، تمامی عرصه های بشری به لویاتان سپرده 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لویاتان، واژه ای عبری است که در عهد عتیق به کار رفته و هابز کتاب خود در فلسفه سیاسی را به لویاتان نام 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لویاتان، بزمجه دریایی یا تمساح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هابز، قدرت دنیوی همانا تمساح است که خدای دریاهاست و قدرت دنیوی هم در واقع مانند لویاتان برای خود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سخن بر سر انتخاب یکی از دو قدرت یا یکی از دو خدا یا یکی از دو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دینی یا قدرت دنیوی، خدای خالق و رب حقیقی یا خدای زمین و قدرت و </w:t>
      </w:r>
      <w:bookmarkStart w:id="312" w:name="pg3480_42385"/>
    </w:p>
    <w:p>
      <w:pPr>
        <w:pStyle w:val="BookText"/>
        <w:rPr/>
      </w:pPr>
      <w:bookmarkEnd w:id="312"/>
      <w:r>
        <w:rPr>
          <w:rFonts w:ascii="IRNazanin" w:hAnsi="IRNazanin" w:eastAsia="IRNazanin"/>
          <w:color w:val="111111"/>
          <w:sz w:val="28"/>
          <w:sz w:val="28"/>
          <w:szCs w:val="28"/>
          <w:rtl w:val="true"/>
          <w:lang w:bidi="fa-IR"/>
        </w:rPr>
        <w:t>سیاست و حاکم دینی یا حاکم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تقابل میان دین و لویاتان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آدمی را به یاد آنانی می اندازد که در زمان خلافت حضرت امیر، از روی مسخرگی به جای آن که با علی بیعت کنند، با تمساحی بیعت کردند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راه و مشی و آرزوی کسانی که به جای جمهوری اسلامی، جمهوری سکولار را طالب و سکولارشدن جمهوری اسلامی را آرزومندند، بی شباهت به انتخاب و مشی این دست افراد نیست</w:t>
      </w:r>
      <w:r>
        <w:rPr>
          <w:rFonts w:eastAsia="IRNazanin" w:cs="IRNazanin"/>
          <w:color w:val="111111"/>
          <w:sz w:val="28"/>
          <w:szCs w:val="28"/>
          <w:rtl w:val="true"/>
          <w:lang w:bidi="fa-IR"/>
        </w:rPr>
        <w:t>.</w:t>
      </w:r>
    </w:p>
    <w:p>
      <w:pPr>
        <w:pStyle w:val="Heading6"/>
        <w:numPr>
          <w:ilvl w:val="5"/>
          <w:numId w:val="1"/>
        </w:numPr>
        <w:rPr/>
      </w:pPr>
      <w:bookmarkStart w:id="313" w:name="__RefHeading___Toc3418332_2749589250"/>
      <w:bookmarkStart w:id="314" w:name="_Toc122"/>
      <w:bookmarkEnd w:id="313"/>
      <w:r>
        <w:rPr/>
        <w:t>4</w:t>
      </w:r>
      <w:r>
        <w:rPr>
          <w:rtl w:val="true"/>
        </w:rPr>
        <w:t xml:space="preserve">. </w:t>
      </w:r>
      <w:r>
        <w:rPr>
          <w:rtl w:val="true"/>
        </w:rPr>
        <w:t>متن یا زمینه؟</w:t>
      </w:r>
      <w:r>
        <w:rPr>
          <w:rtl w:val="true"/>
        </w:rPr>
        <w:t xml:space="preserve">! </w:t>
      </w:r>
      <w:r>
        <w:rPr>
          <w:rtl w:val="true"/>
        </w:rPr>
        <w:t>دین یا تاریخ؟</w:t>
      </w:r>
      <w:r>
        <w:rPr>
          <w:rtl w:val="true"/>
        </w:rPr>
        <w:t>!</w:t>
      </w:r>
      <w:bookmarkEnd w:id="31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یا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یا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از طرفی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دین و فرهنگی ظرفیت هر نوع تغییر در هندسه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ادیان را در رویارویی با شداید احوال در عرصه اجتماعی و در دوران انتقالی، متفاوت می داند و داشته ها و توانایی های آن ها را متفاوت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نوعی به دین و متن اصالت می دهد، ولی از طرف دیگر در پاسخ به این پرسش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به نظر جناب عالی، جوهره دین که به تعبیر شما مجموعه ای از دگم ها، ارزش ها و آموزه هاست، از پیش خود هیچ جهت و اقتضای خاصی ندارد و در هر زمینه ای که قرار گیرد، رنگ آن را به خود می پذیرد؟</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این متن یا </w:t>
      </w:r>
      <w:r>
        <w:rPr>
          <w:rFonts w:eastAsia="Times New Roman" w:cs="Times New Roman" w:ascii="Times New Roman" w:hAnsi="Times New Roman"/>
          <w:color w:val="111111"/>
          <w:sz w:val="28"/>
          <w:szCs w:val="28"/>
          <w:lang w:val="en-US" w:bidi="en-US"/>
        </w:rPr>
        <w:t>text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پیش خود سخنی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Times New Roman" w:cs="Times New Roman" w:ascii="Times New Roman" w:hAnsi="Times New Roman"/>
          <w:color w:val="111111"/>
          <w:sz w:val="28"/>
          <w:szCs w:val="28"/>
          <w:lang w:val="en-US" w:bidi="en-US"/>
        </w:rPr>
        <w:t>context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تمام این </w:t>
      </w:r>
      <w:r>
        <w:rPr>
          <w:rFonts w:eastAsia="Times New Roman" w:cs="Times New Roman" w:ascii="Times New Roman" w:hAnsi="Times New Roman"/>
          <w:color w:val="111111"/>
          <w:sz w:val="28"/>
          <w:szCs w:val="28"/>
          <w:lang w:val="en-US" w:bidi="en-US"/>
        </w:rPr>
        <w:t>text</w:t>
      </w:r>
      <w:r>
        <w:rPr>
          <w:rFonts w:ascii="IRNazanin" w:hAnsi="IRNazanin" w:eastAsia="IRNazanin"/>
          <w:color w:val="111111"/>
          <w:sz w:val="28"/>
          <w:sz w:val="28"/>
          <w:szCs w:val="28"/>
          <w:rtl w:val="true"/>
          <w:lang w:bidi="fa-IR"/>
        </w:rPr>
        <w:t xml:space="preserve">ها را به سخن در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bookmarkStart w:id="315" w:name="pg3480_42386"/>
    </w:p>
    <w:p>
      <w:pPr>
        <w:pStyle w:val="BookText"/>
        <w:rPr/>
      </w:pPr>
      <w:bookmarkEnd w:id="315"/>
      <w:r>
        <w:rPr>
          <w:rFonts w:ascii="IRNazanin" w:hAnsi="IRNazanin" w:eastAsia="IRNazanin"/>
          <w:color w:val="111111"/>
          <w:sz w:val="28"/>
          <w:sz w:val="28"/>
          <w:szCs w:val="28"/>
          <w:rtl w:val="true"/>
          <w:lang w:bidi="fa-IR"/>
        </w:rPr>
        <w:t>و در نتیجه، به زمینه و به خصوص موقعیت تاریخی در مقابل متن و دین اصالت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در دفاع از نویسنده، نوعی تعامل میان متن و زمینه را به او نسبت داد، به این قرینه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به فراخور ظرفیت وجودی خود و ظروف عینی محاط در آن، از دین بهره می گیرد و به نحوی خاص عناصر دینی را معماری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بر سر سهم این دو در این تعامل و ثقل هر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نویسنده به نقش و اهمیت متن به خصوص توانایی ها و پویایی های درونی اسلام توجه داشت، هیچ گاه به طرف تعمیم و تحمیل الگوی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دین شناسی و سکولاریزاسیون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نویسنده با وجود اذعان به سهم و ثقل متن، عملاً به طرف تاریخی گری رفته است</w:t>
      </w:r>
      <w:r>
        <w:rPr>
          <w:rFonts w:eastAsia="IRNazanin" w:cs="IRNazanin"/>
          <w:color w:val="111111"/>
          <w:sz w:val="28"/>
          <w:szCs w:val="28"/>
          <w:rtl w:val="true"/>
          <w:lang w:bidi="fa-IR"/>
        </w:rPr>
        <w:t>.</w:t>
      </w:r>
    </w:p>
    <w:p>
      <w:pPr>
        <w:pStyle w:val="Heading6"/>
        <w:numPr>
          <w:ilvl w:val="5"/>
          <w:numId w:val="1"/>
        </w:numPr>
        <w:rPr/>
      </w:pPr>
      <w:bookmarkStart w:id="316" w:name="__RefHeading___Toc3418334_2749589250"/>
      <w:bookmarkStart w:id="317" w:name="_Toc123"/>
      <w:bookmarkEnd w:id="316"/>
      <w:r>
        <w:rPr/>
        <w:t>5</w:t>
      </w:r>
      <w:r>
        <w:rPr>
          <w:rtl w:val="true"/>
        </w:rPr>
        <w:t xml:space="preserve">. </w:t>
      </w:r>
      <w:r>
        <w:rPr>
          <w:rtl w:val="true"/>
        </w:rPr>
        <w:t>دغدغه دین یا مدرنیته؟</w:t>
      </w:r>
      <w:r>
        <w:rPr>
          <w:rtl w:val="true"/>
        </w:rPr>
        <w:t>!</w:t>
      </w:r>
      <w:bookmarkEnd w:id="31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دغدغه دین یا مدرنیته؟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مقدمه کتاب اظهار می دارد که اهمیت مسئله سکولاریزاسیون برای او به جهت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شرایط، طبیعی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امر قدسی در جهان عرفی شده، دغدغه اصلی یک فرد مسلمان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نویسنده به عنوان یک فرد مسلمان، دغدغه اصلی خود را سرنوشت امر قدسی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عرفی شدن ایدئولوژی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پرسش که آیا ایدئولوژیک شدن دین و سنت مطلوب است، می گوید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کاملاً به دغدغه ها و دل مشغولی های ما بستگی دارد</w:t>
      </w:r>
      <w:r>
        <w:rPr>
          <w:rFonts w:eastAsia="IRNazanin" w:cs="IRNazanin"/>
          <w:color w:val="111111"/>
          <w:sz w:val="28"/>
          <w:szCs w:val="28"/>
          <w:rtl w:val="true"/>
          <w:lang w:bidi="fa-IR"/>
        </w:rPr>
        <w:t xml:space="preserve">. </w:t>
      </w:r>
      <w:bookmarkStart w:id="318" w:name="pg3480_42387"/>
    </w:p>
    <w:p>
      <w:pPr>
        <w:pStyle w:val="BookText"/>
        <w:rPr/>
      </w:pPr>
      <w:bookmarkEnd w:id="318"/>
      <w:r>
        <w:rPr>
          <w:rFonts w:ascii="IRNazanin" w:hAnsi="IRNazanin" w:eastAsia="IRNazanin"/>
          <w:color w:val="111111"/>
          <w:sz w:val="28"/>
          <w:sz w:val="28"/>
          <w:szCs w:val="28"/>
          <w:rtl w:val="true"/>
          <w:lang w:bidi="fa-IR"/>
        </w:rPr>
        <w:t>اساسا مقوله مطلوبیت، امری ارزشی است</w:t>
      </w:r>
      <w:r>
        <w:rPr>
          <w:rStyle w:val="FootnoteAnchor"/>
          <w:rtl w:val="true"/>
        </w:rPr>
        <w:footnoteReference w:id="91"/>
      </w:r>
      <w:r>
        <w:rPr>
          <w:rFonts w:ascii="IRNazanin" w:hAnsi="IRNazanin" w:eastAsia="IRNazanin"/>
          <w:color w:val="111111"/>
          <w:sz w:val="28"/>
          <w:sz w:val="28"/>
          <w:szCs w:val="28"/>
          <w:rtl w:val="true"/>
          <w:lang w:bidi="fa-IR"/>
        </w:rPr>
        <w:t>و بستگی به دیدگاه های متفاوت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کسی که تمایل دیگری دارد، ممکن است مسئله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بسیاری از پیوریتان ها به این امر واقف بودند که به صحنه کشاندن قدسیات، آن ها را عرفی می کند، اما چون دغدغه اصلی آن ها پیشرفت و ترقی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به سکوی پرتابی بدل کردند که ذخیره و سوخت لازم برای گذار به شرایط نوین را فراهم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مناظره، ایدئولوژیک شدن دین را به دلایلی که بر می شمارد، مطلوب می داند با این تأکید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مقصود از مطلوبیت در امور اجتماعی مفیدیت است، نه حقانیت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نتیجه گرفت که نویسنده به اقتضای همان تاریخی گری معهود، بیش تر دغدغه مدرنیته را دارد تا دغدغه دین</w:t>
      </w:r>
      <w:r>
        <w:rPr>
          <w:rFonts w:eastAsia="IRNazanin" w:cs="IRNazanin"/>
          <w:color w:val="111111"/>
          <w:sz w:val="28"/>
          <w:szCs w:val="28"/>
          <w:rtl w:val="true"/>
          <w:lang w:bidi="fa-IR"/>
        </w:rPr>
        <w:t>!</w:t>
      </w:r>
    </w:p>
    <w:p>
      <w:pPr>
        <w:pStyle w:val="Heading5"/>
        <w:numPr>
          <w:ilvl w:val="4"/>
          <w:numId w:val="1"/>
        </w:numPr>
        <w:rPr/>
      </w:pPr>
      <w:bookmarkStart w:id="319" w:name="__RefHeading___Toc3418336_2749589250"/>
      <w:bookmarkStart w:id="320" w:name="_Toc124"/>
      <w:bookmarkEnd w:id="319"/>
      <w:r>
        <w:rPr>
          <w:rtl w:val="true"/>
        </w:rPr>
        <w:t xml:space="preserve">دوم </w:t>
      </w:r>
      <w:r>
        <w:rPr>
          <w:rtl w:val="true"/>
        </w:rPr>
        <w:t xml:space="preserve">- </w:t>
      </w:r>
      <w:r>
        <w:rPr>
          <w:rtl w:val="true"/>
        </w:rPr>
        <w:t>تاریخی گری</w:t>
      </w:r>
      <w:bookmarkEnd w:id="320"/>
    </w:p>
    <w:p>
      <w:pPr>
        <w:pStyle w:val="Heading6"/>
        <w:numPr>
          <w:ilvl w:val="5"/>
          <w:numId w:val="1"/>
        </w:numPr>
        <w:rPr/>
      </w:pPr>
      <w:bookmarkStart w:id="321" w:name="__RefHeading___Toc3418338_2749589250"/>
      <w:bookmarkStart w:id="322" w:name="_Toc125"/>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گری</w:t>
      </w:r>
    </w:p>
    <w:p>
      <w:pPr>
        <w:pStyle w:val="BookText"/>
        <w:rPr/>
      </w:pPr>
      <w:r>
        <w:rPr>
          <w:rFonts w:ascii="IRNazanin" w:hAnsi="IRNazanin" w:eastAsia="IRNazanin"/>
          <w:color w:val="111111"/>
          <w:sz w:val="28"/>
          <w:sz w:val="28"/>
          <w:szCs w:val="28"/>
          <w:rtl w:val="true"/>
          <w:lang w:bidi="fa-IR"/>
        </w:rPr>
        <w:t>چالش نویسنده در این مناظره درباره ممکن بودن و مطلوب بودن ایدئولوژیک شدن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پایه و مایه استدلال نویسنده نیز تاریخی گری است که به نمونه های آن در پاورقی اشاره شده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 نیز فرآیند عرفی شدن از منزل ایدئولوژیک شدن عبور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کاروان جوامع مختلف بشری ناگزیرند هر یک به نوبه خود مدتی را در این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کشورهای دیرتر توسعه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ورود به منزل ایدئولوژی یک ضرورت اجتماعی و تاریخی هم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نیز مانند همه کشورهای در حال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بسیاری از عناصر دینی که با روح عصر مطابقت نداشتند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کشورهای پیرامونی، هنوز از عصر اسطوره و دین گذر نکرده و کوکبه عصر خرد هویدا نشده، وارد عصر ایدئولوژی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شویم، همه چیز مسخر روح عصر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آن که مسخّر روح عصر خرد است و به عصری کردن معرفت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و چه آن که مسحور افسون عصر عمل است و به هندسی کردن معرفت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نویسنده، ایدئولوژیک شدن دین ممکن و بلکه مطلوب است؛ زیرا روح عصر و اقتضای مرحله تاریخی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 نویسنده نشان می دهد که او برای روند تاریخ مسیر و منزلگاه های مشخصی قایل است که با ورود به هر عصر و منزلگاهی همه چیز مسخر روح آن عصر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در جوامع پیرامونی چند روح از آنِ چند عصر در زمان واحدی حلول و هر یک جداگانه افرادی را مسخر خود کرده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برای این تاریخی گری خود استدلالی عرضه نکرده است و آن را به صورت یک مبنای نظری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تاریخی گری برای نویسنده یک ضرورت محتوم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مقاله یواخیم فیوره ای دیدیم که نویسنده، از نظر شخصیتی و روانی تحت تأثیر اوست و شخصیت و اندیشه های او را برای خود الگو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یواخیم فیوره ای را مبدأ و مبدع تاریخی گری می دانند و هگل را نیز تحت تأثیر تاریخی گری یواخیم به شمار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یواخیم فیوره ای در تکامل گرایانی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اسپنسر و امثال دورکیم نیز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مقالات خود به گروهی از نویسندگان </w:t>
      </w:r>
    </w:p>
    <w:p>
      <w:pPr>
        <w:pStyle w:val="BookText"/>
        <w:rPr/>
      </w:pPr>
      <w:r>
        <w:rPr>
          <w:rFonts w:ascii="IRNazanin" w:hAnsi="IRNazanin" w:eastAsia="IRNazanin"/>
          <w:color w:val="111111"/>
          <w:sz w:val="28"/>
          <w:sz w:val="28"/>
          <w:szCs w:val="28"/>
          <w:rtl w:val="true"/>
          <w:lang w:bidi="fa-IR"/>
        </w:rPr>
        <w:t>که تحت تأثیر یواخیم هستند، استناد می نماید و قراردادگرایی نویسنده را نیز می توان در دل این تاریخی گری او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در مورد قرارداد دیدیم که در نهایت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انجامید، ظاهرا تاریخ گری نیز از منتهی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است</w:t>
      </w:r>
      <w:r>
        <w:rPr>
          <w:rStyle w:val="FootnoteAnchor"/>
          <w:rtl w:val="true"/>
        </w:rPr>
        <w:footnoteReference w:id="94"/>
      </w:r>
      <w:r>
        <w:rPr>
          <w:rFonts w:ascii="IRNazanin" w:hAnsi="IRNazanin" w:eastAsia="IRNazanin"/>
          <w:color w:val="111111"/>
          <w:sz w:val="28"/>
          <w:sz w:val="28"/>
          <w:szCs w:val="28"/>
          <w:rtl w:val="true"/>
          <w:lang w:bidi="fa-IR"/>
        </w:rPr>
        <w:t xml:space="preserve">بنابراین به نظر می رسد پایان یافتن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شاهد قدسی تا شاهد بازاری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نیچه، بسیار مناسب و به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های متفاوتی از نیچه وجوددارد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نویسنده از نیچه این است که او فیلسوف و اندیشمندی ملحد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پاسخ نیچه به مشروعیت و بحران نظری قرارداد گرایی و تاریخی گری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معطوف به قدرت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جاست که می توان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و گرایش او به سکولار کردن اسلام و فقه شیعی را مقدمه ای بر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معطوف به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Style w:val="FootnoteAnchor"/>
          <w:rtl w:val="true"/>
        </w:rPr>
        <w:footnoteReference w:id="96"/>
      </w:r>
      <w:r>
        <w:rPr>
          <w:rFonts w:ascii="IRNazanin" w:hAnsi="IRNazanin" w:eastAsia="IRNazanin"/>
          <w:color w:val="111111"/>
          <w:sz w:val="28"/>
          <w:sz w:val="28"/>
          <w:szCs w:val="28"/>
          <w:rtl w:val="true"/>
          <w:lang w:bidi="fa-IR"/>
        </w:rPr>
        <w:t>واقعیت این است که با سکولار و دنیوی کردن دین که نویسنده آن را نظریه پردازی می کند، عرصه دین، سیاست و حقیقت، به تمامی به قدرت دنیوی و سکولار واگذار می گردد و امکان نقدِ قدرت دنیوی با اصول و معیارهای دین از بین می رود</w:t>
      </w:r>
      <w:r>
        <w:rPr>
          <w:rFonts w:eastAsia="IRNazanin" w:cs="IRNazanin"/>
          <w:color w:val="111111"/>
          <w:sz w:val="28"/>
          <w:szCs w:val="28"/>
          <w:rtl w:val="true"/>
          <w:lang w:bidi="fa-IR"/>
        </w:rPr>
        <w:t xml:space="preserve">. </w:t>
      </w:r>
      <w:bookmarkStart w:id="323" w:name="pg3480_42390"/>
    </w:p>
    <w:p>
      <w:pPr>
        <w:pStyle w:val="Heading6"/>
        <w:numPr>
          <w:ilvl w:val="5"/>
          <w:numId w:val="1"/>
        </w:numPr>
        <w:rPr/>
      </w:pPr>
      <w:bookmarkStart w:id="324" w:name="__RefHeading___Toc3418340_2749589250"/>
      <w:bookmarkStart w:id="325" w:name="_Toc126"/>
      <w:bookmarkEnd w:id="323"/>
      <w:bookmarkEnd w:id="324"/>
      <w:r>
        <w:rPr>
          <w:rtl w:val="true"/>
        </w:rPr>
        <w:t xml:space="preserve">یک </w:t>
      </w:r>
      <w:r>
        <w:rPr>
          <w:rtl w:val="true"/>
        </w:rPr>
        <w:t xml:space="preserve">- </w:t>
      </w:r>
      <w:r>
        <w:rPr>
          <w:rtl w:val="true"/>
        </w:rPr>
        <w:t>گزیده ای از نظریه دین شناختی دورکیم</w:t>
      </w:r>
      <w:bookmarkEnd w:id="325"/>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ای از نظریه دین شناختی دورکیم</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دورکیم داده هایی درباره نظام توتمی برخی قبایل بومی استرالیا، به ویژه قبیله اَرونتا در اختیار داشت که محققان میدانی، اسپنسر و گیلن گرد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صورت های ابتدایی حیات مذهبی اعلام داشت که مقصود از بررسی اش، شناخت ابتدایی ترین و ساده ترین دینی است که تاکنون شناخته ایم و به اعتقاد او، این دین همان توتمیسم در این قبایل استرالیایی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به تعیین ماهیت دین و تعریف آن پرداخت و تعریفی از دین به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تعریف دورکیم از دین، تمایزی است که میان مقدس و نامقدس قایل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یکپارچه ای از باور داشت ها و عملکردهای مرتبط به چیزهای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که جدا از چیزهای دیگر انگاشته شده، در زمره محارم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باورداشت ها و عملکردها، همه کسانی را که به آن ها عمل می کنند، در یک اجتماع اخلاقی واحد همبسته می کند </w:t>
      </w:r>
      <w:r>
        <w:rPr>
          <w:rFonts w:eastAsia="IRNazanin" w:cs="IRNazanin"/>
          <w:color w:val="111111"/>
          <w:sz w:val="28"/>
          <w:szCs w:val="28"/>
          <w:rtl w:val="true"/>
          <w:lang w:bidi="fa-IR"/>
        </w:rPr>
        <w:t>(</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ادعای دورکیم که دین با امر مقدس سروکار دارد و این امر مقدس مفهومی جهانی در جامعه بشری است، با چالش انسان شناسان روبه رو شده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زمینه فرهنگ غربی مایه می گیرد و در مورد </w:t>
      </w:r>
    </w:p>
    <w:p>
      <w:pPr>
        <w:pStyle w:val="BookText"/>
        <w:rPr/>
      </w:pPr>
      <w:r>
        <w:rPr>
          <w:rFonts w:ascii="IRNazanin" w:hAnsi="IRNazanin" w:eastAsia="IRNazanin"/>
          <w:color w:val="111111"/>
          <w:sz w:val="28"/>
          <w:sz w:val="28"/>
          <w:szCs w:val="28"/>
          <w:rtl w:val="true"/>
          <w:lang w:bidi="fa-IR"/>
        </w:rPr>
        <w:t>باور داشته های جوامع غیرغربی، همیشه به آسانی کاربردپذیر نیست؛ زیرا دلالت فرهنگی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قضیه به این صورت است که تمایزهایی که در یک فرهنگ تشخیص داده شده و اساسی و بدیهی انگاشته می شوند، در فرهنگ های دیگر تشخیص داده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ارزشمند را انسان شناسی به 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کاربرد اصطلاح مقدس، مسایلی را نیز به همراه دارد که بیش تر بر سر معیارهای تشخیص مقدس از نامقدس پیش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دورکیم از چیزهای جدا انگاشته و محرَّم، به عنوان معیار تشخیص امور مقدس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شناسان مدعی اند که این معیار، در تفکیک امور مقدس از نامقدس در جوامع مورد بررسی شان کمکی به آن ها نمی کند، در حالی که بسیاری از اقوام، مقوله ای از چیزهای جدا انگاشته و محرَّم دارند، این چیزها همیشه آن هایی نیستند که در باور داشت ها و مناسک مذهبی تجسم می یابند و بر عکس، چیزهایی که به گونه ای برجسته در باورداشت ها و مناسک مذهبی تجسم پیدا کنند، ممکن است جدا انگاشته و محرَّم نباشند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دورکیم از امر مقدس، به عنوان یک عامل برانگیزنده احترام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نیز معیار موثقی را به دست نمی دهد؛ زیرا در بسیاری از نظام های مذهبی اعیان و موجودیت های مذهبی همیشه احترام برانگیز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خدایان و ارواحی را که این بت ها و خدایان را باز می کنند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منافع مورد انتظار را به دست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مجازات کرد، حتی در یک محیط کاتولیکی مانند ایتالیا، قدیسی را که </w:t>
      </w:r>
    </w:p>
    <w:p>
      <w:pPr>
        <w:pStyle w:val="BookText"/>
        <w:rPr/>
      </w:pPr>
      <w:r>
        <w:rPr>
          <w:rFonts w:ascii="IRNazanin" w:hAnsi="IRNazanin" w:eastAsia="IRNazanin"/>
          <w:color w:val="111111"/>
          <w:sz w:val="28"/>
          <w:sz w:val="28"/>
          <w:szCs w:val="28"/>
          <w:rtl w:val="true"/>
          <w:lang w:bidi="fa-IR"/>
        </w:rPr>
        <w:t>پس از عبادت های طولانی و پی در پی، پاسخ ارباب حاجت را به شیوه دلخواهی ندهد، به شدت می توان مجازات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مجسمه اش را سرنگون می کنند و حتی به آن تازیانه می زنند و پس از کنارگذاشتن آن، جایش را به قدیس دیگر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این معیار برای تمیز مقدس از نامقدس، به سختی کفایت می کند؛ زیرا بسیاری چیزها و اشخاص هستند که با وجود ارتباط نداشتن با فعالیت های مذهبی ممکن است احترام برانگیز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دورکیم می گفت که پدیده های مذهبی زمانی در جامعه پدید می آیند که میان پهنه دنیوی، یعنی قلمرو فعالیت های مفید فایده روزانه و قلمرو مقدس که به امور خدایی، فراگذرنده و خارق العاده راجع است، جدایی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پدیده ذاتا دنیوی یا مقدس نیست، بلکه زمانی یکی از این دو خصلت را پیدا می کند که مردم یا برای آن پدیده ارزش فایده آمیز قایل شوند یا برعکس، چنان صفات ذاتی به آن نسبت دهند که به ارزش وسیله ای اش، هیچ ارتباطی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شراب در مراسم عشای ربانی، تنها به خاطر آن که در نظر مسیحیان نمودار خون مسیح است، اهمیت مقدس و آیینی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در این موقعیت خاص، به هیچ روی یک نوع نوشیدنی نیست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روزمرّه که شامل شکار، ماهی گیری یا جمع آوری خوراک است، از فعالیت های تکراری هر روزه تشکیل شده است، ولی مراسم عمومی به عکس، حالتی سخت، حاد و عاطفی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تجمع مربوط به مراسم است که جمع خود را به نحوی مقاومت ناپذیر، بر فرد </w:t>
      </w:r>
    </w:p>
    <w:p>
      <w:pPr>
        <w:pStyle w:val="BookText"/>
        <w:rPr/>
      </w:pPr>
      <w:r>
        <w:rPr>
          <w:rFonts w:ascii="IRNazanin" w:hAnsi="IRNazanin" w:eastAsia="IRNazanin"/>
          <w:color w:val="111111"/>
          <w:sz w:val="28"/>
          <w:sz w:val="28"/>
          <w:szCs w:val="28"/>
          <w:rtl w:val="true"/>
          <w:lang w:bidi="fa-IR"/>
        </w:rPr>
        <w:t>تحمیل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دورکیم سپس دلیل منطقی رهیافت خود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بررسی ابتدایی ترین صورت دین، در واقع به دنبال پایدارترین، ثابت ترین و اساسی ترین ویژگی های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ساده ترین صورت های مذهبی، روابط میان واقعیت ها آشکارتر است و در صورت های تحول یافته تر و پیچیده تر، روابط میان واقعیت های اساسی را به آسانی نمی توان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دورکیم در تحلیل توتمیسم، سازمان کلان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جامعه بومیان استرالیا را توصیف می کند و پیوند میان کلان و حیوان یا گیاه توتمی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توتمی را تابوها یا محرَّمات گوناگونی احاطه کرده است که در کمال وسواس، باید رعایتشان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دورکیم استدلال می کند، از آن جا که این توتم ها از حیوان ها یا گیاهان توتمی محرَّم ترند، پس در واقع باید از آن ها مقدس 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دورکیم، این نمادهای توتمی نشانه های کلانند، هم چنان که پرچم، نشانه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دورکیم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بینیم که توتم در یک زمان، هم نماد خدا و هم نماد جامعه است، آیا به خاطر آن نیست که خدا و جامعه یکی اند؟</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کلان و اصل توتمی، چیز دیگری جز خود کلان نمی تواند باشد که در تخیل بشر به صورت مرئی حیوان یا گیاه توتمی تشخیص می یابد و بازنمود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دورکیم در توضیح می گوید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تردید نیست که جامعه به یک صورت کلی، همه آن چیزهایی را که برای برانگیختن حس خداوندی لازم است، به خاطر قدرتش بر </w:t>
      </w:r>
      <w:bookmarkStart w:id="326" w:name="pg3480_42394"/>
    </w:p>
    <w:p>
      <w:pPr>
        <w:pStyle w:val="BookText"/>
        <w:rPr/>
      </w:pPr>
      <w:bookmarkEnd w:id="326"/>
      <w:r>
        <w:rPr>
          <w:rFonts w:ascii="IRNazanin" w:hAnsi="IRNazanin" w:eastAsia="IRNazanin"/>
          <w:color w:val="111111"/>
          <w:sz w:val="28"/>
          <w:sz w:val="28"/>
          <w:szCs w:val="28"/>
          <w:rtl w:val="true"/>
          <w:lang w:bidi="fa-IR"/>
        </w:rPr>
        <w:t>همه این چیزها در اختیار دارد؛ زیرا برای اعضایش همان حالتی را دارد که خداوند در پرستندگانش القا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خدایان این است که از انسان های وابسته به آن ها و تابعان اراده و فرامینشان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جامعه بر افراد نیز بیش تر بر اقتدار اخلاقی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ها برای این اخلاقی اند که جامعه آن ها را از ما درخواست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دورکیم، دین در واقع زاییده مناسک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مشارکت در مناسک و مراسم مذهبی است که قدرت اخلاقی جامعه آشکارا احساس می شود و احساسات اخلاقی و اجتماعی از همین طریق تقویت و تجدید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دورکیم، مناسک را به صورت کارکردگرایانه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مناسک برای کارکرد درست زندگی اخلاقی ما به همان اندازه ضروری اند که خوراک برای نگهداشت زندگی جسمانی ما ضرورت دارد؛ زیرا از طریق همین مناسک است که گروه خود را تأیید یا حفظ می کند</w:t>
      </w:r>
      <w:r>
        <w:rPr>
          <w:rFonts w:eastAsia="IRNazanin" w:cs="IRNazanin"/>
          <w:color w:val="111111"/>
          <w:sz w:val="28"/>
          <w:szCs w:val="28"/>
          <w:rtl w:val="true"/>
          <w:lang w:bidi="fa-IR"/>
        </w:rPr>
        <w:t>.</w:t>
      </w:r>
    </w:p>
    <w:p>
      <w:pPr>
        <w:pStyle w:val="Heading6"/>
        <w:numPr>
          <w:ilvl w:val="5"/>
          <w:numId w:val="1"/>
        </w:numPr>
        <w:rPr/>
      </w:pPr>
      <w:bookmarkStart w:id="327" w:name="__RefHeading___Toc3418342_2749589250"/>
      <w:bookmarkStart w:id="328" w:name="_Toc127"/>
      <w:bookmarkEnd w:id="327"/>
      <w:r>
        <w:rPr>
          <w:rtl w:val="true"/>
        </w:rPr>
        <w:t xml:space="preserve">دو </w:t>
      </w:r>
      <w:r>
        <w:rPr>
          <w:rtl w:val="true"/>
        </w:rPr>
        <w:t xml:space="preserve">- </w:t>
      </w:r>
      <w:r>
        <w:rPr>
          <w:rtl w:val="true"/>
        </w:rPr>
        <w:t>انتقادهایی از نظریه دین شناختی دورکیم</w:t>
      </w:r>
      <w:bookmarkEnd w:id="328"/>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انتقادهایی از نظریه دین شناختی دورکیم</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انتقادهای روش شناختی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دورکیم سراسر بررسی اش را به رشته محدودی از داده های مربوط به تعدادی از قبایل بومی استرالیا، استوار ساخته بود، ولی آیا ویژگی های یک دین خاص را می توان به همه ادیان تعمیم داد؟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 مطمئن بود که جوهر دین خاص مورد بررسی دورکیم، جوهر دین به معنای عام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تعیین ماهیت عمومی دین، بررسی طیف گسترده ای از ادیان بشری ضرورت دارد که دورکیم آن را </w:t>
      </w:r>
    </w:p>
    <w:p>
      <w:pPr>
        <w:pStyle w:val="BookText"/>
        <w:rPr/>
      </w:pPr>
      <w:r>
        <w:rPr>
          <w:rFonts w:ascii="IRNazanin" w:hAnsi="IRNazanin" w:eastAsia="IRNazanin"/>
          <w:color w:val="111111"/>
          <w:sz w:val="28"/>
          <w:sz w:val="28"/>
          <w:szCs w:val="28"/>
          <w:rtl w:val="true"/>
          <w:lang w:bidi="fa-IR"/>
        </w:rPr>
        <w:t>انجام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چگونه می توان کارکرد یک دین خاص را در یک فرهنگ و تمدن خاص به همه ادیان دیگر، در هر فرهنگ و تمدنی تعمیم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ادعای دورکیم مورد تردید است که اگر کسی، یک جامعه بسیار ساده از جهت تحول تکنولوژیکی را بررسی کند، در واقع می تواند ساده ترین صورت دین را نیز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ساده بودن سطح تکنولوژی یک جامعه بر نمی آید که نظام های مذهبی و نمادین آن نیز ضرورتا ساده و ناکامل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دورکیم باید نشان دهد که ادیان مسیر تکاملی داشته، ابتدایی ترین صورت آن همان توتمیسم مورد مطالعه او بوده است و ادیان دیگر نیز در ابتدا توتمیستی بوده و سپس در یک سیر تکاملی، تحول و دگرگونی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باید نشان دهد که در این سیر تکاملی جوهر و کارکرد این ادیان نیز ثابت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انتقادهای مردم نگارانه و تجربی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مدرکی وجود ندارد که توتمیسم همان گونه که دورکیم تصور می کرد، پدید آمده باشد و سرچشمه نهایی دین های دیگر نیز همین توتمیسم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تمایز میان امور مقدس و نامقدس، در مورد بسیاری از نظام های اعتقادی مصداق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بومیان استرالیا، مهم ترین گروه جامعه بومیان استرالیایی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گروه هم بسته مهمی نیز به شمار نمی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توتمیسم بومیان استرالیایی، نمونه توتمیسم به شمار نمی آید و </w:t>
      </w:r>
    </w:p>
    <w:p>
      <w:pPr>
        <w:pStyle w:val="BookText"/>
        <w:rPr/>
      </w:pPr>
      <w:r>
        <w:rPr>
          <w:rFonts w:ascii="IRNazanin" w:hAnsi="IRNazanin" w:eastAsia="IRNazanin"/>
          <w:color w:val="111111"/>
          <w:sz w:val="28"/>
          <w:sz w:val="28"/>
          <w:szCs w:val="28"/>
          <w:rtl w:val="true"/>
          <w:lang w:bidi="fa-IR"/>
        </w:rPr>
        <w:t>توتمیسم قبیله ارونتا و قبایل وابسته به آن، حتی در خود منطقه نیز نمونه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میان توتمیسم و سازمان کلان، عمومیت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شناسی جدید، نظریه توتم پرستی را عمیقا دگرگون کرده، چندان که واقعیت آن را تقریبا به کلی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تحلیل دورکیم، مبتنی بر مطالعات ابتدایی مردم شناسی است که در مطالعات پیشرفته تر بعدی تأیید نشده است و در نتیجه، دارای مبانی تجربی، شواهد و داده های علمی و تحقیقی مورد تأیید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انتقادهای نظری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دورکیم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قضیه دین که همان ربّانیت است، چیزی جز جامعه نیست، ولی آیا از مشاهده شباهت هایی میان مفاهیم مذهبی و ماهیت اجتماعی دین، می توان به این نتیجه رسید که دین چیزی جز بازنمود نمادین جامعه نیست و اعضای جامعه از طریق دین، رابطه شان را با جامعه به خود بازنمود می کنند؟</w:t>
      </w:r>
    </w:p>
    <w:p>
      <w:pPr>
        <w:pStyle w:val="BookText"/>
        <w:rPr/>
      </w:pPr>
      <w:r>
        <w:rPr>
          <w:rFonts w:ascii="IRNazanin" w:hAnsi="IRNazanin" w:eastAsia="IRNazanin"/>
          <w:color w:val="111111"/>
          <w:sz w:val="28"/>
          <w:sz w:val="28"/>
          <w:szCs w:val="28"/>
          <w:rtl w:val="true"/>
          <w:lang w:bidi="fa-IR"/>
        </w:rPr>
        <w:t>به علاوه، دورکیم چگونه می تواند وحی الهی را حداقل در ادیان ابراهیمی، با این تئوری توجیه و تبیین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دورکیم، آن نیرو یا فشاری که جامعه به ما اعمال می کند، اساسا همان فشار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اولاً فشار اجتماعی می تواند بر انگیزنده کنش های بی رحمانه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قهرمانان بزرگ اخلاقی تاریخ، درست همان کسانی هستند که در برابر اکثریت ایستادگی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جنبش های فرقه ای و تکثر و گوناگونی مذهبی در یک جامعه، قضیه ای است که نظریه دورکیم، بیش ترین دشواری را در برخورد با آن دارد و قادر به تبیین آن نیست؛ زیرا این تکثر، نظریه دورکیم را که دین را عامل وحدت جامعه می دانست،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دین در طول تاریخ به همان اندازه که نیروی یکپارچه کننده ای بوده، غالبا یک نیروی تقسیم کننده نیز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قبول نظریه دورکیم، همه مذاهب باید قبیله ای یا ملی به حساب آیند و این نظریه، دین جهانی را نمی تواند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انبیای بزرگ در طول تاریخ، برخلاف دین حاکم قیام کرده، مناسک خود را گاه انفرادی انجام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که بر علیه بت پرستی رایج و حاکم یک تنه قیام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ابراهیم کان امة قانتا للّه حنیفا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ابراهیم مطیع و فرمانبردار بود و هرگز به خدای یکتا شرک نیاورد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دیگر نظریه دورکیم، کارکرد گرایی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گرایی اساسا می گوید که یک نهاد اجتماعی را باید بر حسب نقشی که در بقای یک جامعه یا یکپارچگی و هم بستگی آن بازی می کند، باز شناخت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 های کارکرد گرایانه، دچار مسایلی هستند؛ زیرا در مورد دین، میان شرح کارکردگرایانه از یک رفتار اجتماعی خاص و تفسیری که خود رفتارکنندگان می کنند، اختلاف بسیاری وجود دارد و هیچ دلیلی وجود ندارد که شرح کارکردگرایانه را به تفسیر رفتار کنندگان ترجیح </w:t>
      </w:r>
    </w:p>
    <w:p>
      <w:pPr>
        <w:pStyle w:val="BookText"/>
        <w:rPr/>
      </w:pP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دورکیم در مورد خاستگاه های آرمان های مذهبی و اخلاقی چنین استدلال می کند که مفهوم آرمان و کمال در جریان برگزاری مناسک دسته جمعی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شدیدی که در چنین موقعیت هایی برانگیخته می شود، احساس خارق العاده ای را پدید می آورد که طی آن، مشارکت کنندگان احساس می کنند دگرگون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برای تبیین این حالت، به چیزهایی که در غیر این حالت عادی اند، قدرت ها و کیفیت های خارق العاده ای نسبت می دهند و از همین رهگذر، مفهوم امر مقدس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واقعیت عادی، بُعد آرمانی و کاملی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دورکیم احساسات مذهبی را با عواطف ناشی از گردهمایی های گروهی یکی گرفته است و احساسات مذهبی را تغییر ماهیت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روش جامعه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تعارض دارد که در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های اجتماعی نمی توانند از منابع روان شناختی سرچشمه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دورکیم، دین بیش تر یک واقعیت اجتماعی است، ولی در ضمن این گونه تبیین از دین، آن را بر پایه همان چیزی قرار می دهد که روان شناسی توده ای یا هیستری توده ای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ماهیت روان شناختی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دورکیم، از یک سو، دین به همان صورتی که واقعا هست، به مؤمنان نمایانده می شود و از سوی دیگر، چیزی متفاوت از</w:t>
      </w:r>
    </w:p>
    <w:p>
      <w:pPr>
        <w:pStyle w:val="BookText"/>
        <w:rPr/>
      </w:pPr>
      <w:r>
        <w:rPr>
          <w:rFonts w:ascii="IRNazanin" w:hAnsi="IRNazanin" w:eastAsia="IRNazanin"/>
          <w:color w:val="111111"/>
          <w:sz w:val="28"/>
          <w:sz w:val="28"/>
          <w:szCs w:val="28"/>
          <w:rtl w:val="true"/>
          <w:lang w:bidi="fa-IR"/>
        </w:rPr>
        <w:t>آن چه که آن ها فکر می کنند باید باشد،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دین مبنای اعتبارش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دین برای نظم و ثبات اجتماعی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گریز دورکیم از این تناقض، پذیرش این قضیه بود که صورت های سنتی دین، در جهان معاصر دفاع ناپذیرند و اصول نوینی باید جای آن 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آموزه های دنیوی که در ضمن باید کارکردهای دین را نیز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بازسازی دین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تحلیل و تبیین دورکیم از دین، پس از حذف عنصر فوق طبیعی و ماورایی از دین، دیگر نمی توان واقعیتی برای دین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تلاش دورکیم برای بازسازی دین به نفی و انکار آن منجر می گردد</w:t>
      </w:r>
      <w:r>
        <w:rPr>
          <w:rFonts w:eastAsia="IRNazanin" w:cs="IRNazanin"/>
          <w:color w:val="111111"/>
          <w:sz w:val="28"/>
          <w:szCs w:val="28"/>
          <w:rtl w:val="true"/>
          <w:lang w:bidi="fa-IR"/>
        </w:rPr>
        <w:t xml:space="preserve">. </w:t>
      </w:r>
      <w:bookmarkStart w:id="329" w:name="pg3480_42400"/>
    </w:p>
    <w:p>
      <w:pPr>
        <w:pStyle w:val="Heading2"/>
        <w:numPr>
          <w:ilvl w:val="1"/>
          <w:numId w:val="1"/>
        </w:numPr>
        <w:rPr/>
      </w:pPr>
      <w:bookmarkStart w:id="330" w:name="__RefHeading___Toc3418344_2749589250"/>
      <w:bookmarkStart w:id="331" w:name="_Toc128"/>
      <w:bookmarkEnd w:id="329"/>
      <w:bookmarkEnd w:id="330"/>
      <w:r>
        <w:rPr>
          <w:rtl w:val="true"/>
        </w:rPr>
        <w:t>بخش پنجم</w:t>
      </w:r>
      <w:r>
        <w:rPr>
          <w:rtl w:val="true"/>
        </w:rPr>
        <w:t xml:space="preserve">: </w:t>
      </w:r>
      <w:r>
        <w:rPr>
          <w:rtl w:val="true"/>
        </w:rPr>
        <w:t>عرفی شدن گفتمان</w:t>
      </w:r>
      <w:bookmarkEnd w:id="331"/>
    </w:p>
    <w:p>
      <w:pPr>
        <w:pStyle w:val="Heading3"/>
        <w:numPr>
          <w:ilvl w:val="2"/>
          <w:numId w:val="1"/>
        </w:numPr>
        <w:rPr/>
      </w:pPr>
      <w:bookmarkStart w:id="332" w:name="__RefHeading___Toc3418346_2749589250"/>
      <w:bookmarkStart w:id="333" w:name="_Toc129"/>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شدن گفتمان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تحریف و باژگون نمایی نگره سنتی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سکولاریزاسیون </w:t>
      </w:r>
      <w:bookmarkStart w:id="334" w:name="pg3480_42401"/>
    </w:p>
    <w:p>
      <w:pPr>
        <w:pStyle w:val="Heading3"/>
        <w:numPr>
          <w:ilvl w:val="2"/>
          <w:numId w:val="1"/>
        </w:numPr>
        <w:rPr/>
      </w:pPr>
      <w:bookmarkStart w:id="335" w:name="__RefHeading___Toc3418348_2749589250"/>
      <w:bookmarkStart w:id="336" w:name="_Toc130"/>
      <w:bookmarkEnd w:id="334"/>
      <w:bookmarkEnd w:id="335"/>
      <w:r>
        <w:rPr>
          <w:rtl w:val="true"/>
        </w:rPr>
        <w:t>تحریف و باژگون نمایی نگره سنتی</w:t>
      </w:r>
      <w:bookmarkEnd w:id="336"/>
    </w:p>
    <w:p>
      <w:pPr>
        <w:pStyle w:val="Heading4"/>
        <w:numPr>
          <w:ilvl w:val="3"/>
          <w:numId w:val="1"/>
        </w:numPr>
        <w:rPr/>
      </w:pPr>
      <w:bookmarkStart w:id="337" w:name="__RefHeading___Toc3418350_2749589250"/>
      <w:bookmarkStart w:id="338" w:name="_Toc131"/>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تحریف و باژگون نمایی نگره سنتی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نگاهی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شدن گفتمان ها</w:t>
      </w:r>
      <w:r>
        <w:rPr>
          <w:rFonts w:eastAsia="IRNazanin" w:cs="IRNazanin"/>
          <w:color w:val="111111"/>
          <w:sz w:val="28"/>
          <w:szCs w:val="28"/>
          <w:rtl w:val="true"/>
          <w:lang w:bidi="fa-IR"/>
        </w:rPr>
        <w:t>»</w:t>
      </w:r>
    </w:p>
    <w:p>
      <w:pPr>
        <w:pStyle w:val="Heading4"/>
        <w:numPr>
          <w:ilvl w:val="3"/>
          <w:numId w:val="1"/>
        </w:numPr>
        <w:rPr/>
      </w:pPr>
      <w:bookmarkStart w:id="339" w:name="__RefHeading___Toc3418352_2749589250"/>
      <w:bookmarkStart w:id="340" w:name="_Toc132"/>
      <w:bookmarkEnd w:id="339"/>
      <w:r>
        <w:rPr>
          <w:rtl w:val="true"/>
        </w:rPr>
        <w:t xml:space="preserve">نگاهی به </w:t>
      </w:r>
      <w:r>
        <w:rPr>
          <w:rtl w:val="true"/>
        </w:rPr>
        <w:t>«</w:t>
      </w:r>
      <w:r>
        <w:rPr>
          <w:rtl w:val="true"/>
        </w:rPr>
        <w:t>عرفی شدن گفتمان ها</w:t>
      </w:r>
      <w:r>
        <w:rPr>
          <w:rtl w:val="true"/>
        </w:rPr>
        <w:t>»</w:t>
      </w:r>
      <w:bookmarkEnd w:id="340"/>
    </w:p>
    <w:p>
      <w:pPr>
        <w:pStyle w:val="Heading5"/>
        <w:numPr>
          <w:ilvl w:val="4"/>
          <w:numId w:val="1"/>
        </w:numPr>
        <w:rPr/>
      </w:pPr>
      <w:bookmarkStart w:id="341" w:name="__RefHeading___Toc3418354_2749589250"/>
      <w:bookmarkStart w:id="342" w:name="_Toc133"/>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 xml:space="preserve">نگاهی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شدن گفتمان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الگوبرداری از تاریخ و تمدن مسیحی</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نگره سنتی اسلامی یا 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مفاهیم و موضوعات</w:t>
      </w:r>
    </w:p>
    <w:p>
      <w:pPr>
        <w:pStyle w:val="Heading5"/>
        <w:numPr>
          <w:ilvl w:val="4"/>
          <w:numId w:val="1"/>
        </w:numPr>
        <w:rPr/>
      </w:pPr>
      <w:bookmarkStart w:id="343" w:name="__RefHeading___Toc3418356_2749589250"/>
      <w:bookmarkStart w:id="344" w:name="_Toc134"/>
      <w:bookmarkEnd w:id="343"/>
      <w:r>
        <w:rPr>
          <w:rtl w:val="true"/>
        </w:rPr>
        <w:t xml:space="preserve">اول </w:t>
      </w:r>
      <w:r>
        <w:rPr>
          <w:rtl w:val="true"/>
        </w:rPr>
        <w:t xml:space="preserve">- </w:t>
      </w:r>
      <w:r>
        <w:rPr>
          <w:rtl w:val="true"/>
        </w:rPr>
        <w:t>الگوبرداری از تاریخ و تمدن مسیحی</w:t>
      </w:r>
      <w:bookmarkEnd w:id="344"/>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الگوبرداری از تاریخ و تمدن مسیحی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ابتدای مقاله، کتاب تاریخ اندیشه ترقی نیزبت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مقاله و دو مقاله نخست کتاب،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عرفی شدن شریعت 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جرقه تاریخی گری در قرون وسطای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تأثیر نیزبت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نیزبت شاید کار اصیلی باشد و چنین فرآیند یا فرآیندهایی در تاریخ و تمدن مسیحی رخ داده باشد، اما متأسفانه کار نویسنده اصیل نیست و از یک تقلید سطحی فراتر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نتوانسته عقل اسلامی یا عقل ایرانی را در گذشته، ردیابی، تحلیل و دنبال کند و از اصل این موضوع مهم را مغفول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بدون توجه به سنن دینی یا ملی ما و بدون تتبع و تحقیق در موارد کاربرد مفهوم و واژه عقل، به اشتباه افتاده و گمان کرده از عقل ابزاری و عقل معاش، حسابگر و جزئی، در متون و معارف اسلامی یا ایرانی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 فرض صحیح باشد که در تمدن غربی و مسیحی در گذشته، خبری از عقل ابزاری و سنجشگر نبوده، در تمدن اسلامی و متون اسلامی از همان آغاز به عقل ابزاری و سنجشگر و به وسیله و اسباب توجه شده و مدّنظر بوده است</w:t>
      </w:r>
      <w:r>
        <w:rPr>
          <w:rFonts w:eastAsia="IRNazanin" w:cs="IRNazanin"/>
          <w:color w:val="111111"/>
          <w:sz w:val="28"/>
          <w:szCs w:val="28"/>
          <w:rtl w:val="true"/>
          <w:lang w:bidi="fa-IR"/>
        </w:rPr>
        <w:t xml:space="preserve">. </w:t>
      </w:r>
      <w:bookmarkStart w:id="345" w:name="pg3480_42402"/>
    </w:p>
    <w:p>
      <w:pPr>
        <w:pStyle w:val="BookText"/>
        <w:rPr/>
      </w:pPr>
      <w:bookmarkEnd w:id="345"/>
      <w:r>
        <w:rPr>
          <w:rFonts w:ascii="IRNazanin" w:hAnsi="IRNazanin" w:eastAsia="IRNazanin"/>
          <w:color w:val="111111"/>
          <w:sz w:val="28"/>
          <w:sz w:val="28"/>
          <w:szCs w:val="28"/>
          <w:rtl w:val="true"/>
          <w:lang w:bidi="fa-IR"/>
        </w:rPr>
        <w:t>هم در قرآن کریم</w:t>
      </w:r>
      <w:r>
        <w:rPr>
          <w:rStyle w:val="FootnoteAnchor"/>
          <w:rtl w:val="true"/>
        </w:rPr>
        <w:footnoteReference w:id="98"/>
      </w:r>
      <w:r>
        <w:rPr>
          <w:rFonts w:ascii="IRNazanin" w:hAnsi="IRNazanin" w:eastAsia="IRNazanin"/>
          <w:color w:val="111111"/>
          <w:sz w:val="28"/>
          <w:sz w:val="28"/>
          <w:szCs w:val="28"/>
          <w:rtl w:val="true"/>
          <w:lang w:bidi="fa-IR"/>
        </w:rPr>
        <w:t>و هم در روایات،</w:t>
      </w:r>
      <w:r>
        <w:rPr>
          <w:rStyle w:val="FootnoteAnchor"/>
          <w:rtl w:val="true"/>
        </w:rPr>
        <w:footnoteReference w:id="99"/>
      </w:r>
      <w:r>
        <w:rPr>
          <w:rFonts w:ascii="IRNazanin" w:hAnsi="IRNazanin" w:eastAsia="IRNazanin"/>
          <w:color w:val="111111"/>
          <w:sz w:val="28"/>
          <w:sz w:val="28"/>
          <w:szCs w:val="28"/>
          <w:rtl w:val="true"/>
          <w:lang w:bidi="fa-IR"/>
        </w:rPr>
        <w:t>به این موضوع توجه شده و می توان مباحث مقدمه واجب، تزاحم و تعارض در اصول فقه را نیز ناظر به چنین عقلی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نه تنها از ریشه یابی و تبارشناسی عقل در اسلام غفلت کرده، حتی نتوانسته به طریق اولی، تحول قرائت ها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مدعی تناوب قرائت ها در دوران اخیر است و بعید است که چنین کاری را بتوان تبارشناسی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تعمق در مبنای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رویکردی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نویسنده از آن یاد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کل مفقود است</w:t>
      </w:r>
      <w:r>
        <w:rPr>
          <w:rFonts w:eastAsia="IRNazanin" w:cs="IRNazanin"/>
          <w:color w:val="111111"/>
          <w:sz w:val="28"/>
          <w:szCs w:val="28"/>
          <w:rtl w:val="true"/>
          <w:lang w:bidi="fa-IR"/>
        </w:rPr>
        <w:t>.</w:t>
      </w:r>
    </w:p>
    <w:p>
      <w:pPr>
        <w:pStyle w:val="Heading5"/>
        <w:numPr>
          <w:ilvl w:val="4"/>
          <w:numId w:val="1"/>
        </w:numPr>
        <w:rPr/>
      </w:pPr>
      <w:bookmarkStart w:id="346" w:name="__RefHeading___Toc3418358_2749589250"/>
      <w:bookmarkStart w:id="347" w:name="_Toc135"/>
      <w:bookmarkEnd w:id="346"/>
      <w:r>
        <w:rPr>
          <w:rtl w:val="true"/>
        </w:rPr>
        <w:t xml:space="preserve">دوم </w:t>
      </w:r>
      <w:r>
        <w:rPr>
          <w:rtl w:val="true"/>
        </w:rPr>
        <w:t xml:space="preserve">- </w:t>
      </w:r>
      <w:r>
        <w:rPr>
          <w:rtl w:val="true"/>
        </w:rPr>
        <w:t>نگره سنتی اسلامی یا مسیحی؟</w:t>
      </w:r>
      <w:r>
        <w:rPr>
          <w:rtl w:val="true"/>
        </w:rPr>
        <w:t>!</w:t>
      </w:r>
      <w:bookmarkEnd w:id="347"/>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نگره سنتی اسلامی یا 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تبیین نگره سنتی اسلامی، مطلبی را که در دو مقاله نخست کتاب به آگوستین نسبت داده است، اکنون به نگره سنتی اسلامی نسبت می دهد تا جایی که به تقلید از اندیشه آگوستینی، سخن از مدینه فاضله در گذشتهِ تاریخ و انحطاط و قهقرای عالم و آدم، در نگره سنتی اسلامی دارد که معلوم نیست چنین تصوری، در کجای نگره سنتی ما واقع شده است و این مدینه فاضله درگذشته،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نویسنده اشتباه عجیبی مرتکب شده و به اسلام، هزاره گرایی را نسبت داده است و البته خود را از هر گونه ارجاع و استنادی بی نیاز دانسته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اگر هم قرار بر تطبیق معارف اسلامی با معارف مسیحی باشد، دست کم باید مدعی انطباق عصر ظهور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دوران سلطنت حضرت مسیح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فرهنگ اسلامی سخن از مئة سنة هست که آن هم معلوم نیست از اساس صحیح بوده و ریشه دینی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فکر که در هر هزار سال یک بار یک مجدد دین می آید، مربوط به قبل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مال اسلام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اسلام و مقتضیات زمان، انتشارات صدرا،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عصر ظهور امام زمان علیه السلام هم مستعجل است و هم تنها برای انتقام از بی عدالتی ها؛ آشنایان با معارف شیعی می دانند که اتفاقا این دولت نه تنها مستعجل نیست، بلکه مستدام است و قرار بر صرف انتقام از بی عدالتی ها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یملاءالارض قسطا وعدلاً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عقول آدمیان ترقی می کند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برداشتی بسیار سخیف از معارف شیعی دارد و انصافا چنین برداشت های تحریف شده و ناآگاهانه ای، نگران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نخبه گرایی نگره سنتی</w:t>
      </w:r>
    </w:p>
    <w:p>
      <w:pPr>
        <w:pStyle w:val="BookText"/>
        <w:rPr/>
      </w:pPr>
      <w:r>
        <w:rPr>
          <w:rFonts w:ascii="IRNazanin" w:hAnsi="IRNazanin" w:eastAsia="IRNazanin"/>
          <w:color w:val="111111"/>
          <w:sz w:val="28"/>
          <w:sz w:val="28"/>
          <w:szCs w:val="28"/>
          <w:rtl w:val="true"/>
          <w:lang w:bidi="fa-IR"/>
        </w:rPr>
        <w:t xml:space="preserve">نویسنده به پیروی از همان چارچوب مسیحی، از نخبه گرایی در نگره سنتی اسلامی سخن می گوید و رستگاری را برای عده معدودی معرفی می کند، در حالی که آشنایان با عرفان اسلامی می دانند که عارفان مسلمان، معمولاً می خواهند همه را به بهشت ببرند و به لقاءاللّه برسانند، تا جایی که مخالفان با عرفان، این مسئله را یک نقیصه برای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اسلام و مقتضیات زمان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جست وجو کردم دیدم در اخبار و روایات ما چنین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دین در هر 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اهل تسنن را گشتم دیدم در اخبار آنها هم وجود ندارد، فقط در سنن ابن داوود یک حدیث بیشتر نیست آن هم از ابی هریره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bookmarkStart w:id="348" w:name="pg3480_42404"/>
    </w:p>
    <w:p>
      <w:pPr>
        <w:pStyle w:val="Heading5"/>
        <w:numPr>
          <w:ilvl w:val="4"/>
          <w:numId w:val="1"/>
        </w:numPr>
        <w:rPr/>
      </w:pPr>
      <w:bookmarkStart w:id="349" w:name="__RefHeading___Toc3418360_2749589250"/>
      <w:bookmarkStart w:id="350" w:name="_Toc136"/>
      <w:bookmarkEnd w:id="348"/>
      <w:bookmarkEnd w:id="349"/>
      <w:r>
        <w:rPr>
          <w:rtl w:val="true"/>
        </w:rPr>
        <w:t xml:space="preserve">سوم </w:t>
      </w:r>
      <w:r>
        <w:rPr>
          <w:rtl w:val="true"/>
        </w:rPr>
        <w:t xml:space="preserve">- </w:t>
      </w:r>
      <w:r>
        <w:rPr>
          <w:rtl w:val="true"/>
        </w:rPr>
        <w:t>خلط مفاهیم و موضوعات</w:t>
      </w:r>
      <w:bookmarkEnd w:id="350"/>
    </w:p>
    <w:p>
      <w:pPr>
        <w:pStyle w:val="Heading6"/>
        <w:numPr>
          <w:ilvl w:val="5"/>
          <w:numId w:val="1"/>
        </w:numPr>
        <w:rPr/>
      </w:pPr>
      <w:bookmarkStart w:id="351" w:name="__RefHeading___Toc3418362_2749589250"/>
      <w:bookmarkStart w:id="352" w:name="_Toc137"/>
      <w:bookmarkEnd w:id="351"/>
      <w:r>
        <w:rPr/>
        <w:t>1</w:t>
      </w:r>
      <w:r>
        <w:rPr>
          <w:rtl w:val="true"/>
        </w:rPr>
        <w:t xml:space="preserve">. </w:t>
      </w:r>
      <w:r>
        <w:rPr>
          <w:rtl w:val="true"/>
        </w:rPr>
        <w:t>قاف عنقا</w:t>
      </w:r>
      <w:bookmarkEnd w:id="352"/>
    </w:p>
    <w:p>
      <w:pPr>
        <w:pStyle w:val="BookText"/>
        <w:rPr/>
      </w:pPr>
      <w:r>
        <w:rPr>
          <w:rFonts w:ascii="IRNazanin" w:hAnsi="IRNazanin" w:eastAsia="IRNazanin"/>
          <w:color w:val="111111"/>
          <w:sz w:val="28"/>
          <w:sz w:val="28"/>
          <w:szCs w:val="28"/>
          <w:rtl w:val="true"/>
          <w:lang w:bidi="fa-IR"/>
        </w:rPr>
        <w:t>نویسنده از روایت قلّ الدّیّانون، چنین استنباط می کند که تنها معدودی به قاف عنقا پر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صدور روایت از امام حسین علیه السلام در قضیه یاری نکردن آن بزرگوار در قیام و انقلاب آن حضرت است و مقصود، دین داری متعارف است، نه پرکشیدن به قاف عنقا که مطلب دیگری است</w:t>
      </w:r>
      <w:r>
        <w:rPr>
          <w:rFonts w:eastAsia="IRNazanin" w:cs="IRNazanin"/>
          <w:color w:val="111111"/>
          <w:sz w:val="28"/>
          <w:szCs w:val="28"/>
          <w:rtl w:val="true"/>
          <w:lang w:bidi="fa-IR"/>
        </w:rPr>
        <w:t>.</w:t>
      </w:r>
    </w:p>
    <w:p>
      <w:pPr>
        <w:pStyle w:val="Heading6"/>
        <w:numPr>
          <w:ilvl w:val="5"/>
          <w:numId w:val="1"/>
        </w:numPr>
        <w:rPr/>
      </w:pPr>
      <w:bookmarkStart w:id="353" w:name="__RefHeading___Toc3418364_2749589250"/>
      <w:bookmarkStart w:id="354" w:name="_Toc138"/>
      <w:bookmarkEnd w:id="353"/>
      <w:r>
        <w:rPr/>
        <w:t>2</w:t>
      </w:r>
      <w:r>
        <w:rPr>
          <w:rtl w:val="true"/>
        </w:rPr>
        <w:t xml:space="preserve">. </w:t>
      </w:r>
      <w:r>
        <w:rPr>
          <w:rtl w:val="true"/>
        </w:rPr>
        <w:t>زمان اثیری</w:t>
      </w:r>
      <w:bookmarkEnd w:id="354"/>
    </w:p>
    <w:p>
      <w:pPr>
        <w:pStyle w:val="BookText"/>
        <w:rPr/>
      </w:pPr>
      <w:r>
        <w:rPr>
          <w:rFonts w:ascii="IRNazanin" w:hAnsi="IRNazanin" w:eastAsia="IRNazanin"/>
          <w:color w:val="111111"/>
          <w:sz w:val="28"/>
          <w:sz w:val="28"/>
          <w:szCs w:val="28"/>
          <w:rtl w:val="true"/>
          <w:lang w:bidi="fa-IR"/>
        </w:rPr>
        <w:t xml:space="preserve">آشنایان با فلسفه صدرایی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اتفاقا مبحث زمان در این مکتب فلسفی، تحقیق خوبی پیرامون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اثیری، قابل استناد به نگره سنتی ما نیست، مگر این که نویسنده به پیروی از بعضی نویسندگان، بخواهد داستان های اسطوره 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امیرارسلان و حسین کرد را مصادیق و تجلیات نگره سنتی اسلامی بداند که در این صورت موضوع، یک موضوع دیگر است و سطح محاجه را باید عقب تر برد تا معلوم شود نگره سنتی اسلامی چیست</w:t>
      </w:r>
      <w:r>
        <w:rPr>
          <w:rFonts w:eastAsia="IRNazanin" w:cs="IRNazanin"/>
          <w:color w:val="111111"/>
          <w:sz w:val="28"/>
          <w:szCs w:val="28"/>
          <w:rtl w:val="true"/>
          <w:lang w:bidi="fa-IR"/>
        </w:rPr>
        <w:t>.</w:t>
      </w:r>
    </w:p>
    <w:p>
      <w:pPr>
        <w:pStyle w:val="Heading6"/>
        <w:numPr>
          <w:ilvl w:val="5"/>
          <w:numId w:val="1"/>
        </w:numPr>
        <w:rPr/>
      </w:pPr>
      <w:bookmarkStart w:id="355" w:name="__RefHeading___Toc3418366_2749589250"/>
      <w:bookmarkStart w:id="356" w:name="_Toc139"/>
      <w:bookmarkEnd w:id="355"/>
      <w:r>
        <w:rPr/>
        <w:t>3</w:t>
      </w:r>
      <w:r>
        <w:rPr>
          <w:rtl w:val="true"/>
        </w:rPr>
        <w:t xml:space="preserve">. </w:t>
      </w:r>
      <w:r>
        <w:rPr>
          <w:rtl w:val="true"/>
        </w:rPr>
        <w:t>طفره</w:t>
      </w:r>
      <w:bookmarkEnd w:id="356"/>
    </w:p>
    <w:p>
      <w:pPr>
        <w:pStyle w:val="BookText"/>
        <w:rPr/>
      </w:pPr>
      <w:r>
        <w:rPr>
          <w:rFonts w:ascii="IRNazanin" w:hAnsi="IRNazanin" w:eastAsia="IRNazanin"/>
          <w:color w:val="111111"/>
          <w:sz w:val="28"/>
          <w:sz w:val="28"/>
          <w:szCs w:val="28"/>
          <w:rtl w:val="true"/>
          <w:lang w:bidi="fa-IR"/>
        </w:rPr>
        <w:t>ظاهرا نویسنده با ابتداییات عرفان اسلامی هم 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 در این گفتمان از مجاری مادی نمی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اساس عرفان اسلامی بر این است که آدمی به این دنیا آمده؛ زیرا ترقی از مجاری مادی می گذرد و انسان بدون ماده، به آن ترقی مطلوب و منزل مقصود نایل نمی آید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مجذوبان سالک هم، سخن از سلوک پس از جذبه است و عارفان مجذوب را نیز نیازمند سلوک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سالکان را نیز </w:t>
      </w:r>
      <w:bookmarkStart w:id="357" w:name="pg3480_42405"/>
    </w:p>
    <w:p>
      <w:pPr>
        <w:pStyle w:val="BookText"/>
        <w:rPr/>
      </w:pPr>
      <w:bookmarkEnd w:id="357"/>
      <w:r>
        <w:rPr>
          <w:rFonts w:ascii="IRNazanin" w:hAnsi="IRNazanin" w:eastAsia="IRNazanin"/>
          <w:color w:val="111111"/>
          <w:sz w:val="28"/>
          <w:sz w:val="28"/>
          <w:szCs w:val="28"/>
          <w:rtl w:val="true"/>
          <w:lang w:bidi="fa-IR"/>
        </w:rPr>
        <w:t>از جذبه بی نیاز نمی دانند و آن ها را به دو گروه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سالکان مجذوب و مجذوبان 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 پاک به سوی خدا بالا می رود و عمل نیک خالص آن را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قرآن کریم، ارتفاع کلمه طیبه را به عمل صالح منوط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می توان به سنت اسلامی، بی توجهی به ماده و دنیا را نسبت داد؟</w:t>
      </w:r>
      <w:r>
        <w:rPr>
          <w:rFonts w:eastAsia="IRNazanin" w:cs="IRNazanin"/>
          <w:color w:val="111111"/>
          <w:sz w:val="28"/>
          <w:szCs w:val="28"/>
          <w:rtl w:val="true"/>
          <w:lang w:bidi="fa-IR"/>
        </w:rPr>
        <w:t>!</w:t>
      </w:r>
    </w:p>
    <w:p>
      <w:pPr>
        <w:pStyle w:val="Heading6"/>
        <w:numPr>
          <w:ilvl w:val="5"/>
          <w:numId w:val="1"/>
        </w:numPr>
        <w:rPr/>
      </w:pPr>
      <w:bookmarkStart w:id="358" w:name="__RefHeading___Toc3418368_2749589250"/>
      <w:bookmarkStart w:id="359" w:name="_Toc140"/>
      <w:bookmarkEnd w:id="358"/>
      <w:r>
        <w:rPr/>
        <w:t>4</w:t>
      </w:r>
      <w:r>
        <w:rPr>
          <w:rtl w:val="true"/>
        </w:rPr>
        <w:t xml:space="preserve">. </w:t>
      </w:r>
      <w:r>
        <w:rPr>
          <w:rtl w:val="true"/>
        </w:rPr>
        <w:t>حیله</w:t>
      </w:r>
      <w:bookmarkEnd w:id="359"/>
    </w:p>
    <w:p>
      <w:pPr>
        <w:pStyle w:val="BookText"/>
        <w:rPr/>
      </w:pPr>
      <w:r>
        <w:rPr>
          <w:rFonts w:ascii="IRNazanin" w:hAnsi="IRNazanin" w:eastAsia="IRNazanin"/>
          <w:color w:val="111111"/>
          <w:sz w:val="28"/>
          <w:sz w:val="28"/>
          <w:szCs w:val="28"/>
          <w:rtl w:val="true"/>
          <w:lang w:bidi="fa-IR"/>
        </w:rPr>
        <w:t>نویسنده از این که قدما به علم مکانیک، علم الحیل می گفتند، استفاده می کند که تصور قدما این بوده که ابزار و طرق، حیله و نیرنگ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العرب برای حیله، معانی قوّت، قدرت و حرکت گفته شده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الحیلة و الحولة جمع 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علی التصرف و الحذق وجودة 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المنجد، ماده ح و ل را در ده عنوان جداگانه بررسی می کند و حیله به معنای نیرنگ را در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حیله به معنای حرکت را در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یبحث فی موازنة الاجسام و تحریکها یُعرفَ بالمکانیک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نگاه واژه شناسی، علم الحیل به معنای علمی است که از حرکت اشیا و مباحث مربوط به آن سخن می گوید و آن را به معنای </w:t>
      </w:r>
      <w:bookmarkStart w:id="360" w:name="pg3480_42406"/>
    </w:p>
    <w:p>
      <w:pPr>
        <w:pStyle w:val="BookText"/>
        <w:rPr/>
      </w:pPr>
      <w:bookmarkEnd w:id="360"/>
      <w:r>
        <w:rPr>
          <w:rFonts w:ascii="IRNazanin" w:hAnsi="IRNazanin" w:eastAsia="IRNazanin"/>
          <w:color w:val="111111"/>
          <w:sz w:val="28"/>
          <w:sz w:val="28"/>
          <w:szCs w:val="28"/>
          <w:rtl w:val="true"/>
          <w:lang w:bidi="fa-IR"/>
        </w:rPr>
        <w:t>علم حیله و نیرنگ بر شمردن، نشانه ناآگاهی از معنای لغوی واژه و مراجعه نکردن به منابع لازم 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از آن جا که آگاهی ها و توانایی های لازم را نداشته، خود را از مراجعه، تحقیق و تتبع بی نیاز هم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مطالب را وارونه و باژگون فهمیده، سپس فهم و تصور باژگون خود را به گردن قدما، نگره سنتی، سنت ها و مانند این ها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نفهمیدن مطالب و تحریف آن ها، آثار سنگین و نگران کننده ای برای حقایق و مصالح دینی و ملی دارد</w:t>
      </w:r>
      <w:r>
        <w:rPr>
          <w:rFonts w:eastAsia="IRNazanin" w:cs="IRNazanin"/>
          <w:color w:val="111111"/>
          <w:sz w:val="28"/>
          <w:szCs w:val="28"/>
          <w:rtl w:val="true"/>
          <w:lang w:bidi="fa-IR"/>
        </w:rPr>
        <w:t>.</w:t>
      </w:r>
    </w:p>
    <w:p>
      <w:pPr>
        <w:pStyle w:val="Heading6"/>
        <w:numPr>
          <w:ilvl w:val="5"/>
          <w:numId w:val="1"/>
        </w:numPr>
        <w:rPr/>
      </w:pPr>
      <w:bookmarkStart w:id="361" w:name="__RefHeading___Toc3418370_2749589250"/>
      <w:bookmarkStart w:id="362" w:name="_Toc141"/>
      <w:bookmarkEnd w:id="361"/>
      <w:r>
        <w:rPr/>
        <w:t>5</w:t>
      </w:r>
      <w:r>
        <w:rPr>
          <w:rtl w:val="true"/>
        </w:rPr>
        <w:t xml:space="preserve">. </w:t>
      </w:r>
      <w:r>
        <w:rPr>
          <w:rtl w:val="true"/>
        </w:rPr>
        <w:t>وسیله</w:t>
      </w:r>
      <w:bookmarkEnd w:id="362"/>
    </w:p>
    <w:p>
      <w:pPr>
        <w:pStyle w:val="BookText"/>
        <w:rPr/>
      </w:pPr>
      <w:r>
        <w:rPr>
          <w:rFonts w:ascii="IRNazanin" w:hAnsi="IRNazanin" w:eastAsia="IRNazanin"/>
          <w:color w:val="111111"/>
          <w:sz w:val="28"/>
          <w:sz w:val="28"/>
          <w:szCs w:val="28"/>
          <w:rtl w:val="true"/>
          <w:lang w:bidi="fa-IR"/>
        </w:rPr>
        <w:t>نویسنده توجه به اسباب را در نگره سنتی منتفی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چگونه از آیاتی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 الیه الوسیله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خداوند وسیله فراهم سازید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اعدّوالهم ما استطعتم من 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 حدّ که می توانید در برابر دشمنان خود را قدرت مند و توانا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لا یغیر ما بقوم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سرنوشت هیچ گروهی را تغییر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گونه آیات یا روایات وارده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اللّه ان یجری الامور الاباسبابها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این که امور را جز به اسبابش جاری سازد إبا دارد</w:t>
      </w:r>
      <w:r>
        <w:rPr>
          <w:rFonts w:eastAsia="IRNazanin" w:cs="IRNazanin"/>
          <w:color w:val="111111"/>
          <w:sz w:val="28"/>
          <w:szCs w:val="28"/>
          <w:rtl w:val="true"/>
          <w:lang w:bidi="fa-IR"/>
        </w:rPr>
        <w:t xml:space="preserve">. </w:t>
      </w:r>
      <w:bookmarkStart w:id="363" w:name="pg3480_42407"/>
    </w:p>
    <w:p>
      <w:pPr>
        <w:pStyle w:val="BookText"/>
        <w:rPr/>
      </w:pPr>
      <w:bookmarkEnd w:id="363"/>
      <w:r>
        <w:rPr>
          <w:rFonts w:ascii="IRNazanin" w:hAnsi="IRNazanin" w:eastAsia="IRNazanin"/>
          <w:color w:val="111111"/>
          <w:sz w:val="28"/>
          <w:sz w:val="28"/>
          <w:szCs w:val="28"/>
          <w:rtl w:val="true"/>
          <w:lang w:bidi="fa-IR"/>
        </w:rPr>
        <w:t>غفلت کرده است</w:t>
      </w:r>
      <w:r>
        <w:rPr>
          <w:rFonts w:eastAsia="IRNazanin" w:cs="IRNazanin"/>
          <w:color w:val="111111"/>
          <w:sz w:val="28"/>
          <w:szCs w:val="28"/>
          <w:rtl w:val="true"/>
          <w:lang w:bidi="fa-IR"/>
        </w:rPr>
        <w:t>!</w:t>
      </w:r>
    </w:p>
    <w:p>
      <w:pPr>
        <w:pStyle w:val="Heading6"/>
        <w:numPr>
          <w:ilvl w:val="5"/>
          <w:numId w:val="1"/>
        </w:numPr>
        <w:rPr/>
      </w:pPr>
      <w:bookmarkStart w:id="364" w:name="__RefHeading___Toc3418372_2749589250"/>
      <w:bookmarkStart w:id="365" w:name="_Toc142"/>
      <w:bookmarkEnd w:id="364"/>
      <w:r>
        <w:rPr/>
        <w:t>6</w:t>
      </w:r>
      <w:r>
        <w:rPr>
          <w:rtl w:val="true"/>
        </w:rPr>
        <w:t xml:space="preserve"> . </w:t>
      </w:r>
      <w:r>
        <w:rPr>
          <w:rtl w:val="true"/>
        </w:rPr>
        <w:t>سعی</w:t>
      </w:r>
      <w:bookmarkEnd w:id="365"/>
    </w:p>
    <w:p>
      <w:pPr>
        <w:pStyle w:val="BookText"/>
        <w:rPr/>
      </w:pPr>
      <w:r>
        <w:rPr>
          <w:rFonts w:ascii="IRNazanin" w:hAnsi="IRNazanin" w:eastAsia="IRNazanin"/>
          <w:color w:val="111111"/>
          <w:sz w:val="28"/>
          <w:sz w:val="28"/>
          <w:szCs w:val="28"/>
          <w:rtl w:val="true"/>
          <w:lang w:bidi="fa-IR"/>
        </w:rPr>
        <w:t>نویسنده معتقد است که یافتن راه مقصود با سعی و خطا، از نظر نگره سنتی مذموم است و عجیب است که چگونه به آیه شریفه توجه نکرده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لیس للانسان الا ما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انسان جز آنچه به سعی و تلاش انسان انجام داده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اصاب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کریم، برای سعی و تلاش انسان صرف نظر از نتیجه آن، ارزش قایل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فیضان از بالا و کنز مخفی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دیگر خلط مفاهیم و موضوعات، در نوشتار نویسنده است که به جهت اختصار، آن ها را وا می گذاریم</w:t>
      </w:r>
      <w:r>
        <w:rPr>
          <w:rFonts w:eastAsia="IRNazanin" w:cs="IRNazanin"/>
          <w:color w:val="111111"/>
          <w:sz w:val="28"/>
          <w:szCs w:val="28"/>
          <w:rtl w:val="true"/>
          <w:lang w:bidi="fa-IR"/>
        </w:rPr>
        <w:t>.</w:t>
      </w:r>
    </w:p>
    <w:p>
      <w:pPr>
        <w:pStyle w:val="Heading6"/>
        <w:numPr>
          <w:ilvl w:val="5"/>
          <w:numId w:val="1"/>
        </w:numPr>
        <w:rPr/>
      </w:pPr>
      <w:bookmarkStart w:id="366" w:name="__RefHeading___Toc3418374_2749589250"/>
      <w:bookmarkStart w:id="367" w:name="_Toc143"/>
      <w:bookmarkEnd w:id="366"/>
      <w:r>
        <w:rPr/>
        <w:t>7</w:t>
      </w:r>
      <w:r>
        <w:rPr>
          <w:rtl w:val="true"/>
        </w:rPr>
        <w:t xml:space="preserve">. </w:t>
      </w:r>
      <w:r>
        <w:rPr>
          <w:rtl w:val="true"/>
        </w:rPr>
        <w:t>رفتار عاطفی معطوف به ارزش</w:t>
      </w:r>
      <w:r>
        <w:rPr>
          <w:rtl w:val="true"/>
        </w:rPr>
        <w:t>!</w:t>
      </w:r>
      <w:bookmarkEnd w:id="367"/>
    </w:p>
    <w:p>
      <w:pPr>
        <w:pStyle w:val="BookText"/>
        <w:rPr/>
      </w:pPr>
      <w:r>
        <w:rPr>
          <w:rFonts w:ascii="IRNazanin" w:hAnsi="IRNazanin" w:eastAsia="IRNazanin"/>
          <w:color w:val="111111"/>
          <w:sz w:val="28"/>
          <w:sz w:val="28"/>
          <w:szCs w:val="28"/>
          <w:rtl w:val="true"/>
          <w:lang w:bidi="fa-IR"/>
        </w:rPr>
        <w:t xml:space="preserve">نویسنده، رفتار ناشی از نگرش تعالی را رفتار عاطفی معطوف به ارزش تلقی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مبتنی بر تفسیر رفتار، از نگاه ناظر ناهمدل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از استعانت از متدهای تفهمی و درون بینانه دارد که مبتنی بر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ناظر همدل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جامعه شناسی از این که رفتار عارفان و دین داران را عاطفی </w:t>
      </w:r>
      <w:bookmarkStart w:id="368" w:name="pg3480_42408"/>
    </w:p>
    <w:p>
      <w:pPr>
        <w:pStyle w:val="BookText"/>
        <w:rPr/>
      </w:pPr>
      <w:bookmarkEnd w:id="368"/>
      <w:r>
        <w:rPr>
          <w:rFonts w:ascii="IRNazanin" w:hAnsi="IRNazanin" w:eastAsia="IRNazanin"/>
          <w:color w:val="111111"/>
          <w:sz w:val="28"/>
          <w:sz w:val="28"/>
          <w:szCs w:val="28"/>
          <w:rtl w:val="true"/>
          <w:lang w:bidi="fa-IR"/>
        </w:rPr>
        <w:t>بخواند، ابا دارد؛ زیرا آنان از عقلانیت خاصی پیروی می کنند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همچنین در معارف ما، توجه به عقل یا دانش اندوزی هرچند در چین، و حتی از کفار و منافقین تأکید شده است و نیز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لیس لک به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چیزی که به آن علم نداری پیروی نکن</w:t>
      </w:r>
      <w:r>
        <w:rPr>
          <w:rFonts w:eastAsia="IRNazanin" w:cs="IRNazanin"/>
          <w:color w:val="111111"/>
          <w:sz w:val="28"/>
          <w:szCs w:val="28"/>
          <w:rtl w:val="true"/>
          <w:lang w:bidi="fa-IR"/>
        </w:rPr>
        <w:t>.</w:t>
      </w:r>
    </w:p>
    <w:p>
      <w:pPr>
        <w:pStyle w:val="Heading6"/>
        <w:numPr>
          <w:ilvl w:val="5"/>
          <w:numId w:val="1"/>
        </w:numPr>
        <w:rPr/>
      </w:pPr>
      <w:bookmarkStart w:id="369" w:name="__RefHeading___Toc3418376_2749589250"/>
      <w:bookmarkStart w:id="370" w:name="_Toc144"/>
      <w:bookmarkEnd w:id="369"/>
      <w:r>
        <w:rPr/>
        <w:t>8</w:t>
      </w:r>
      <w:r>
        <w:rPr>
          <w:rtl w:val="true"/>
        </w:rPr>
        <w:t xml:space="preserve">. </w:t>
      </w:r>
      <w:r>
        <w:rPr>
          <w:rtl w:val="true"/>
        </w:rPr>
        <w:t>تعالی و ترقی</w:t>
      </w:r>
      <w:bookmarkEnd w:id="370"/>
    </w:p>
    <w:p>
      <w:pPr>
        <w:pStyle w:val="BookText"/>
        <w:rPr/>
      </w:pPr>
      <w:r>
        <w:rPr>
          <w:rFonts w:ascii="IRNazanin" w:hAnsi="IRNazanin" w:eastAsia="IRNazanin"/>
          <w:color w:val="111111"/>
          <w:sz w:val="28"/>
          <w:sz w:val="28"/>
          <w:szCs w:val="28"/>
          <w:rtl w:val="true"/>
          <w:lang w:bidi="fa-IR"/>
        </w:rPr>
        <w:t>نویسنده نمونه ای از گفت وگوی آقای حسن زاده آملی و علامه طباطبایی را نقل می کند، بدون توجه به این که تعالی و ترقی در این گفت وگو، تنها شباهت لفظی و شکلی با تعالی و ترقی مورد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پرسش از تعالی و ترقی دنیوی بود، علامه طور دیگری پاسخ می داد، کمااین که آن بزرگوار در آثار خود، به خصوص تفسیر شریف المیزان، به این مطلب پرداخته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در پاسخ به پرسش از ترقی و تعالی روحی هم طبیعتا جواب متناسب با پرسش را بیان کرده است</w:t>
      </w:r>
      <w:r>
        <w:rPr>
          <w:rFonts w:eastAsia="IRNazanin" w:cs="IRNazanin"/>
          <w:color w:val="111111"/>
          <w:sz w:val="28"/>
          <w:szCs w:val="28"/>
          <w:rtl w:val="true"/>
          <w:lang w:bidi="fa-IR"/>
        </w:rPr>
        <w:t>.</w:t>
      </w:r>
    </w:p>
    <w:p>
      <w:pPr>
        <w:pStyle w:val="Heading3"/>
        <w:numPr>
          <w:ilvl w:val="2"/>
          <w:numId w:val="1"/>
        </w:numPr>
        <w:rPr/>
      </w:pPr>
      <w:bookmarkStart w:id="371" w:name="__RefHeading___Toc3418378_2749589250"/>
      <w:bookmarkStart w:id="372" w:name="_Toc145"/>
      <w:bookmarkEnd w:id="371"/>
      <w:r>
        <w:rPr>
          <w:rtl w:val="true"/>
        </w:rPr>
        <w:t>درباره سکولاریزاسیون</w:t>
      </w:r>
      <w:bookmarkEnd w:id="372"/>
    </w:p>
    <w:p>
      <w:pPr>
        <w:pStyle w:val="Heading4"/>
        <w:numPr>
          <w:ilvl w:val="3"/>
          <w:numId w:val="1"/>
        </w:numPr>
        <w:rPr/>
      </w:pPr>
      <w:bookmarkStart w:id="373" w:name="__RefHeading___Toc3418380_2749589250"/>
      <w:bookmarkStart w:id="374" w:name="_Toc146"/>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درباره سکولاریزاسیون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نوگرایی و روشن فکری دینی، از سال های قبل از پیروزی انقلاب اسلامی مطرح بوده است و از میان چهره های برجسته این جریان، می توان مرحوم بازرگان و مرحوم شریعتی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w:t>
      </w:r>
    </w:p>
    <w:p>
      <w:pPr>
        <w:pStyle w:val="BookText"/>
        <w:rPr/>
      </w:pPr>
      <w:r>
        <w:rPr>
          <w:rFonts w:ascii="IRNazanin" w:hAnsi="IRNazanin" w:eastAsia="IRNazanin"/>
          <w:color w:val="111111"/>
          <w:sz w:val="28"/>
          <w:sz w:val="28"/>
          <w:szCs w:val="28"/>
          <w:rtl w:val="true"/>
          <w:lang w:bidi="fa-IR"/>
        </w:rPr>
        <w:t>دو، مراحلی در تکوین اندیشه خود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مرحوم بازرگان، می توان مراحل و دوره های علم گرایی، ایدئولوژی گرایی و در پایان، جداانگاری دین از سیاست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شریعتی، پارادایم ایدئولوژی گرایی غلبه داشت، ولی احیانا عناصر دیگری نیز در کلیت آثار وی قابل مشاهده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عرفان یا ابعاد خاص شخصیتی او که آن را در بخشی از آثارش که خود آن ها را کویریات می نامید، 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پیروزی انقلاب اسلامی و به ویژه پس از مقطع سال های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دو چهره برجسته نوگرایی دینی، سروش و مجتهد شبستری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تاکنون مراحلی را در تکوین اندیشه طی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های فکری سروش را می توان این گونه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قبض و بسط تئوریک شریعت و سپس قبض و بسط و بعد از آن فربه تر از ایدئولوژی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مقاله پارادوکس مدرنیسم که تفاوت معرفت شناختی اساسی با قبض و بسط او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سکولاریسم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مجموعه مقالات مدیریت و مدارا به 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نهایت به صراط های مستقیم می رسد که اظهار پلورالیسم دینی عمدتا مبتنی بر معرفت شناسی ارائه شده در پارادوکس مدرنیسم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بسط تجربه نبوی است که می توان آن را از نتایج منطقی مبانی ارائه شده در صراط های مستقیم و از جمله به نوعی تجربه دینی تلقی کردن نبوت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قبض و 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ارزش، نهاد ناآرام جهان، تضاد</w:t>
      </w:r>
    </w:p>
    <w:p>
      <w:pPr>
        <w:pStyle w:val="BookText"/>
        <w:rPr/>
      </w:pPr>
      <w:r>
        <w:rPr>
          <w:rFonts w:ascii="IRNazanin" w:hAnsi="IRNazanin" w:eastAsia="IRNazanin"/>
          <w:color w:val="111111"/>
          <w:sz w:val="28"/>
          <w:sz w:val="28"/>
          <w:szCs w:val="28"/>
          <w:rtl w:val="true"/>
          <w:lang w:bidi="fa-IR"/>
        </w:rPr>
        <w:t>دیالکتیکی، تفرج صنع، ایدئولوژی شیطانی، علم چیست؟، فلسفه چیست؟ و فلسفه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قبض و بسط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فربه تر از ایدئولوژی، با محوریت مقاله پارادوکس مدرنیسم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مجموعه مقالات مدیریت و مدارا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های مستقیم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بسط تجربه نبوی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بی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های وی در امریکا که در نشریه آفتاب به چاپ رسیده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بی رنگی، مجموعه سخنرانی های سروش است که مایه الهیات و خداشناسی عرفانی از دیدگاه مولانا دارد و به نوعی، همخوانی الهیات و توحید با مبانی معرفت شناختی و تئوریک ارائه شده در پارادوکس مدرنیسم، صراط های مستقیم و بسط تجربه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آثار، سروش نگاهی به سیاست نیز داشته است و مجموعه سیاست نامه تا حدودی استفاده از مبانی معرفت شناختی مذکور، در عرصه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در نهایت، خود را ادامه دهنده راه بازرگان در جداانگاری دین از سیاست می داند و در تبیین دینی این رویکرد، تاریخ سیاسی صدر اسلام و دوران پیامبر و امامان و احیانا احکام سیاسی موجود در کتاب و سنت را از عرضیات دین و نه ذاتیات آن به شمار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گوهر دین را حیرت زایی و رازآلودگی معرفی می کند که آن را می توان به نوعی جدا کردن عرصه خصوصی و عمومی و بردن عرفان و توحید و ارتباط با خدا و احیانا حفظ نوعی زندگی سنتی، در </w:t>
      </w:r>
    </w:p>
    <w:p>
      <w:pPr>
        <w:pStyle w:val="BookText"/>
        <w:rPr/>
      </w:pPr>
      <w:r>
        <w:rPr>
          <w:rFonts w:ascii="IRNazanin" w:hAnsi="IRNazanin" w:eastAsia="IRNazanin"/>
          <w:color w:val="111111"/>
          <w:sz w:val="28"/>
          <w:sz w:val="28"/>
          <w:szCs w:val="28"/>
          <w:rtl w:val="true"/>
          <w:lang w:bidi="fa-IR"/>
        </w:rPr>
        <w:t>خلوت خصوصی خود دانست که عرصه عمومی را نیز به عقلِ عقلای جامعه می سپارد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خط سیر کلی آثار مجتهد شبستری نیز نوعی رویکرد هرمنوتیک وجودی و اگزیستانس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امکان وجود دارد که مقالات دین و عقل او را که در سال های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کیهان فرهنگی منتشر شد و بعدها در مجموعه هرمنوتیک، کتاب و سنت به چاپ رسید، به نوعی رعایت و لحاظ مقتضیات زمان و مکان، در استنباط و تحول موضوعی احکام اسلامی تلقی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نمی توان یک دستی قابل توجه در آثار شبستری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شبستری نیز این نظر را ارائه می کند که احکام اسلام تاریخ مند و زمان مند بوده اند و به خصوص سیاست اسلامی باید با عقلانیت معاصر و تئوری های جدید در حقوق و علوم سیاسی و اجتماعی و به ویژه حقوق بشر سازگار گردد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شبستری عبادات را به نوعی از محل بحث خارج می داند و در معاملات نیز تلاش های فقها را در انطباق آن با زمان و مکان کافی می داند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جای دیگر،</w:t>
      </w:r>
      <w:r>
        <w:rPr>
          <w:rStyle w:val="FootnoteAnchor"/>
          <w:rtl w:val="true"/>
        </w:rPr>
        <w:footnoteReference w:id="104"/>
      </w:r>
      <w:r>
        <w:rPr>
          <w:rFonts w:ascii="IRNazanin" w:hAnsi="IRNazanin" w:eastAsia="IRNazanin"/>
          <w:color w:val="111111"/>
          <w:sz w:val="28"/>
          <w:sz w:val="28"/>
          <w:szCs w:val="28"/>
          <w:rtl w:val="true"/>
          <w:lang w:bidi="fa-IR"/>
        </w:rPr>
        <w:t xml:space="preserve">در برابر رویکرد سکولار، رویکردی را ارائه می کند که آن را هرمنوتیک انتقادی می خواند و نتیجه اش این است که دین، به صورت منبع الهام بخش ارزش های سیاسی و اجتماعی در صحنه حضور خواهد داشت و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 استنباط کرد که برای اصول و ارزش های کلی اسلام، حضور در عرصه سیاست را قایل است و شاید بتوان از جمله این اصول و ارزش های کلی، عدالت و آزادی را برشمرد که لابد تعیین حدود و مصادیق آن، به عقلای عصر سپرده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سؤال می تواند مطرح شود که آیا متون دینی می تواند نظر عقلای عصر را تخطئه کند؟ براساس مبانی ارائه شده از طرف مجتهد شبستری که دین باید با عقل آدمی سازگار افتد، دین نمی تواند نظر عقلای عصر را تخطئه و رد 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رویکردهای عمده ای که ذکرشان رفت، در سال های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نظریه های دیگری نیز ابراز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مقالاتی که در آن سال ها انتشار یافت، ادعا می شد که هر دینی مسیر عرفی شدن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عرفی شدن شریعت و آیین مسیح، به عنوان نمونه مطالعاتی ارائه می شد و به دنبال آن، فرآیند عرفی شدن فقه شیعی نیز بر همان برساخته 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صورت بندی این ادعا و نظریه جدید این بود که فقه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مانند مسیحیت، فرآیند عرفی </w:t>
      </w:r>
    </w:p>
    <w:p>
      <w:pPr>
        <w:pStyle w:val="BookText"/>
        <w:rPr/>
      </w:pPr>
      <w:r>
        <w:rPr>
          <w:rFonts w:ascii="IRNazanin" w:hAnsi="IRNazanin" w:eastAsia="IRNazanin"/>
          <w:color w:val="111111"/>
          <w:sz w:val="28"/>
          <w:sz w:val="28"/>
          <w:szCs w:val="28"/>
          <w:rtl w:val="true"/>
          <w:lang w:bidi="fa-IR"/>
        </w:rPr>
        <w:t xml:space="preserve">شدن را طی خواهد کرد و مقصود از عرفی شدن، با تمام ابهام هایی که در این واژه و اصطلاح وجود دارد و از آن ها یاد خواهیم کرد، همان عصری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انطباق با عصر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سکولاریزاسیون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مقالات بعدی اظهار شد که تلاش ها و دستاوردهای تئوریک فقهی امام راحل به ویژه در دو موضوع ولایت مطلقه فقیه و مصلحت نیز به نوعی سکولاریزه کردن فقه بوده است و در مواجه با سروش و در دفاع از شریعتی نیز گفته شد که کار خود سروش نیز به نوعی سکولاریزه کردن دین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کما این که کار شریعتی نیز نوعی سکولاریزه کردن دین بوده و البته کار امام راحل نیز هم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و تمایز این نظریه با دیگر نظریات در این بود که تنها یک ادعای کلامی و اعتقادی نبود و محدود به حیطه کلام هم باقی نمی ماند و امکان پاسخ گویی کلامی هم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یا نظریات از جنس دیگری بود و در واقع در مقام تبیین یک واقعیت تاریخی و جامعه شناختی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استنادات آن نیز تاریخی و جامعه شناختی بود و در نتیجه، مطالعه، بررسی و نقد این نظریه نیز نیازمند مطالعات تاریخی و جامعه شناختی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نظریه به فقه نظر داشت و در کنار جامعه شناسی تاریخی دین، جامعه شناسی تاریخی فقه را نیز در دست بررسی داشت و در کنار آن طرح می کرد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جا این دغدغه ایجاد می شد که مسئله تنها یک مسئله کلامی و </w:t>
      </w:r>
    </w:p>
    <w:p>
      <w:pPr>
        <w:pStyle w:val="BookText"/>
        <w:rPr/>
      </w:pPr>
      <w:r>
        <w:rPr>
          <w:rFonts w:ascii="IRNazanin" w:hAnsi="IRNazanin" w:eastAsia="IRNazanin"/>
          <w:color w:val="111111"/>
          <w:sz w:val="28"/>
          <w:sz w:val="28"/>
          <w:szCs w:val="28"/>
          <w:rtl w:val="true"/>
          <w:lang w:bidi="fa-IR"/>
        </w:rPr>
        <w:t>اعتقادی نیست که بتوان در ساحت کلام و اعتقاد آن را بررسی کرد و احیانا با استدلال عقلی آن را رد کرد و یا پذیرفت، بلکه تبیین و بیان یک امر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واقعیت تاریخی، خارجی و اجتماعی این چنین باشد، لامحاله این نظر و تئوری است که باید چنین واقعیتی را لحاظ کند و با صرف استدلال نظری، نمی توان امر خارجی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مطالعه جامعه شناختی سکولاریزاسیون ضرورت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هایی که به دنبال این موضوع پیدا می شد،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سکولاریزاسیون چیست؟ آیا سکولاریزاسیون یک معنای واحد دارد و یک فرآیند الزامی است؟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بیانی که ارائه شده، در این گروه از مقالات که بعدها در چند کتاب مستقل به چاپ رسید</w:t>
      </w:r>
      <w:r>
        <w:rPr>
          <w:rStyle w:val="FootnoteAnchor"/>
          <w:rtl w:val="true"/>
        </w:rPr>
        <w:footnoteReference w:id="106"/>
      </w:r>
      <w:r>
        <w:rPr>
          <w:rFonts w:ascii="IRNazanin" w:hAnsi="IRNazanin" w:eastAsia="IRNazanin"/>
          <w:color w:val="111111"/>
          <w:sz w:val="28"/>
          <w:sz w:val="28"/>
          <w:szCs w:val="28"/>
          <w:rtl w:val="true"/>
          <w:lang w:bidi="fa-IR"/>
        </w:rPr>
        <w:t>سکولاریزاسیون روند عامی است که براساس آن در جامعه، تفکیک ساختارها و حوزه ها صورت می گیرد و حوزه خصوصی از حوزه عمومی تفکیک شده، وظایف نهاد دین و نهاد دولت و حیطه های آن ها مشخص می گردد و دین به حوزه خصوصی می رود و دولت حوزه عمومی را بر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محتوم سکولاریزاسیون، به حوزه خصوصی رفتن دین و تفکیک نهاد دین از نهاد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اگر یک نظام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واحد بخواهد هم مصلحت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مصلحت دنیا را تأمین کند، یا باید دست از مصلحت دنیا بردارد و آن را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دولت و نهادهای عمومی و عقلای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تفکیک حوزه 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اخروی و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با اصل قرار دادن مصلحت دینی و اخروی، دنیای مردم را تباه خواهد کرد یا این که دین و آخرت را قربانی مصلحت دنیا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ترکیب و تلفیقی از چند تقریر حجاریان، محمدی، سروش و بازرگان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تبیین با نگاه کارکرد گرایانه، دین به عنوان یک نهاد در نظر گرفته شده و توجه نشده است که گرچه صورت خارجی، عملی، عینی و مناسکی دین ممکن است به مانند یک نهاد اجتماعی باشد، ولی در عین حال دین یک نظام اعتقادی، ایمانی، فکری و فلسفی است که ممکن است به تمامیت خود در رفتار خارجی معتقدان به دین ظهور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مبانی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در موقعیت های گوناگون خود را نشان خواهد داد و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اگر مبانی فکری و تئوریک دینی براساس دوانگاری استوار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عصری و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چیز جداگانه ببیند، ظهور و بروز این دین با دین دیگری که چنین مبنای دوانگارانه ندارد، تفاوت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عینی تر و مصداقی تر، مسیحیت در تطور تاریخی خود و براساس بعضی منابع دینی، به نوعی جداانگاری حوزه سلطان و حوزه خدا، کار قیصر را به قیصر سپردن و کار خدا را به خدا سپردن،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برای آگاهی بیش تر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اندیشه اجتماعی، بارنز و بکر،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یوسفیان و علی اصغر مجیدی، امیرکبیر،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فصل 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تاریخ تمدن، ویل واری یل، گروه مترجمان، انتشارات علمی و فرهنگی، جلدهای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تاریخ تمدن، لوکاس،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فصل های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خداوندان اندیشه سیاسی، فاستر،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فصل های پنجم تا هفتم؛ تاریخ فلسفه سیاسی غرب، عالم،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تمایل 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دوره هایی از تاریخ مسیحیت کاتولیک، سخن از این رفت که قدرت های دنیوی باید تابع قدرت کلیسا باشند و پاپ می تواند مردم را به نافرمانی پادشاهان بخواند یا آنان را تکفیر کند، ولی مایه های فکری آگوستینی نیز به طور قوی در بسط تاریخی و گذشته تاریخی مسیحیت موجود بود و همین زمینه مستمسک 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آگوستینی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که به تفکیک دو عرصه مناسک و دولت نایل آید، در حالی که اگر هم چنین مایه هایی به صورت ضعیف در بعضی از مکاتب اسلامی وجود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که نقل شده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امور دنیای خود از من بصیرتر هستید و روایات ضعیف السندی به این مضمون، در میان اهل سنت وجود دارد که از طرف دانشمندان حدیث در اهل سنت ضعیف و مردود دانسته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با این همه، هیچ گاه تفکیک دو شأن دینی و دنیایی پیامبر، مورد پذیرش مسلمانان حتی در جهان تسنن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برخوردهایی است که با علی عبدالرزاق و اصول الحکم او شد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هر چند برخی صاحب نظران شیعی مانند شهید مطهری و محمدرضا حکیمی، مطالب کتاب اصول الحکم را با کلیت فقه </w:t>
      </w:r>
    </w:p>
    <w:p>
      <w:pPr>
        <w:pStyle w:val="BookText"/>
        <w:rPr/>
      </w:pPr>
      <w:r>
        <w:rPr>
          <w:rFonts w:ascii="IRNazanin" w:hAnsi="IRNazanin" w:eastAsia="IRNazanin"/>
          <w:color w:val="111111"/>
          <w:sz w:val="28"/>
          <w:sz w:val="28"/>
          <w:szCs w:val="28"/>
          <w:rtl w:val="true"/>
          <w:lang w:bidi="fa-IR"/>
        </w:rPr>
        <w:t>سیاسی و تاریخ سیاسی اهل سنت سازگار یافتند و ظاهرا با نگاهی بی طرفانه و تاریخی، حق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تفاسیری درباره سیره پیامبر گرامی اسلام و توجیه تفکیک دو شأن دینی، دنیوی و حکومتی آن حضرت وجود دارد، ولی محل بحث کنونی، استدلال های کلامی و دینی نیست، بلکه سخن بر سرمبانی تئوریک سکولاریزاسیون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ما این است که مبنای دوانگارانه ای که احیانا در برخی متون مسیحیت و تاریخ آن وجود دارد، به این گونه در تاریخ و متون اسلامی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 و تفکر مسلمانان، دین و دنیا دو امر جدای از هم نیستند و مسلمانان بنا بر آموزه های دینی، دنیا را مزرعه آخرت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مفسران و فیلسوفان اسلامی، براساس متون و نصوص وارده یا برخی مباحث نظری آخرت را باطن این دنیا و دنیا را ظاهر آخرت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رویکردهای جدید تفسیری که شأن دینی و دنیوی و حکومت پیامبر اسلام صلی الله علیه و آله را از هم جدا می کند، ناچار است نظریه های جدیدی در باب آیات قرآن و وحی الهی عرضه دارد که با عقاید تاریخی مسلمانان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سخن بر سر حق یا باطل بودن و درست یا نادرست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بحث جامعه شناختی و تاریخی است و نه کلامی و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سکولاریزاسیون بر نوعی دوگانه انگاری مسیحی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سکولاریزاسیون فرآیندی تاریخی است که در غرب مسیحی رخ داده است و هیچ دلیل و علتی وجود ندارد که ما آن را فرآیند عام </w:t>
      </w:r>
    </w:p>
    <w:p>
      <w:pPr>
        <w:pStyle w:val="BookText"/>
        <w:rPr/>
      </w:pPr>
      <w:r>
        <w:rPr>
          <w:rFonts w:ascii="IRNazanin" w:hAnsi="IRNazanin" w:eastAsia="IRNazanin"/>
          <w:color w:val="111111"/>
          <w:sz w:val="28"/>
          <w:sz w:val="28"/>
          <w:szCs w:val="28"/>
          <w:rtl w:val="true"/>
          <w:lang w:bidi="fa-IR"/>
        </w:rPr>
        <w:t>تاریخی بیانگاریم یا سرنوشت محتوم تاریخی بدانیم، مگر براساس نظریه های تاریخ انگارانه هگلی و ایده آلیستی که در این صورت، بحث فلسفی خواهد بود، نه جامعه شناختی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مشخص، نظریه سکولاریزاسیون مبتنی بر نظام اندیشه دورکیمی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دورکیم در تقسیم کار، تفاوت جوامع قدیم و جدید را در تقسیم کار و تفکیک وظایف می داند و نیز در صور بنیادی دین، براساس تمایز قدسی دنیوی و تجلی روح اجتماع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کردن رفتارهای فردی و روزانه، به مطالعه ادیان ابتدایی، آن هم تنها یک گروه توتمیستی در استرالیا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دورکیم و روش مطالعاتی او، به طور گسترده مورد انتقاد واقع شده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سکولاریزاسیون تعاریف گوناگون و متعددی دارد و با تفاوت مبانی نظری، معانی و تعاریف آن نیز متفاوت است و نظر واحدی در این باب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جامعه شناسان متأخر، از نوعی روندهای معکوس سکولاریزاسیون یاد کرده اند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دغدغه کسانی که سکولاریزاسیون را به عنوان فرآیندی حتمی طرح کرده اند، مدرنیته، ترقی و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آنان، دین در ایران به مثابه جامعه ای پیرامونی به صورت ایدئولوژی تمام عیار واکنش نشان </w:t>
      </w:r>
      <w:bookmarkStart w:id="375" w:name="pg3480_42422"/>
    </w:p>
    <w:p>
      <w:pPr>
        <w:pStyle w:val="BookText"/>
        <w:rPr/>
      </w:pPr>
      <w:bookmarkEnd w:id="375"/>
      <w:r>
        <w:rPr>
          <w:rFonts w:ascii="IRNazanin" w:hAnsi="IRNazanin" w:eastAsia="IRNazanin"/>
          <w:color w:val="111111"/>
          <w:sz w:val="28"/>
          <w:sz w:val="28"/>
          <w:szCs w:val="28"/>
          <w:rtl w:val="true"/>
          <w:lang w:bidi="fa-IR"/>
        </w:rPr>
        <w:t>می دهد و با هر چه عرفی تر شدن، سرمایه های قدسی خود را بیش تر از دست می دهد تا در نهایت، به ناچار در عرصه خصوصی جای گیرد و عرفی شدن دین به خصوصی شدن نهایی آن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برای رسیدن به حکومت دموکراتیک دینی، باید دینی دموکراتیک و دولتی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چنین تصوراتی در گام نخست، دولتی کردن دین و گرفتن استقلال و آزادی از آن، نگاه ابزاری به دین و در گام های بعدی به حاشیه راندن دین و سپردن عرصه عمومی به دولت و عرف عقلای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معلوم نیست با حذف دین براساس چه مبانی و ضوابطی و با نگاه به چه آرمان، مقصود و هدفی تصمیم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مثله کردن همان دین به حاشیه رانده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احکام خصوصی دین نیز با روح و تمایل عصر خرد یا بی خردی موافق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واقعیت های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 شدن در فرهنگ یک دست شده جهانی و محروم کردن مردم از دین، حقایق دینی و قدرت دین خواهد بود</w:t>
      </w:r>
      <w:r>
        <w:rPr>
          <w:rFonts w:eastAsia="IRNazanin" w:cs="IRNazanin"/>
          <w:color w:val="111111"/>
          <w:sz w:val="28"/>
          <w:szCs w:val="28"/>
          <w:rtl w:val="true"/>
          <w:lang w:bidi="fa-IR"/>
        </w:rPr>
        <w:t>.</w:t>
      </w:r>
    </w:p>
    <w:p>
      <w:pPr>
        <w:pStyle w:val="Heading4"/>
        <w:numPr>
          <w:ilvl w:val="3"/>
          <w:numId w:val="1"/>
        </w:numPr>
        <w:rPr/>
      </w:pPr>
      <w:bookmarkStart w:id="376" w:name="__RefHeading___Toc3418382_2749589250"/>
      <w:bookmarkStart w:id="377" w:name="_Toc147"/>
      <w:bookmarkEnd w:id="376"/>
      <w:r>
        <w:rPr>
          <w:rtl w:val="true"/>
        </w:rPr>
        <w:t xml:space="preserve">اول </w:t>
      </w:r>
      <w:r>
        <w:rPr>
          <w:rtl w:val="true"/>
        </w:rPr>
        <w:t xml:space="preserve">- </w:t>
      </w:r>
      <w:r>
        <w:rPr>
          <w:rtl w:val="true"/>
        </w:rPr>
        <w:t>مفهوم سکولاریزاسیون در جامعه شناسی دین</w:t>
      </w:r>
      <w:bookmarkEnd w:id="377"/>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سکولاریزاسیون در جامعه شناسی دین</w:t>
      </w:r>
    </w:p>
    <w:p>
      <w:pPr>
        <w:pStyle w:val="BookText"/>
        <w:rPr/>
      </w:pPr>
      <w:r>
        <w:rPr>
          <w:rFonts w:ascii="IRNazanin" w:hAnsi="IRNazanin" w:eastAsia="IRNazanin"/>
          <w:color w:val="111111"/>
          <w:sz w:val="28"/>
          <w:sz w:val="28"/>
          <w:szCs w:val="28"/>
          <w:rtl w:val="true"/>
          <w:lang w:bidi="fa-IR"/>
        </w:rPr>
        <w:t>جمع بندی این مباحث از این قرار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سکولاریزاسیون و دنیاگرایی، فرآیند گریزناپذیر و یکنواختی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بسیار پیچیده است و هم در جهت دنیاگرایی است و هم در برابر نیروهای دنیاگرایانه، مقاومت و حتی ضدیت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آیا جامعه نوین دنیاگرا شده یا در معرض دنیاگرایی قرار گرفته، به معنایی بستگی دارد که از دین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عام و مورد اتفاقی از دنیاگرایی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معنا یا کاربرد برای اصطلاح دنیاگرایی یافت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دین؛</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هر چه بیش تر آدم ها با این جهان؛</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دین و جامعه؛</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جایگزینی صورت های مذهبی، به جای باورداشت های مذهبی؛</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تقدس از جهان؛</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از جامعه مقدس به جامعه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دنیاگرایی در سطح فرد، جامعه و درون خود دین تمایز قایل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جامعه معاصر از جامعه گذشته، کم تر یا بیش تر مذهبی است؟</w:t>
      </w:r>
    </w:p>
    <w:p>
      <w:pPr>
        <w:pStyle w:val="BookText"/>
        <w:rPr/>
      </w:pPr>
      <w:r>
        <w:rPr>
          <w:rFonts w:ascii="IRNazanin" w:hAnsi="IRNazanin" w:eastAsia="IRNazanin"/>
          <w:color w:val="111111"/>
          <w:sz w:val="28"/>
          <w:sz w:val="28"/>
          <w:szCs w:val="28"/>
          <w:rtl w:val="true"/>
          <w:lang w:bidi="fa-IR"/>
        </w:rPr>
        <w:t>از آن جا که آگاهی و نظر روشنی درباره ماهیت مذهبی جوامع گذشته وجود ندارد، نمی توان به این سؤال پاسخ روشنی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دنیاگرایی پی آمد دگرگونی های اجتماعی پیچیده ای است که هم در نتیجه فرآیند صنعتی شدن و شهری شدن پدید آمده اند و هم در پیوند با این فرآیند و در واقع، باعث آن بوده اند و تبیین آن، به چشم انداز تاریخی و تطبیقی گسترده ای نیاز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های موجود این فرآیند، به نوع نظریه ای که درباره نقش</w:t>
      </w:r>
    </w:p>
    <w:p>
      <w:pPr>
        <w:pStyle w:val="BookText"/>
        <w:rPr/>
      </w:pPr>
      <w:r>
        <w:rPr>
          <w:rFonts w:ascii="IRNazanin" w:hAnsi="IRNazanin" w:eastAsia="IRNazanin"/>
          <w:color w:val="111111"/>
          <w:sz w:val="28"/>
          <w:sz w:val="28"/>
          <w:szCs w:val="28"/>
          <w:rtl w:val="true"/>
          <w:lang w:bidi="fa-IR"/>
        </w:rPr>
        <w:t>دین در جامعه اتخاذ شده است،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سکولاریزاسیون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مختص به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پروتستانیزم منجر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های مشوّق عقلانیت در مسیحیت پروتستانیزم دنیاگرایی؛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 و تبدیل سنت مسیحی و کلیمی جدایی ریشه ای قلمرو مقدس از نامقدس در پروتستانیزم؛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 و تبدیل سازمان کلیسا به حوزه تخصصی دین و واگذاری دنیا به نیروهای دیگر؛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پلورالیسم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خارج از سنت مسیحی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عقلانیت؛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دانش و روش علمی مستقل از دین؛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 قلمروهای اجتماعی و تخصصی شدن نهادی دین؛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زوال هم بستگی اجتماعی در محیط نوین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 در مکان و نظارت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های بنیادی 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افول فئودالیسم و پیدایش سرمایه داری؛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جنبش اصلاح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دنیاگرایی فرآیند خود محدودکننده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نمی تواند نیازها و آرزوهای اساسی بشر را برآورده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ها و کیش های تازه در بازار مذهبی ظهور می یابند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صورتی از فرهنگ مذهبی که با جامعه نوین بیش ترین سازگاری را دارد، آن صورتی است که پهنه محدودی به امور مقدس می دهد و درجه پایینی از تلفیق نظام های ارزشی فردی و گروهی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معاصر که عقلانیت فنی بر آن تسلط دارد، با ارزش های فراگیر نمی توان آن را یکپارچه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گفته شد، تبیین فرآیند سکولاریزاسیون به تعریف ما از دین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مورد مطالعه، دینی باشد که برای دنیا و سیاست نیز برنامه دارد یا دست کم دارای موضع ارزشی و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نظام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فرآیند سکولاریزاسیون در مورد آن بی 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سکولاریزاسیون مبتنی بر دوگانه اندیشی است و این دوگانه اندیشی در اسلام وجود ندارد و اسلام، دنیا را مقدمه، مزرعه و ظاهر آخرت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فرآیند سکولاریزاسیون یک فرآیند حتمی، تک خطی و گریزناپذیر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تصحیح مکانیزم های درون دینی،</w:t>
      </w:r>
      <w:r>
        <w:rPr>
          <w:rStyle w:val="FootnoteAnchor"/>
          <w:rtl w:val="true"/>
        </w:rPr>
        <w:footnoteReference w:id="113"/>
      </w:r>
      <w:r>
        <w:rPr>
          <w:rFonts w:ascii="IRNazanin" w:hAnsi="IRNazanin" w:eastAsia="IRNazanin"/>
          <w:color w:val="111111"/>
          <w:sz w:val="28"/>
          <w:sz w:val="28"/>
          <w:szCs w:val="28"/>
          <w:rtl w:val="true"/>
          <w:lang w:bidi="fa-IR"/>
        </w:rPr>
        <w:t>امکان اجتناب از آن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سکولاریزاسیون در سه عرصه فرد، جامعه و دین تحدید شده است</w:t>
      </w:r>
      <w:r>
        <w:rPr>
          <w:rStyle w:val="FootnoteAnchor"/>
          <w:rtl w:val="true"/>
        </w:rPr>
        <w:footnoteReference w:id="114"/>
      </w:r>
      <w:r>
        <w:rPr>
          <w:rFonts w:ascii="IRNazanin" w:hAnsi="IRNazanin" w:eastAsia="IRNazanin"/>
          <w:color w:val="111111"/>
          <w:sz w:val="28"/>
          <w:sz w:val="28"/>
          <w:szCs w:val="28"/>
          <w:rtl w:val="true"/>
          <w:lang w:bidi="fa-IR"/>
        </w:rPr>
        <w:t>و لازم است عرصه چهارم، یعنی سیاست را نیز به دیگر عرصه 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پردازان عرفی شدن در ایران، بیش تر به دو عرصه سیاست </w:t>
      </w:r>
      <w:bookmarkStart w:id="378" w:name="pg3480_42431"/>
    </w:p>
    <w:p>
      <w:pPr>
        <w:pStyle w:val="BookText"/>
        <w:rPr/>
      </w:pPr>
      <w:bookmarkEnd w:id="378"/>
      <w:r>
        <w:rPr>
          <w:rFonts w:ascii="IRNazanin" w:hAnsi="IRNazanin" w:eastAsia="IRNazanin"/>
          <w:color w:val="111111"/>
          <w:sz w:val="28"/>
          <w:sz w:val="28"/>
          <w:szCs w:val="28"/>
          <w:rtl w:val="true"/>
          <w:lang w:bidi="fa-IR"/>
        </w:rPr>
        <w:t>و دین ناظرند و ملاحظات این نوشتار نیز بیش تر به همین عرصه ها توجه دارد</w:t>
      </w:r>
      <w:r>
        <w:rPr>
          <w:rFonts w:eastAsia="IRNazanin" w:cs="IRNazanin"/>
          <w:color w:val="111111"/>
          <w:sz w:val="28"/>
          <w:szCs w:val="28"/>
          <w:rtl w:val="true"/>
          <w:lang w:bidi="fa-IR"/>
        </w:rPr>
        <w:t>.</w:t>
      </w:r>
    </w:p>
    <w:p>
      <w:pPr>
        <w:pStyle w:val="Heading4"/>
        <w:numPr>
          <w:ilvl w:val="3"/>
          <w:numId w:val="1"/>
        </w:numPr>
        <w:rPr/>
      </w:pPr>
      <w:bookmarkStart w:id="379" w:name="__RefHeading___Toc3418384_2749589250"/>
      <w:bookmarkStart w:id="380" w:name="_Toc148"/>
      <w:bookmarkEnd w:id="379"/>
      <w:r>
        <w:rPr>
          <w:rtl w:val="true"/>
        </w:rPr>
        <w:t xml:space="preserve">دوم </w:t>
      </w:r>
      <w:r>
        <w:rPr>
          <w:rtl w:val="true"/>
        </w:rPr>
        <w:t xml:space="preserve">- </w:t>
      </w:r>
      <w:r>
        <w:rPr>
          <w:rtl w:val="true"/>
        </w:rPr>
        <w:t>نگاهی به عنصر مصلحت</w:t>
      </w:r>
      <w:bookmarkEnd w:id="380"/>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عنصر مصلحت</w:t>
      </w:r>
    </w:p>
    <w:p>
      <w:pPr>
        <w:pStyle w:val="BookText"/>
        <w:rPr/>
      </w:pPr>
      <w:r>
        <w:rPr>
          <w:rFonts w:ascii="IRNazanin" w:hAnsi="IRNazanin" w:eastAsia="IRNazanin"/>
          <w:color w:val="111111"/>
          <w:sz w:val="28"/>
          <w:sz w:val="28"/>
          <w:szCs w:val="28"/>
          <w:rtl w:val="true"/>
          <w:lang w:bidi="fa-IR"/>
        </w:rPr>
        <w:t>قبل از ورود به بحث درباره عنصر مصلحت، لازم است چند مطلب را از هم تفکیک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امامیه براساس آموزه های امامان اهل بیت، اعتقاد دارد که احکام الهی براساس مصالح و مفاسد تشریع شده است و این عقیده مشهور امامیه و عدلیه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مقابل نظر دیگری وجود دارد که تشریع احکام را تابع مصالح و مفاسد واقعیه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درباره این نظریه را به محل خود که علم اصول و علم کلام است، واگذار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امامیه نیز این نظر وجود دارد که ممکن است بعضی از اوامر و نواهی الهی، مبتنی بر مصالح و مفاسد واقعیه نباشد، بلکه در نفس اوامر و نواهی، ممکن است مصالح و مفاسدی وجود داشته باشد، مانند اوامر و نواهی امتحانی یا مصلحت سلوکیه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در چارچوب نظریه مشهور امامیه قابل قبول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از تناسب و ارتباط نظریه مشهور به عنوان چارچوب و این نظریه اخیر نیز در محل خود که علم اصول باشد، انجام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اهل سنت، نظریه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 چارچوب مذهب فقهی مالکی اظهار شده است و از سوی دیگر مذاهب فقهی اسلامی، به جز مذهب فقهی حنبلی، تأیید و همراهی نشده، بلکه مورد انکار نیز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انکار بیش تر در تأسیس این نظریه و تکنیک آن است وگرنه در بیش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اظهار شده، دیگر مذاهب فقهی اسلامی نیز موافقت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می گوید که مصلحت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حاجیات و رفاهیات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ضروریات باشد، کشف می کنیم که حکم خدا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مذاهب فقهی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منابع احکام که در اختیار ماست، از چنین نظریه و مکانیزمی بی نیاز می باشیم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تفاوت دو رویکرد اظهار شده در دو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مصلحت، اساس و مبنای تشریع است و 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مصلحت، طریق استنباط حکم شرعی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مصلحت که از سوی امام راحل اظهار گردید و به دنبال آن مجمع تشخیص مصلحت نظام نیز به وجود آمد و دربازنگری قانون اساسی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قانون اساسی نیز شد، نه رویکرد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رویکرد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یعنی نه به مصلحت به عنوان اساس و مبنای تشریع نظر دارد، نه به عنوان طریق استنباط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مجموع از فرمایشات امام راحل به دست می آید، این است که مصلحت</w:t>
      </w:r>
    </w:p>
    <w:p>
      <w:pPr>
        <w:pStyle w:val="BookText"/>
        <w:rPr/>
      </w:pPr>
      <w:r>
        <w:rPr>
          <w:rFonts w:ascii="IRNazanin" w:hAnsi="IRNazanin" w:eastAsia="IRNazanin"/>
          <w:color w:val="111111"/>
          <w:sz w:val="28"/>
          <w:sz w:val="28"/>
          <w:szCs w:val="28"/>
          <w:rtl w:val="true"/>
          <w:lang w:bidi="fa-IR"/>
        </w:rPr>
        <w:t>نظام اسلامی بر احکام فرعیه شرعیه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مصلحت شامل مصالح ملی، مصلحت عمومی، مصلحت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شود، ولی برگشت نهایی آن به حفظ نظام اسلامی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مجمعی مرکب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مصلحت نظام اسلامی تشکیل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حضرات آقایان توجه داشته باشند که مصلحت نظام از امور مهمه ای است که گاهی غفلت از آن، موجب شکست اسلام عزیز می گردد</w:t>
      </w:r>
      <w:r>
        <w:rPr>
          <w:rFonts w:eastAsia="IRNazanin" w:cs="IRNazanin"/>
          <w:color w:val="111111"/>
          <w:sz w:val="28"/>
          <w:szCs w:val="28"/>
          <w:rtl w:val="true"/>
          <w:lang w:bidi="fa-IR"/>
        </w:rPr>
        <w:t>...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 نظام و اسلام اقتضا می کرد تا گره های کور قانونی، سریعا به نفع مردم و اسلام بازگردد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تذکری پدرانه به اعضای شورای نگهبان می دهم که خودشان قبل از گیرها، مصلحت نظام را در نظر بگیرند؛ چرا که یکی از مسائل بسیار مهم در دنیای پرآشوب کنونی، نقش زمان و مکان در اجتهاد و نوع تصمیم گیری ها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تشخیص مصلحت، برای حل معضلات نظام و مشورت رهبری، به صورتی که قدرتی در عرض قوای دیگر نباشد</w:t>
      </w:r>
      <w:r>
        <w:rPr>
          <w:rFonts w:eastAsia="IRNazanin" w:cs="IRNazanin"/>
          <w:color w:val="111111"/>
          <w:sz w:val="28"/>
          <w:szCs w:val="28"/>
          <w:rtl w:val="true"/>
          <w:lang w:bidi="fa-IR"/>
        </w:rPr>
        <w:t>.</w:t>
      </w:r>
      <w:r>
        <w:rPr>
          <w:rStyle w:val="FootnoteAnchor"/>
          <w:rtl w:val="true"/>
        </w:rPr>
        <w:footnoteReference w:id="12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در روایات وارده در باب ولایت، ولایت براساس مصلحت مولّی علیه تبیین شده است و بعضی از فقهای معاصر، دایره ولایت را همان دایره مصلحت می دانند و امام راحل نیز ولایت فقیه را </w:t>
      </w:r>
    </w:p>
    <w:p>
      <w:pPr>
        <w:pStyle w:val="BookText"/>
        <w:rPr/>
      </w:pPr>
      <w:r>
        <w:rPr>
          <w:rFonts w:ascii="IRNazanin" w:hAnsi="IRNazanin" w:eastAsia="IRNazanin"/>
          <w:color w:val="111111"/>
          <w:sz w:val="28"/>
          <w:sz w:val="28"/>
          <w:szCs w:val="28"/>
          <w:rtl w:val="true"/>
          <w:lang w:bidi="fa-IR"/>
        </w:rPr>
        <w:t>دائر مدار مصلحت می داند،</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جامعه اسلامی می تواند در موضوعات، بنا بر مصالح کلی مسلمانان یا بر طبق مصالح افراد حوزه حکومت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مصلحت اسلام و مسلمانان منظور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چ قدیم،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نظام در واقع همان مبنای ولایت فقیه بوده است و ولایت فقیه دایر مدار مصالح اسلام و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اشتباهی که برای نظریه پردازان عرفی شدن دین و کاتالیزور بودن مصلحت برای فقه و تبدیل کردن آن به قانون عرفی پیش آمده است، این است که توجه نکرده اند که این مصلحت، مصلحتی رها، بدون هدف و مقصود و مطلق نیست، بلکه مصلحتی است که در چارچوب حفظ اسلام و نظام اسلامی و مصالح و منافع مسلمانان معنا می یابد و به نوعی بازپرداخت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نظریه که مصلحت به صورت کاتالیزوری عمل می کند که فقه را سریعا عرفی می سازد و به قانون عرفی تبدیل می کند، اشکال های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که فقه بدون لحاظ عنصر مصلحت نیز توانایی تولید قانون را دارد و این روندی است که در ایران قبل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تدوین قانون مدنی براساس مشهور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ایران پس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تدوین قوانین جزایی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 کشورهای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عثمانی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این نظریه پردازی در نشناختن فقه و قانون و ارتباط این دو با </w:t>
      </w:r>
      <w:bookmarkStart w:id="381" w:name="pg3480_42439"/>
    </w:p>
    <w:p>
      <w:pPr>
        <w:pStyle w:val="BookText"/>
        <w:rPr/>
      </w:pPr>
      <w:bookmarkEnd w:id="381"/>
      <w:r>
        <w:rPr>
          <w:rFonts w:ascii="IRNazanin" w:hAnsi="IRNazanin" w:eastAsia="IRNazanin"/>
          <w:color w:val="111111"/>
          <w:sz w:val="28"/>
          <w:sz w:val="28"/>
          <w:szCs w:val="28"/>
          <w:rtl w:val="true"/>
          <w:lang w:bidi="fa-IR"/>
        </w:rPr>
        <w:t>یکدیگر و کپی برداری از تحولات مفهوم مصلحت در غرب مسیحی از پیلی تا بنتام و پس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این نظریه پردازان توجه نکرده اند که احکام مصلحتی یا احکام حکومتی، از جمله احکام متغیر است و به معنای واقعی کلمه تشریع جدیدی نبوده، از جمله احکام شرع به معنای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عارضی و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در قرارداد بین دو نفر، هر کدام ملزم به انجام مفاد قرارداد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الزام گرچه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است، ولی خود این وظایف مفاد حکم شرعی نیستند، بلکه از عوارض و توابع حکم شرعی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مصلحتی و حکومتی نیز چنین است و به معنای واقعی کلمه، حکم شرعی اولی نیستند</w:t>
      </w:r>
      <w:r>
        <w:rPr>
          <w:rFonts w:eastAsia="IRNazanin" w:cs="IRNazanin"/>
          <w:color w:val="111111"/>
          <w:sz w:val="28"/>
          <w:szCs w:val="28"/>
          <w:rtl w:val="true"/>
          <w:lang w:bidi="fa-IR"/>
        </w:rPr>
        <w:t>.</w:t>
      </w:r>
    </w:p>
    <w:p>
      <w:pPr>
        <w:pStyle w:val="Heading4"/>
        <w:numPr>
          <w:ilvl w:val="3"/>
          <w:numId w:val="1"/>
        </w:numPr>
        <w:rPr/>
      </w:pPr>
      <w:bookmarkStart w:id="382" w:name="__RefHeading___Toc3418386_2749589250"/>
      <w:bookmarkStart w:id="383" w:name="_Toc149"/>
      <w:bookmarkEnd w:id="382"/>
      <w:r>
        <w:rPr>
          <w:rtl w:val="true"/>
        </w:rPr>
        <w:t xml:space="preserve">سوم </w:t>
      </w:r>
      <w:r>
        <w:rPr>
          <w:rtl w:val="true"/>
        </w:rPr>
        <w:t xml:space="preserve">- </w:t>
      </w:r>
      <w:r>
        <w:rPr>
          <w:rtl w:val="true"/>
        </w:rPr>
        <w:t>نگاهی به نظریه ولایت فقیه و ولایت مطلقه فقیه</w:t>
      </w:r>
      <w:bookmarkEnd w:id="383"/>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نظریه ولایت فقیه و ولایت مطلقه فقیه</w:t>
      </w:r>
    </w:p>
    <w:p>
      <w:pPr>
        <w:pStyle w:val="BookText"/>
        <w:rPr/>
      </w:pPr>
      <w:r>
        <w:rPr>
          <w:rFonts w:ascii="IRNazanin" w:hAnsi="IRNazanin" w:eastAsia="IRNazanin"/>
          <w:color w:val="111111"/>
          <w:sz w:val="28"/>
          <w:sz w:val="28"/>
          <w:szCs w:val="28"/>
          <w:rtl w:val="true"/>
          <w:lang w:bidi="fa-IR"/>
        </w:rPr>
        <w:t>فرض نظریه پردازان عرفی شدن دین این است که ولی فقیه، واسطه آسمان و زمین است و بر این اساس، اجازه تشریع دارد و از جمله منابع شرع، بلکه مقدم بر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مطلقه بودن نیز به معنای دولت مقتدری است که صورت نخستین دولت های مدرن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مفاهیم ارائه شده را مورد بررسی قرار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نظر مشهور شیعه، امام معصوم در مقام تشریع احکام نیست، بلکه احکام تشریع شده را پاسداری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موقعیتی که برای امام معصوم در کلام شیعه وجود ندارد، برای ولی فقیه ادعا شده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ادعایی در آثار امام راحل، فقهای طراز اول و نظریه پردازان </w:t>
      </w:r>
    </w:p>
    <w:p>
      <w:pPr>
        <w:pStyle w:val="BookText"/>
        <w:rPr/>
      </w:pPr>
      <w:r>
        <w:rPr>
          <w:rFonts w:ascii="IRNazanin" w:hAnsi="IRNazanin" w:eastAsia="IRNazanin"/>
          <w:color w:val="111111"/>
          <w:sz w:val="28"/>
          <w:sz w:val="28"/>
          <w:szCs w:val="28"/>
          <w:rtl w:val="true"/>
          <w:lang w:bidi="fa-IR"/>
        </w:rPr>
        <w:t>ولایت فقیه یافت نمی گردد، بلکه امام راحل به خلاف آن تصریح کرده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منبع حکم شرعی بودن این است که از آن طریق، حکم خدا استنباط می گردد و بنا بر مشهور، این منابع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عقل و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از احکامی است که توسط این منابع اثبات و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امری که در اثبات و استنباط متکی بر این منابع است، در عرض آن ها قرار گرفته، بلکه بر آن ها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این است که کسی ادعا کند مرجع تقلید که حکم خدا را بیان می کند، از جمله منابع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پدر که اطاعت او بر فرزند لازم است، از جمله منابع حکم شرعی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در اصطلاح ولایت مطلقه فقیه به چه معناست؟</w:t>
      </w:r>
    </w:p>
    <w:p>
      <w:pPr>
        <w:pStyle w:val="BookText"/>
        <w:rPr/>
      </w:pPr>
      <w:r>
        <w:rPr>
          <w:rFonts w:ascii="IRNazanin" w:hAnsi="IRNazanin" w:eastAsia="IRNazanin"/>
          <w:color w:val="111111"/>
          <w:sz w:val="28"/>
          <w:sz w:val="28"/>
          <w:szCs w:val="28"/>
          <w:rtl w:val="true"/>
          <w:lang w:bidi="fa-IR"/>
        </w:rPr>
        <w:t>می دانیم اطلاق اصطلاحی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گفته شده است که رابطه اطلاق و تقیید رابط عدم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معنای اطلاق، متوقف بر شناخت معنای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شناخت و دریافت ولایت مطلقه فقیه، باید ولایت مقیده فقیه دانسته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مقیده فقیه عبارت از این است که ولایت فقیه مقید به امور حسبی است؛ یعنی تنها در حوزه سرپرستی امور افراد و اموال بی سرپرست که اگر مورد رسیدگی قرار نگیرند، حیف و میل و تلف </w:t>
      </w:r>
    </w:p>
    <w:p>
      <w:pPr>
        <w:pStyle w:val="BookText"/>
        <w:rPr/>
      </w:pPr>
      <w:r>
        <w:rPr>
          <w:rFonts w:ascii="IRNazanin" w:hAnsi="IRNazanin" w:eastAsia="IRNazanin"/>
          <w:color w:val="111111"/>
          <w:sz w:val="28"/>
          <w:sz w:val="28"/>
          <w:szCs w:val="28"/>
          <w:rtl w:val="true"/>
          <w:lang w:bidi="fa-IR"/>
        </w:rPr>
        <w:t>می شوند،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ساختار قضایی کنونی، دفتر سرپرستی که زیرمجموعه دادستانی است، این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مقیده فقیه در ساختار تشکیلاتی کنونی دولت های جدید، زیرمجموعه دادستانی است که خود دادستانی، زیرمجموعه قوه قضایی است و قوه قضایی، خود زیر مجموعه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مطلقه فقیه؛ یعنی این که این ولایت مقید به امور بی سرپرستان نیست بلکه تمامی امور و شئون حکومتی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ولایت مطلقه در این جا به معنای حکومت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مطلقه فقیه،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فقیه در رأس دولت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که در بحث مصلحت گفته شد، این ولایت دایر مدار مصالح اسلام 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مترادف اصطلاح حکومت مطلقه در علوم سیاسی نیست تا توهم شود که ولایت مطلقه، به معنای دولت مقتدر و صورت آغازین دولت های مدرن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شواهد این مطلب آن است که در ولایت فقیه، نظریات گوناگونی وجود دارند که درباره انتخاب یا نصب فقیه و حدود و دایره اختیارات او 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معلوم می شود که در چارچوب مفهوم ولایت مطلقه فقیه، نظریات گوناگونی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انتخابی بودن یا کشف و نصب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چارچوب نظریه رسمی و کنونی ولایت مطلقه فقیه در قانون اساسی جمهوری اسلامی، ولی فقیه </w:t>
      </w:r>
      <w:bookmarkStart w:id="384" w:name="pg3480_42445"/>
    </w:p>
    <w:p>
      <w:pPr>
        <w:pStyle w:val="BookText"/>
        <w:rPr/>
      </w:pPr>
      <w:bookmarkEnd w:id="384"/>
      <w:r>
        <w:rPr>
          <w:rFonts w:ascii="IRNazanin" w:hAnsi="IRNazanin" w:eastAsia="IRNazanin"/>
          <w:color w:val="111111"/>
          <w:sz w:val="28"/>
          <w:sz w:val="28"/>
          <w:szCs w:val="28"/>
          <w:rtl w:val="true"/>
          <w:lang w:bidi="fa-IR"/>
        </w:rPr>
        <w:t>از سوی مجلس خبرگان انتخاب و توسط آنان نظارت و احیانا ممکن است توسط آنان عزل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مطلقه در این جا به معنای اطلاق در علوم سیاسی که حدومرزی نمی شناسد، نیست</w:t>
      </w:r>
      <w:r>
        <w:rPr>
          <w:rFonts w:eastAsia="IRNazanin" w:cs="IRNazanin"/>
          <w:color w:val="111111"/>
          <w:sz w:val="28"/>
          <w:szCs w:val="28"/>
          <w:rtl w:val="true"/>
          <w:lang w:bidi="fa-IR"/>
        </w:rPr>
        <w:t>.</w:t>
      </w:r>
    </w:p>
    <w:p>
      <w:pPr>
        <w:pStyle w:val="Heading4"/>
        <w:numPr>
          <w:ilvl w:val="3"/>
          <w:numId w:val="1"/>
        </w:numPr>
        <w:rPr/>
      </w:pPr>
      <w:bookmarkStart w:id="385" w:name="__RefHeading___Toc3418388_2749589250"/>
      <w:bookmarkStart w:id="386" w:name="_Toc150"/>
      <w:bookmarkEnd w:id="385"/>
      <w:r>
        <w:rPr>
          <w:rtl w:val="true"/>
        </w:rPr>
        <w:t xml:space="preserve">چهارم </w:t>
      </w:r>
      <w:r>
        <w:rPr>
          <w:rtl w:val="true"/>
        </w:rPr>
        <w:t xml:space="preserve">- </w:t>
      </w:r>
      <w:r>
        <w:rPr>
          <w:rtl w:val="true"/>
        </w:rPr>
        <w:t>اجتهاد زنده، پویا، به روز و مبتنی بر کتاب و سنت</w:t>
      </w:r>
      <w:bookmarkEnd w:id="386"/>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زنده، پویا، به روز و مبتنی بر کتاب و سنت</w:t>
      </w:r>
    </w:p>
    <w:p>
      <w:pPr>
        <w:pStyle w:val="BookText"/>
        <w:rPr/>
      </w:pPr>
      <w:r>
        <w:rPr>
          <w:rFonts w:ascii="IRNazanin" w:hAnsi="IRNazanin" w:eastAsia="IRNazanin"/>
          <w:color w:val="111111"/>
          <w:sz w:val="28"/>
          <w:sz w:val="28"/>
          <w:szCs w:val="28"/>
          <w:rtl w:val="true"/>
          <w:lang w:bidi="fa-IR"/>
        </w:rPr>
        <w:t>همان طور که در بررسی مفهوم مصلحت از دیدگاه امام راحل ملاحظه شد، در اندیشه امام راحل، مفهوم مصلحت در ارتباط با حکومت اسلامی، نظام اسلامی و ولایت فقیه و هم چنین اجتهاد متناسب و ناظر به مقتضیات زمان و مکان است؛ یعنی دو مفهوم در ارتباط نزدیک با مفهوم مصلحت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مفهوم حکومت اسلامی یا ولایت فقیه و دیگری مفهوم اجتهاد زنده ای که مقتضیات زمان و مکان را در نظر گرفته و به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تنها چند نکته تذکر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اجتهاد کنونی در چارچوب مباحث مدرسه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متأسفانه تا حدودی اسکولاستیک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عنوان شروع و در مراحل مقدماتی، طی مراحل کلاسیک و مدرسه ای برای شکل گیری اجتهاد ضروری است، ولی در همین حد محدود ماندن و موضوعات متنوع و متعدد دنیای معاصر را مورد بحث و بررسی و مطالعه قرار ندادن، چیزی نیست که از اجتهاد مورد انتظار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مسلمانان این است که اجتهاد علمای بزرگوار، مسائل مبتلا به روز آنان در عرصه های گوناگون سیاسی، اجتماعی، اقتصادی، حقوق و عبادی را لحاظ کرده و با توجه به همین شرایط کنونی حکم شرعی را برای آنان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نوع آموزش های حوزوی و مراحل </w:t>
      </w:r>
    </w:p>
    <w:p>
      <w:pPr>
        <w:pStyle w:val="BookText"/>
        <w:rPr/>
      </w:pPr>
      <w:r>
        <w:rPr>
          <w:rFonts w:ascii="IRNazanin" w:hAnsi="IRNazanin" w:eastAsia="IRNazanin"/>
          <w:color w:val="111111"/>
          <w:sz w:val="28"/>
          <w:sz w:val="28"/>
          <w:szCs w:val="28"/>
          <w:rtl w:val="true"/>
          <w:lang w:bidi="fa-IR"/>
        </w:rPr>
        <w:t>آموزشی، این انتظار به حق، کم تر امکان پاسخ گویی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سال های اخیر در نظام آموزشی حوزه تحولاتی انجام گرفته که جنبه های مثبت و منفی هر دو را داشته است و تا ثمردهی این تحولات، زمان قابل توجهی فاصله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کنونی، کم تر به موضوعات، تبیین موضوعات و تحولات موضوعات با نگاه علمی و تحقیقی و به خصوص آزاد و همه جانبه پرداخته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داریم که اسلام پاسخ گوی نیازهای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پاسخ گویی به معنای تأیید و تصویب هر آن چه به وقوع می پیوندد،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اجتهاد معاصر وارد این عرصه ها و نیازها نمی شود، نتیجه منطقی این است که این اجتهاد تا نمونه قابل قبول آن فاصله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حکومت اسلامی و جمهوری اسلامی میدان جدیدی بود که می توانست و می تواند دامنه اجتهاد را گسترش داده، پای مجتهدان را به عرصه های مبتلا به روز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باید روشن باشد که انتظار این نیست که اجتهاد در خدمت روندهای جاری نظام قرار بگیرد و به اجتهاد دولتی و دین دولتی تبدیل شود، بلکه انتظار این است که رویکردی هدایتگر و انتقادی داشته، بتواند راهنما و راهگشای دولت اسلامی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بنیادین جمهوری اسلامی و حکومت اسلامی، اجرای احکام نورانی و انسان ساز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روند حکومت به آن جایی منجر شود که همیشه احکام اسلام به نام مصلحت تعطیل گردد، در واقع </w:t>
      </w:r>
    </w:p>
    <w:p>
      <w:pPr>
        <w:pStyle w:val="BookText"/>
        <w:rPr/>
      </w:pPr>
      <w:r>
        <w:rPr>
          <w:rFonts w:ascii="IRNazanin" w:hAnsi="IRNazanin" w:eastAsia="IRNazanin"/>
          <w:color w:val="111111"/>
          <w:sz w:val="28"/>
          <w:sz w:val="28"/>
          <w:szCs w:val="28"/>
          <w:rtl w:val="true"/>
          <w:lang w:bidi="fa-IR"/>
        </w:rPr>
        <w:t>پارادوکسی پدید می آید و آن هم این که از تحقق ابزار اجرای احکام اسلام، عدم اجرای احکام اسلام به وقوع می پیوندد و این با آن اندیشه بنیادین منافات 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احکام اسلام، یعنی کتاب و سنت، توانایی راهگشایی در عرصه های گوناگون انسانی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ورود در عرصه سیاست، اجتماع و دنیا و روابط بین الملل به معنای عرفی شدن و سکولار شدن باشد، در این صورت باید پیامبر گرامی اسلام را که وارد این عرصه ها گردید، عرفی و سکولار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تحلیلی که بر دوگانگی و تعارض دین و دنیا بنا شده، از اساس نادرست است و این دوبینی و دوانگاری در تفکر اسلامی وجود ندارد</w:t>
      </w:r>
      <w:r>
        <w:rPr>
          <w:rFonts w:eastAsia="IRNazanin" w:cs="IRNazanin"/>
          <w:color w:val="111111"/>
          <w:sz w:val="28"/>
          <w:szCs w:val="28"/>
          <w:rtl w:val="true"/>
          <w:lang w:bidi="fa-IR"/>
        </w:rPr>
        <w:t xml:space="preserve">. </w:t>
      </w:r>
      <w:bookmarkStart w:id="387" w:name="pg3480_42451"/>
    </w:p>
    <w:p>
      <w:pPr>
        <w:pStyle w:val="Heading2"/>
        <w:numPr>
          <w:ilvl w:val="1"/>
          <w:numId w:val="1"/>
        </w:numPr>
        <w:rPr/>
      </w:pPr>
      <w:bookmarkStart w:id="388" w:name="__RefHeading___Toc3418390_2749589250"/>
      <w:bookmarkStart w:id="389" w:name="_Toc151"/>
      <w:bookmarkEnd w:id="387"/>
      <w:bookmarkEnd w:id="388"/>
      <w:r>
        <w:rPr>
          <w:rtl w:val="true"/>
        </w:rPr>
        <w:t>بخش ششم</w:t>
      </w:r>
      <w:r>
        <w:rPr>
          <w:rtl w:val="true"/>
        </w:rPr>
        <w:t xml:space="preserve">: </w:t>
      </w:r>
      <w:r>
        <w:rPr>
          <w:rtl w:val="true"/>
        </w:rPr>
        <w:t>گزیده ای از شاهد قدسی تا شاهد بازاری</w:t>
      </w:r>
      <w:bookmarkEnd w:id="389"/>
    </w:p>
    <w:p>
      <w:pPr>
        <w:pStyle w:val="Heading3"/>
        <w:numPr>
          <w:ilvl w:val="2"/>
          <w:numId w:val="1"/>
        </w:numPr>
        <w:rPr/>
      </w:pPr>
      <w:bookmarkStart w:id="390" w:name="__RefHeading___Toc3418392_2749589250"/>
      <w:bookmarkStart w:id="391" w:name="_Toc152"/>
      <w:bookmarkEnd w:id="390"/>
      <w:r>
        <w:rPr>
          <w:rtl w:val="true"/>
        </w:rPr>
        <w:t>اشاره</w:t>
      </w:r>
      <w:bookmarkEnd w:id="39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ای از شاهد قدسی تا شاهد بازاری </w:t>
      </w:r>
      <w:bookmarkStart w:id="392" w:name="pg3480_42453"/>
    </w:p>
    <w:p>
      <w:pPr>
        <w:pStyle w:val="Heading3"/>
        <w:numPr>
          <w:ilvl w:val="2"/>
          <w:numId w:val="1"/>
        </w:numPr>
        <w:rPr/>
      </w:pPr>
      <w:bookmarkStart w:id="393" w:name="__RefHeading___Toc3418394_2749589250"/>
      <w:bookmarkStart w:id="394" w:name="_Toc153"/>
      <w:bookmarkEnd w:id="392"/>
      <w:bookmarkEnd w:id="393"/>
      <w:r>
        <w:rPr>
          <w:rtl w:val="true"/>
        </w:rPr>
        <w:t>مقدمه</w:t>
      </w:r>
      <w:bookmarkEnd w:id="394"/>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مجموعه ای از مقالات نگارنده است که عرفی شدن یکی از مضامین اصلی آن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شدن بخشی از روند عامتری است که تحت عنوان افتراق ساختاری یا تخصیص نقش ها از آن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روندهای عامی که موجب دگرگونی و تحول جوامع می شوند، تجلیات گوناگونی دارند که عرفی شدن هم یکی از این تجلیات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 ساختارها و تخصیص نقش ها، حوزه خصوصی و حوزه عمومی را از یکدیگر تفکیک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حوزه در گذشته تمایز چندانی از یکدیگر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ابوالملّه بود و مردم رعایای او به حساب می آمدند؛ مفهوم شهروند هنوز پدید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کشور را خانه بزرگ خود می دانست و شاهزادگان را والی بخش های مختلف کشور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سیاست مُدن نداشت، بلکه تدبیر منزل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تدریج حوزه عمومی شکل گرفت و از حوزه خصوصی متمایز شد؛ دولت به حوزه عمومی درآمد و دین در حوزه خصوصی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وجوه و معانی سکولاریزاسیون تفکیک نهاد دین از نهاد دولت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وجوه و معانی سکولاریزاسیون، دنیوی شدن امور و ارزش های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 شدن عمدتاً محصول روند و فرآیند دیگری است که به آن بازاری شدن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بازار این</w:t>
      </w:r>
    </w:p>
    <w:p>
      <w:pPr>
        <w:pStyle w:val="BookText"/>
        <w:rPr/>
      </w:pPr>
      <w:r>
        <w:rPr>
          <w:rFonts w:ascii="IRNazanin" w:hAnsi="IRNazanin" w:eastAsia="IRNazanin"/>
          <w:color w:val="111111"/>
          <w:sz w:val="28"/>
          <w:sz w:val="28"/>
          <w:szCs w:val="28"/>
          <w:rtl w:val="true"/>
          <w:lang w:bidi="fa-IR"/>
        </w:rPr>
        <w:t>است که امور را 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امری بین الاذهانی است که در حین تعاملات بازاری یعنی در طی داد و ستد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عده زیادی از افراد با یکدیگر قراردادهایی ضمنی یا صریح منعقد می کنند، عرف شکل می گیرد و بازار هم جایی است که افراد دائماً در حال عقد قرارداد با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بازار گسترده تر می شود، بر تعداد طرفین قرارداد نیز افزوده می شود و امور بیشتر جنبه عرفی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 روند جهانی شدن بازارهای بین المللی بسیار گسترده شکل گرفته و به بازارهای ملی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بازار می تواند دنیوی شدن ارزش های قدسی را تسریع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مقیاس و مناط ما کل جامعه بشری باشد آیا هیچ ارزشی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ارزشهای عام بشری وجود دارد؟ آیا ارزشی وجود دارد که همه ابنای بشر، فارغ از مذهب و ملیت و رنگ و نژاد، به آن باور داشته باشند؟ شاید پیروان یک فرقه بتوانند مناسباتشان با یکدیگر را براساس ارزش ها و قوانین قدسی سامان دهی کنند اما آیا در یک کشور، که از فِرَق گوناگون تشکیل شده است، نیز چنین کاری میسر است؟ یعنی آیا می توان از ارزش ها و قوانین ملّی قدسی سخن گفت، آیا می توان از ارزش ها و قوانین بین المللی قدسی سخن گفت؟ در جامعه بین المللی، طرفین مبادله آن قدر زیاد شده اند که شاید بتوان گفت هیچ قانون بین المللی قدسی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عرفی شدن یکی از مهمترین تجلیات مدرنیته است و گوهر مدرنیته خرد نقاد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به واسطه همین خصلت، یعنی</w:t>
      </w:r>
    </w:p>
    <w:p>
      <w:pPr>
        <w:pStyle w:val="BookText"/>
        <w:rPr/>
      </w:pPr>
      <w:r>
        <w:rPr>
          <w:rFonts w:ascii="IRNazanin" w:hAnsi="IRNazanin" w:eastAsia="IRNazanin"/>
          <w:color w:val="111111"/>
          <w:sz w:val="28"/>
          <w:sz w:val="28"/>
          <w:szCs w:val="28"/>
          <w:rtl w:val="true"/>
          <w:lang w:bidi="fa-IR"/>
        </w:rPr>
        <w:t>برخورداری از عقل نقاد، اسیدیته بالایی دارد و هرچه در کاسه تیزاب مدرنیته می افتد، دیر یا زود در این تیزاب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بند از بند همه چیز می گسلد و شالوده شکنی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توان پرسید که دین در مواجهه با تیزاب مدرنیته چه تحولاتی را از سر گذرانده و چه مسیرهایی را طی کرده است؟ بخش هایی از دین، با پناه گرفتن در عرصه خصوصی، تن به محک تیزاب مدرنیته نداده و موفق شده اند مدت های مدید به حیات قدسی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عمومی، عرصه آزمون است و آنچه از عرصه عمومی به عرصه خصوصی می رود، از آزمون های عرصه عمومی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هایی از دین نیز بدون آن که وارد چالش با مدرنیته شوند، اساساً فراموش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ها آرام آرام از میدان دید بیرون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یکصدسال پیش در ایران بسیاری امور مقدس وجود داشت که امروز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 هایی از دین وارد چالش تمام عیار با مدرنیته شدند و طی این زد و خورد حواشی ناکارآمدشان فرسایش پیدا کرد و هسته عقلانیشان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امور قدسی واجد یک هسته عقلانی اند و گاه همین هسته عقلانی است که به حیات خود ادامه می دهد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خوب است توضیح دهم که چرا مسئله سکولاریزاسیون برای من اهمیت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ما، به نام دین انقلابی رخ داد و دولتی شکل گرفت، یعنی امر قدسی در قالب پدیده انقلاب و نهاد دولت، آن هم در عصر عرفی، مجدداً به صحنه آمد، در این شرایط، طبیعی بود که امکان یا امتناع دولت دینی و همچنین، </w:t>
      </w:r>
    </w:p>
    <w:p>
      <w:pPr>
        <w:pStyle w:val="BookText"/>
        <w:rPr/>
      </w:pPr>
      <w:r>
        <w:rPr>
          <w:rFonts w:ascii="IRNazanin" w:hAnsi="IRNazanin" w:eastAsia="IRNazanin"/>
          <w:color w:val="111111"/>
          <w:sz w:val="28"/>
          <w:sz w:val="28"/>
          <w:szCs w:val="28"/>
          <w:rtl w:val="true"/>
          <w:lang w:bidi="fa-IR"/>
        </w:rPr>
        <w:t>سرنوشت امر قدسی در جهان عرفی شده دغدغه اصلی یک فرد مسلمان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بود که عرفی شدن و حضور امر قدسی در جهان عرفی دغدغه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سراغ مقالات و کتب مربوطه رفتم تا ببینم که این روند در جهان غرب و جهان مسیحی چگونه پیش رفته و چه مراحلی را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عرفی شدن شریعت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محصولات این مطالعات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کوشیدم به این پرسش پاسخ دهم که آیا در مقابل روند عرفی شدن، که از زمان آکوئیناس شروع شده، مقاومتی هم صورت گرفته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رسیدم که جرقه هایی از این مقاومت را می توان به صورت تلاش برای ایدئولوژیک کردن دین بازشناسی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جرقه تاریخی گری در قرون وسطای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قدم بعد، عرفی شدن اسلام را مورد پژوهش و تأمل قرار دادم که حاصل آن مقالاتی شد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عرفی شدن فقه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فقیه دوران گذار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لازم است در اینجا بر آن تأکید کنم تفاوت میان سکولاریسم و سکولاریزاسیون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یک ایدئولوژی است در حالی که سکولاریزاسیون یک فرآیند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سکولاریست معتقد است که باید همه چیز را عرفی کرد اما سکولاریزاسیون یک پدیده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 که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جامعه شناس از وقوع این روند، یعنی روند سکولاریزاسیون، </w:t>
      </w:r>
      <w:bookmarkStart w:id="395" w:name="pg3480_42461"/>
    </w:p>
    <w:p>
      <w:pPr>
        <w:pStyle w:val="BookText"/>
        <w:rPr/>
      </w:pPr>
      <w:bookmarkEnd w:id="395"/>
      <w:r>
        <w:rPr>
          <w:rFonts w:ascii="IRNazanin" w:hAnsi="IRNazanin" w:eastAsia="IRNazanin"/>
          <w:color w:val="111111"/>
          <w:sz w:val="28"/>
          <w:sz w:val="28"/>
          <w:szCs w:val="28"/>
          <w:rtl w:val="true"/>
          <w:lang w:bidi="fa-IR"/>
        </w:rPr>
        <w:t>خبر داد و ویژگی های آن را توصیف کرد، الزاماً دلیلی ندارد که سکولاریست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حتی مخالف روند سکولاریزاسیون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من در کتاب حاضر جامعه شناختی و ناظر به روند سکولاریزاسیون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جا درباره این روند داوری ارزشی نکرده ام و سکولاریسم از دایره بحثم بیرون بوده است</w:t>
      </w:r>
      <w:r>
        <w:rPr>
          <w:rFonts w:eastAsia="IRNazanin" w:cs="IRNazanin"/>
          <w:color w:val="111111"/>
          <w:sz w:val="28"/>
          <w:szCs w:val="28"/>
          <w:rtl w:val="true"/>
          <w:lang w:bidi="fa-IR"/>
        </w:rPr>
        <w:t>.</w:t>
      </w:r>
    </w:p>
    <w:p>
      <w:pPr>
        <w:pStyle w:val="Heading3"/>
        <w:numPr>
          <w:ilvl w:val="2"/>
          <w:numId w:val="1"/>
        </w:numPr>
        <w:rPr/>
      </w:pPr>
      <w:bookmarkStart w:id="396" w:name="__RefHeading___Toc3418396_2749589250"/>
      <w:bookmarkStart w:id="397" w:name="_Toc154"/>
      <w:bookmarkEnd w:id="396"/>
      <w:r>
        <w:rPr>
          <w:rtl w:val="true"/>
        </w:rPr>
        <w:t>عرفی شدن سنت ها</w:t>
      </w:r>
      <w:bookmarkEnd w:id="397"/>
    </w:p>
    <w:p>
      <w:pPr>
        <w:pStyle w:val="Heading4"/>
        <w:numPr>
          <w:ilvl w:val="3"/>
          <w:numId w:val="1"/>
        </w:numPr>
        <w:rPr/>
      </w:pPr>
      <w:bookmarkStart w:id="398" w:name="__RefHeading___Toc3418398_2749589250"/>
      <w:bookmarkStart w:id="399" w:name="_Toc155"/>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عرفی شدن سنت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فرآیند عرفی شدن شریعت مسیح علیه السلام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جرقه تاریخی گری در قرون وسطای متأخر</w:t>
      </w:r>
    </w:p>
    <w:p>
      <w:pPr>
        <w:pStyle w:val="BookText"/>
        <w:rPr/>
      </w:pPr>
      <w:r>
        <w:rPr>
          <w:rFonts w:ascii="IRNazanin" w:hAnsi="IRNazanin" w:eastAsia="IRNazanin"/>
          <w:color w:val="111111"/>
          <w:sz w:val="28"/>
          <w:sz w:val="28"/>
          <w:szCs w:val="28"/>
          <w:rtl w:val="true"/>
          <w:lang w:bidi="fa-IR"/>
        </w:rPr>
        <w:t>فرآیند عرفی شدن فقه شیعی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خمینی؛ فقیه دوران گذار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خط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یا هنجار؟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دین دموکراتیک حکومتی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00" w:name="__RefHeading___Toc3418400_2749589250"/>
      <w:bookmarkStart w:id="401" w:name="_Toc156"/>
      <w:bookmarkEnd w:id="400"/>
      <w:r>
        <w:rPr>
          <w:rtl w:val="true"/>
        </w:rPr>
        <w:t>فرآیند عرفی شدن شریعت مسیح علیه السلام</w:t>
      </w:r>
      <w:bookmarkEnd w:id="401"/>
    </w:p>
    <w:p>
      <w:pPr>
        <w:pStyle w:val="BookText"/>
        <w:rPr/>
      </w:pPr>
      <w:r>
        <w:rPr>
          <w:rFonts w:ascii="IRNazanin" w:hAnsi="IRNazanin" w:eastAsia="IRNazanin"/>
          <w:color w:val="111111"/>
          <w:sz w:val="28"/>
          <w:sz w:val="28"/>
          <w:szCs w:val="28"/>
          <w:rtl w:val="true"/>
          <w:lang w:bidi="fa-IR"/>
        </w:rPr>
        <w:t xml:space="preserve">فرآیند عرفی شدن شریعت مسیح علیه السلام </w:t>
      </w:r>
      <w:r>
        <w:rPr>
          <w:rStyle w:val="FootnoteAnchor"/>
          <w:rtl w:val="true"/>
        </w:rPr>
        <w:footnoteReference w:id="12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میان مصالح دنیوی و اخروی، درون دستگاه حقوقی و اخلاقی واحد، عامل مهمی در جهت عرفی شدن دسته مهمی از ادیان، از جمله ادیان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 مسیحیت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گفته دورکیم را بپذیریم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سرمدی در دین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کنیم که پاره ای از ادیان، این امر سرمدی و لایتغیر را به احکام دستگاه حقوقی و فقهی خود تسری داده اند، آن گاه روشن می شود که چگونه تعارض میان احکام متصلب و لایتغیر با مقتضیات گذران و روزمره زندگی جاری به فرسایش این دستگاه های حقوقی انجامیده و آنها را عرفی تر کرده است، چرا که همواره گذار از حوزه قدسی، به حوزه عرفی با فرسایش و استهلاک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درصدد است فرآیند عرفی شدن دستگاه فقهی و اخلاقی مسیحیت را، از آن حیث که خود را متکفّل جمع خیر دنیا و آخرت می دانسته، نشان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مقاله تلاش می شود میان این فرآیند و تحولات حوزه کلام مسیحی، بخصوص دو رکن مهم این حوزه یعنی فرجام شناسی و رستگاری شناسی، تلازمی منطقی برقرار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مسیحیت در سراسر حوزه امپراتوری روم به عنوان دین رسمی پذیرفته می شود و با پاره ای دستگاه های مهم اندیشه چون زورانی گری، عرفان خفی، مانویت، غنوسی گری و سایر نحله های نو افلاطونی، مواجه می شود به ناچار دست به تجدید ساختار زده و تبدیل به دکترینی سیستماتیک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نقش آگوستین قدیس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که وی ابتدا کیش مانوی داشت و سپس به مسیحیت گروید و عناصری از مانوی گری و بخصوص ثنویّت را وارد مسیحیت کرد که در کتاب معروف وی، شهر خدا، این عناصر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سیستم اندیشه دینی آگوستین، مانعه الجمع بودن سعادت دنیا و آخرت منجر به انکار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قربانی کردن آن به پای سعادت پایدار اخروی می گردد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آگوستین، تا قرن ها، سیطره اندیشه وی به عنوان دکترین رسمی مسیحیت امکان هر نوع نواندیشی را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قرن دهم است که باب علل الشرایع نویسی در شریعت نصاری مفتوح می گردد که آن را باید از اولین علایم عقلانی شدن مسیحیت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علل الشرایع که در صدد تبیین فلسفه و مصلحت وضع احکام شرعی است، تعبّد بی چون و چرا را با دعوت به نوعی تعقّل </w:t>
      </w:r>
    </w:p>
    <w:p>
      <w:pPr>
        <w:pStyle w:val="BookText"/>
        <w:rPr/>
      </w:pPr>
      <w:r>
        <w:rPr>
          <w:rFonts w:ascii="IRNazanin" w:hAnsi="IRNazanin" w:eastAsia="IRNazanin"/>
          <w:color w:val="111111"/>
          <w:sz w:val="28"/>
          <w:sz w:val="28"/>
          <w:szCs w:val="28"/>
          <w:rtl w:val="true"/>
          <w:lang w:bidi="fa-IR"/>
        </w:rPr>
        <w:t xml:space="preserve">مُجاب کننده درهم می آمیزد و از این طریق اولین رخنه ها را در این کلمه آگوستینی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ما ایمان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نمونه های علل الشرایع، فلسفه وجود احکام را به پاداش هایی اخروی تحویل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نمونه های بعدی به آثار وضعی و این جهانی شرایع پرداخته و دست به توجیه عقلانی آنها می زنند و بدین وسیله مؤمنین را اقناع می کنند که حتی اگر با تکیه بر خرد حسابگر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ترک یا اتیان فعلی به محاسبه هزینه و فایده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به شرایع باشند، مغبون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شدن پای چون چرای عقل مصلحت بین موجب می شود در آن دسته از احکام فیبری شده که با روح تحولات زمانه ناسازگارند، تجدیدنظر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بازنگری خصلتی نقادانه ندارد، زیرا مؤمن، نصّ را نقد نمی کند، بلکه آن را تأویل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گرایی، خود نقطه عطف مهمی است که از شریعت شروع شده و سایر ارکان دین، از جمله کلام و الهیات را دربر می گیرد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جرقه های اعتراض پروتستانی، علیه فروش قبض غرفه های بهشت توسط 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سخت به پول احتیاج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لوتر علیه کلیسا که از امری مماس با حاجات معیشتی آغاز شد، به بنیان های الهیات و کلام کاتولیسیسم هم کشیده شد و این اصل مسلّم را به چالش فراخواند که آیا واقعاً راه رستگاری اخروی از معبر 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مهمترین کارکرد آن تأسیس و تبویب دستگاه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گذرد؟ و آیا می توان مصالح دنیوی و اخروی را درون </w:t>
      </w:r>
    </w:p>
    <w:p>
      <w:pPr>
        <w:pStyle w:val="BookText"/>
        <w:rPr/>
      </w:pPr>
      <w:r>
        <w:rPr>
          <w:rFonts w:ascii="IRNazanin" w:hAnsi="IRNazanin" w:eastAsia="IRNazanin"/>
          <w:color w:val="111111"/>
          <w:sz w:val="28"/>
          <w:sz w:val="28"/>
          <w:szCs w:val="28"/>
          <w:rtl w:val="true"/>
          <w:lang w:bidi="fa-IR"/>
        </w:rPr>
        <w:t>یک دستگاه حقوقی واحد آشتی داد؟ لوتر با درانداختن این سؤالات، خود به پاسخ می نشیند و چنین جواب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هر مؤمن به عنوان حجتی درونی بر وی حکومت می کند و او می تواند مستقیماً از کتاب مقدس راه رستگاری خود را استنباط کند و احتیاج به مرجع واسطی میان لاهوت و ناسوت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با حذف عالم مثال روحانی که دروازه رستگاری اخروی شمرده می شد و اعلام استغنا از روحانیون به عنوان وسائط فیض، خدا در قلب هر بنده مؤمن می نشیند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کشیشی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کلیسا و دستگاه شریعت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لوتر با استناد به این آیه انجیل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 را به خدا وابگذار و امر قیصر را به 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تفکیک میان مناسک از حقوق عرفی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بشر دو نوع مصلحت دارد و لذا افعال معطوف به رعایت این دو نوع مصلحت با یکدیگر تفاوت ماهوی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رفتارهای بشری، ناظر به رستگاری و مصلحت اخروی و فردی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یلی الربّی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وجدان و فطرت، مرجع نهایی تشخیص این نوع مصالح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رفتارها معطوف به مصالح دنیوی و رستگاری بیرونی و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یلی الخلقی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نهایی تشخیص این نوع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نهضت اصلاح دینی دستگاه واحد شریعت را به دو حوزه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شعائر و 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تنظیم کننده رابطه انسان و خدا هستند و مهمترین وجوه مشخصه آن تکرار، نمادینگی و تصلّب 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حقوق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تنظیم کننده روابط و مناسبات اجتماعی است و اساساً خصلتی قراردادی و هنجاری دارد و نه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دین از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اگر بخواهیم دقیقتر بگوییم افتراق میان نهاد دین و نهاد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پیدایش دو حوزه مصلحت، راه را برای پیدایش دولت مدرن باز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خدای میرا و عرفی از درون گرد و غبار نهضت رفورم سر بیرون آورد؛ دولتی که دایرمدار مصالح عامه است و به قول هابز همه شئون خدا را در پهنه گیتی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 های دیگر پروتستانتیسم یعنی کالوینیسم و پیوریتانیسم نیز هریک در این امر ابداعاتی به خرج داده و از زوایای نسبتاً متفاوتی به حلّ مسئله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معتقد است پروتستانتیسم نوعی عقلانیت و زهد دنیوی را به وجود آورد که از لوازم پیدایش روتینهای اقتصاد سرمایه 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الگوی رفتار پیوریتانی، عمل عقلانی معطوف به ارزش است، یعنی دلبستگی به ارزش هایی والا که با محاسبه عقلانی انتخاب نشده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ذات خود حاوی یک دُگم متافیزیکی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تلاشی عقلانی و حسابگرانه برای نیل به این اهداف</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اصلاح دینی، تحولاتی را در الهیات مسیحی به وجود آورد که راه را برای قدس زدایی از احکام لایتغیر آن تمهید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آموزه های مهم پس از عصر رفورم در خصوص جمع مصالح دنیوی و اخروی، توسط متألّهینی مثل سنت آنسلم، گروتیوس و راجر بیکن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ما خرد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اصلی این دسته از </w:t>
      </w:r>
    </w:p>
    <w:p>
      <w:pPr>
        <w:pStyle w:val="BookText"/>
        <w:rPr/>
      </w:pPr>
      <w:r>
        <w:rPr>
          <w:rFonts w:ascii="IRNazanin" w:hAnsi="IRNazanin" w:eastAsia="IRNazanin"/>
          <w:color w:val="111111"/>
          <w:sz w:val="28"/>
          <w:sz w:val="28"/>
          <w:szCs w:val="28"/>
          <w:rtl w:val="true"/>
          <w:lang w:bidi="fa-IR"/>
        </w:rPr>
        <w:t>متألّهین این بود که کلیّه قواعد و مقررات شرعی دایرمدار مصلحت بشریت هستند و از لطف خدا به دور است که حکمی بر خلاف مصالح بنی نوع بشر تنفیذ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توان نوعی تئولوژی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 که احکام از طریق توسل به نصوص، استنتاج و استخراج نشوند، بلکه با تکیه بر فلسفه اصلی احکام که همانا مصالح و ارزش های عموم بشری هستند، پایه حقوق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اجتناب از هرج و مرج و جنگ همه علیه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خواسته طبیعی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قرارداد صلح برای جامعه مدنی لازم می آید که چنین قراردادی خود می تواند منشأ وضع قوانین و مقررات خردتر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می توان منشأ این قبیل ارزش های عموم بشری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درون نص با توسل به چند مرحله تنقیح مناط به دست آورد و به این ترتیب از درون شرع نیز به این هدف نقب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جان لاک در اثری که درباره معقول بودن انجیل نگاشته است بنیادهای اصلی قواعد شرعی را مبتنی بر عقلانیتی می داند که به مصالح عمومی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هابز نیز بالصراحه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خرد در استنطاق انجیل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شدن پای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دستگاه فقه، همچون کاتالیزوری شتاب دهنده، به سرعت آن را به سوی تبدیل شدن به نظام حقوقی عرفی پیش راند و این امری است که در قرن هجدهم در همه شئون الهیات پروتستانی تأثیر گذاشت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دانیم که حرکت از موضع اصالة المصلحه و تکیه بر منفعت و </w:t>
      </w:r>
    </w:p>
    <w:p>
      <w:pPr>
        <w:pStyle w:val="BookText"/>
        <w:rPr/>
      </w:pPr>
      <w:r>
        <w:rPr>
          <w:rFonts w:ascii="IRNazanin" w:hAnsi="IRNazanin" w:eastAsia="IRNazanin"/>
          <w:color w:val="111111"/>
          <w:sz w:val="28"/>
          <w:sz w:val="28"/>
          <w:szCs w:val="28"/>
          <w:rtl w:val="true"/>
          <w:lang w:bidi="fa-IR"/>
        </w:rPr>
        <w:t>فایده متعلق به دسته ای از فایده گرایان قرن هجدهم و نوزدهم اروپا مثل بنتام و جان استوارت میل است، اما قبل از آنان از درون خود دین، فایده گرایانی ظهور کرده اند که می توان اندیشه آنان را گونه دینی اندیشه اصاله المصلحة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آنان باید از ویلیام پیلی نام برد که در صدد تأسیس دکترین فایده گرایی دینی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فایده گرایی دینی را امری ممکن بدانیم، قادر خواهیم بود به نحوی، سنتزی میان مصالح دنیوی و اخروی و خیر دنیا و آخرت به وجود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بیان شمه ای از تلاش هایی بود که در شریعت و کلام مسیحیت برای جمع میان خیر دنیا و خیر آخرت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ملاحظه می شود، یک دستگاه فقهی که خود را متکفّل تلفیق این دو نوع مصلحت می داند، در ذات خود، عناصر عرفی شدن را می پروراند و این فرآیند، تنها در سطح حقوق و اخلاق که بیرونی ترین لایه های دین است و با جهان متحول مماس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بیشتر در معرض فرسایش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 و سایر سطوح را نیز در می نوردد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پارسونز طی بحثی فرآیند اصلی حاکم بر جوامع بشری را خصوصی شدن امر دین تلقی می کند، به این معنا که شریعت در مسیر مواجهه با نیازهای متغیّر و جدیدالولاده به دو پاره اصلی افتراق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آن بدل به مناسک تنظیم کننده رابطه انسان و خدا شده و پاره دیگر آن که خصلتی اجتماعی دارد به قوانین عرفی تحول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مدرن و معاصر، اشکال تکامل یافته همان قواعد شرعی گذشته اند که تا حدّ ممکن با حفظ محتوای ارزش های عامّ آنها، با نیازهای زمانه متلائم و منطبق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یک قاعده حقوقی، وظیفه تلفیق مصالح گروه های ذینفع بیشتری را به عهده داشته باشد، شتابانتر عرفی می شود؛ بالعکس، کاهش تعداد طرفین یک قرارداد، احتمال قدسی ماندن آن قرارداد را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هیچ قاعده حقوق بین الملل شرعی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مربوط به حقوق و نهادهای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رأس آنها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مصالح عامه بیشتر سرو کار دارد در معرض عرفی شدن قرار می گیرد، اما رابطه انسان و خدا که توسط احکام عبادی تنظیم می شود، می تواند همواره قدسی باقی بماند</w:t>
      </w:r>
      <w:r>
        <w:rPr>
          <w:rFonts w:eastAsia="IRNazanin" w:cs="IRNazanin"/>
          <w:color w:val="111111"/>
          <w:sz w:val="28"/>
          <w:szCs w:val="28"/>
          <w:rtl w:val="true"/>
          <w:lang w:bidi="fa-IR"/>
        </w:rPr>
        <w:t xml:space="preserve">. </w:t>
      </w:r>
      <w:bookmarkStart w:id="402" w:name="pg3480_42477"/>
    </w:p>
    <w:p>
      <w:pPr>
        <w:pStyle w:val="Heading4"/>
        <w:numPr>
          <w:ilvl w:val="3"/>
          <w:numId w:val="1"/>
        </w:numPr>
        <w:rPr/>
      </w:pPr>
      <w:bookmarkStart w:id="403" w:name="__RefHeading___Toc3418402_2749589250"/>
      <w:bookmarkStart w:id="404" w:name="_Toc157"/>
      <w:bookmarkEnd w:id="402"/>
      <w:bookmarkEnd w:id="403"/>
      <w:r>
        <w:rPr>
          <w:rtl w:val="true"/>
        </w:rPr>
        <w:t>جرقه تاریخی گری در قرون وسطای متأخر</w:t>
      </w:r>
      <w:bookmarkEnd w:id="404"/>
    </w:p>
    <w:p>
      <w:pPr>
        <w:pStyle w:val="Heading5"/>
        <w:numPr>
          <w:ilvl w:val="4"/>
          <w:numId w:val="1"/>
        </w:numPr>
        <w:rPr/>
      </w:pPr>
      <w:bookmarkStart w:id="405" w:name="__RefHeading___Toc3418404_2749589250"/>
      <w:bookmarkStart w:id="406" w:name="_Toc158"/>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جرقه تاریخی گری در قرون وسطای متأخر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تأملاتی در اندیشه یواخیم فیوره ای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07" w:name="__RefHeading___Toc3418406_2749589250"/>
      <w:bookmarkStart w:id="408" w:name="_Toc159"/>
      <w:bookmarkEnd w:id="407"/>
      <w:r>
        <w:rPr>
          <w:rtl w:val="true"/>
        </w:rPr>
        <w:t>تأملاتی در اندیشه یواخیم فیوره ای</w:t>
      </w:r>
      <w:bookmarkEnd w:id="408"/>
    </w:p>
    <w:p>
      <w:pPr>
        <w:pStyle w:val="BookText"/>
        <w:rPr/>
      </w:pPr>
      <w:r>
        <w:rPr>
          <w:rFonts w:ascii="IRNazanin" w:hAnsi="IRNazanin" w:eastAsia="IRNazanin"/>
          <w:color w:val="111111"/>
          <w:sz w:val="28"/>
          <w:sz w:val="28"/>
          <w:szCs w:val="28"/>
          <w:rtl w:val="true"/>
          <w:lang w:bidi="fa-IR"/>
        </w:rPr>
        <w:t>تأملاتی در اندیشه یواخیم فیوره ای</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رایج از قرون وسطی، عصری مشحون از جهل و خرافه و تعصب و خفقان است که تنها پس از جنگ های صلیبی، فتح قسطنطنیه و کشف آمریکا به نور دانش و پیشرفت منور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این تصور، بذرهای جهان نو در سده های میانه پاشیده شد و کاوش در این ادوار بخصوص قرون وسطای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بحق سپیده دم مدرنیت نامیده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 فهم عالم نو و آدم نو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وران این دوران افراد گمنامی هستند اما چون در مفصل سنت و تجدد قرار گرفته اند، هم برای فهم بنیادهای مدرنیته و هم به عنوان الگویی برای مقایسه با متکلمین و فلاسفه اسلامی، اهمیت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و آبای مقدسی همچون سنت آنسلم، توماس آکوئیناس، مایستر اکهارت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افراد گمنامی هستند اما از آنجا که یک پا در عالم سنت دارند و یک پا در عالم مدرن، برای جنین شناسی و تبارشناسی تجدد و فهم بنیادهای مدرنیت، اهمیت کلیدی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چهره ها، کسانی هستند که عناصر دینی را در جهت موافقت با روح زمانه ای که آفاق آن از دور به چشم می آمد، باسازی کرده و از درون دین، تفاسیر جدید کلامی و فلسفی ارائه کرده 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قرون وسطای مسیحی را به سه دوره تقسیم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عصر آبای </w:t>
      </w:r>
    </w:p>
    <w:p>
      <w:pPr>
        <w:pStyle w:val="BookText"/>
        <w:rPr/>
      </w:pPr>
      <w:r>
        <w:rPr>
          <w:rFonts w:ascii="IRNazanin" w:hAnsi="IRNazanin" w:eastAsia="IRNazanin"/>
          <w:color w:val="111111"/>
          <w:sz w:val="28"/>
          <w:sz w:val="28"/>
          <w:szCs w:val="28"/>
          <w:rtl w:val="true"/>
          <w:lang w:bidi="fa-IR"/>
        </w:rPr>
        <w:t>کلیسا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عصر بشارت تا سقوط امپراتوری روم در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ظلمانیت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وسطای متأخر یا پسین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بشارت دهنده تجدد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سده های میانه پسین، که بدان نام عصر پیشانوزایی هم داده اند، از درون سنن کلامی و از طریق باز تفسیر عناصر تئولوژی غالب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تئولوژی آگوستینی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تحولات عمیق کلامی و فسلفی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تحقیق حاضر بدان می پردازد چگونگی گذار گفتمانی از کلام ایستای آگوستینی به نوعی فلسفه تاریخ پویا در قرون وسطای متأخر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ادعای این تحقیق آن است که اگر تجدد را یک پروژه عظیم بدانیم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جوهر آن به شمار آوریم بذر این اندیشه در سده های میانی پسین، به واسطه نوعی گسست از کلام غالب مسیحیت، پاشیده شد و گفتمان آگوستینی که باید آن را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به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این تحول رخ دهد، یک متاتئوری به نام تاریخی گری زاده شد که پاره ای از پژوهشگران آن را از بنیادهای وجودشناسانه و شناخت شناسانه مدرنیته به شمار آورده 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نگارنده، در این دوران سهم یواخیم فیوره ای در ارائه قرائتی کاملاً نو از فرجام شناسی آگوستینی کاملاً برجسته است و اگر، به تعبیر پاره ای محققان، بپذیریم که اندیشه غرب چیزی جز حاشیه بر آرای </w:t>
      </w:r>
    </w:p>
    <w:p>
      <w:pPr>
        <w:pStyle w:val="BookText"/>
        <w:rPr/>
      </w:pPr>
      <w:r>
        <w:rPr>
          <w:rFonts w:ascii="IRNazanin" w:hAnsi="IRNazanin" w:eastAsia="IRNazanin"/>
          <w:color w:val="111111"/>
          <w:sz w:val="28"/>
          <w:sz w:val="28"/>
          <w:szCs w:val="28"/>
          <w:rtl w:val="true"/>
          <w:lang w:bidi="fa-IR"/>
        </w:rPr>
        <w:t>آگوستین نیست، یواخیم قطعاً یکی از حاشیه نویسان مهم بر این میراث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و کارنامه یواخیم فیوره ای</w:t>
      </w:r>
    </w:p>
    <w:p>
      <w:pPr>
        <w:pStyle w:val="BookText"/>
        <w:rPr/>
      </w:pPr>
      <w:r>
        <w:rPr>
          <w:rFonts w:ascii="IRNazanin" w:hAnsi="IRNazanin" w:eastAsia="IRNazanin"/>
          <w:color w:val="111111"/>
          <w:sz w:val="28"/>
          <w:sz w:val="28"/>
          <w:szCs w:val="28"/>
          <w:rtl w:val="true"/>
          <w:lang w:bidi="fa-IR"/>
        </w:rPr>
        <w:t>راهب متأله، یواخیم فیوره ای سی سال پیش از تولد سنت توماس، در کالابریا واقع در جنوب ایتالیا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حوزه مدیترانه معبر زوار بیت المقدس و اردوگاه جهادگران جنگ های صلیبی بود و یواخیم نیز در این حوزه نشو و نما کرد و به زیارت اورشلیم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وی اطلاعات دقیق و مفصلی در دست نیست اما همین قدر معلوم است که تارک دنیا و اهل مراقبه و از راهبان فرقه سیسترسیان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 رساله از خود به یادگار گذاشته که عمده آنها شرح متون مقدس است او در این رسالات سوانح و وقایع زمان خویش را با اخبار ملاحم و فتن آخرالزمان تطبیق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یواخیم مقارن است با قرون وسطای متأخر که کوکبه عصر نوینی از سوداگری و سیاحت و دریانوردی و تماس تمدن های اسلامی و مسیحی از دور پیداست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تأثیرات شرایط محیطی که بگذریم دو محرک مهم موجب شکل گیری دکترین یواخیمی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محرک، قرائت نوینی بود که وی از متون مذهبی که دارای متشابهات فراوان بودند، به دست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دکترین پیامبرانه یواخیم، از بازتفسیر متون زاده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که تفسیر متشابهات می تواند با روشی مجازی و کنایی صورت گیرد سنت تازه ای نبود آنچه جدید می نمود این بود که این روش های تفسیر نه تنها می توانند برای توضیح امور دگم و اخلاقی به کار بسته شوند بلکه برای پیشگویی روند انکشاف تاریخی نیز کارآیی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دکترین </w:t>
      </w:r>
    </w:p>
    <w:p>
      <w:pPr>
        <w:pStyle w:val="BookText"/>
        <w:rPr/>
      </w:pPr>
      <w:r>
        <w:rPr>
          <w:rFonts w:ascii="IRNazanin" w:hAnsi="IRNazanin" w:eastAsia="IRNazanin"/>
          <w:color w:val="111111"/>
          <w:sz w:val="28"/>
          <w:sz w:val="28"/>
          <w:szCs w:val="28"/>
          <w:rtl w:val="true"/>
          <w:lang w:bidi="fa-IR"/>
        </w:rPr>
        <w:t xml:space="preserve">فرجام شناسانه خود را از طریق شالوده شکنی و سپس بازسازی واژگان متشابه و چندپهلوی متونی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مکاشفه، کتاب دانیال و الهامات قدس الاقداس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یواخیم به این نتیجه رسیده بود که کلیدی برای فهم متون مقدس یافته است که می تواند به وسیله آن وقایع و پرسوناژهای قدیمی کتب مقدسه را به نحوی فهم کند که از درون آن الگویی برای انکشاف تاریخ و معنی دار بودن روند آن استنباط شود تا از این طریق بتوان جزئیات مراحل آینده تاریخ را پیشگویی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دوم برای یواخیم آنچنان که در آثارش بدان اشاره کرده، نوعی اشراق ناشی از تأملات است که معانی پنهانی و بطنی اقانیم ثلاثه را بر وی مکشوف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یواخیم در کتاب خود شرح بر مکاشفات یوحنا دو تجربه اشراقی و رازآمیز از خود را ثبت کرده که طی آن فهم تاریخی تثلیث به وی الهام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نظریه یواخیم پیوند میان دو مقوله زمان و پروسه است که طی آن تاریخ به صورت نمایشنامه ای تریلوژیک انکشاف می یابد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دکترین انقلابی یواخیم یک مکاشفه مترقیانه از مفهوم تثلیث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تثلیث در کارگاه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طوری ساخته می شود که پیوندهای درونی سه اقنوم به صورت طیفی پیوسته حفظ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ابن از اب ناشی می شود باید ریشه امور او به سپهر اب بازگردد و چون روح القدس از اب و ابن توأمان نشأت می گیرد، امور وی باید هم به شأن پدر و هم به شأن پسر بازگست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سه اقنوم در تئولوژی یواخیم جلوات گوناگونی از واحد هستند لذا وحدت ذاتی </w:t>
      </w:r>
    </w:p>
    <w:p>
      <w:pPr>
        <w:pStyle w:val="BookText"/>
        <w:rPr/>
      </w:pPr>
      <w:r>
        <w:rPr>
          <w:rFonts w:ascii="IRNazanin" w:hAnsi="IRNazanin" w:eastAsia="IRNazanin"/>
          <w:color w:val="111111"/>
          <w:sz w:val="28"/>
          <w:sz w:val="28"/>
          <w:szCs w:val="28"/>
          <w:rtl w:val="true"/>
          <w:lang w:bidi="fa-IR"/>
        </w:rPr>
        <w:t>دارند، اگرچه هریک در سپهر فعالند و شأنی مجزا و منحصر به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یواخیم در دکترین تاریخی اش این سه را در سه مرحله متوالی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شأن پدر، عصر تجلی پسر و عصر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مراحل هفت گانه خلقت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زمان آگوستین، به هفت عصر متناظر با هفت روز خلقت تفسیر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دسته بندی می کند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هفته خلقت به عهد عتیق متعلق است و ششمین روز، روز تجلی و تجسم است که عهد جدید آغاز می شود، اما هفتمین روز که روز سبت و عصر راحتی بشر است کجا قرار دارد؟</w:t>
      </w:r>
    </w:p>
    <w:p>
      <w:pPr>
        <w:pStyle w:val="BookText"/>
        <w:rPr/>
      </w:pPr>
      <w:r>
        <w:rPr>
          <w:rFonts w:ascii="IRNazanin" w:hAnsi="IRNazanin" w:eastAsia="IRNazanin"/>
          <w:color w:val="111111"/>
          <w:sz w:val="28"/>
          <w:sz w:val="28"/>
          <w:szCs w:val="28"/>
          <w:rtl w:val="true"/>
          <w:lang w:bidi="fa-IR"/>
        </w:rPr>
        <w:t>برای آگوستین و همه کسانی که قبل از یواخیم سخنی در مورد این روز به زبان آورده اند، روز هفتم خارج از تاریخ قرار می گیرد، اما یواخیم، این یوم الفرج و یوم الراحة را به داخل تاریخ می آورد و آن را بسیار نزدیک و قریب الوقوع می پندارد، اعصار دشوار و پر زحمت بشریت تا پایان روز ششم ادامه یافته، در آن هنگام آفاق جهان در یک ابتلا و فتنه بزرگ که همانا ظهور صبح کاذب دجال است رنگین می شود اما این خود نویدی برای روز هفتم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یواخیم مفهوم تثلیث را توقیت، دنیوی و غیر روحانی می کند و آن را به گذار تاریخ گره می زند، امری که موجب تکفیر وی از سوی دستگاه رسمی کلیسا در قرون بعد می گردد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حداکثر چیزی که آگوستین پیش بینی کرده بود، آمدن هزاره ای بود که تازه آن هم قرار نبود روی زمین محقق شود اما هزاره گرایی یواخیم اندیشه مبدعانه ای بود که در نسل های بعد به طور ماهرانه ای به </w:t>
      </w:r>
    </w:p>
    <w:p>
      <w:pPr>
        <w:pStyle w:val="BookText"/>
        <w:rPr/>
      </w:pPr>
      <w:r>
        <w:rPr>
          <w:rFonts w:ascii="IRNazanin" w:hAnsi="IRNazanin" w:eastAsia="IRNazanin"/>
          <w:color w:val="111111"/>
          <w:sz w:val="28"/>
          <w:sz w:val="28"/>
          <w:szCs w:val="28"/>
          <w:rtl w:val="true"/>
          <w:lang w:bidi="fa-IR"/>
        </w:rPr>
        <w:t>اندیشه ای ضدکلیسایی بدل شد و سپس به فلسفه های سکولار فرارویید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می توان نفوذ غیرمستقیم یواخیم را تا زمان حاضر و بخصوص در شکل گیری فلسفه های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مؤکداً مورد تقبیح کلیسا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کار یواخیم بدیع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بدعت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آن است که وی اولاً هزاره شکوهمند بشریت را از ماورای تاریخ به داخل تاریخ می آورد و ثانیاً تصور دورانی از زمان را به تصوری خطی بدل کرده و به اصطلاح حلقه مسدود زمان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مفهوم انکشاف و شکوفایی را به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متضمن معنی و مقصود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 دهد و رابعاً گذر تاریخ را صرفاً توالی وقایع نپنداشته بلکه با پیوند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پروسه ای برای تکامل تاریخ قائل می شود که از منزل هایی عبور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پرسش است که کدام محرک روانشناختی می توانسته این امید را در دل یواخیم بپروراند که عصر نوین و زرینی در پیش است و پیام و بشارت انجیل قریباً محقق خواهد شد؟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حدس بزنیم که از یواخیم عصر جدیدی مخفیانه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یواخیم با آگاهی کامل، نسیم روح القدس را وجدان می کرد، اما ناخودآگاه مسخر قبضه قدرت آرکی تایپ روح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لحاظ روانشناسی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تجربه اشراقی و باطنی خصلت همه کسانی است که به چنگال یک آرکی تایپ گرفتار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ریوز در کتاب نفوذ کهانت در قرون وسطای متأخر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کاهنی که آینده را پیش بینی می کند، خود می تواند آن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مورخین، تاریخ کهانت حاوی مسئله ظریفی است که از کنش متقابل گفتار و رفتار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عقاید یواخیم بیش از آنکه به روشنفکرانه بودن آن بستگی داشته باشد، ناشی از یک ضرورت فطری یعنی عمل معطوف به امید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بدایع و بدعت های یواخیم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کلامی آگوستین که توان توضیح آفاق نوین تاریخ بشریت را نداشت در سپیده دم مدرنیته در پیچ و تاب افتاد و از زوایای گوناگون مورد تجدیدنظر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ترجمه آثار ارسطو از عربی به لاتین، نحله ای از مشائیون را به وجود آورد که در رأس آنها توماس آکوئیناس قرار داشت و جریان غالب کلام نوین مسیحی را که تلاش داشت هسته عقلانی کلام سنتی را هرچه فربه تر نماید، پی ریزی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آگوستین، بدیل کمرنگ دیگری هم شکل گرفت که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کلامی بود و چنان که ملاحظه شد، یواخیم فیوره ای را می توان پرچمدار آن دانست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مؤخره مقاله قابل ذکر است، جمع بندی بدعت هایی است که توسط یواخیم صورت گرفته و با تأسیس یک دستگاه ایدئولوژیک از دکترین آگوستین آن را به خطری بالقوه برای تئولوژی ارتدوکسی قرون وسطی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این تغییر گفتمان را </w:t>
      </w:r>
    </w:p>
    <w:p>
      <w:pPr>
        <w:pStyle w:val="BookText"/>
        <w:rPr/>
      </w:pPr>
      <w:r>
        <w:rPr>
          <w:rFonts w:ascii="IRNazanin" w:hAnsi="IRNazanin" w:eastAsia="IRNazanin"/>
          <w:color w:val="111111"/>
          <w:sz w:val="28"/>
          <w:sz w:val="28"/>
          <w:szCs w:val="28"/>
          <w:rtl w:val="true"/>
          <w:lang w:bidi="fa-IR"/>
        </w:rPr>
        <w:t>صورتبندی کنیم آرای آگوستین و یواخیم را با یکدیگر مقابله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ایده تجلی عصر روح القدس، تضاد آشتی ناپذیری با دیدگاه آگوستین راجع به سلطنت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دیدگاه بدبینانه آگوستین که دائماً بر انحطاط عالم و آدم پای می فشرد و معتقد بود که هرچه از عصر هبوط دورتر می شویم، انسان منحط تر می شود، توسط یواخیم بدل به دیدگاهی خوشبینانه نسبت به روند تکامل تاریخ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یواخیم تصور حلقوی و دَوَرانی از زمان را به تصوری خطی و مارپیچی بدل می کند و به اصطلاح حلقه مسدود زمان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گفتمان تعالی، گذشته زیرپای نوع بشر قرار دارد و ره یافتگان مشمول فیض الهی، در قوس صعود ارتقا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یواخیم، گذشته پشت سرما قرار دارد و تاریخ به گونه ای انباشتی ما را به سمت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حیث می توان یواخیم را موجد و مؤسس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وجود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شکل جنینی دکترین ترقی و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دیگر یواخیم پرکردن فاصله حال و آینده با ارائه یک کرونولوژی وارونه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آگوستین می گفت شکاف میان حال و روز جزا را جز تاریکی پر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خلقت عالم خاکی، آینه داری جمال حق و تجسد مسیح در لاشه ای محتضر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یواخیم معتقد بود عصر روح القدس به صورت مخفی و مکنون از زمان سنت بندیکت آغاز شده و باید منتظر فتنه آخرالزمان 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آگوستین که کلیسا را دروازه شهر خدا و تنها معبر و مجرای رستگاری می دانست، یواخیم کلیسا را قلعه ای که حافظ </w:t>
      </w:r>
    </w:p>
    <w:p>
      <w:pPr>
        <w:pStyle w:val="BookText"/>
        <w:rPr/>
      </w:pPr>
      <w:r>
        <w:rPr>
          <w:rFonts w:ascii="IRNazanin" w:hAnsi="IRNazanin" w:eastAsia="IRNazanin"/>
          <w:color w:val="111111"/>
          <w:sz w:val="28"/>
          <w:sz w:val="28"/>
          <w:szCs w:val="28"/>
          <w:rtl w:val="true"/>
          <w:lang w:bidi="fa-IR"/>
        </w:rPr>
        <w:t>ایمانیات مردم است نمی شمارد و معتقد است کلیسا به دنیا درآمیخته و چون با صاحبان شمشیر ائتلاف کرده، زنگار گرفته است و پیروان یواخیم هم معتقد بودند پاپ همان دجّال است و باید ساحت دین را از لوث دجّال و اذنابش پیر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تاریخی دیدن مقوله مراحل و ادوار و فصوص، یکی دیگر از نوآوری های مهم یواخیم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دور فلکی به دوران تاریخی و این ادعا که دوران سوم و پایانی تاریخ یعنی عصر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عصر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راه را برای واسازی الهیات آگوستینی و تبدیل آن به یک متاتئوری تاریخی گرا باز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ابتکار دیگر یواخیم در الهیات، تبدیل پیشاهزاره گرایی به پساهزاره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عقیده آگوستین، رجعت مسیح قبل از برپایی سلطنت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پیشاهزاره گرایی به جهانی باور دارد که هر روز به قهقرا می رود، مگر آنکه مشیت الهی بر آن تعلق گیرد که با مداخله ای ناگهانی و معجزه آسا رجعت مسیح را میسّر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تلاشی، از جمله تلاش مؤمنان برای اصلاح عرفی جامعه، در نهایت عبث 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پساهزاره گرایی یواخیم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آثار آن را در کالوینیسم هم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مسیح را به بعد از تلاش مؤمنان برای استقرار هزاره سلطنت الهی موکول می کند و لذا از آنان دعوت می کند از زاویه انزوا خارج شوند و برای ایجاد مدینه فاضله مسیحایی بکوشند و برای اتمام کاری که مسیح با بر صلیب رفتنش آن را ناتمام گذاشت، جهاد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بدعت دیگری که از فقره قبل استنتاج می شود آن است که </w:t>
      </w:r>
    </w:p>
    <w:p>
      <w:pPr>
        <w:pStyle w:val="BookText"/>
        <w:rPr/>
      </w:pPr>
      <w:r>
        <w:rPr>
          <w:rFonts w:ascii="IRNazanin" w:hAnsi="IRNazanin" w:eastAsia="IRNazanin"/>
          <w:color w:val="111111"/>
          <w:sz w:val="28"/>
          <w:sz w:val="28"/>
          <w:szCs w:val="28"/>
          <w:rtl w:val="true"/>
          <w:lang w:bidi="fa-IR"/>
        </w:rPr>
        <w:t>مؤمنان می توانند با عنصر اراده و آگاهی تقدیر الهی را جلو بیندازند و در مشیت وی بداء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ایده که بتوان در مشیت محتوم الهی بداء ایجاد کرد، در تئولوژی آگوستین نوعی کفرگویی و دگرآیینی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یواخیم، مشیت الهی هم مشمول قانون کلی ترقی و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 اندر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الهی به واسطه تلاش های مؤمنان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کفرآلود این ایده آن است که اراده الهی را در طول اراده انسان ها قرار می دهد و خدای باشنده را به خدای شکوفنده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بدعت است که راه را برای پذیرش قوانین سکولار حاکم بر طبیعت و در رأس آن نگره عمومی تکامل و ترقی باز می 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بدعت ها و بدایع است که دستگاه کلامی تقدیرگرایانه مسیحیت را تبدیل به پرچمی ایدئولوژیک برای مبارزات سیاسی ادوار بعدی می کند و انواع جنبش های ارتدادی و کیلیاستی قرون وسطی را دارای انگیزه های پرشور و جذبه می نماید</w:t>
      </w:r>
      <w:r>
        <w:rPr>
          <w:rFonts w:eastAsia="IRNazanin" w:cs="IRNazanin"/>
          <w:color w:val="111111"/>
          <w:sz w:val="28"/>
          <w:szCs w:val="28"/>
          <w:rtl w:val="true"/>
          <w:lang w:bidi="fa-IR"/>
        </w:rPr>
        <w:t xml:space="preserve">. </w:t>
      </w:r>
      <w:bookmarkStart w:id="409" w:name="pg3480_42495"/>
    </w:p>
    <w:p>
      <w:pPr>
        <w:pStyle w:val="Heading4"/>
        <w:numPr>
          <w:ilvl w:val="3"/>
          <w:numId w:val="1"/>
        </w:numPr>
        <w:rPr/>
      </w:pPr>
      <w:bookmarkStart w:id="410" w:name="__RefHeading___Toc3418408_2749589250"/>
      <w:bookmarkStart w:id="411" w:name="_Toc160"/>
      <w:bookmarkEnd w:id="409"/>
      <w:bookmarkEnd w:id="410"/>
      <w:r>
        <w:rPr>
          <w:rtl w:val="true"/>
        </w:rPr>
        <w:t>فرآیند عرفی شدن فقه شیعی</w:t>
      </w:r>
      <w:bookmarkEnd w:id="411"/>
    </w:p>
    <w:p>
      <w:pPr>
        <w:pStyle w:val="BookText"/>
        <w:rPr/>
      </w:pPr>
      <w:r>
        <w:rPr>
          <w:rFonts w:ascii="IRNazanin" w:hAnsi="IRNazanin" w:eastAsia="IRNazanin"/>
          <w:color w:val="111111"/>
          <w:sz w:val="28"/>
          <w:sz w:val="28"/>
          <w:szCs w:val="28"/>
          <w:rtl w:val="true"/>
          <w:lang w:bidi="fa-IR"/>
        </w:rPr>
        <w:t>فرآیند عرفی شدن فقه شیعی</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پا در رکاب مرکب عرفی</w:t>
      </w:r>
    </w:p>
    <w:p>
      <w:pPr>
        <w:pStyle w:val="BookText"/>
        <w:rPr/>
      </w:pPr>
      <w:r>
        <w:rPr>
          <w:rFonts w:ascii="IRNazanin" w:hAnsi="IRNazanin" w:eastAsia="IRNazanin"/>
          <w:color w:val="111111"/>
          <w:sz w:val="28"/>
          <w:sz w:val="28"/>
          <w:szCs w:val="28"/>
          <w:rtl w:val="true"/>
          <w:lang w:bidi="fa-IR"/>
        </w:rPr>
        <w:t>دل در کمند شاهد قدسی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شیعی مانند همه دستگاه های حقوقی شرعی، در طول زمان تحولاتی را از سر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یک دوره جامعه شناسی تاریخی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نگاهی مُشرفانه و از بیرون به فقه یک بار در برش عرضی و یک بار در برش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عیان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خصوص ادوار فقه و ادوار اجتهاد، کتبی از سوی اهل فن و از زاویه ای درون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درون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اما اینها کفایت نمی کند و هر طلبه درس شریعت که می خواهد نقش زمان و مکان را در اجتهاد درک کند، فرض است که یک دوره جامعه شناسی فقه را در بستری تاریخی مطالعه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در حوزه های علمیه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القرا با فقه اهل مدینه تفاوت دارد؛ یا فقه اهالی نزدیک به مکه و مدینه متجمّدتر از فقه اهالی مناطق دوردست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علت بُعد مسافت به منابع تشریع دسترسی نداشته اند و ناچار بوده اند عناصر عقلانی بیشتری را در آرای فقهی دخیل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مشرب و مذاق فقهای این طایفه با طایفه دیگر تفاوت دارد، رایحه ای است که از جامعه شناسی فقه به مشام اهل این فن خورده است و باید با دقت و علمیّت بیشتری توسّع یابد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نقش و تأثیر عوامل اجتماعی مهمی چون فرآیند شهرنشینی و </w:t>
      </w:r>
    </w:p>
    <w:p>
      <w:pPr>
        <w:pStyle w:val="BookText"/>
        <w:rPr/>
      </w:pPr>
      <w:r>
        <w:rPr>
          <w:rFonts w:ascii="IRNazanin" w:hAnsi="IRNazanin" w:eastAsia="IRNazanin"/>
          <w:color w:val="111111"/>
          <w:sz w:val="28"/>
          <w:sz w:val="28"/>
          <w:szCs w:val="28"/>
          <w:rtl w:val="true"/>
          <w:lang w:bidi="fa-IR"/>
        </w:rPr>
        <w:t>صنعتی شدن، هسته ای شدن خانواده، افتراق طبقات و اقشار اجتماعی، تخصیص نقش ها و کارکردها، مرکزیت یابی روابط ملی، ادغام در ساختارهای بین المللی، گسترش مبادله، تشکیل بازار 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تحول فقه مورد مطالعه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مقاله حاضر در صدد اثبات آن است، این مدعاست که می توان در کلّ مسیر پر فراز و نشیب فقه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القاعده هر دستگاه حقوق شرعی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تمایل تاریخی مشاهده کرد که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عرفی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اجتماعی گوناگونی موجب این فرآیند شده است و بازسازی ها و تجدیدبناهایی که در این دستگاه حقوقی رخ داده نوعاً در جهت تسریع این فرآیند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تلاش می شود، نقش دکترین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جهت تسریع این فرآیند باز نموده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ورود به بحث لازم است شمه ای راجع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عرفی شدن، فرآیندی است که به همراه صنعتی شدن، رشد شهرنشینی، عقلانیت و بوروکراتیزاسیون، اصلی ترین شاخص های تجدد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عرفی شدن در عامترین تعریف خود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از ساحه قدسی به ساحه عرفی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های قدسی، مشروعیت خود را از عرصه ای ماورایی می گیرند و به هیچ رو برای توجیه خود به مبانی خردپسندانه و مبتنی بر مفیدیت فرو کاسته نمی شوند و اساساً و بنابر تعریف، خود را ملزم به توجیه </w:t>
      </w:r>
    </w:p>
    <w:p>
      <w:pPr>
        <w:pStyle w:val="BookText"/>
        <w:rPr/>
      </w:pPr>
      <w:r>
        <w:rPr>
          <w:rFonts w:ascii="IRNazanin" w:hAnsi="IRNazanin" w:eastAsia="IRNazanin"/>
          <w:color w:val="111111"/>
          <w:sz w:val="28"/>
          <w:sz w:val="28"/>
          <w:szCs w:val="28"/>
          <w:rtl w:val="true"/>
          <w:lang w:bidi="fa-IR"/>
        </w:rPr>
        <w:t xml:space="preserve">نمی دانند حال آنکه ارزش های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سودمندی ناسوتی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فایده قابل اثبات خود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منبع ارزش های قدسی، سنت و کاریز ماست و سر سپردن به این ارزش ها، از طریق نوعی پیوند فوق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 حال آنکه تبعیت از ارزش ها و هنجارهای عرفی از طریق قرارداد معتبر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نظریه پردازی که فرآیند عرفی شدن را در کانون توجهات خویش قرارداده، امیل دورکیم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دنبال تأسیس رابطه ای میان اشکال پیوند اجتماعی و تطورات آن از یک سو و غلظت عناصر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مناسک، شعائر، دگم ها، آیینها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مهمترین کارکرد آنها را حفظ این پیوندها می داند،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عمیقترین افتراقی که در زندگی بشر رخ می دهد، انفکاک میان دو امر مقدس و مفید است و سایر تمایزها عمدتاً از این افتراق، مشتق می شوند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دورکیم، ادیان مهمترین منبع ارزش های قدسی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به لحاظ اجتماعی دارای کارکردهای مثبتی نظیر انضباط آفرینی، تسهیل همزیستی اجتماعی، ایجاد انسجام و سامان اجتماعی، انتقال سنت ها و میراث های فرهنگی و ایجاد نشئه و خلسه وجودی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سرمدی در همه ادیان وجود دارد که پایه ارزش های اخلاقی را می گذارد و همین ارزش ها به نظمی اخلاقی منجر می شوند که تار و پود شبکه اجتماع را درهم می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همگام با تقسیم کار اجتماعی، </w:t>
      </w:r>
    </w:p>
    <w:p>
      <w:pPr>
        <w:pStyle w:val="BookText"/>
        <w:rPr/>
      </w:pPr>
      <w:r>
        <w:rPr>
          <w:rFonts w:ascii="IRNazanin" w:hAnsi="IRNazanin" w:eastAsia="IRNazanin"/>
          <w:color w:val="111111"/>
          <w:sz w:val="28"/>
          <w:sz w:val="28"/>
          <w:szCs w:val="28"/>
          <w:rtl w:val="true"/>
          <w:lang w:bidi="fa-IR"/>
        </w:rPr>
        <w:t>تخصیص نقش ها و افتراق ساختارها، همبستگی گروهی و بافت اجتماعی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دین باید بتواند ناکارکردی های خود را در شرایط جدید جبران کند و این جز با بازسازی و تجدید معماری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هرحال با نوعی عرفی شدن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دورکیم، پیدایش مفهوم حقوق طبیعی تا حدود زیادی در عرفی شدن دین مؤثر بوده و نتیجه این فرآیند،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قدرت گیری نیروهای عرفی کننده ای چون گسترش مبادلات و تمرکز قدرت سیاسی، باید عوامل جدیدی به قراردادها مشروعیت ببخشند و اساساً نظمی قراردادی جای نظم اخلاقی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نفس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 شدن زندگی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العملی در مقابل امر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چون قدرت امر قدسی نمی تواند با تشریفات خاص خود، آنی قراردادها را تضمین کرده و به آنها مشروعیت ببخشد، لذا قدرت هایی دنیوی لازم می آیند تا تضمینی در مقابل فسخ قراردادها باشند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نویسندگان در کنار نیروهای عرفی کننده ای چون شهرنشینی، گسترش بازار، صنعتی شدن، گسترش ارتباطات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نقش عمده تمرکز قدرت سیاسی و پیدایش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همچنین پیدایش و گسترش نظمی اقتصادی در عرصه بین المللی توجه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فرآیندهایی مقارن با ظهور ادیان مدنی و هویت های ملی است که ایده آل عصر روشنگری مانند دموکراسی، مساوات، عدالت، آزادی و </w:t>
      </w:r>
    </w:p>
    <w:p>
      <w:pPr>
        <w:pStyle w:val="BookText"/>
        <w:rPr/>
      </w:pPr>
      <w:r>
        <w:rPr>
          <w:rFonts w:ascii="IRNazanin" w:hAnsi="IRNazanin" w:eastAsia="IRNazanin"/>
          <w:color w:val="111111"/>
          <w:sz w:val="28"/>
          <w:sz w:val="28"/>
          <w:szCs w:val="28"/>
          <w:rtl w:val="true"/>
          <w:lang w:bidi="fa-IR"/>
        </w:rPr>
        <w:t>ترقی را بازتاب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ادبیات مربوط به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آید، این اصطلاح، نوعاً به دو فرآیند مرتبط به هم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دنیاوی شدن و به قول عرب ها علمانیت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معنی، عرفی شدن عبارت است از عبور مفاهیم و مقولات از ساحه قدسی به ساحه ناسوتی که علی القاعده با فرسایش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مقولات مذکور در زمره مفاهیم و گزاره های معطوف به امور حقیقی باشند، عقلانی می شوند، اما اگر متعلق به حوزه امور هنجاری و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دستگاه های فقهی و حقوقی که کُد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عقلایی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امور عقلایی اموری است که ترک یا اتیان آن مورد مذمت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هم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بگیرد و حسن و قبح آن توسط جمع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گروه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در باب اینکه عقلا چه کسانی هستند، مناقشات فراوانی کرد، اما به هرحال هر گروه هم سود اجتماعی، عقلای خاص خود را دارد که منافع و مصالح درازمدت آن گروه را تشخیص می دهند و مبنای اعتبار که به مصالح نوعیه راجع است، عرف همین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مجالس قانونگذاری و سیستم حزبی و پارلمانی، مکانیسم هایی برای استخراج عرف عقلا هستند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دوم عرفی شدن عبارت است از افتراق ساختاری میان ساخت سیاسی و نهاد دین که البته با معنای غلط رایج لفظ سکولاریسم </w:t>
      </w:r>
    </w:p>
    <w:p>
      <w:pPr>
        <w:pStyle w:val="BookText"/>
        <w:rPr/>
      </w:pPr>
      <w:r>
        <w:rPr>
          <w:rFonts w:ascii="IRNazanin" w:hAnsi="IRNazanin" w:eastAsia="IRNazanin"/>
          <w:color w:val="111111"/>
          <w:sz w:val="28"/>
          <w:sz w:val="28"/>
          <w:szCs w:val="28"/>
          <w:rtl w:val="true"/>
          <w:lang w:bidi="fa-IR"/>
        </w:rPr>
        <w:t xml:space="preserve">در کشور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عرفی شدن به این معناست که نهاد دین، که در اعصار گذشته دارای کارکردهای گوناگونی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قضاوت، تدبیر امور شهر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پیچیده شدن مناسبات زندگی اجتماعی و تخصیص نقش ها، همچون سایر نهادها، متکثّر شده و وظایف خود را واگذار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پدید آمدن ملت به عنوان یک کلیّت تامّ اجتماعی، این دیگر دولت است که به عنوان مهمترین گروه مرجع به تولید و توزیع ارزش ها می پردازد و به واسطه دستگاه های ایدئولوژیک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نظام ارتباطات، آموزش،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ها را طی فرآیند جامعه پذیری، در وجود آحاد اجتماع درونی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به عنوان اعقل عقلا، امور شهروندان را بر مبای مصالح و منافع ملی، رتق و فتق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عرفی شدن بدین معناست که دولت، منشأ اعتباریات حقوقی می شود و ثقل این اعتباریات از کلیسا به دولت منتقل می گردد و کلیسا تنها به تنظیم رابطه انسان و خدا می پردازد و امور مربوط به حقوق متقابل افراد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حقوق متقابل اشخاص حقوقی و حقیقی با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قراردادی پیدا کرده و دولت ضامن اصلی قراردادها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کتاب مقدس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خدا را به خدا واگذار و سهم قیصر را به 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به این معناست که دین به ساحه خصوصی معطوف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مقاله حاضر آن است که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هردو معنای یاد شده، باعث عرفی شدن شریعت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برخلاف ظواهر امر که تأسیس دولت دینی متکی بر نظریه ولایت مطلقه فقیه را فرآیندی مخالف با جریان عرفی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معنای وحدت و ادغام دو نهاد دین و دولت و چه به معنای سیطره قواعد قدسی بر حوزه امور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پندارند، ادعا این است که در چشم اندازی دوربردتر، پدیده دولت دینی در عصر مدرن، مهمترین عامل شتاب دهنده فرآیند عرفی شدن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آنکه سهم و وزن نظریه ولایت مطلقه فقیه را در امر عرفی کردن شریعت محاسبه کنیم، بد نیست نگاهی به سایر مکانیسم های درون دینی، که چنین فرآیندی را موجب شده یا آن را تسریع می کنند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برای دخالت عرف در احکام شرعی، تفکیک این احکام به تأسیسی و امضایی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برای دخالت عرف، گسترش منطقه الفراغ شرعی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بلاموضوع کردن احکام شرعی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دیگر، گسترش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هر درجه از قیاس و هریک از اصناف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استفاده از تنقیح مناط در احکام مستنبط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مکانیسمی برای عرفی کردن دستگاه فقهی بوده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منابع فقهی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انسان مکلّف نباید با قدر متیقنهای شرع منافات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حداقلی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این تفسیر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نبوت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گونه شیعی آن، فلسفه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انقطاع وحی، علامتی از رشید شدن بشریت تحت تعالیم و تربیت پیامبران است و از آن پس بشر قادر است به مدد چراغ عقل راهی را ادامه دهد که انبیا آن را طی کرده و با گام های خود هموار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فهرست مذکور، ابتکارات دیگری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نطاق عناوین ثانویه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باب احکام مفوّضه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پویا و تغییر متدولوژی 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تکلیف عند تعذرالوصول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عرف امت مرحومه به عنوان مصدر 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قاعده لطف برای رفع تکلیف مالایطاق نوعیه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شرایط اضطرار در عصر سرمایه داری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موارد مذکور در فقره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چون شمع های کم سو و چراغ های بی فروغی هستند که در پرتو شعشعه خورشید ولایت مطلقه فقیه رنگ می بازند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تئوری ولایت مطلقه فقیه که زمینه نظری لازم را برای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یک حزب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به مثابه یک دولت تمام 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است، علی رغم ظواهر امر که بر ادغام دو نهاد دین و دولت از یک سو و بازافسونی ساحه سیاست گواهی می دهد، مهمترین کاتالیزوری است که به فرآیند عرفی شدن دستگاه فقه شیعه شتاب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این </w:t>
      </w:r>
    </w:p>
    <w:p>
      <w:pPr>
        <w:pStyle w:val="BookText"/>
        <w:rPr/>
      </w:pPr>
      <w:r>
        <w:rPr>
          <w:rFonts w:ascii="IRNazanin" w:hAnsi="IRNazanin" w:eastAsia="IRNazanin"/>
          <w:color w:val="111111"/>
          <w:sz w:val="28"/>
          <w:sz w:val="28"/>
          <w:szCs w:val="28"/>
          <w:rtl w:val="true"/>
          <w:lang w:bidi="fa-IR"/>
        </w:rPr>
        <w:t>آیرونی، تمهید مقدماتی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مطلقه فقیه به عنوان واسطه میان عالم لاهوت و عالم ناسوت دو جنبه و حیث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یَلی الرّبی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فقیه نماینده امام معصوم و منصوب از قبل اوست و در وجه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یلی الخلقی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وکیل مردم و منتخب از سوی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وجه اول، ولی فقیه، نسبت به دستگاه فقه، دارای ولایت مطلقه است؛ یعنی دارای کلیه شئون پیامبر و ائمه معصومین علیهم السلام در امر تقنین و تشریع است و اساساً خود مصدر جعل و تشریع است و دستگاه فقه شیعی باید آن را به عنوان یکی از منابع و ادله فقهی در کنار ادله اربعه مرسوم،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 در کنار سایر ادله از باب مسامحه است، والاّ بر مبنای روایات متواتر، ولایت، ذروه سنام ارکان دین و مقدم بر همه آنهاست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خمینی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که شعبه ای از ولایت مطلقه رسول اللّه صلی الله علیه و آله است یکی از احکام اولیه اسلام و مقدم بر تمام احکام فرعیه حتی نماز و روزه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 تواند هر امری را چه عبادی و یا غیر عبادی که جریان آن مخالف مصالح اسلام است، از آن مادام که چنین است،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شده است که شایع است، مزارعه و مضاربه و امثال آن با آن اختیارات از بین خواهد رفت، صریحاً عرض می کنم که فرضاً چنین باشد، این از اختیارات حکومت است و بالاتر از این هم مسائلی است که مزاحمت نمی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قبیل نظرات، اختصاصی به بعد از انقلاب و تشکیل حکومت اسلامی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سال های پیش از انقلاب نیز به این گوهر گرانبها رسیده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فقیه، همه آنچه برای امام معصوم علیهم السلام ثابت است، ثابت می باشد، مگر اینکه دلیل قائم شود که اختیارات آنها از جهت ولایت و سلطنت آنها نیست، بلکه مربوط به جهات شخصی آنها به جهت شرافت آنان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این نقطه، پذیرش یکی از مهمترین عناصر اندیشه دولت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ای که اندیشه شکل گیری دولت به معنای نوین از آن آغاز می شود و البته از درون فقه نمی شد به این نقطه رسید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شافعی نپرسند امثال این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ظن قوی مشرب عرفانی امام ممدّ وی در این راه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یلی الخلقی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فقیه نماینده و سمبل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مکلف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 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پذیرش معنای مصلحت به عنوان مهمترین ابزاری که می تواند دستگاه فقه قدسی را به سرعت عرفی کند، عنصر مهم دیگری است که به ابتکار حضرت امام وارد اندیشه تشیع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مدرن، دایرمدار مصالح و منافع ملی است و اساساً تأسیس دولتی مبتنی بر اندیشه ولایت فقیه، بدون پذیرش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عمل نیز جمهوری اسلامی به این نقطه رسید و بر فراز شورای نگهبان، مجمع تشخیص مصلحت را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لحاظ </w:t>
      </w:r>
    </w:p>
    <w:p>
      <w:pPr>
        <w:pStyle w:val="BookText"/>
        <w:rPr/>
      </w:pPr>
      <w:r>
        <w:rPr>
          <w:rFonts w:ascii="IRNazanin" w:hAnsi="IRNazanin" w:eastAsia="IRNazanin"/>
          <w:color w:val="111111"/>
          <w:sz w:val="28"/>
          <w:sz w:val="28"/>
          <w:szCs w:val="28"/>
          <w:rtl w:val="true"/>
          <w:lang w:bidi="fa-IR"/>
        </w:rPr>
        <w:t xml:space="preserve">بود که امام 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 اوجب واجبات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رعایت مصالح آن می توان هر تحولی را در دستگاه شریعت پذیرا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تشخیص مصلحت، که در آن مصالح ملی بدون هیچ قید و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فقهی، به صورت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عرف عقلای قوم تعیین می شود، شکل عملی و نهادینه دخالت عنصر عرف در سازوکار دولت است که دارای تأثیرات بنیادینی است و فصل ممیّز اندیشه سیاسی قدیم و جدید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جنبه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نگاه به توده شهروندان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 اطلاق ولایت فقیه 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بپذیریم ولی فقیه نماینده حاکمیت ملی است، از آنجا که به قول ژان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مهمترین نظریه پردازان دولت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ملی، مطلقه، نامشروط، غیرقابل انتقال و تجزیه ناپذیر است، می توان این صفات را برای نماینده چنین حاکمیتی نیز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ذکر این نکته ضروری است که ولایت فقیه در وجه یلی الخلقی، مشروعیت خود را از حقوق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منبعث از حق تعیین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 و اساساً قدرت وی ناشی از قدرت ملت و صدای او صدای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وی وکیل مردمی است که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این سمت انتخاب کرده 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 ای تعابیر حضرت امام این نکته به خوبی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بنای بر این نداریم که یک تحمیلی بر ملتمان بکنیم، اسلام به ما اجازه نداده است که دیکتاتوری بکنیم، ما تابع آرای ملت هستیم، ملت ما هرطور رأی داد ما هم از آنها تبعیت می کنیم، ما حق نداریم، </w:t>
      </w:r>
    </w:p>
    <w:p>
      <w:pPr>
        <w:pStyle w:val="BookText"/>
        <w:rPr/>
      </w:pPr>
      <w:r>
        <w:rPr>
          <w:rFonts w:ascii="IRNazanin" w:hAnsi="IRNazanin" w:eastAsia="IRNazanin"/>
          <w:color w:val="111111"/>
          <w:sz w:val="28"/>
          <w:sz w:val="28"/>
          <w:szCs w:val="28"/>
          <w:rtl w:val="true"/>
          <w:lang w:bidi="fa-IR"/>
        </w:rPr>
        <w:t>خدای تعالی به ما حق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به ما حق نداده است که به ملتمان چیزی را تحمیل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ضوابط حاکم اسلامی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متکی به آرای ملت باشد، به گونه ای که تمامی آحاد ملت در انتخاب فرد یا افرادی که باید مسئولیت و زمام امور را به دست گیرند شریک باشند، در این حکومت به طور قطع باید زمامداران امور دائماً با نمایندگان ملت در تصمیم گیری ها مشورت کنند و اگر نمایندگان موافقت نکنند، نمی توانند به تنهایی تصمیم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واضعین قانون اساسی نیز همین معنا از حاکمیت ملی را مدّ نظر داشته اند و در تبویب فصل پنجم قانون اساسی، عملاً ولایت مطلقه فقیه را نماینده حاکمیت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دولت در عامترین مفهومش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مقدمات، می توان بسیاری از شبهات حول ولایت مطلقه فقیه و منبع مشروعیت وی و تزاحم ظاهری میان پاره ای آرای حضرت امام را منتفی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ولی فقیه در وجه یلی الرّبی، مشروعیت خود را از عالم قدس می گیرد و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نصب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معصوم رحمه الله است و مطلقاً می تواند در امور یلی الرّبی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دستگاه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و تصرف نماید و آن را به مقتضای مصالح و منافع ملی عرفی 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وجه یلی الخلقی، مشروعیت وی، مشروعیتی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و مبتنی بر قرارداد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 توان آن را در ذیل یکی از </w:t>
      </w:r>
    </w:p>
    <w:p>
      <w:pPr>
        <w:pStyle w:val="BookText"/>
        <w:rPr/>
      </w:pPr>
      <w:r>
        <w:rPr>
          <w:rFonts w:ascii="IRNazanin" w:hAnsi="IRNazanin" w:eastAsia="IRNazanin"/>
          <w:color w:val="111111"/>
          <w:sz w:val="28"/>
          <w:sz w:val="28"/>
          <w:szCs w:val="28"/>
          <w:rtl w:val="true"/>
          <w:lang w:bidi="fa-IR"/>
        </w:rPr>
        <w:t>عقود شرعی مثل وکالت، عهد، امانت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انتخاب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ولی فقیه چون نماینده حاکمیت ملی است، دارای اختیارات مطلقه در راستای منافع ملی و امور مربوط به سپهر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 شود که عناصر مقوّم اندیشه سیاسی مدرن را می توان از دکترین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در اینجا نیز مثل مغرب زمین، در آستانه عصر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سیاسی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کشوری پیرامونی، مثل ایران، بخشی از تب و تاب تشیع برای تشکیل دولت مقتدر، به طور ناخودآگاه تلاشی است در جهت حل مشکل توسعه نیافتگی، چنان که عین این تلاش را در ایده آلیسم آلمانی، در آستانه تشکیل دولت مقتدر پروس شاهدیم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عرفی شدن به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افتراق ساختاری میان دو نهاد دین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 به لحاظ نظری از تبعات پذیرش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در عمل آنچه اتفاق افتاده است، مبیّن این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نظری، اساساً دین با امور ثابت و مفاهیم قدسی سروکار دارد و دولت با امور دائم التغییر باید بتواند با حربه مصلحت و منفعت ملی آنها را رتق و فتق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زمینه اصلی افتراق میان دو نهاد متولی دین و دولت را تشکیل می دهد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فرآیند افتراق، فقه ناظر بر مقولات ثابت که نوعاً مناسک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فقه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عرصه تخصصی نهاد دین شده و سایر ابواب فقه که </w:t>
      </w:r>
    </w:p>
    <w:p>
      <w:pPr>
        <w:pStyle w:val="BookText"/>
        <w:rPr/>
      </w:pPr>
      <w:r>
        <w:rPr>
          <w:rFonts w:ascii="IRNazanin" w:hAnsi="IRNazanin" w:eastAsia="IRNazanin"/>
          <w:color w:val="111111"/>
          <w:sz w:val="28"/>
          <w:sz w:val="28"/>
          <w:szCs w:val="28"/>
          <w:rtl w:val="true"/>
          <w:lang w:bidi="fa-IR"/>
        </w:rPr>
        <w:t>عموماً ناظر بر مفاهیمی قراردادی هستند به حقوق عرفی بدل شده و دولت ضامن اصلی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قدرت مرکزی و تمرکز روابط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گسترش بازار و مبادله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حقوقی، مستلزم روند شمولیّت حقوق و قواعد زاجره و جابره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کلیه شهروندان باید در قبال قانون مساوی شده و جرم واحد، کیفر واحد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باعث می شود که دکترینهای فقهی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مکتب های فقهی مختلف و مراجع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مناسک و 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عرض اندام پیدا کنند و در مقابل، یک دکترین حقوق عمومی و خصوصی، در سراسر قلمرو جغرافیایی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به هنگام قضاوت و فصل خصومت میان متداعیین، دیگر به فتوای این یا آن مرجع عمل نمی شود، بلکه قوانین مصوب از سوی قوه مقننه، مبنای حکم قاضی قرار می گیرد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طبع حقوق ناظر بر قرارداد به سمت عرفی شدن تمایل دارد و هرچه طرفین یک قرارداد بیشتر باشند، این حقوق سریعتر 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مناسک که رابطه میان انسان و خدا را تعیین می کنند در مقابل تغییرات بسیار مقاوم و با ثبات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خصوصی که به تنظیم روابط میان اشخاص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بعضاً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است در مقابل تغییرات کم دوامترند و حقوق عمومی که ناظر بر روابط اشخاص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رأس آنها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مقوله متغیر مصلحت، آشنایی بیشتری دارند تا برسد به حقوق بین المللی که ناظر بر </w:t>
      </w:r>
    </w:p>
    <w:p>
      <w:pPr>
        <w:pStyle w:val="BookText"/>
        <w:rPr/>
      </w:pPr>
      <w:r>
        <w:rPr>
          <w:rFonts w:ascii="IRNazanin" w:hAnsi="IRNazanin" w:eastAsia="IRNazanin"/>
          <w:color w:val="111111"/>
          <w:sz w:val="28"/>
          <w:sz w:val="28"/>
          <w:szCs w:val="28"/>
          <w:rtl w:val="true"/>
          <w:lang w:bidi="fa-IR"/>
        </w:rPr>
        <w:t>قراردادهای منعقده میان دول است و صد درصد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دولت به عنوان نهادی ناشی از قرارداد میان شهروندانی که هریک حق السهمی از ملک مشاعی به نام کشور دارند، خود بزرگترین شخصیت حقوقی است و ضامن حقوق خصوصی، عمومی و بین المللی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طبع عرفی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شانزده ساله در جمهوری اسلامی اتفاق افتاد نیز شاهد صدقی بر این مدعای تئوریک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همگان به خاطر دارند که پس از تشکیل مجمع تشخیص مصلحت، ریاست محترم شورای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نامه نگاری های مکرری که میان ایشان و حضرت امام صورت گرفت، پذیرش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ملاکی در عرض عناوین اولیه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مهیمن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برنتافتند و از منصب خود استعفا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استعفا را به هیچ وجه نباید امری شخصی تلقی کرد، بلکه حکایت از مبانی عمیقتری دارد که شمه ای از آن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استعفا را باید نقطه عطفی در رابطه دو نهاد، دین و دولت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عطفی که باید آن را گواهی بر آغاز افتراق ساختاری میان این دو نهاد تلقی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فراق بینی و بینک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فرآیند مذکور در سنوات اخیر و به دنبال فوت مراجع طراز اول شتاب روزافزونی به خود گرفته است و نهاد دین و حوزه های علمیه که گمان می کنند در اثر اختلاط بیش از حد با نهاد دولت، بسیاری از سرمایه های قدسی را فدای مصالح جاریه کرده اند، دامن خود </w:t>
      </w:r>
    </w:p>
    <w:p>
      <w:pPr>
        <w:pStyle w:val="BookText"/>
        <w:rPr/>
      </w:pPr>
      <w:r>
        <w:rPr>
          <w:rFonts w:ascii="IRNazanin" w:hAnsi="IRNazanin" w:eastAsia="IRNazanin"/>
          <w:color w:val="111111"/>
          <w:sz w:val="28"/>
          <w:sz w:val="28"/>
          <w:szCs w:val="28"/>
          <w:rtl w:val="true"/>
          <w:lang w:bidi="fa-IR"/>
        </w:rPr>
        <w:t>را در می 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طرح دعاوی ای از قبیل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تقلید بدون اذن ولایت فقیه حق تصرف در سهم مبارک امام معصوم و وجوه شرعیه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دسته از فتاوای مراجع که به امور عمومی راجع است، هنگامی ضمانت اجرا دارد که به صحّه ولایت فقیه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مبیّن آن است که نهاد دولت نیز به تحدید حدود اختیارات خود پرداخته و در عمل بخشی از ارباب عمائم را به عنوان کارگزاران خود استخدام خواهد کرد و بخشی دیگر ترجیح خواهند داد به تمشیت امور معادی عباد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فقه شیعه از اول آداب اجتهاد و تقلید تا اول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تکفل نهاد دین باقی مانده و الباقی دولتی و عرفی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زمانه ما این خبر سکونی از امام صادق علیه السلام بیشتر قابل درک 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امناء الرسل، ما لم یدخلوا فی الدنیا،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دخولهم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السلطان، فاذا فعلوا ذلک فاحذروهم علی دینکم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مذکور دلیلی ندارد که سلطان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که محدثین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بلکه به نظر می رسد سلطان، مطلق قدرت دولتی است و با این حساب هر نوع دخول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معنایی که از علمانیت 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ملازمه تامّ با نهاد دولت دارد، می تواند سرمایه های قدسی نهاد دین را ذوب و ناکارکرد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توصیه شده است که نهاد دین جزء اتباع نهاد دولت در نیاید</w:t>
      </w:r>
      <w:r>
        <w:rPr>
          <w:rFonts w:eastAsia="IRNazanin" w:cs="IRNazanin"/>
          <w:color w:val="111111"/>
          <w:sz w:val="28"/>
          <w:szCs w:val="28"/>
          <w:rtl w:val="true"/>
          <w:lang w:bidi="fa-IR"/>
        </w:rPr>
        <w:t xml:space="preserve">. </w:t>
      </w:r>
      <w:bookmarkStart w:id="412" w:name="pg3480_42527"/>
    </w:p>
    <w:p>
      <w:pPr>
        <w:pStyle w:val="Heading4"/>
        <w:numPr>
          <w:ilvl w:val="3"/>
          <w:numId w:val="1"/>
        </w:numPr>
        <w:rPr/>
      </w:pPr>
      <w:bookmarkStart w:id="413" w:name="__RefHeading___Toc3418410_2749589250"/>
      <w:bookmarkStart w:id="414" w:name="_Toc161"/>
      <w:bookmarkEnd w:id="412"/>
      <w:bookmarkEnd w:id="413"/>
      <w:r>
        <w:rPr>
          <w:rtl w:val="true"/>
        </w:rPr>
        <w:t>امام خمینی؛ فقیه دوران گذار</w:t>
      </w:r>
      <w:bookmarkEnd w:id="414"/>
    </w:p>
    <w:p>
      <w:pPr>
        <w:pStyle w:val="Heading5"/>
        <w:numPr>
          <w:ilvl w:val="4"/>
          <w:numId w:val="1"/>
        </w:numPr>
        <w:rPr/>
      </w:pPr>
      <w:bookmarkStart w:id="415" w:name="__RefHeading___Toc3418412_2749589250"/>
      <w:bookmarkStart w:id="416" w:name="_Toc162"/>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امام خمینی؛ فقیه دوران گذار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از فقه جواهری تا فقه المصلحة</w:t>
      </w:r>
    </w:p>
    <w:p>
      <w:pPr>
        <w:pStyle w:val="BookText"/>
        <w:rPr/>
      </w:pPr>
      <w:r>
        <w:rPr>
          <w:rFonts w:ascii="Amiri" w:hAnsi="Amiri" w:eastAsia="Amiri" w:cs="Amiri"/>
          <w:color w:val="111111"/>
          <w:sz w:val="28"/>
          <w:sz w:val="28"/>
          <w:szCs w:val="28"/>
          <w:rtl w:val="true"/>
          <w:lang w:bidi="ar-SA"/>
        </w:rPr>
        <w:t>فقه المصلحة</w:t>
      </w:r>
    </w:p>
    <w:p>
      <w:pPr>
        <w:pStyle w:val="Heading5"/>
        <w:numPr>
          <w:ilvl w:val="4"/>
          <w:numId w:val="1"/>
        </w:numPr>
        <w:rPr/>
      </w:pPr>
      <w:bookmarkStart w:id="417" w:name="__RefHeading___Toc3418414_2749589250"/>
      <w:bookmarkStart w:id="418" w:name="_Toc163"/>
      <w:bookmarkEnd w:id="417"/>
      <w:r>
        <w:rPr>
          <w:rtl w:val="true"/>
        </w:rPr>
        <w:t>از فقه جواهری تا فقه المصلحة</w:t>
      </w:r>
      <w:bookmarkEnd w:id="418"/>
    </w:p>
    <w:p>
      <w:pPr>
        <w:pStyle w:val="BookText"/>
        <w:rPr/>
      </w:pPr>
      <w:r>
        <w:rPr>
          <w:rFonts w:ascii="IRNazanin" w:hAnsi="IRNazanin" w:eastAsia="IRNazanin"/>
          <w:color w:val="111111"/>
          <w:sz w:val="28"/>
          <w:sz w:val="28"/>
          <w:szCs w:val="28"/>
          <w:rtl w:val="true"/>
          <w:lang w:bidi="fa-IR"/>
        </w:rPr>
        <w:t>از فقه جواهری تا فقه المصلحة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فلاسفه کسانی وجود دارند که فیلسوفان دوران گذار خوانده می شوند، این دسته از فیلسوفان عمدتاً متعلق به آغاز عصر روشنگری هستند و یکی از ویژگیهای آنها این است که پایی در سنت و پایی در مدرنیته دارند؛ یعنی در آرای آنها عناصر مدرنی وجود دارد که با عناصر سنتی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فیلسوفان در عصر پیشامدرن یا به تعبیر دیگر در قرون وسطای متأخر، علایم و نشانه های ظهور دوران مدرن را دریافتند و پاره ای از اتفاقات آینده را پیشگویی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دوران گذار، گذر از سنت به مدرنیته را تسریع و تسهیل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قیاس می توان امام را فقیه دوران گذار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شیعه در حال گذار از یک دوره به دوره ای دیگر است و امام در میانه این دو دوره ایستاده و این گذار را تسریع و تسهیل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فقه اهل سنت که عمدتاً با قدرت سیاسی درآمیخت و لذا این گذار را در مدتی طولانی طی کرد، فقه شیعه از این موهبت محروم ماند تا اینکه ناگهان با پدیده دولت مواجه شد و اکنون باید مسیری طولانی را در مدتی کوتاه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ما در شرایطی با تجدد و اثار ناشی از آن در ساخت و بافت اجتماعی مواجه شدند که برای انطباق با دوران جدید، به هیچ وجه تمهید مقدمات نکرده و دستگاه معرفتی لازم را تدارک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آوار مدرنیته بر سر فقهای ما فرو ریخت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کنم، وجوه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وجه آن، گذار از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وجه دوم </w:t>
      </w:r>
    </w:p>
    <w:p>
      <w:pPr>
        <w:pStyle w:val="BookText"/>
        <w:rPr/>
      </w:pPr>
      <w:r>
        <w:rPr>
          <w:rFonts w:ascii="IRNazanin" w:hAnsi="IRNazanin" w:eastAsia="IRNazanin"/>
          <w:color w:val="111111"/>
          <w:sz w:val="28"/>
          <w:sz w:val="28"/>
          <w:szCs w:val="28"/>
          <w:rtl w:val="true"/>
          <w:lang w:bidi="fa-IR"/>
        </w:rPr>
        <w:t xml:space="preserve">آن، گذار از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اپوزیسیون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وجه دیگر، گذار از وضعیت محدود و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رسمی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گره خوردن دستگاه فقاهت با دستگاه دولت و مسلط شدن این قرائت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دیانت ما عین سیاست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نهاد سیاست آثار و مقتضیات خود را به نهاد دین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بویژه در عصر مدرن، مهمترین کانون عرفی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بر مبنای عقلانیت متعارف، امور را رتق و فتق می کنند و اگر دستگاه فقهی به نهاد دولت گره بخورد، لاجرم این ویژگی به فقه نیز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که متشکل از دو نوع بوروکراسی لشکری و کشوری است، برای بقا باید رفتاری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حداقلی از عقلانیت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علی الخصوص در شرایطی که رقابت بر عرصه مناسبات بین المللی حاکم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خالی از رقابت شاید بتوان بدون اتکا به خرد سنجشگر نیز دوام آورد، اما در جهانی که مناسبات بازاری الگوی غالب بر آن است و رقابت شدید اقتصادی و علمی و نظامی بر جهان حاکم است، تنها راه بقا توسل به عقل سنجشگر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تفاوتی میان بنگاه اقتصادی و دولت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برای بقا در جهان مدرن باید دائماً به محاسبه مقدورات و محدودیت ها و هزینه ها و فایده ها و تهدیدها و فرصت ها بپردازد 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رند عالم سور زا با مصلحت بینی چه کار</w:t>
      </w:r>
    </w:p>
    <w:p>
      <w:pPr>
        <w:pStyle w:val="BookText"/>
        <w:rPr/>
      </w:pPr>
      <w:r>
        <w:rPr>
          <w:rFonts w:ascii="IRNazanin" w:hAnsi="IRNazanin" w:eastAsia="IRNazanin"/>
          <w:color w:val="111111"/>
          <w:sz w:val="28"/>
          <w:sz w:val="28"/>
          <w:szCs w:val="28"/>
          <w:rtl w:val="true"/>
          <w:lang w:bidi="fa-IR"/>
        </w:rPr>
        <w:t>کار ملک است آنکه تدبیر و تأمل بایدش</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کار ملک، مصلحت بینی، تدبیر و تأمل را کنار بگذاریم، بقای </w:t>
      </w:r>
    </w:p>
    <w:p>
      <w:pPr>
        <w:pStyle w:val="BookText"/>
        <w:rPr/>
      </w:pPr>
      <w:r>
        <w:rPr>
          <w:rFonts w:ascii="IRNazanin" w:hAnsi="IRNazanin" w:eastAsia="IRNazanin"/>
          <w:color w:val="111111"/>
          <w:sz w:val="28"/>
          <w:sz w:val="28"/>
          <w:szCs w:val="28"/>
          <w:rtl w:val="true"/>
          <w:lang w:bidi="fa-IR"/>
        </w:rPr>
        <w:t>ملک جداً به مخاطره می افتد، دولت دینی نیز از این قاعده مستثنی نیست، در بازار رقابت کامل، بقای دولت دینی در گرو آن است که عقلانیت متعارف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دستگاه فقهی ما به دولت، به عنوان مهمترین کانون عرفی کننده وصل می شود، به سنگی شباهت دارد که در رودخانه مدرنیته افتاده و در چالش با امواج آب آن قدر صیقل می خورد که هسته عقلانی اش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دولت با دستگاه دینی ما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دین تا به حال با رقابت جدی مواجه نبوده است، اما هنگامی که با دولت پیوند می خورد، ناگزیر از رقابت است و در این رقابت است که مورد آزمون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ای است که توسط امام از درون سنن فقهی، کلامی و عرفانی شیعه استخراج می شود تا ظرفیت دستگاهِ دینی و فقهی ما را در چالش با عناصر جهان مدرن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ولایت مطلقه فقیه مهمترین دستاورد سیاسی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از این نظریه قرائتی عرضه کرد که از تیزاب نقد خرد مدرن جان سالم به در برد؟ آیا در این نظریه هسته ای عقلانی وجود دارد؟ هنگامی که یک دولت مدرن در حال شکل گیری است، میل به اتاتیسم شدت می گیرد، نظریه ولایت مطلقه فقیه پاسخی است به میل به اتاتیسم در ایرانِ پس از انقلاب اسلامی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ولایت مطلقه فقیه می تواند به نحوی قرائت شود که شکلی از دولت مدرن از دل آن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عمدتاً مدیون تلاش های اجتهادی صاحب دراسات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فقیه انتخابی </w:t>
      </w:r>
    </w:p>
    <w:p>
      <w:pPr>
        <w:pStyle w:val="BookText"/>
        <w:rPr/>
      </w:pPr>
      <w:r>
        <w:rPr>
          <w:rFonts w:ascii="IRNazanin" w:hAnsi="IRNazanin" w:eastAsia="IRNazanin"/>
          <w:color w:val="111111"/>
          <w:sz w:val="28"/>
          <w:sz w:val="28"/>
          <w:szCs w:val="28"/>
          <w:rtl w:val="true"/>
          <w:lang w:bidi="fa-IR"/>
        </w:rPr>
        <w:t>است و ولایت نماینده و برآیند حاکمیت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قانون اساسی هم آمده است، ولی فقیه طی یک انتخابات دو مرحله ای توسط مردم انتخاب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ابتدا خبرگان را انتخاب می کنند و پس از آن خبرگان ولی فقیه را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طی یک انتخابات دو مرحله ای حاکمیت ملی محقق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ولایت نیز تزاحمی با نظریه دولت مدرن ندارد، زیرا حاکمیت اساساً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بُدن می گوید حاکمیت آن چیزی است که بالاتر از اراده آن اتوریته دیگری وجود ندارد، حاکمیت واجد اقتدار عالیه و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بین المللی، از هر کشوری صرفاً یک صدا بیرون می آید و آن صدای حاکمیت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ولایت مطلقه تبدیل می شود به حاکمیت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فقیه نیز از آن حیث مهم است که فقه می داند، یعنی در نظریه ولایت فقیه، فقیه از حیث فقاهت است که ولایت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باید بحث خود را روی فقه متمرکز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در گذار به سوی مدرنیته و در تیزاب نقد مدرن، مخمری به کار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کند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دستگاه فقهی ما به یک دستگاه حقوقی عرفی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این مخمر، که چیزی جز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در اندیشه امام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همین روست که عنوان فرعی مقاله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 جواهری تا فقه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تفاوت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می شمارم و پس از آن </w:t>
      </w:r>
      <w:bookmarkStart w:id="419" w:name="pg3480_42534"/>
    </w:p>
    <w:p>
      <w:pPr>
        <w:pStyle w:val="BookText"/>
        <w:rPr/>
      </w:pPr>
      <w:bookmarkEnd w:id="419"/>
      <w:r>
        <w:rPr>
          <w:rFonts w:ascii="IRNazanin" w:hAnsi="IRNazanin" w:eastAsia="IRNazanin"/>
          <w:color w:val="111111"/>
          <w:sz w:val="28"/>
          <w:sz w:val="28"/>
          <w:szCs w:val="28"/>
          <w:rtl w:val="true"/>
          <w:lang w:bidi="fa-IR"/>
        </w:rPr>
        <w:t>توضیح می دهم که چگونه عنصر مصلحت می تواند به عنوان مهمترین کاتالیزور عرفی کننده دستگاه فقه را به نظام حقوق عرفی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های فقه و قانون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باید عام و همه شمول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باید علنی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اولاً عطف به ماسبق نمی شود و ثانیاً اجرای پاره ای قوانین مشمول مرور زمان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باید واضح، بدون تعقید و قابل فهم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قوانین باید واجد سازگاری درونی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نباید تکلیف به مالایطاق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باید ضمن دوام، قابلیت تغییر و تحول براثر تحول مناسبات واقعی اجتماعی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باید ضمانت اجرایی داشته باشد</w:t>
      </w:r>
      <w:r>
        <w:rPr>
          <w:rFonts w:eastAsia="IRNazanin" w:cs="IRNazanin"/>
          <w:color w:val="111111"/>
          <w:sz w:val="28"/>
          <w:szCs w:val="28"/>
          <w:rtl w:val="true"/>
          <w:lang w:bidi="fa-IR"/>
        </w:rPr>
        <w:t>.</w:t>
      </w:r>
    </w:p>
    <w:p>
      <w:pPr>
        <w:pStyle w:val="Heading5"/>
        <w:numPr>
          <w:ilvl w:val="4"/>
          <w:numId w:val="1"/>
        </w:numPr>
        <w:rPr/>
      </w:pPr>
      <w:bookmarkStart w:id="420" w:name="__RefHeading___Toc3418416_2749589250"/>
      <w:bookmarkStart w:id="421" w:name="_Toc164"/>
      <w:bookmarkEnd w:id="420"/>
      <w:r>
        <w:rPr>
          <w:rtl w:val="true"/>
        </w:rPr>
        <w:t>فقه المصلحة</w:t>
      </w:r>
      <w:bookmarkEnd w:id="421"/>
    </w:p>
    <w:p>
      <w:pPr>
        <w:pStyle w:val="BookText"/>
        <w:rPr/>
      </w:pPr>
      <w:r>
        <w:rPr>
          <w:rFonts w:ascii="Amiri" w:hAnsi="Amiri" w:eastAsia="Amiri" w:cs="Amiri"/>
          <w:color w:val="111111"/>
          <w:sz w:val="28"/>
          <w:sz w:val="28"/>
          <w:szCs w:val="28"/>
          <w:rtl w:val="true"/>
          <w:lang w:bidi="ar-SA"/>
        </w:rPr>
        <w:t>فقه المصلحة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دستگاه فقهی ما ظرفیت تبدیل شدن به یک دستگاه حقوقی را دارد؟ آیا عنصر مصلحت همان مخمری است که این تبدیل را انجام می دهد؟ فقه المصلحة چه خصوصیاتی دارد؟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عقل ما قادر به کشف مصالح واقعی احکام باب عبادات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حج احکام بسیاری وجود دارد که مصالح آنها بر ما مکشوف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هفت بار طواف کرد؟ چرا باید در سعی میان صفا و مروه هروله کرد؟ چرا باید در مشعر آن مقدار سنگریزه جمع کرد؟ و بسیاری سؤالات دیگر از این دست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نمی توانیم با عقل متعارف پاسخ روشنی برای این پرسش ها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دسته از احکام خارج از دایره بحث ما قرار می گیرند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احکام غیرعبادی، وضع از این 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فقه المصلحة، فقیه در ظواهر احکام متوقف نمی ماند و می کوشد با طی مراحلی فلسفه و مصلحت احکام را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یا منصوص العله اند یا مستنبط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منصوص العله حکمی است که خود معصوم فلسفه و مصلحت آن را ذکر کرده باشد، 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به این دلیل حرام است که مسکر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مستنبط العله حکمی است که فقیه فلسفه آن را استخراج می کند و آن را به موارد مشابه هم تعمیم و تخصیص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مورد را فقهای ما عموماً از شقوق قیاس دانسته و کمتر به آن اقدام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فقیه می تواند در روند استخراج فلسفه احکام چندین مرحله تنقیح مناط انجام دهد، مثلاً اگر فقیه به این نتیجه برسد که مقصود شارع از رجم زانی، کشتن زانی بوده است، نه اینکه زانی لزوماً به وسیله سنگریزه هایی به اندازه گردو کشته شود، آن گاه می توان زانی را به شیوه های دیگری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بعدی تنقیح مناط ممکن است گفته شود که مقصود شارع از رجم، کاهش زنا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 شارع این بوده است، شاید کیفر دیگری بتواند جایگزین آن شود، شاید آزمون و خطاهای جامعه شناسانه به ما نشان دهد که فلان شیوه بهتر می تواند به کاهش زنا در جامعه مدد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فقیه بگوید که هدف من آن است که غرض شارع هرچه سریعتر محقق شود، لذا می توان از شیوه هایی بهره برد که ما را </w:t>
      </w:r>
    </w:p>
    <w:p>
      <w:pPr>
        <w:pStyle w:val="BookText"/>
        <w:rPr/>
      </w:pPr>
      <w:r>
        <w:rPr>
          <w:rFonts w:ascii="IRNazanin" w:hAnsi="IRNazanin" w:eastAsia="IRNazanin"/>
          <w:color w:val="111111"/>
          <w:sz w:val="28"/>
          <w:sz w:val="28"/>
          <w:szCs w:val="28"/>
          <w:rtl w:val="true"/>
          <w:lang w:bidi="fa-IR"/>
        </w:rPr>
        <w:t>هرچه سریعتر به هدف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تنقیح مناط و طی یک فرآیند اجتهادی، کشف مصالح احکام میسر باشد، قدم بعدی تخصیص مناط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سؤال این است که آیا فقیه می تواند آن قدر تنقیح مناط کند که فی المثل بگوید مقصود اصلی و نهایی شارع ایجاد نظم اجتماعی و جلوگیری از هرج و مرج بوده است؟ آیا می توان با تنقیح مناط به یک مقوله کلی به نام مصلحت نوعیه احکام رسید؟ مصلحت نوعیه تقریباً معادل کلمه </w:t>
      </w:r>
      <w:r>
        <w:rPr>
          <w:rFonts w:eastAsia="Times New Roman" w:cs="Times New Roman" w:ascii="Times New Roman" w:hAnsi="Times New Roman"/>
          <w:color w:val="111111"/>
          <w:sz w:val="28"/>
          <w:szCs w:val="28"/>
          <w:lang w:val="en-US" w:bidi="en-US"/>
        </w:rPr>
        <w:t>commonwealth</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نوعیه یعنی آنچه عموم در آن ذینفع هستند ومصلحت نوع اقتضا می کند مبنای احکام حقوق عمومی قرار بگیرد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مصلحت عامه را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امام مهمترین مصلحت، حفظ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کشوری بقای نظام سیاسی به عنوان یک واحد ملی،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مصلحت کاملاً جلی است و هیچ جنبه خفی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کتاب حکومت اسلامی می گوید اگر ما به عنوان یک مقدمه واجب دولت اسلامی را تأسیس نکنیم، بسیاری از احکام تعطیل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باب واجب مقدمی و برای آنکه فرایضی مثل امر به معروف و نهی از منکر و حدود و دیات و قصاص و غیره اجرا شوند، باید دولت اسلامی را تأسیس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قانونی، اعم از الهی و غیرالهی، باید ضامن اجرا داشته باشد و دولت اسلامی ضامن اجرای قوانین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کسب قدرت و حفظ آن از اوجب واجبات می شود</w:t>
      </w:r>
      <w:r>
        <w:rPr>
          <w:rFonts w:eastAsia="IRNazanin" w:cs="IRNazanin"/>
          <w:color w:val="111111"/>
          <w:sz w:val="28"/>
          <w:szCs w:val="28"/>
          <w:rtl w:val="true"/>
          <w:lang w:bidi="fa-IR"/>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شرایطی را در نظر آورید که دولت اسلامی تشکیل شده است و می خواهد احکام شرع را اجرا کند؛ مثلاً می خواهد فرد زانی را سنگسار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اجرای حکم سنگسار، از خارج، نهادهای بین المللی به دولت اسلامی هجوم می آورند و این کار را تقبیح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نیز مردم اظهار می کنند که از انجام این حکم مشمئز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مسئولان به امام مراجعه می کنند و می گویند ما در اجرای این حکم با مشکل مواجه شده ایم و اجرای این حکم موجب وهن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فتوا می دهند که آنچه موجب وهن نظام است،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وهن نظام باشد، نظام را تضعیف می کند، در حالی که حفظ نظام بالاترین مصلحت و بلکه یک مصلحت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شناختن مصلحت ملی، مبنایی برای تأسیس دستگاه های حقوق عمومی است و در چارچوب دستگاه حقوق عمومی می توان بسیاری از حقوق خصوصی و فردی اشخاص را فدای مصالح نوعیه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مکرراً این نکته را تذکر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گفتند به خاطر اینکه حفظ نظام اوجب واجبات است، دولت می تواند یکطرفه قراردادهای خود را با مردم فسخ کند، دولت می تواند برای معاملات خود شروطی مافوق شرایط ضمن العقد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گفتند به خاطر مصالح کشور و اسلام، اگر مزارعه و مضاربه و مساقات و بسیاری از معاملات شرعی هم تعطیل بشود،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مصلحتی که امام از آن سخن می گفتند، مصلحت مرسله یا آزاد از قیود شرعی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تعبیر به آنکه اینجانب گفته ام حکومت در چارچوب احکام الهی </w:t>
      </w:r>
    </w:p>
    <w:p>
      <w:pPr>
        <w:pStyle w:val="BookText"/>
        <w:rPr/>
      </w:pPr>
      <w:r>
        <w:rPr>
          <w:rFonts w:ascii="IRNazanin" w:hAnsi="IRNazanin" w:eastAsia="IRNazanin"/>
          <w:color w:val="111111"/>
          <w:sz w:val="28"/>
          <w:sz w:val="28"/>
          <w:szCs w:val="28"/>
          <w:rtl w:val="true"/>
          <w:lang w:bidi="fa-IR"/>
        </w:rPr>
        <w:t>دارای اختیار است، به کلی برخلاف گفته های اینجانب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دولت اسلامی در حوزه امور عمومی به جای شارع می نشیند و با هدف تأمین مصالح ملی، قانون وضع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یعنی منفعت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 منفعة، وزناً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منفعت، فردی نیست،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مصلحت سنجی، که عبارت است از ارزیابی 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وارد یک دستگاه جزمی بشود، سریعاً آن را عرفی می کند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البته هرچه میزان یا غلظت عنصر مصلحت در یک دستگاه حقوقی بیشتر باشد، جزم های آن دستگاه بیشتر و سریعتر حل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بتوان براساس غلظت عنصر مصلحت، نظام های حقوقی متفاوت را طبقه بندی و سنخ شناسی کرد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قوانین و احکام را بر مبنای غلظت عنصر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عبارت دیگر، میزان محاسبه 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کنیم، خواهیم دید که در احکام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احکام ناظر به عبادات، مناسک، شعائر و اموری از این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غلظت عنصر مصلحت بسیار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تنظیم کننده رابطه عبد و مولا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تعبد محض و بدون چون و چرا طلب می شود و محاسبه 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چندان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پروتستانتیسم، عنصر مصلحت به خصوصی ترین لایه های زندگی دینی، یعنی رابطه انسان و خدا، نیز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مؤمن </w:t>
      </w:r>
    </w:p>
    <w:p>
      <w:pPr>
        <w:pStyle w:val="BookText"/>
        <w:rPr/>
      </w:pPr>
      <w:r>
        <w:rPr>
          <w:rFonts w:ascii="IRNazanin" w:hAnsi="IRNazanin" w:eastAsia="IRNazanin"/>
          <w:color w:val="111111"/>
          <w:sz w:val="28"/>
          <w:sz w:val="28"/>
          <w:szCs w:val="28"/>
          <w:rtl w:val="true"/>
          <w:lang w:bidi="fa-IR"/>
        </w:rPr>
        <w:t>پروتستان معتقد است با خدا می توان معامله کرد و اگر در این دنیا توفیق بیابد، فیض الهی شامل حالش شده است و هرچه این توفیق بیشتر باشد، از فیض بیشتری بهره مند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حقوق خصوصی یا بخش غیرعبادی فقه، غلظت عنصر مصلحت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قوانین و احکام، روابط فی مابین اشخاص حقیقی در جوامع یا گروه های کوچک را تنظیم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روابطی نظیر بیع، نکاح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روابط باید نوعی تراضی طرفین وجود داشته باشد و تراضی طرفین متکی به محاسبه 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و مصلحت سنجی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بعد به حقوق عمومی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عمومی، که تنظیم کننده روابط اشخاص حقوقی نظیر حزب و دولت است، غلظت عنصر مصلحت بیش از حقوق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می توان گفت که هرچه تعداد طرفین یک قرارداد بیشتر باشد و هرچه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 باشند، وزن عنصر مصلحت بیشتر باشد و هرچه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باشند، وزن عنصر مصلحت بیشتر و وزن جزمیات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اشخاص حقوقی، در یک نحله یا امت واحد با یکدیگر تعامل داشته باشند و به همین دلیل، پاره ای جزم ها و خط قرمزها را مشترکاً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می توان گفت که در حقوق عمومی میزان جزم ها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فقهی ما 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رسمیت نمی شناسد و از دل آن حقوق عمومی بیرون نمی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فقهای ما تا شخص حقوقی را به افراد حقیقی تجزیه نکنند، یعنی تا شخص حقوقی را اتمیزه نکنند و در مورد آحاد و افرادش نظر ندهند، نمی توانند درباره شخصیت حقوقی حکم صادر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با یک شرکت خارجی طرف معامله هستیم و آن شرکت در شرایطی حقوق ما را ضایع و ما را متضرر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عنوان افرادی مسلمان، مجازیم در صورت امکان بدون اذن آن شرکت، اگر بتوانیم، حقوق تضییع شده خود را از حساب آنها برداشت کنیم یا خیر؟ فتوای عده ای از فقها در پاسخ به این سؤال این است که این کار تنها در صورتی مجاز است که در میان سهامداران شرکت، فرد مسلمانی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فقیه در مقام افتاء، شرکت را به سهامداران تجزیه می 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پله بالاتر از دستگاه حقوق عمومی، دستگاه حقوق بین الملل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 الملل تنظیم کننده روابط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بین الملل، بیشترین وزن مصلحت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حقوق بین الملل، یکسره عرفی است و در آن هیچ عنصر جزمی یا ایدئولوژیک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تعبیر حقوق بین الملل دینی، تعبیر پارادوکسیکال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جزمیات، عنصر مقوم دین هستند، در حالی که حقوق بین الملل یکسره عرفی است و لذا نمی توان دستگاه حقوق بین الملل دینی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این قرارداد بین المللی، بسیار زیادند و آرا و عقاید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مختلف، به ادیان مختلفی پایبندند و بعضی کشورها نیز اساساً لائیک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انقذب اسلامی، دستگاه فقهی ما با دستگاه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 و ناگزیر شد از فقه العبادة و فقه المعامله به سوی فقهی حرکت کند که بتواند مبنای تأسیس حقوق عمومی و قانون اساسی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کردن این راه بلند محتاج زمان است، اما آنچه مسلم است این است که برای طی این مسیر باید وزن عنصر مصلحت را در فقه بالاتر و بالاتر برد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پس از تأسیس دولت جمهوری اسلامی، سه راه پیش رو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 بود که ایشان به تحولات و مقتضیات زمانه بی اعتنایی کنند و بر فقه سنتی تصلب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فقهایی که مدرنیته را توطئه ای می دانند که مسلمانان را به اضطرار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فقها معتقدند مدرنیته دائماً ضرورت های جدید می تراشد و موجب می شود ما از احکام فقهی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در صدد تغییر و اصلاح دستگاه فقهی خود باشیم، بلکه باید عالم خارج را طوری دگرگون کنیم که دستگاه فقهی ما در آن همچنان کارآیی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نیز می گفت اگر واقعیات با تئوری های من همخوانی ندارند، پس بدا به حال واقعیات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 دسته از فقیهان باید تاریخ را به عقب بازگرداند تا دستگاه فقهی همچنان کارآمد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نظام برده داری از میان رفته و احکام اماء و عبید و عتق، سالبه به انتفاء موضوع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به حال واقعیات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نظام برده داری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اینان، تأسیس حکومت اسلامی مقدمه واجب اجرای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شرایط اجازه نمی دهد که احکام اجرا شوند، باید حکومت اسلامی شرایط را </w:t>
      </w:r>
    </w:p>
    <w:p>
      <w:pPr>
        <w:pStyle w:val="BookText"/>
        <w:rPr/>
      </w:pPr>
      <w:r>
        <w:rPr>
          <w:rFonts w:ascii="IRNazanin" w:hAnsi="IRNazanin" w:eastAsia="IRNazanin"/>
          <w:color w:val="111111"/>
          <w:sz w:val="28"/>
          <w:sz w:val="28"/>
          <w:szCs w:val="28"/>
          <w:rtl w:val="true"/>
          <w:lang w:bidi="fa-IR"/>
        </w:rPr>
        <w:t>دگرگون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گری نیز همین داعیه را دارد و معتقد است نباید احکام را تغییر داد، بلکه باید آنها را طابق النعل بالنعل اجرا کرد، ولو در یک جماعت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ایدئولوژیزه کردن فقه نیز می تواند به همین نحو تعبیر 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دومی که پیش روی امام بود، بیرون راندن دین از حوزه امور عمومی و منحصر کردن آن در ساحات خصوصی بود؛ یعنی محدود کردن دین به امور عبادی و نظایر آن و سپردن امر حکومت به دست یک دولت کاملاً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هیچ یک از این دو راه را نپذیرفت و به راه سوم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المصلحة</w:t>
      </w:r>
      <w:r>
        <w:rPr>
          <w:rFonts w:eastAsia="IRNazanin" w:cs="IRNazanin"/>
          <w:color w:val="111111"/>
          <w:sz w:val="28"/>
          <w:szCs w:val="28"/>
          <w:rtl w:val="true"/>
          <w:lang w:bidi="fa-IR"/>
        </w:rPr>
        <w:t xml:space="preserve">. </w:t>
      </w:r>
      <w:bookmarkStart w:id="422" w:name="pg3480_42551"/>
    </w:p>
    <w:p>
      <w:pPr>
        <w:pStyle w:val="Heading4"/>
        <w:numPr>
          <w:ilvl w:val="3"/>
          <w:numId w:val="1"/>
        </w:numPr>
        <w:rPr/>
      </w:pPr>
      <w:bookmarkStart w:id="423" w:name="__RefHeading___Toc3418418_2749589250"/>
      <w:bookmarkStart w:id="424" w:name="_Toc165"/>
      <w:bookmarkEnd w:id="422"/>
      <w:bookmarkEnd w:id="423"/>
      <w:r>
        <w:rPr>
          <w:rtl w:val="true"/>
        </w:rPr>
        <w:t>خط قرمز</w:t>
      </w:r>
      <w:r>
        <w:rPr>
          <w:rtl w:val="true"/>
        </w:rPr>
        <w:t xml:space="preserve">: </w:t>
      </w:r>
      <w:r>
        <w:rPr>
          <w:rtl w:val="true"/>
        </w:rPr>
        <w:t>ارزش یا هنجار؟</w:t>
      </w:r>
      <w:bookmarkEnd w:id="424"/>
    </w:p>
    <w:p>
      <w:pPr>
        <w:pStyle w:val="BookText"/>
        <w:rPr/>
      </w:pPr>
      <w:r>
        <w:rPr>
          <w:rFonts w:ascii="IRNazanin" w:hAnsi="IRNazanin" w:eastAsia="IRNazanin"/>
          <w:color w:val="111111"/>
          <w:sz w:val="28"/>
          <w:sz w:val="28"/>
          <w:szCs w:val="28"/>
          <w:rtl w:val="true"/>
          <w:lang w:bidi="fa-IR"/>
        </w:rPr>
        <w:t>خط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یا هنجار؟</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دارای اسیدی است که بسیاری از جزم ها را درون خودش ذوب و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شاید مفهوم سکولاریزاسیون یا عرفی شدن که با الحان و اطوار مختلفی در گفتار جامعه شناسان دین و معرفت مطرح شده است، مبیّن همین حل شدن جزم ها در اسید مدرنیته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فوستل دوکولانژ معتقد است که دگم کم کم به نفع خرد از میان می رود و جزمیت ها و خطوط قرمزی که گذشتگان و سنت های گوناگون تعریف کرده اند با پیشرفت عالم و تکامل و تجدد عالم منحل خواهند 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پارسونز از زاویه ای دیگر به قضیه می نگرد و می گوید در مسیر تجدد، نوعی تمایزیابی و افتراق یابی بین حوزهئ عمومی و خصوصی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جزمیات و خطوط قرمز عمدتاً به حوزه خصوصی رانده می شوند و در خلوتسرای ذهن و زندگی خصوصی جا خوش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حوزه عمومی باقی می ماند مقولات و مفاهیمی است که منبعث از خرد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امیل دورکیم، جامعه شناس فرانسوی، هم با تئوری مشهور عرفی شدن نشان داده است که نوعی افتراق یابی بین نهادها ایجاد می شود، یعنی به صورت ساختاری میان نهادهای اجتماعی افتراق ایجاد می شود و تخصیص نقش ها و کارکردها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نهادها که حافظ دگم ها و جزمیات و خطوط قرمز هستند به صورت نهادهای خصوصی عمل می کنند و زندگی خصوصی افراد را پر </w:t>
      </w:r>
    </w:p>
    <w:p>
      <w:pPr>
        <w:pStyle w:val="BookText"/>
        <w:rPr/>
      </w:pPr>
      <w:r>
        <w:rPr>
          <w:rFonts w:ascii="IRNazanin" w:hAnsi="IRNazanin" w:eastAsia="IRNazanin"/>
          <w:color w:val="111111"/>
          <w:sz w:val="28"/>
          <w:sz w:val="28"/>
          <w:szCs w:val="28"/>
          <w:rtl w:val="true"/>
          <w:lang w:bidi="fa-IR"/>
        </w:rPr>
        <w:t>می کنند، در حالی که نهادهایی مثل دولت که خصلت عمومی دارند، خالی از جزم و دگم خواهند 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واقعیت امر این است که در عالم خارج ما شاهدیم که هم در حوزه امور خصوصی دارای خط قرمزها و جزمیات و دگم هایی هستیم، هم در حوزه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خطوط قرمز با هم تفاوت هایی دارند که دقت و عنایت به آن تفاوت ها ماهیت دو نوع خط قرمز را معلوم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دگم ها و خط قرمزها تک ذهنی هستند، یعنی از یک ذهن تراوش می شوند و منبع مرزگذاری و هویت سازی و دگم آفرینی یک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معمولاً خطوط قرمزی هستند که به سمت حوزه خصوصی رانده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دسته دیگری از خطوط قرمز نیز وجود دارد که به نحو بین الاذهانی تعریف می شوند و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هر کشور مکانیسم های قانونگذاری در نظام پارلمانی و قوای مقننه وظیفه مرزگذاری و تعیین خطوط قرمز را به عهده دارند، منتها خطوط قرمزی که توسط یک پارلمان برای تجارت، عبور و مرور، آموزش امر قضا و غیره وضع می شود، خصلتی بین الاذهانی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وضع کردن این خطوط قرمز نوعی تعامل وگفت وگو بین اذهان مختلف و فراکسیون های مختلف پارلمان ایجاد می شود و طی بحث، این خطوط قرمز خصلتی بین الاذهانی پیدا می کنند و از معبر ذهنیت های گوناگون عبور می کنند و تبدیل به قانون می شوند، به همین خاطر، این خطوط قرمز خصلتی عمومی دارند و می توانند در حوزه امور عمومی باقی بمانند</w:t>
      </w:r>
      <w:r>
        <w:rPr>
          <w:rFonts w:eastAsia="IRNazanin" w:cs="IRNazanin"/>
          <w:color w:val="111111"/>
          <w:sz w:val="28"/>
          <w:szCs w:val="28"/>
          <w:rtl w:val="true"/>
          <w:lang w:bidi="fa-IR"/>
        </w:rPr>
        <w:t xml:space="preserve">. </w:t>
      </w:r>
      <w:bookmarkStart w:id="425" w:name="pg3480_42555"/>
    </w:p>
    <w:p>
      <w:pPr>
        <w:pStyle w:val="Heading4"/>
        <w:numPr>
          <w:ilvl w:val="3"/>
          <w:numId w:val="1"/>
        </w:numPr>
        <w:rPr/>
      </w:pPr>
      <w:bookmarkStart w:id="426" w:name="__RefHeading___Toc3418420_2749589250"/>
      <w:bookmarkStart w:id="427" w:name="_Toc166"/>
      <w:bookmarkEnd w:id="425"/>
      <w:bookmarkEnd w:id="426"/>
      <w:r>
        <w:rPr>
          <w:rtl w:val="true"/>
        </w:rPr>
        <w:t>دین دموکراتیک حکومتی</w:t>
      </w:r>
      <w:bookmarkEnd w:id="427"/>
    </w:p>
    <w:p>
      <w:pPr>
        <w:pStyle w:val="BookText"/>
        <w:rPr/>
      </w:pPr>
      <w:r>
        <w:rPr>
          <w:rFonts w:ascii="IRNazanin" w:hAnsi="IRNazanin" w:eastAsia="IRNazanin"/>
          <w:color w:val="111111"/>
          <w:sz w:val="28"/>
          <w:sz w:val="28"/>
          <w:szCs w:val="28"/>
          <w:rtl w:val="true"/>
          <w:lang w:bidi="fa-IR"/>
        </w:rPr>
        <w:t>دین دموکراتیک حکومتی</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قرائتی از دین با چه روایتی از دموکراسی متلائم است؟</w:t>
      </w:r>
    </w:p>
    <w:p>
      <w:pPr>
        <w:pStyle w:val="BookText"/>
        <w:rPr/>
      </w:pPr>
      <w:r>
        <w:rPr>
          <w:rFonts w:ascii="IRNazanin" w:hAnsi="IRNazanin" w:eastAsia="IRNazanin"/>
          <w:color w:val="111111"/>
          <w:sz w:val="28"/>
          <w:sz w:val="28"/>
          <w:szCs w:val="28"/>
          <w:rtl w:val="true"/>
          <w:lang w:bidi="fa-IR"/>
        </w:rPr>
        <w:t>نسبت دین و دموکراسی تباین تام نیست و این دو تطابق تام هم با یکدیگر ندارند، لذا بعضی از اشکال دموکراسی می تواند احیاناً با بعضی از اشکال دین جمع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سه مدل عمده برای دموکراسی قائل شویم، دموکراسی حداکثر، دموکراسی حدوسط، دموکراسی حداقل، آن گاه ادعا این است که دموکراسی حداقل احیاناً می تواند با دین 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عصری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حداقل، پلی آرشی است، به این معنا که در فضای سیاسی تنها چند گروه از نخبگان حق رقابت سیاسی دارند و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 اعظمی از توده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سیاسی بوده و خارج از بازار رقابت سیاسی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دموکراسی نخبه گرا، فاصله اندکی با خودکامگی و انحصار قدرت دارد، اما می تواند از الیگوپولی به سمت پلورالیسم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روایت از دین می تواند با حداقل دموکراسی جمع شود؟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عصری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روایت عصری، مقبول افتادن احکام دینی با خرد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عصر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 xml:space="preserve">اجتهادی مستمر و پویا نسبت به احکام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احکام مربوط به فقه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با مصالح جاریه و عرف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تنها روایتی از دین که می تواند با دموکراسی نسبتی برقرار کند، همین روایت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پذیرفته باشیم که دین و دموکراسی دو نهاد اجتماعی اند و هریک حاملینی دارند، علی القاعده باید برای تدقیق رابطه میان دین و دموکراسی، به نسبت میان حاملین این دو مقوله نیز بپردازیم، در کشور ما حاملین دین، علی الاغلب، روحانیون هستند و دین و شبکه روحانیت از یکدیگر ناگسستنی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کسانی حامل لوای دموکراسی هستند؟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تئوریک، این سرمایه داران و کارآفرینانِ شیوه تولید سرمایه داری بوده اند که دموکراسی را به عنوان یکی از لوازم حیات خود پی ریزی کرده و از آن چون حربه کارسازی در مقابل امتیازات اشرافیت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ما به علت پویش کند سرمایه داری و کم خونی و بی رمقی تاریخی این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علل آن از حوصله این مقاله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 دموکراسی پا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کشورهای حاشیه سرمایه داری چون کشور ما رسالت تاریخی دموکراتیزاسیون عمدتاً به گردن طبقات متوسط جدید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آماری نشان می دهد که گسترش فضای دموکراتیک رابطه مستقیمی با فرآیند شهرنشینی، گسترش آموزش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آموزش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شبکه ارتباطی دارد، یعنی همه عواملی که در پیدایش طبقه متوسط جدید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ثقل اقشار و لایه های این طبقه در آرایش کلی نیروهای اجتماعی رابطه مستقیمی با روند دموکراتیزه شدن </w:t>
      </w:r>
    </w:p>
    <w:p>
      <w:pPr>
        <w:pStyle w:val="BookText"/>
        <w:rPr/>
      </w:pPr>
      <w:r>
        <w:rPr>
          <w:rFonts w:ascii="IRNazanin" w:hAnsi="IRNazanin" w:eastAsia="IRNazanin"/>
          <w:color w:val="111111"/>
          <w:sz w:val="28"/>
          <w:sz w:val="28"/>
          <w:szCs w:val="28"/>
          <w:rtl w:val="true"/>
          <w:lang w:bidi="fa-IR"/>
        </w:rPr>
        <w:t>مناسبات اجتماعی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اعظمی از نخبگان طبقه متوسط جدید، جذب دولت شده و کارگزاران دیوانسالاری و فن سالاری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 در کشور ما که دولتی دینی بر سریر قدرت است و شاهد ادغام دستگاه روحانیت در دستگاه دولتی هستیم، دولت خواه ناخواه مهمترین عرصه تلاقی حاملین اصلی دین و دموکراسی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روست که مسئله همخوانی دین و دموکراسی برای ثبات دولت، به مبرم ترین وجه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ضرورت طرح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نهادی که حاملین دین و دموکراسی را تربیت می کنند از همین نیاز سرچشمه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فی نفسه، عرصه منازعه تضادهای دیگری هم هست، بگذار در این مورد خاص، تنش های درون دولت تقلیل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مطلب خود را در آنجا نشان می دهد که حاملین دین نوعاً با مقولات ثابت و لایتغیر و عموماً ذهنی و تجریدی سروکار داشته و واضع قوانین و اخلاقیات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هستند، حال آنکه طبقه متوسط جدید با مفاهیم مستحدثه ای در جهان متحول کنونی سروکار دارد که عموماً برخاسته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دو چرخ دنده، مهمترین ارکان ماشین دولت دینی را می سازند، همزمان کردن سرعت آنها به مسئله ای جدی تبدیل می گردد، زیرا در غیر این صورت ناظر اصطکاک و استهلاک دائم التزاید ماشین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به ملزومات مهمی چون امر توسعه و دفاع از موجودیت کشور 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می گردیم به مسئله اصلی یعنی امکان یا امتناع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w:t>
      </w:r>
    </w:p>
    <w:p>
      <w:pPr>
        <w:pStyle w:val="BookText"/>
        <w:rPr/>
      </w:pPr>
      <w:r>
        <w:rPr>
          <w:rFonts w:ascii="IRNazanin" w:hAnsi="IRNazanin" w:eastAsia="IRNazanin"/>
          <w:color w:val="111111"/>
          <w:sz w:val="28"/>
          <w:sz w:val="28"/>
          <w:szCs w:val="28"/>
          <w:rtl w:val="true"/>
          <w:lang w:bidi="fa-IR"/>
        </w:rPr>
        <w:t>دموکراتیک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قرائتی خاص از دموکراسی و روایتی خاص از دین احتمال جمع شدن درون یک دولت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این ادعا را هم اضافه می کنیم که برای تأسیس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دموکراتیک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دموکراتیک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نیازمندیم، به میزانی که دومی را داشته باشیم، اولی را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جوانب این ادعا، مسئله را به دو مسئله کوچکتر تجزیه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امکان وقوع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دموکراتیک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دموکراتیزه شدنِ نهاد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در فقدان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وضعیت کنونی عالم ممتنع است، و البته بار دیگر تکرار می کنیم که تعریف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کاملاً مضیّق و خاص است، یعنی دولتی که قواعد حقوق عمومی و حقوق اساسی آن از فقه استخراج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دعاوی شمه ای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میان دیانت و سیاست رابطه ای می بینند باید بپذیرند که تفوق مدارا و بردباری در عرصه سیاست لاجرم مستلزم پلورالیزه شدن نهاد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پذیرش این اصل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حقیت در انحصار 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های گوناگون از شریعت باعث خروج کسی از ساحت دینی نمی 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دین، دولتی تر شود 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می کنم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مدارا و تساهل را بیشتر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دین دولتی در این مقاله دینی نیست که دین فروشان حرفه ای و </w:t>
      </w:r>
    </w:p>
    <w:p>
      <w:pPr>
        <w:pStyle w:val="BookText"/>
        <w:rPr/>
      </w:pPr>
      <w:r>
        <w:rPr>
          <w:rFonts w:ascii="IRNazanin" w:hAnsi="IRNazanin" w:eastAsia="IRNazanin"/>
          <w:color w:val="111111"/>
          <w:sz w:val="28"/>
          <w:sz w:val="28"/>
          <w:szCs w:val="28"/>
          <w:rtl w:val="true"/>
          <w:lang w:bidi="fa-IR"/>
        </w:rPr>
        <w:t>وعاظ السلاطین برای رسیدن به حطام دنیا، آن را اشاعه می دهند، بلکه دینی است که سخت با مقتضیات حکومت داری دست و پنجه نرم می کند و با تحولات زمان و مکان، خود را تطبیق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مشکلات فقه آن است که متعلّق احکامش، اشخاص حقیقی هستند، به این معنا که چون بنا به فرض حق و تکلیف و ثواب وعقاب تنها برای شخص حقیقی به رسمیت شناخته شود، تصور اینکه اشخاص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ذروه و مثل اعلای آنها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موضوع حکم باشند دشوار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گاهی حکمی بر جمع بار می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واجبات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عناصر آن جمع مدنظر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فقه شیعه یک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الزاماً احکام ان قابل تعدی و تسری به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هرقدر دین، دولتی تر شود، زمینه تأسیس و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مهیاتر می شود؛ فقهی که مناط احکامش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عبارتی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المصلحه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فقیهی که رندانه، تنزّه طلبی پیشه کرده و برای آنکه سرمایه های قدسی اش فرسوده نشود کار خدا را به خدا و کار قیصر را به قیصر واگذاشته است نمی تواند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 و به تأسیس دولت دینی کمکی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رند عالم سوز را با مصلحت بینی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ملک است آنکه تدبیر و تأمل بایدش</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دینی که می خواهد دوشادوش دولت پرواز کند قاعدتاً خود را آماده می کند تا پاسخگوی نیازهای حقوقی چنین دولتی باشد و این را می پذیرد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مکن با فیلبانان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بنا کن خانه ای در خور فیل</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معنا که باید دستگاه فقهی آنچنان هاضمه ای داشته باشد که بتواند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عرفی ترین هنجار اجتماعی است، بگوارد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چنین دینی و فقهی در مسیر عرفی شدن خواهد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کسی نسبت به اصطلاح عرفی شدن حساسیت دارد می تواند این پدیده را عصری شدن دین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خواهد توانست با دولت و ملک که دایرمدار مصلحت عامّه و عرف عقلاست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تجربه شده آن،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نمی توانست بدون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بیاورد و ابتکار امام خمینی در تأسیس مجمع تشخیص مصلحت و ادخال این عنصر در دستگاه فقه تشیع را به لحاظ اهمیت می توان هم عرض اصل ولایت فقیه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میزانی که فرآیند عرفی شدن تعمیق و توسعه می یابد، ظرفیت های دموکراسی نیز متوسع شده و گروه های نخبه بیشتری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هریک مصالح لایه ها و قشرهایی را نمایندگی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توانند در فضای سیاسی به رقابت بپردازند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برای قلیلی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نمونه آرمانی دموکراسی پیش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همین فرآیند است که نهاد دین نیز به تبع متکثر شده و تنوعات بیشتری را برمی تابد و دیالکتیک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دموکراتیک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دموکراتیک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سیکل بهبود یابنده ای برقرار می شود</w:t>
      </w:r>
      <w:r>
        <w:rPr>
          <w:rFonts w:eastAsia="IRNazanin" w:cs="IRNazanin"/>
          <w:color w:val="111111"/>
          <w:sz w:val="28"/>
          <w:szCs w:val="28"/>
          <w:rtl w:val="true"/>
          <w:lang w:bidi="fa-IR"/>
        </w:rPr>
        <w:t xml:space="preserve">. </w:t>
      </w:r>
      <w:bookmarkStart w:id="428" w:name="pg3480_42567"/>
    </w:p>
    <w:p>
      <w:pPr>
        <w:pStyle w:val="Heading3"/>
        <w:numPr>
          <w:ilvl w:val="2"/>
          <w:numId w:val="1"/>
        </w:numPr>
        <w:rPr/>
      </w:pPr>
      <w:bookmarkStart w:id="429" w:name="__RefHeading___Toc3418422_2749589250"/>
      <w:bookmarkStart w:id="430" w:name="_Toc167"/>
      <w:bookmarkEnd w:id="428"/>
      <w:bookmarkEnd w:id="429"/>
      <w:r>
        <w:rPr>
          <w:rtl w:val="true"/>
        </w:rPr>
        <w:t>عرفی شدن ایدئولوژی ها</w:t>
      </w:r>
      <w:bookmarkEnd w:id="430"/>
    </w:p>
    <w:p>
      <w:pPr>
        <w:pStyle w:val="Heading4"/>
        <w:numPr>
          <w:ilvl w:val="3"/>
          <w:numId w:val="1"/>
        </w:numPr>
        <w:rPr/>
      </w:pPr>
      <w:bookmarkStart w:id="431" w:name="__RefHeading___Toc3418424_2749589250"/>
      <w:bookmarkStart w:id="432" w:name="_Toc168"/>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عرفی شدن ایدئولوژی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نقدی بر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فربه تر از ایدئولوژی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دین عصری در عصر ایدئولوژی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33" w:name="__RefHeading___Toc3418426_2749589250"/>
      <w:bookmarkStart w:id="434" w:name="_Toc169"/>
      <w:bookmarkEnd w:id="433"/>
      <w:r>
        <w:rPr>
          <w:rtl w:val="true"/>
        </w:rPr>
        <w:t xml:space="preserve">نقدی بر نظریه </w:t>
      </w:r>
      <w:r>
        <w:rPr>
          <w:rtl w:val="true"/>
        </w:rPr>
        <w:t>«</w:t>
      </w:r>
      <w:r>
        <w:rPr>
          <w:rtl w:val="true"/>
        </w:rPr>
        <w:t>فربه تر از ایدئولوژی</w:t>
      </w:r>
      <w:r>
        <w:rPr>
          <w:rtl w:val="true"/>
        </w:rPr>
        <w:t>»</w:t>
      </w:r>
      <w:bookmarkEnd w:id="434"/>
    </w:p>
    <w:p>
      <w:pPr>
        <w:pStyle w:val="BookText"/>
        <w:rPr/>
      </w:pPr>
      <w:r>
        <w:rPr>
          <w:rFonts w:ascii="IRNazanin" w:hAnsi="IRNazanin" w:eastAsia="IRNazanin"/>
          <w:color w:val="111111"/>
          <w:sz w:val="28"/>
          <w:sz w:val="28"/>
          <w:szCs w:val="28"/>
          <w:rtl w:val="true"/>
          <w:lang w:bidi="fa-IR"/>
        </w:rPr>
        <w:t xml:space="preserve">نقدی بر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فربه تر از ایدئولوژی</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کلامِ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فربه تر از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ایدئولوژیک شدن دین نه ممکن است و نه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لبّ کلام آن را به چالش می 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ایدئولوژی شدن دین نه تنها ممکن است بلکه در بسیاری از شرایط ناگزیر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شواهد عملی که اقوی دلیل بر امکان پیدایش پدیده ای است، بگذریم، ضرورت ایدئولوژیک شدن سنت ها به طور کلی، و دین بالاخص از اموری است که لااقل وقوع آن در کشورهای پیرامونی، بدیهی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تمهید نظری عام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قول دورکیم جزء مقوّم دین را سرمدیت فرض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که صاحب مقاله فربه تر از ایدئولوژی با تعبیر جاودانگی آن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بپذیریم که این سرمدیت خود را در حلیه های قدسی نظیر اسطوره ها، مناسک، شعائر، و دگم ها می پوشاند، آن گاه واضح است که این سرمدیت قدسی به خدمت مشروعیت بخشی به بسیاری از قواعد و هنجارها و ارزش 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مهمتر از همه نظم اجتماعی و ساخت سیاسی و رابطه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این جزء مقوّم در صحنه اجتماعی مدیون مقولاتی مانند کاریزما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دورکیم افتراق میان لاهوت و ناسوت پایه ای ترین افتراق در اندیشه بشری است و با آنکه این دو دنیا مطلقاً از یکدیگر منجّزند با این وجود غیرقابل عبور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اشیا از دنیای قدسی به دنیای عرفی اغلب به دنبالِ فرسایشِ ارزش ها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گذار است که شاهد باز تفسیر مفاهیم قدسی، پیدایش ادیان جدید یا گسترش شکاکیت هستم تا آنجا که ایمان به راسیونالیسم و پرستش عمومی الهه خرد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عرفی کننده، و مهمترین آنها گسترش مبادله، باعث فرسایش شدید امور قدسی می شوند و چون قدرت قدسی نمی تواند با تشریفات و شعائر دینی به این ارتباطات و مبادلات مشروعیت دهد، ناچار قدرت های عرفی و دنیوی برای تضمین قراردادها و پیوندها و ممانعت از فسخ آنها پدید می آیند که مهمترین آنها دولتِ مقتدر 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لویاتان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اینجای بحث گمان نمی کنم صاحبِ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فربه تر از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راقم این سطور اختلافی داشته باشد، چون مضمون و منطوق کارهای قبلی ایشان و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 بسط تئوریک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پذیرش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عصری شدن 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ایشان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شدنِ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فنی تر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ایشان از آن استیحاش دارد، پذیرش منزلی در نیمه راه فرآیند عرفی شدنِ قدسی است؛ یعنی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به عکس العمل روانی</w:t>
      </w:r>
    </w:p>
    <w:p>
      <w:pPr>
        <w:pStyle w:val="BookText"/>
        <w:rPr/>
      </w:pPr>
      <w:r>
        <w:rPr>
          <w:rFonts w:ascii="IRNazanin" w:hAnsi="IRNazanin" w:eastAsia="IRNazanin"/>
          <w:color w:val="111111"/>
          <w:sz w:val="28"/>
          <w:sz w:val="28"/>
          <w:szCs w:val="28"/>
          <w:rtl w:val="true"/>
          <w:lang w:bidi="fa-IR"/>
        </w:rPr>
        <w:t xml:space="preserve">نسبت به این پدیده و عواض آن باز می گردد شاید بتوان با آقای دکتر سروش موافقت کرد اما از هنگامی که ترس از سقوط به دام 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ایدئولوژیک شدن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خود را به انکار این پدیده داده و استیحاش جای خود را به تحاشی می دهد، باید جانب علم را نگاه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افلاطون عزیز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بخوانیم به سیاقِ نظریه پردازان نظام جهانی سخن بگوییم، اولین بار در کشورهای مرکزی سرمایه داری، حدود پنج قرن پیش، دین به عصر ایدئولوژی وارد شد و پروتستانتیسم به عنوان اولین ایدئولوژی تاریخ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تاونی، مذهب کاتولیک که آخرین کارمایه های خود را در مواجهه با ساخت نوین اقتصادی و اجتماعی از دست داده بود، ناچار میدان را برای لوتریانیسم، کالوینیسم و پیوریتانیسم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پروتستانی، زمینه ای روانی برای تلاش و تغییر به وجود آورد و دین که تاکنون تنها به کار تعبیر جهان می آمد، ناچار شد برای تغییر آن به قالب ایدئولوژی درآید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ناموزون انکشافِ انقلاب صنعتی و پیدایش نظام سرمایه داری به جوامع غیرغربی نیز کشیده شد و موجب گردید که این جوامع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تأخیری به درازای چند قرن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ایدئولوژیک شدن دین که در مرکز سرمایه داری رخ داده بود به حاشیه این نظام رانده شده و از آنجا به جهان سوم منتقل گردید، گویی کاروان جوامع مختلف بشری ناگزیرند هریک به نوبه خود مدتی را در این منزل 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پیرامونی، </w:t>
      </w:r>
    </w:p>
    <w:p>
      <w:pPr>
        <w:pStyle w:val="BookText"/>
        <w:rPr/>
      </w:pPr>
      <w:r>
        <w:rPr>
          <w:rFonts w:ascii="IRNazanin" w:hAnsi="IRNazanin" w:eastAsia="IRNazanin"/>
          <w:color w:val="111111"/>
          <w:sz w:val="28"/>
          <w:sz w:val="28"/>
          <w:szCs w:val="28"/>
          <w:rtl w:val="true"/>
          <w:lang w:bidi="fa-IR"/>
        </w:rPr>
        <w:t>نیروهای عرفی کننده و نیروهای واکنش علیه مدرنیزاسیون، ترکیب پیچیده ای از قدس زدایی و بازآفرینی قدس را موجب شده اند که همین بازآفرینی امر قدسی، جوهر ایدئولوژی ها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کشورهای دیرتر توسعه یافته یا در حال توسعه و نیز کشورهای تحت سلطه استعمار شاید ورود به منزل ایدئولوژی یک ضرورت اجتماعی و تاریخی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رسیدن به قافله تمدن بشریت، احتیاج به آواز حُدی دارد که شتر عقب مانده را تحت شرایط روانی خاصی به این قافله می رساند، لذا برای بسیج اجتماعی، دینِ حیرت زا و افسونی به کار نمی آید بلکه ایدئولوژی، زاینده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افیون توده هاست، ایدئولوژی محرک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عمل انقلابی، ایدئولوژی انقلابی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برای تحقق رستگاری انفرادی اخروی آمده است، ایدئولوژی وظیفه تحققِ اتوپیای اینجهانی و فردوسِ زمینی را به عهده دارد و لذا هرچه شارژ اتوپیکِ یک باور بیشتر باشد، آن باور ایدئولوژیک تر است و برای تحقق آرمان هایش به تلاشی بیشتر و رهبری فرهمندتر احتیاج دارد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نیز مانند همه کشورهای در حال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کار دکتر شریعتی در طرح هندسی مکتب و تأسیس یک دستگاه اندیشگی با خصلت ایدئولوژیک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باز تفسیر متون و بازآرایی عناصر اندیشه دینی و گلچین کردن اندیشه ها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زاویه مطالعه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ایدئولوژیک شدن دین و سنت مطلوب است؟ پاسخ این سؤال کاملاً به دغدغه ها و دل مشغولی های ما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مقوله مطلوبیت امری ارزشی است و بستگی به دیدگاه های متفاوت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سروش که دغدغه دین دارند، از ترس آنکه سرمایه های قدسی به صحنه اجتماع آمده و فرسایش یابند یا مضمحل شوند، آنها را در هیأت استعلایی شان بهتر می پسندند اما برای کسی که تمایل دیگری دارد ممکن است مسئله فرق کند، مثلاً بسیاری از پیوریتان ها، به این امر واقف بودند که به صحنه پیکار کشاندن قدسیات آنها را عرفی می کند اما چون دغدغه اصلی آنها پیشرفت و ترقی بود، از این امر باکی به خود راه ندادند و دین را به سکّوی پرتابی بدل کردند که ذخیره و سوخت لازم برای گذار به شرایط نوین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با همان واژگان دکتر سروش سخن بگوییم، یکی از معانی آزمون دین در عرصه اجتماع همین سربلند بیرون آمدن از تقلّب و شداید احوال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ادیان در دوران های انتقالی شکست می خورند و جعبه پاندورای آنها که محفوف به حلیه های قدسی است باز شده و جز لعنت از آن بیرون نمی تراود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انگیزیسیون کاتولیسیسم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از این آزمون سربلند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تقلب الاحوال علم جواهر 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فی نفسه مطلوب است</w:t>
      </w:r>
      <w:r>
        <w:rPr>
          <w:rFonts w:eastAsia="IRNazanin" w:cs="IRNazanin"/>
          <w:color w:val="111111"/>
          <w:sz w:val="28"/>
          <w:szCs w:val="28"/>
          <w:rtl w:val="true"/>
          <w:lang w:bidi="fa-IR"/>
        </w:rPr>
        <w:t xml:space="preserve">. </w:t>
      </w:r>
      <w:bookmarkStart w:id="435" w:name="pg3480_42577"/>
    </w:p>
    <w:p>
      <w:pPr>
        <w:pStyle w:val="Heading4"/>
        <w:numPr>
          <w:ilvl w:val="3"/>
          <w:numId w:val="1"/>
        </w:numPr>
        <w:rPr/>
      </w:pPr>
      <w:bookmarkStart w:id="436" w:name="__RefHeading___Toc3418428_2749589250"/>
      <w:bookmarkStart w:id="437" w:name="_Toc170"/>
      <w:bookmarkEnd w:id="435"/>
      <w:bookmarkEnd w:id="436"/>
      <w:r>
        <w:rPr>
          <w:rtl w:val="true"/>
        </w:rPr>
        <w:t>دین عصری در عصر ایدئولوژی</w:t>
      </w:r>
      <w:bookmarkEnd w:id="437"/>
    </w:p>
    <w:p>
      <w:pPr>
        <w:pStyle w:val="BookText"/>
        <w:rPr/>
      </w:pPr>
      <w:r>
        <w:rPr>
          <w:rFonts w:ascii="IRNazanin" w:hAnsi="IRNazanin" w:eastAsia="IRNazanin"/>
          <w:color w:val="111111"/>
          <w:sz w:val="28"/>
          <w:sz w:val="28"/>
          <w:szCs w:val="28"/>
          <w:rtl w:val="true"/>
          <w:lang w:bidi="fa-IR"/>
        </w:rPr>
        <w:t>دین عصری در عصر ایدئولوژی</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همفکران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تو مهمترین رویداد و درخشانترین موفقیتی که ما در سال های اخیر کسب کرده ایم، چیست؟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کلمه تبدیل اسلام از صورت یک فرهنگ به یک ایدئولوژی در میان روشنفکران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شریعتی، با مخاطب های آشنا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قبلاً نیز گفته شد، بر اثر پیدایش شرایط اجتماعی خاص در برهه ای از تاریخ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دهه های چهل و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روشنفکران مسلمان بسیاری از عناصر فرهنگ دینی را ایدئولوژیزه کردند و از این راه، گفتمانِ سیاسی نوینی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شریعتی از کسانی است که در این راه سهم عمده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مکانیسم ایدئولوژیک شدن اسلام در این دوران، تابع قواعد کلّی نسخ سنت و شالوده 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به تعبیر دکتر شریعتی، ابتدا می بایست منابع دینی استخراج، تصفیه و تغلیظ می شدند و باز تعریف و بازتفسیر مجددی روی آنها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طبعاً بسیاری از عناصر دینی که با روح عصر مطابقت نداشتند، در سایه نهاده می شدند؛ وزن بعضی عناصر افزایش می یافت؛ در صورت لزوم برای پرکردن خلل و فرج، عناصر مدخولی از اینجا و آنجا گلچین می شد؛ و در نهایت عناصر مذکور تحت هندسه خاصی معماری، بازآرایی و سازماندهی مجدد</w:t>
      </w:r>
    </w:p>
    <w:p>
      <w:pPr>
        <w:pStyle w:val="BookText"/>
        <w:rPr/>
      </w:pPr>
      <w:r>
        <w:rPr>
          <w:rFonts w:ascii="IRNazanin" w:hAnsi="IRNazanin" w:eastAsia="IRNazanin"/>
          <w:color w:val="111111"/>
          <w:sz w:val="28"/>
          <w:sz w:val="28"/>
          <w:szCs w:val="28"/>
          <w:rtl w:val="true"/>
          <w:lang w:bidi="fa-IR"/>
        </w:rPr>
        <w:t>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هندسه ای با دو اشکوبِ زیربنا و روبنا که از الگوهای دیگر گرته برداری شده بود، به وجود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عرفی شدن، منزلگاه هایی وجود دارد که در آنها، روند افسون زدایی، متوقف شده و حتی معکوس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کشورهای پیرامونی، هنوز از عصر اسطوره و دین گذر نکرده و کوکبه عصر خرد هویدا نشده، وارد عصر ایدئولوژی می شویم، به این معنی که نیروهای عرفی کننده و نیروهای واکنش علیه مدرنیزاسیون، ترکیب پیچیده ای از اسطوره زدایی و بازآفرینی اسطوره، حیرت زدایی و حیرت زایی به وجود می آورند که ایدئولوژی های شبه دینی جهان سوم مخلوق این شرایط دوگانه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هسته هائی از عقلانیت را در بطن خود دارند و از سوی دیگر جلوه های قدسی غریبی از خود برو زمی دهند که حتی در ادیان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بازافسون کردن دستگاه معرفت سنتی، کمکی به حفظ سرمایه های قدسی آن نمی کند بلکه، بالعکس، آن را در صحنه اجتماعی به چالش فراخونده و موجبات فرسایش سریعتر سرمایه های آن را فراهم می آؤرد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وقتی در حد زایدالوصفی دست به تغلیظ عناصر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دکتر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زدیم،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ءٍ جاوز حده انعکس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ناخواه به عرفی شدن آن یاری رسانده ایم، به قول شیخ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همه شب، شب قدری بودی، شب قدر بی قدر بودی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تاریخ معاصر ما به خوبی نشان می دهد که هر نیرویی که دین را ایدئولوژیک تر فهمیده بود بر اثر برخورد با واقعیت های متصلب، </w:t>
      </w:r>
    </w:p>
    <w:p>
      <w:pPr>
        <w:pStyle w:val="BookText"/>
        <w:rPr/>
      </w:pPr>
      <w:r>
        <w:rPr>
          <w:rFonts w:ascii="IRNazanin" w:hAnsi="IRNazanin" w:eastAsia="IRNazanin"/>
          <w:color w:val="111111"/>
          <w:sz w:val="28"/>
          <w:sz w:val="28"/>
          <w:szCs w:val="28"/>
          <w:rtl w:val="true"/>
          <w:lang w:bidi="fa-IR"/>
        </w:rPr>
        <w:t>سرمایه های ماورایی اش زودتر مستهلک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ایدئولوژی ها در فرآیند عرفی شدن کارکردی دوگانه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در کوتاه مدت به بازتولید امر قدسی می پردازند و از دیگرسو به عنوان کاتالیزورهای شتاب دهنده در درازمدت این فرآیند را تسریع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آقای دکتر سروش دغدغه فرسایش سرمایه های قدسی را در جریان ایدئولوژیک شدن دین داشته باشند و در عین حال خود با طرحِ عصری شدن معرفت دینی به روند عرفی شدنِ قدسی کمک نمایند؟</w:t>
      </w:r>
    </w:p>
    <w:p>
      <w:pPr>
        <w:pStyle w:val="BookText"/>
        <w:rPr/>
      </w:pPr>
      <w:r>
        <w:rPr>
          <w:rFonts w:ascii="IRNazanin" w:hAnsi="IRNazanin" w:eastAsia="IRNazanin"/>
          <w:color w:val="111111"/>
          <w:sz w:val="28"/>
          <w:sz w:val="28"/>
          <w:szCs w:val="28"/>
          <w:rtl w:val="true"/>
          <w:lang w:bidi="fa-IR"/>
        </w:rPr>
        <w:t>حل این مسئله را باید در شرایط پارادوکسیکالِ واقعاً موجود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واکنش در مقابل نیروهای عرفی کننده، شرایط بغرنجی را در جهان سوم و بخصوص کشورهای اسلامی موجب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جمعی از احیاگران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نوعی عقب نشینی زده و منطقة الفراغِ وسیعی برای جولان خرد عصر باز می گذارند و از این طریق تتمه ای از دین را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ایدئولوژی پردازان دینی با درانداختن طرحی از ایدئولوژی های تمامت خواه، به جرگه ماکزیمالیست ها پیوسته و با تاکتیک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به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سرمایه های دینی را وارد میدان عمل می کنند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پذیرفت که هر دو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محییان و هم ایدئولوژی پردازان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دین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مسخّر روحِ عصر خرد است و به عصری کردن معرفت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راسیونالیزه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و چه آنکه مسحور افسونِ عصر عمل است و به هندسی </w:t>
      </w:r>
    </w:p>
    <w:p>
      <w:pPr>
        <w:pStyle w:val="BookText"/>
        <w:rPr/>
      </w:pPr>
      <w:r>
        <w:rPr>
          <w:rFonts w:ascii="IRNazanin" w:hAnsi="IRNazanin" w:eastAsia="IRNazanin"/>
          <w:color w:val="111111"/>
          <w:sz w:val="28"/>
          <w:sz w:val="28"/>
          <w:szCs w:val="28"/>
          <w:rtl w:val="true"/>
          <w:lang w:bidi="fa-IR"/>
        </w:rPr>
        <w:t xml:space="preserve">کردن معرفت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ایدئولوژیزه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است، هر دو دل نگران دین هستند اما چه باید کرد که جاده عرفی شدنِ قدسی با موزائیک های دغدغه دین فرش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گروه، یکی به لطف و یکی به قهر به سنگفرش کردن این طریق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مرکبِ ناگزیرِ نیروهای عرفی بودن و دل در گرو معشوقِ قدسی داشتن، پارادوکس زمانه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خصوص مطلوبیتِ ایدئولوژیک شدن دین راقم این سطور در اساس، ایدئولوژیک شدن سنت ها را پدیده ای مرضی و آسیب شناختی می داند که در مراحل اولیه ورود به عصر سرمایه داری دامنگیر بسیاری از جوامع غرب شده و در کشورهای حاشیه سرمایه داری جهانی، همین پدیده با تأخیری طولانی به شکل ویژه ای مشاهده می شود که باید آن را از علائم بالینی کم رشدی و ناموزونی توسعه در این کشورها محسوب کرد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ایدئولوژی ها، هم از آن رو که واجد خصلت هویت بخشی هستند و هم به آن دلیل که نقش شتاب دهنده در روند عرفی شدن ایفا می کنند و هم از آن جهت که موجبات آزمون پذیری تاریخی دین را فراهم می آورند باید مطلوب شمرده شوند و البته مقصود از مطلوبیت در امور اجتماعی مفیدیّت است، نه حقانیت</w:t>
      </w:r>
      <w:r>
        <w:rPr>
          <w:rFonts w:eastAsia="IRNazanin" w:cs="IRNazanin"/>
          <w:color w:val="111111"/>
          <w:sz w:val="28"/>
          <w:szCs w:val="28"/>
          <w:rtl w:val="true"/>
          <w:lang w:bidi="fa-IR"/>
        </w:rPr>
        <w:t xml:space="preserve">. </w:t>
      </w:r>
      <w:bookmarkStart w:id="438" w:name="pg3480_42584"/>
    </w:p>
    <w:p>
      <w:pPr>
        <w:pStyle w:val="Heading3"/>
        <w:numPr>
          <w:ilvl w:val="2"/>
          <w:numId w:val="1"/>
        </w:numPr>
        <w:rPr/>
      </w:pPr>
      <w:bookmarkStart w:id="439" w:name="__RefHeading___Toc3418430_2749589250"/>
      <w:bookmarkStart w:id="440" w:name="_Toc171"/>
      <w:bookmarkEnd w:id="438"/>
      <w:bookmarkEnd w:id="439"/>
      <w:r>
        <w:rPr>
          <w:rtl w:val="true"/>
        </w:rPr>
        <w:t>عرفی شدن گفتمان ها</w:t>
      </w:r>
      <w:bookmarkEnd w:id="440"/>
    </w:p>
    <w:p>
      <w:pPr>
        <w:pStyle w:val="Heading4"/>
        <w:numPr>
          <w:ilvl w:val="3"/>
          <w:numId w:val="1"/>
        </w:numPr>
        <w:rPr/>
      </w:pPr>
      <w:bookmarkStart w:id="441" w:name="__RefHeading___Toc3418432_2749589250"/>
      <w:bookmarkStart w:id="442" w:name="_Toc172"/>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عرفی شدن گفتمان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تعالی، تکامل، توسعه</w:t>
      </w:r>
      <w:r>
        <w:rPr>
          <w:rFonts w:eastAsia="IRNazanin" w:cs="IRNazanin"/>
          <w:color w:val="111111"/>
          <w:sz w:val="28"/>
          <w:szCs w:val="28"/>
          <w:rtl w:val="true"/>
          <w:lang w:bidi="fa-IR"/>
        </w:rPr>
        <w:t>:</w:t>
      </w:r>
    </w:p>
    <w:p>
      <w:pPr>
        <w:pStyle w:val="Heading4"/>
        <w:numPr>
          <w:ilvl w:val="3"/>
          <w:numId w:val="1"/>
        </w:numPr>
        <w:rPr/>
      </w:pPr>
      <w:bookmarkStart w:id="443" w:name="__RefHeading___Toc3418434_2749589250"/>
      <w:bookmarkStart w:id="444" w:name="_Toc173"/>
      <w:bookmarkEnd w:id="443"/>
      <w:r>
        <w:rPr>
          <w:rtl w:val="true"/>
        </w:rPr>
        <w:t>تعالی، تکامل، توسعه</w:t>
      </w:r>
      <w:r>
        <w:rPr>
          <w:rtl w:val="true"/>
        </w:rPr>
        <w:t>:</w:t>
      </w:r>
      <w:bookmarkEnd w:id="444"/>
    </w:p>
    <w:p>
      <w:pPr>
        <w:pStyle w:val="Heading5"/>
        <w:numPr>
          <w:ilvl w:val="4"/>
          <w:numId w:val="1"/>
        </w:numPr>
        <w:rPr/>
      </w:pPr>
      <w:bookmarkStart w:id="445" w:name="__RefHeading___Toc3418436_2749589250"/>
      <w:bookmarkStart w:id="446" w:name="_Toc174"/>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تعالی، تکامل، توسعه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تحوّل گفتمان ترقی در اندیشه روشنفکران دینی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47" w:name="__RefHeading___Toc3418438_2749589250"/>
      <w:bookmarkStart w:id="448" w:name="_Toc175"/>
      <w:bookmarkEnd w:id="447"/>
      <w:r>
        <w:rPr>
          <w:rtl w:val="true"/>
        </w:rPr>
        <w:t>تحوّل گفتمان ترقی در اندیشه روشنفکران دینی</w:t>
      </w:r>
      <w:bookmarkEnd w:id="448"/>
    </w:p>
    <w:p>
      <w:pPr>
        <w:pStyle w:val="Heading6"/>
        <w:numPr>
          <w:ilvl w:val="5"/>
          <w:numId w:val="1"/>
        </w:numPr>
        <w:rPr/>
      </w:pPr>
      <w:bookmarkStart w:id="449" w:name="__RefHeading___Toc3418440_2749589250"/>
      <w:bookmarkStart w:id="450" w:name="_Toc176"/>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تحوّل گفتمان ترقی در اندیشه روشنفکران دینی</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ترقی از مقولاتی است که در کشور ما عنایت چندانی بدان نشده و تحولات آن مورد پژوهش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تک نگاری هایی که در خصوص بعضی اصلاحگران عصر مشروطیت و احیاگران دینی نوشته شده و عمدتاً خصلتی توصیفی دارد،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گفتمانی مستقل از این یا آن اندیشمند و تبدیل و تبدلات این گفتمان، مورد غفلت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برجسته ترین آثاری که در غرب در خصوص اندیشه ترقی نگاشته شده و می تواند الگوی مناسبی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لحاظ روش تحقیق و چه از نظر غنای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قبیل تحقیقات در کشور ما باشد، کتاب تاریخ اندیشه ترقی اثر رابرت نیزبت از سرآمدان جامعه شناسی کارکردگراست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ریشه های فکر ترقی را از درون سنن مسیحیت اولیه و فلسفه و کلام قرون وسطی رهگیری کرده و سپس به عصر رنسانس، نهضت اصلاح دینی و بخصوص پیوریتانیسم نقب زده و رگه های این فکر را تا عصر مدرن تعقیب کرده و در هر مرحله تحولات گفتمان ترقی را در تاریخ غرب نشان داده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نیزبت بذر اندیشه ترقی در قرون وسطای متأخر پاشیده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بود که انسان غربی توانست میان آرمانگرایی موعودی و </w:t>
      </w:r>
      <w:bookmarkStart w:id="451" w:name="pg3480_42586"/>
    </w:p>
    <w:p>
      <w:pPr>
        <w:pStyle w:val="BookText"/>
        <w:rPr/>
      </w:pPr>
      <w:bookmarkEnd w:id="451"/>
      <w:r>
        <w:rPr>
          <w:rFonts w:ascii="IRNazanin" w:hAnsi="IRNazanin" w:eastAsia="IRNazanin"/>
          <w:color w:val="111111"/>
          <w:sz w:val="28"/>
          <w:sz w:val="28"/>
          <w:szCs w:val="28"/>
          <w:rtl w:val="true"/>
          <w:lang w:bidi="fa-IR"/>
        </w:rPr>
        <w:t>واقعگرایی ناشی از خِرَد تکنیکی، ترکیب مناسبی به وجود آورد و با یک چشم به غایه القصوای تاریخ بنگرد و با چشم دیگر، مراقب اولین منزلگاه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عقل جزئی و ابزارانگار توانست در خدمت عقل کلّی نگر و آرمانخواه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ترقی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حاضر کوششی ابتدایی برای طرح این مسئله در تاریخ معاصر ایران است که نگارنده امیدوار است توجه ارباب بصیرت و دوستداران آبادانی و ترقی کشور را به این عرصه بکر تحقیق جلب کند؛ چرا که مقدم بر مباحث تکنیکی در خصوص وجوه مختلف رشد و ترقی کشور، تعمق در مبانی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رویکردی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بر تحقیقات توسعه پرتو بیفکند</w:t>
      </w:r>
      <w:r>
        <w:rPr>
          <w:rFonts w:eastAsia="IRNazanin" w:cs="IRNazanin"/>
          <w:color w:val="111111"/>
          <w:sz w:val="28"/>
          <w:szCs w:val="28"/>
          <w:rtl w:val="true"/>
          <w:lang w:bidi="fa-IR"/>
        </w:rPr>
        <w:t>.</w:t>
      </w:r>
    </w:p>
    <w:p>
      <w:pPr>
        <w:pStyle w:val="Heading6"/>
        <w:numPr>
          <w:ilvl w:val="5"/>
          <w:numId w:val="1"/>
        </w:numPr>
        <w:rPr/>
      </w:pPr>
      <w:bookmarkStart w:id="452" w:name="__RefHeading___Toc3418442_2749589250"/>
      <w:bookmarkStart w:id="453" w:name="_Toc177"/>
      <w:bookmarkEnd w:id="452"/>
      <w:r>
        <w:rPr>
          <w:rtl w:val="true"/>
        </w:rPr>
        <w:t>گفتمان تعالی</w:t>
      </w:r>
      <w:bookmarkEnd w:id="453"/>
    </w:p>
    <w:p>
      <w:pPr>
        <w:pStyle w:val="BookText"/>
        <w:rPr/>
      </w:pPr>
      <w:r>
        <w:rPr>
          <w:rFonts w:ascii="IRNazanin" w:hAnsi="IRNazanin" w:eastAsia="IRNazanin"/>
          <w:color w:val="111111"/>
          <w:sz w:val="28"/>
          <w:sz w:val="28"/>
          <w:szCs w:val="28"/>
          <w:rtl w:val="true"/>
          <w:lang w:bidi="fa-IR"/>
        </w:rPr>
        <w:t>گفتمان تعالی</w:t>
      </w:r>
    </w:p>
    <w:p>
      <w:pPr>
        <w:pStyle w:val="BookText"/>
        <w:rPr/>
      </w:pPr>
      <w:r>
        <w:rPr>
          <w:rFonts w:ascii="IRNazanin" w:hAnsi="IRNazanin" w:eastAsia="IRNazanin"/>
          <w:color w:val="111111"/>
          <w:sz w:val="28"/>
          <w:sz w:val="28"/>
          <w:szCs w:val="28"/>
          <w:rtl w:val="true"/>
          <w:lang w:bidi="fa-IR"/>
        </w:rPr>
        <w:t>اندیشه ترقی نزد فلاسفه و حکمای اسلام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های این گفتمان را می توان چنین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فاضله این اندیشه در گذشته تاریخ قرار دارد، عصری طلایی که هرچه از آن دورتر می شویم عالم و آدم به انحطاط و قهقرا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شدیداً نخبه گراست، و راه تعالی را تنها برای معدودی از انسان ها هموار می بیند؛ انسان هایی که تالی تِلوْ انسان کامل هستند و در معیت مراد و مرشدی کامل می توانند به رستگاری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فضا در این گفتمان خصلتی اثیری دارد و از معبر ماده نمی گذرد و با آن نسبتی برقرار نمی کند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علم و معرفت در این گفتمان فاقد ویژگی انباشتی است و می توان یکشبه ره صدساله رفت</w:t>
      </w:r>
      <w:r>
        <w:rPr>
          <w:rFonts w:eastAsia="IRNazanin" w:cs="IRNazanin"/>
          <w:color w:val="111111"/>
          <w:sz w:val="28"/>
          <w:szCs w:val="28"/>
          <w:rtl w:val="true"/>
          <w:lang w:bidi="fa-IR"/>
        </w:rPr>
        <w:t xml:space="preserve">. </w:t>
      </w:r>
      <w:bookmarkStart w:id="454" w:name="pg3480_42588"/>
    </w:p>
    <w:p>
      <w:pPr>
        <w:pStyle w:val="BookText"/>
        <w:rPr/>
      </w:pPr>
      <w:bookmarkEnd w:id="45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گفتمان که قرائتی عرفانی و اخلاقی از دین به دست می دهد، در واقع نوعی فرافکنی آرزوها و آرمان های سرکوب شده اینجهانی در دنیایی مثالی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مکانیسمی جبرانی برای معنی بخشیدن به زندگی بی بقا در خاکدانِ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نمونه ای به دست داده باشیم، مناظره زیر را که میان یک مرید و مراد در درون این گفتمان صورت گرفته،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حسن زاده آملی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محض مرحوم علامه طباطبایی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راه ترقی و تعالی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تخم سعادت مراقبت است، مراقبت یعنی کشیک نفس کشیدن، یعنی حریم دل را پاسبانی کردن، یعنی سر را از تصرفات شیطانی حفظ داشتن، پاسبان حرم دل بودن، این تخم سعادت را باید در مزرعه دل کاشت، و بعد به اعمال صالحه و آداب و دستورات قرآنی تخم این نهال سعادت را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حضور داشتن و حریم دل را مواظب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که باید دو قوه نظری و عملی اش را که به منزله دو بال هستند از قوه به فعلیت برساند تا بتواند به معارج عالیه انسانی پرواز نماید</w:t>
      </w:r>
      <w:r>
        <w:rPr>
          <w:rFonts w:eastAsia="IRNazanin" w:cs="IRNazanin"/>
          <w:color w:val="111111"/>
          <w:sz w:val="28"/>
          <w:szCs w:val="28"/>
          <w:rtl w:val="true"/>
          <w:lang w:bidi="fa-IR"/>
        </w:rPr>
        <w:t>.»</w:t>
      </w:r>
    </w:p>
    <w:p>
      <w:pPr>
        <w:pStyle w:val="Heading6"/>
        <w:numPr>
          <w:ilvl w:val="5"/>
          <w:numId w:val="1"/>
        </w:numPr>
        <w:rPr/>
      </w:pPr>
      <w:bookmarkStart w:id="455" w:name="__RefHeading___Toc3418444_2749589250"/>
      <w:bookmarkStart w:id="456" w:name="_Toc178"/>
      <w:bookmarkEnd w:id="455"/>
      <w:r>
        <w:rPr>
          <w:rtl w:val="true"/>
        </w:rPr>
        <w:t>گفتمان تکامل</w:t>
      </w:r>
      <w:bookmarkEnd w:id="456"/>
    </w:p>
    <w:p>
      <w:pPr>
        <w:pStyle w:val="BookText"/>
        <w:rPr/>
      </w:pPr>
      <w:r>
        <w:rPr>
          <w:rFonts w:ascii="IRNazanin" w:hAnsi="IRNazanin" w:eastAsia="IRNazanin"/>
          <w:color w:val="111111"/>
          <w:sz w:val="28"/>
          <w:sz w:val="28"/>
          <w:szCs w:val="28"/>
          <w:rtl w:val="true"/>
          <w:lang w:bidi="fa-IR"/>
        </w:rPr>
        <w:t>گفتمان تکامل</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نگره تکامل، تحت تأثیر تحولات اجتماعی پس از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رویارویی روشنفکران دینی با برخی اندیشه های وارداتی شکل گرفت، و از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گفتمان غالب روشنفکر ایران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اوّل تکامل گرایان وطنی، عمدتاً نظریات خود را از اندیشمندانی چون داروین، اسپنسر، میل و کنت وام 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نظریات قائلین به تکامل مادی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اوپارین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نسل دوّم تکاملیونِ وطنی سنگینی می کند و حتی به نظر می رسد که برخلاف نسل اوّل، دست به نوعی تجدیدساختار گفتمان تعالی نیز زده و قرائت تازه ای از آن به دست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ذیلاً به مهمترین ویژگی های این نگره به صورتی گذرا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گفتمان حرکت دورانی تاریخ تبدیل به حرکتی خطی می شود، تاریخ در مسیری یگانه از مهبانگ شروع شده و حلقه های زنجیره تکامل را یکی پس از دیگری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گفتمان، زمان خصلتی مادی یافته و چون نخ تسبیحی از درون وقایع و پدیده های مادّی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سخن از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به میان می آید و ذهن روشنفکر دینی ما با مفهوم پروسه تکامل خو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ناکجاآباد از ابتدای تاریخ به انتهای آن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تکاملی تاریخ همچون امری مطلوب جلوه می کند و خوشبینی نسبت به آینده جای بدبینی های قبلی را می گیرد، زیرا کوره تاریخ همه ناخالصی ها را پاک می کند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وجوه این گفتمان، تشرّف یافتنِ مفهوم کار مشخص تاریخ ساز و نوعی اراده گرایی است که به عمل اجتماعی منجر می شود، یخ های تقدیر را ذوب می کند و عالمی و آدمی از نو می سازد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دوگانه انگاری از ویژگی های دیگر این نگره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جهان </w:t>
      </w:r>
      <w:bookmarkStart w:id="457" w:name="pg3480_42592"/>
    </w:p>
    <w:p>
      <w:pPr>
        <w:pStyle w:val="BookText"/>
        <w:rPr/>
      </w:pPr>
      <w:bookmarkEnd w:id="457"/>
      <w:r>
        <w:rPr>
          <w:rFonts w:ascii="IRNazanin" w:hAnsi="IRNazanin" w:eastAsia="IRNazanin"/>
          <w:color w:val="111111"/>
          <w:sz w:val="28"/>
          <w:sz w:val="28"/>
          <w:szCs w:val="28"/>
          <w:rtl w:val="true"/>
          <w:lang w:bidi="fa-IR"/>
        </w:rPr>
        <w:t xml:space="preserve">به دو جبهه اهورایی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اهریمنی و دو اردوی توحید و شرک، ناچار به تقویت رهیافت ستیزش گرانه نسبت به جامعه و تاریخ راه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تاریخ دارای جهت، معنی و منطق ویژه ای است که در ساختار مادی آن پیکر می یابد و روند آن مانند هر روند مادی دیگر، طبیعی و غیرقابل اجتناب است، می توان با شناختن قوانین آن، مسیر تاریخ را تند یا کُند کرد</w:t>
      </w:r>
      <w:r>
        <w:rPr>
          <w:rFonts w:eastAsia="IRNazanin" w:cs="IRNazanin"/>
          <w:color w:val="111111"/>
          <w:sz w:val="28"/>
          <w:szCs w:val="28"/>
          <w:rtl w:val="true"/>
          <w:lang w:bidi="fa-IR"/>
        </w:rPr>
        <w:t>.</w:t>
      </w:r>
    </w:p>
    <w:p>
      <w:pPr>
        <w:pStyle w:val="Heading6"/>
        <w:numPr>
          <w:ilvl w:val="5"/>
          <w:numId w:val="1"/>
        </w:numPr>
        <w:rPr/>
      </w:pPr>
      <w:bookmarkStart w:id="458" w:name="__RefHeading___Toc3418446_2749589250"/>
      <w:bookmarkStart w:id="459" w:name="_Toc179"/>
      <w:bookmarkEnd w:id="458"/>
      <w:r>
        <w:rPr>
          <w:rtl w:val="true"/>
        </w:rPr>
        <w:t>گفتمان توسعه</w:t>
      </w:r>
      <w:bookmarkEnd w:id="459"/>
    </w:p>
    <w:p>
      <w:pPr>
        <w:pStyle w:val="BookText"/>
        <w:rPr/>
      </w:pPr>
      <w:r>
        <w:rPr>
          <w:rFonts w:ascii="IRNazanin" w:hAnsi="IRNazanin" w:eastAsia="IRNazanin"/>
          <w:color w:val="111111"/>
          <w:sz w:val="28"/>
          <w:sz w:val="28"/>
          <w:szCs w:val="28"/>
          <w:rtl w:val="true"/>
          <w:lang w:bidi="fa-IR"/>
        </w:rPr>
        <w:t>گفتمان توسعه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توسعه، نحوه نگرش خاصی است که عمدتاً از درون سنت فکری مدرنیزاسیون و کارکردگرایی بیرون آمده است و گرچه تاریخ پیدایش آن در غرب به بعد از جنگ دوّم باز می گردد، اما غلبه آن بر ذهن و ضمیر روشنفکران دینی ایران هنوز کامل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انقلاب این نگرش در میان برنامه ریزان رسمی حاکم بود اما روشنفکران رادیکال همواره آن را اندیشه ای وارداتی می دانستند که راه را برای ادغام در بازار جهانی و تقسیم کار بین المللی هموار می کند و به جای ترقی، غربی شدن را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اندیشه هرگز نتوانست کوچکترین نسبتی با سنن روشنفکری ایران برقرار کند و حتی به قولی، انقلاب اسلامی واکنشی در برابر این نگرش درباره ترقی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انقلاب و بخصوص با پایان پذیرفتن جنگ و آغاز دوران بازسازی و شکست الگوهای آمرانه توسعه در سطح بین المللی، این گفتمان در حال تبدیل شدن به گفتمان غالب در میان کارگزاران و برنامه ریزان رسمی و همچنین روشنفکران خارج از مدار قدرت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ویژگی های این گفتمان عبارت است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اهداف باید جانب احتیاط در پیش گرفت و از آرمان های بلندپروازانه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رسیدن به اهداف نیز باید عقلانی و متناسب با اهداف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رساندن کل بشریت به اهداف غایی خلقت نیستیم و قرار نیست جای خدا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کلّ بهم پیوسته ای است و اَبنای بشر جملگی در یک قایق به سر می برند؛ سوراخ کردن این قایق با نیت حذف اردوی مخالف به مصلحت هیچ کس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گفتمان به شدّت ضدّ تاریخگرایی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تنها شمه ای از خطوط اصلی گفتمان های سه گانه توسعه بود ذیلاً نکاتی را که ارتجالاً به ذهن می رسد برای فتح باب بحث متعرض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گفتمان اوّل که آن را نگره سنتی و درون زای ترقی دانستیم، عمدتاً متعلق به دوره ای است که نظمی اخلاقی موجب پیوندهای اجتماعی در شبکه بافت سنتی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 گرایی، طمأنینه، زبان اخلاقی و بی بُعدی زمان در این گفتمان رابطه ای مستقیم با نوعی شبکه اجتماعی دارد که سنت ها و شعائر تار و پود آن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دلهره و اضطراب جامعه صنعتی در آن خبری نیست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دوّم، شرایط در هم ریخته نظام های ارزشی و گسستن پیوندهای اجتماعی و پیدایش حالت آنومی را بازتاب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سیطره مادّی و معنوی کشورهای مرکزی سرمایه داری بر جوامع پیرامونی و پویایی درونی دوران انتقال در این جوامع باعث پیدایش شرایطی می گردد که انسانِ ذره ای شده و کنده شده از شبکه مناسبات اجتماعی، دچار ناهمگونی ادراکی میان ارزش های تاکنون معتبر و ارزش های نورسیده می شود و به دنبال حل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 ایدئولوژی های تاریخگرا چنگ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سازوکار جبرانی بحران معنی آن است که معنی را به روند تاریخ فرافکنی کنیم و از آن طریق وجود و حضور خود را بار دیگر تفسیر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برای تشفی و تسلی ظلم هایی که بر انسان پیرامونی می رود آن است که ارابه زمان، دشمنان وی را زیر چرخ های عظیم خود له خواهد کرد و او را در نوک پیکان تکامل که همه چیز را می شکافد، خواهد نشاند و دوباره با محیطش منطبق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حامل ترقی در این گفتمان پیشتاز برگزیده ای است که با رنج و فداکاری صخره های عظیم مانع راه تکامل را سوراخ کرده و رهایی را برای توده ها به ارمغان خواهد آورد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سوّم متناظر با پیدایش طلیعه تنظیمات قراردادی و گسترش مناسبات ناشی از پذیرش عقلانیت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مناسبات در کشور ما هنوز مراحل ابتدایی خود را می گذراند اما الگوی حاکم بر سیاست های توسعه که همانا لیبرالیزه کردن ساختار اقتصادی است خواه ناخواه به تقویت نگره نوسازی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نوع کلاسیک آن و چه اشکال تجدید نظر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انجامیده و آن را از اندیشه ای وارداتی تبدیل </w:t>
      </w:r>
    </w:p>
    <w:p>
      <w:pPr>
        <w:pStyle w:val="BookText"/>
        <w:rPr/>
      </w:pPr>
      <w:r>
        <w:rPr>
          <w:rFonts w:ascii="IRNazanin" w:hAnsi="IRNazanin" w:eastAsia="IRNazanin"/>
          <w:color w:val="111111"/>
          <w:sz w:val="28"/>
          <w:sz w:val="28"/>
          <w:szCs w:val="28"/>
          <w:rtl w:val="true"/>
          <w:lang w:bidi="fa-IR"/>
        </w:rPr>
        <w:t>به گفتمانی درونی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این صورت فن سالاران و کارآفرینان نوع وطنی که حاملان اصلی این قرائت از ترقی هستند جای اسلاف خود را خواهند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نگارنده واقف است که این نوع دسته بندی، مطابق با تئوری های نظریه پردازانی چون دورکیم، وبر و تونیس تا حدودی به ساده کردن واقعیات بغرنج کشوری مثل ایرانِ کنونی منتهی می شود، مع الوصف با پذیرش این خطر، ارائه نمونه های آرمانی که مصنوع تئوری هاست این خاصیت را دارد که چون متر و میزانی برای سنجش قرب و بُعد واقعیات جاری از حالات ایده آل به کار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گفتمان اوّل قرائتی عرفانی از دین به دست داده، گفتمان دوّم قرائتی ایدئولوژیک از دین کرده و گفتمان سوّم باید بتواند قرائتی عرفی، عصری و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تحصلی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بنماید والاّ همواره به عنوان عنصری خارجی تلقی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همانند بسیاری از ساختارهای متعلق به ادوار مختلف که در کشورهای جهان سوم با یکدیگر همزیستی می کنند، این سه گفتمان نیز در کشور ما حضور دارند، هرچند هر یک از لحاظ تاریخی متعلق به ادوار خاصی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باید شرایط بین المللی را در پیدایش این گفتمان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گفتمان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گفتمان دوّم مقارن است با میدانداری نظریه وابستگی در صحنه عمل و نظر و همچنین مقتضیات جنگ سرد که راه رشد سرمایه داری را در میان </w:t>
      </w:r>
      <w:bookmarkStart w:id="460" w:name="pg3480_42600"/>
    </w:p>
    <w:p>
      <w:pPr>
        <w:pStyle w:val="BookText"/>
        <w:rPr/>
      </w:pPr>
      <w:bookmarkEnd w:id="460"/>
      <w:r>
        <w:rPr>
          <w:rFonts w:ascii="IRNazanin" w:hAnsi="IRNazanin" w:eastAsia="IRNazanin"/>
          <w:color w:val="111111"/>
          <w:sz w:val="28"/>
          <w:sz w:val="28"/>
          <w:szCs w:val="28"/>
          <w:rtl w:val="true"/>
          <w:lang w:bidi="fa-IR"/>
        </w:rPr>
        <w:t>روشنفکران جهان سوّمی مطرود و منفور جلوه می داد و پیدایش گفتمان سوّم را باید کمابیش متأثر از غلبه نظریات نولیبرالی و فروپاشی نظام هایی از نوع شوروی دانست</w:t>
      </w:r>
      <w:r>
        <w:rPr>
          <w:rFonts w:eastAsia="IRNazanin" w:cs="IRNazanin"/>
          <w:color w:val="111111"/>
          <w:sz w:val="28"/>
          <w:szCs w:val="28"/>
          <w:rtl w:val="true"/>
          <w:lang w:bidi="fa-IR"/>
        </w:rPr>
        <w:t>.</w:t>
      </w:r>
    </w:p>
    <w:p>
      <w:pPr>
        <w:pStyle w:val="Heading3"/>
        <w:numPr>
          <w:ilvl w:val="2"/>
          <w:numId w:val="1"/>
        </w:numPr>
        <w:rPr/>
      </w:pPr>
      <w:bookmarkStart w:id="461" w:name="__RefHeading___Toc3418448_2749589250"/>
      <w:bookmarkStart w:id="462" w:name="_Toc180"/>
      <w:bookmarkEnd w:id="461"/>
      <w:r>
        <w:rPr>
          <w:rtl w:val="true"/>
        </w:rPr>
        <w:t>سایر مقالات</w:t>
      </w:r>
      <w:bookmarkEnd w:id="462"/>
    </w:p>
    <w:p>
      <w:pPr>
        <w:pStyle w:val="BookText"/>
        <w:rPr/>
      </w:pPr>
      <w:r>
        <w:rPr>
          <w:rFonts w:ascii="IRNazanin" w:hAnsi="IRNazanin" w:eastAsia="IRNazanin"/>
          <w:color w:val="111111"/>
          <w:sz w:val="28"/>
          <w:sz w:val="28"/>
          <w:szCs w:val="28"/>
          <w:rtl w:val="true"/>
          <w:lang w:bidi="fa-IR"/>
        </w:rPr>
        <w:t>سایر مقالات</w:t>
      </w:r>
    </w:p>
    <w:p>
      <w:pPr>
        <w:pStyle w:val="BookText"/>
        <w:rPr/>
      </w:pPr>
      <w:r>
        <w:rPr>
          <w:rFonts w:ascii="IRNazanin" w:hAnsi="IRNazanin" w:eastAsia="IRNazanin"/>
          <w:color w:val="111111"/>
          <w:sz w:val="28"/>
          <w:sz w:val="28"/>
          <w:szCs w:val="28"/>
          <w:rtl w:val="true"/>
          <w:lang w:bidi="fa-IR"/>
        </w:rPr>
        <w:t>دین و خشونت</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یک نظریه کلاسیک، دین حاوی مجموعه ای از ارزش های قدسی ولایتغیر است که از وحی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ها خصلت قراردادی و بین الاهانی ندارد، یعنی جزمی هستند و لذا با تعصب و غموض همراه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جزم یا دگم را عنصر جوهری دین بدانیم، خشونت در گوهر دین راه خواهد یافت، و دین و خشونت لازم و ملزوم یکدیگر خواهند شد، زیرا توسل و اتکای به جزم موجب مرزگذاری می شود و دینداران را از کج دینان، برونیان، مرتدان و کافران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جهان را سیاه و سفید می بیند نه رنگی، و با همه کسانی که با قرائت رسمی از جزم موافق نیستند، خشونت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کفر و ایمان، هیچ مجالی برای مدارا، همپذیری و همزیستی وجود ندارد؛ دین هویت می سازد و خود و دیگری را از یکدیگر تفکیک می کند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دیگری مطرح می شود که دین را اساساً یک پدیده فرهنگی و تمدن آفرین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نظریه، دین پدیده ای لطیف و لطافت آفرین است که مثل هنر و سایر مقولات فرهنگی، خشونت زدایی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تعالیم اسلامی با این آموزه آشناییم که دین عناصر بدوی و خشن را تضعیف کرده و به وضعیت جاهلی خاتمه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واذکروا نعمت اللّه علیکم اذ کنتم اعداءً فالّف بین قلوبکم فاصبحتم بنعمة، اخواناً و کنتم علی شفا حفرةٍ من النار فانقذکم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نظریه هایی که دین را در نسبت با زمینه بررسی می کنند، ادبیات جامعه شناسی دینی مباحث، متنوع و غنی ای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دیدگاه های رادیکال معتقدند که ما برای تحلیل رابطه دین و خشونت مثلاً باید طبقه اجتماعی حاملان دین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خواهیم دید که دینِ واحد ممکن است بسته به نوع حاملانش خشن شود یا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خرده بورژوازی حامل دین می شود، از دین ابزاری برای پناه بردن به آرمان ها ناکجاآبادی خود می سازد، و انقلابی گری بسیار خشن خرده بورژوازی از همین جا سربر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خرده بورژوازی با هر ایدئولوژی ای همین کار را می کند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کارشناسان مالزیایی مدعی بود که تفاوت اسلام در مالزی با کشوری نظیر ایراناین است که حاملان اسلام در مالزی و شبه قاره اولیا و متصوفه یا تجار بوده، اما در کشورهای مفتوح العنوه نظیر ایران، غازیان و جنگاوران، حامل اسلام بوده اند، و لذا اسلام در کشوری مثل مالزی اساساً در خدمت توسعه داد و ستد جهانی بوده، از همان ابتدا پروتستانتیزه شده به مالزی وارده شده است، اما درجوامع خاورمیانه ماجرا از قرار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اعتبار طبقه اجتماعی </w:t>
      </w:r>
    </w:p>
    <w:p>
      <w:pPr>
        <w:pStyle w:val="BookText"/>
        <w:rPr/>
      </w:pPr>
      <w:r>
        <w:rPr>
          <w:rFonts w:ascii="IRNazanin" w:hAnsi="IRNazanin" w:eastAsia="IRNazanin"/>
          <w:color w:val="111111"/>
          <w:sz w:val="28"/>
          <w:sz w:val="28"/>
          <w:szCs w:val="28"/>
          <w:rtl w:val="true"/>
          <w:lang w:bidi="fa-IR"/>
        </w:rPr>
        <w:t>حاملاندین مُهر و نشان خود را بر دین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ساختارهایی هستند که عناصر دینی را به نابردباری یا رواداری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خشونت آمیز شدن نهاد دین ناشی از همجواری آن با نهاد دولت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دولت از دین بخواهد خشونتی را که مطلوب دولت است، موجّه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اوقات وابستگین هاد دین به دولت ممکن است به کاهش خشونت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وابستگی نهاد دین به دولت می تواند از رادیکالیسم نهاد دین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مدرن گسترش جنبش های اجتماعی نیاز شدیدی به رادیکالیزه کردن دین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جاهایی که فرهنگ های بومی با فرهنگ استعماری روبه رو می شوند و به واسطه هویت باختگی دچار بحران معنا می شوند، افراد ایدئولوژیزه کنند و به این وسیله به جنگ استعمار بروند، یعنی در این موقعیت چون افراد می خواهند مبارزه ضداستعماری یا ضدامپریالیستی داشته باشند از نهاددین طلب می کنند که ابزار لازم را برایشان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دولتی که مستقر شده و در صدد توسعه است مطالبات خاصی را پیش روی نهاد دین می گذارد، یعنی سفارش هایی به نهاد دین می دهد و از دین پاسخ مناسب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گاهی اوقات این مطالبات در جهت تشدید خشونت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نهاد دین در چالش با سایر نهادها از رقابت فرو ماند و احساس کند که در حال اضمحلال است و گویی باید عرصه را یکسره به رقبا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ممکن است در </w:t>
      </w:r>
    </w:p>
    <w:p>
      <w:pPr>
        <w:pStyle w:val="BookText"/>
        <w:rPr/>
      </w:pPr>
      <w:r>
        <w:rPr>
          <w:rFonts w:ascii="IRNazanin" w:hAnsi="IRNazanin" w:eastAsia="IRNazanin"/>
          <w:color w:val="111111"/>
          <w:sz w:val="28"/>
          <w:sz w:val="28"/>
          <w:szCs w:val="28"/>
          <w:rtl w:val="true"/>
          <w:lang w:bidi="fa-IR"/>
        </w:rPr>
        <w:t>درون خود نهاد دین نخبگان خاصی، درم قابل پاسخ رسمی، پاسخ بدیل و جدیدی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در مقابل حاملان رسمی دین که متحجر و متصلب شده اند و توان اصلاح ندارند، و از موقعیت اضمحلال و تلاشی خود غافلند، نخبگانی در داخل نهاد دین سربرآوردند که برای حفظ کلیت نهاد دین، از منابعی خارج از نهاد دین استفاده کنند و آن یافته ها را در داخل نهاد دین درونی کنند تا بتوانند یک بدیل در مقابل پاسخ رسمی نهاد دین فراهم کنند و از این طریق نوعی رفورم درونی در نهاد دین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این فرآیند یکی از عوامل خشونتبار شدن نهاد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دوره ای که در ایران جنگ چریکی بالا گرفت و جنبش های چریکی مارکسیستی از قدرت جذب اجتماعی بالایی برخوردار شدند، نهاد دین سنتی و رسمی ما از رقابت با این موج جدید ناتوان بود و لازم بود از درون خود این نهاد پاسخی به معضلات درونی این نهاد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همیشه این طور نیست که نهاد دین مطابق سفارش هایی که از بیرون به آن می رسد به سمت رادیکالیزه شدن برود، گاهی نیاز نهاد دین به بقا هم آن را به این سمت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فرآیند تحول تاریخی دین را مرحله بندی کنیم، مرحله اول را می توانیم مرحله جنین بندی یا نطفه بندی اولیه دین و تخمیر عناصر ایدئولوژیک آن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این مرحله مشکل استقراری و تأسیس خود را حل می کند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نهاد دین خودش را در چالش با سایر نهادها تثبیت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علی القاعده نوبت به گسترش و اشاعه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مرحله تثبیت و چه بسا کهولت و انحطاط و اضمحلال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مراحل اقتضائات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بتوانیم دین را در 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 زیرا در این مرحله دین در مقابل انبوه هجوم ها و فشارها مقاومت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دوم می توانیم 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انفتاح و 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هم که دین به مرحله استقرار و تثبیت رسید،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وضع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یعنی دینی که می کوشد وضع موجود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آخر عناصر ناکجاآبادی دین تخلیه یا ته نشست می شود و به ایدئولوژی حفظ وضع موجود تبدیل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در مراحل اولیه دین اخوت ها و همبستگی های درون دینی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دینداران چندان مایل نیستند که با بیرون خود برخورد خشن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بیشتر ظلم پذیری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دینداران تحت این شرایطِ سخت که از هرطرف کمان ملامت به سوی شان کشیده اند، باید یکدیگر را به صبر و حق توصیه کنند تا دین پا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دین به دین انقلاب تبدیل شود باید تحولاتی در بیرون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شرایط عینی جامعه رو به وخامت بگذارد، دین مقاومت باید بتواند یک بدیل مشروعیت ساز را تکمیل و مدون کند، و به نوعی حقانیت قدرت مستقر را زیر سؤال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 بتواند برای خود مشروعیت بسازد و ثانیاً بتواند مشروعیت قدرت موجود را مورد تردید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علیه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برای همین مقصود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زیادی از انرژی مصلحان دینی صرف آلترناتیوسازی می شود تا بعد بتوانند سربازگیری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باید بتواند در مقطعی از حالت انزوا و جزیره نشینی بیرون بیاید، سربازگیری کند و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خشونت، همین مرحله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دینی که تاکنون در حال مقاومت بود، می خواهد از پوسته مقاومت خود بیرون بیاید و به اصطلاح جهانگیری کند و لذا در این مرحله علی القاعده خشونت آمیز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شما به رفورماسیون و پروتستانتیسم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اخلاق پروتستانتیسم روح سرمایه داری تلقی می شود وسرمایه داری با مدارا و پلورالیسم و لیبرال دموکراسی سازگارتر است، پروتستانتیسم در اوایل مرحله انکشاف خود بسیار خشن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خشن ترین دولت های دینی را در ژنو کالون داریم، اصلاً دولت کالون اولین دولت ایدئولوژیک و توتالیتر است و از دادگاه تفتیش عقاید قرون وسطی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لوتریانیسم هم با خشونت بیکرانی مواجهیم، حتی خود لوتر شخصاً مرد خشنی بود و به جبهه جنگ هم می رفت و پاپ را دجال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دهقان ها شورش کردند، به شدت علیه آنها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فضای خشونت بار و ناامن نمی توانست زمینه مساعد و امنی برای سرمایه داری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بود کسانی نظیر جان لاک از راه برسند و در رفورماسیون نوعی رفورم کنند و عناصر سودمند آن را که به درد لیبرال دموکراسی می خورد برگیرند و به هرحال ایدئولوژی لیبرال دموکراسی 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پروتستانتیسم هم بسته به </w:t>
      </w:r>
    </w:p>
    <w:p>
      <w:pPr>
        <w:pStyle w:val="BookText"/>
        <w:rPr/>
      </w:pPr>
      <w:r>
        <w:rPr>
          <w:rFonts w:ascii="IRNazanin" w:hAnsi="IRNazanin" w:eastAsia="IRNazanin"/>
          <w:color w:val="111111"/>
          <w:sz w:val="28"/>
          <w:sz w:val="28"/>
          <w:szCs w:val="28"/>
          <w:rtl w:val="true"/>
          <w:lang w:bidi="fa-IR"/>
        </w:rPr>
        <w:t>زمینه پیدایش و رشدش خشن تر یا لطیف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پروتستانتیسم در پروس در خدمت دولت مقتدر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پروتستانتیسم پروسی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ورتمبرگ انزوا و انفعال سیاسی را پیشه کرد، و در انگلستان در خدمت سیاست ضد خودکامگی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اگرچه عناصر کلامی در تمام شاخه های پروتستانتیسم یکسان بود و جملگی بر خلوص فردی، پذیرش سلطنت الهی، خوشبینی نسبت به آینده، زهد دنیوی و غیره تأکید داشتند، اما در زمینه ها یا </w:t>
      </w:r>
      <w:r>
        <w:rPr>
          <w:rFonts w:eastAsia="Times New Roman" w:cs="Times New Roman" w:ascii="Times New Roman" w:hAnsi="Times New Roman"/>
          <w:color w:val="111111"/>
          <w:sz w:val="28"/>
          <w:szCs w:val="28"/>
          <w:lang w:val="en-US" w:bidi="en-US"/>
        </w:rPr>
        <w:t>context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مختلف جهت گیری های متفاوتی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هنگامی که عناصر سنتی در خدمت اهداف مشخص سیاسی قرار می گیرند و در ظرف های مشخص اجتماعی با موانعی روبه رو می شوند، به ایدئولوژی های گوناگون تبدیل می شوند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پیوریتانیسم انگلیسی از آن رو به یک ایدئولوژی ضدقدرت مطلقه تبدیل شد که از یک سو توانست پایگاه توده ای نسبتاً قدرتمندی در میان عوام بیابد، و از سوی دیگر با دشمنی دولت کلیسایی مواجه شد که کاملاً به شاه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آیینی در ورتمبرگ به انفعال سیاسی کشید زیرا در آنجا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نسبتاً مستقل از سلطنت و وابسته به اشرافیت بود و این نهاد با آن جنبش دینی مدارا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پروتستانتیسم ضد خودکامگی شد اما خصلت انقلابی پیدا نکرد، زیرا مکانیسم های رسیدن به هدف از طرق صلح آمیز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آیینی پروسی، برعکس در جامعه ای نشو و نما یافت که اشرافیت فئودال به لحاظ سیاسی و اقتصادی پایگاه ضعیفی داشت و لذا مهمترین حامی </w:t>
      </w:r>
    </w:p>
    <w:p>
      <w:pPr>
        <w:pStyle w:val="BookText"/>
        <w:rPr/>
      </w:pPr>
      <w:r>
        <w:rPr>
          <w:rFonts w:ascii="IRNazanin" w:hAnsi="IRNazanin" w:eastAsia="IRNazanin"/>
          <w:color w:val="111111"/>
          <w:sz w:val="28"/>
          <w:sz w:val="28"/>
          <w:szCs w:val="28"/>
          <w:rtl w:val="true"/>
          <w:lang w:bidi="fa-IR"/>
        </w:rPr>
        <w:t>پاک آیینی، خودِ دولت متمرکز شد، دولتی که برای مبارزه با اشرافیت زمیندار به این حمایت حاجت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رفورم مذهبی در پروس به سمت حمایت از قدرت مطلقه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دین در مرحله انکشاف و گسترش خود خصلت خشونت زا پیدا کند یا ضدخشونت، به زمینه پیدایش و گسترش آن بستگی دارد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در نهایت به نظر من جوهره دین نسبت به خشونت یا عدم خشونت لااقتضاست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برای آنکه بتوانیم خشونت های دینی را توضیح دهیم حتماً باید به زمینه یا </w:t>
      </w:r>
      <w:r>
        <w:rPr>
          <w:rFonts w:eastAsia="Times New Roman" w:cs="Times New Roman" w:ascii="Times New Roman" w:hAnsi="Times New Roman"/>
          <w:color w:val="111111"/>
          <w:sz w:val="28"/>
          <w:szCs w:val="28"/>
          <w:lang w:val="en-US" w:bidi="en-US"/>
        </w:rPr>
        <w:t>context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کنیم</w:t>
      </w:r>
      <w:r>
        <w:rPr>
          <w:rFonts w:eastAsia="IRNazanin" w:cs="IRNazanin"/>
          <w:color w:val="111111"/>
          <w:sz w:val="28"/>
          <w:szCs w:val="28"/>
          <w:rtl w:val="true"/>
          <w:lang w:bidi="fa-IR"/>
        </w:rPr>
        <w:t xml:space="preserve">. </w:t>
      </w:r>
      <w:bookmarkStart w:id="463" w:name="pg3480_42616"/>
    </w:p>
    <w:p>
      <w:pPr>
        <w:pStyle w:val="Heading2"/>
        <w:numPr>
          <w:ilvl w:val="1"/>
          <w:numId w:val="1"/>
        </w:numPr>
        <w:rPr/>
      </w:pPr>
      <w:bookmarkStart w:id="464" w:name="__RefHeading___Toc3418450_2749589250"/>
      <w:bookmarkStart w:id="465" w:name="_Toc181"/>
      <w:bookmarkEnd w:id="463"/>
      <w:bookmarkEnd w:id="464"/>
      <w:r>
        <w:rPr>
          <w:rtl w:val="true"/>
        </w:rPr>
        <w:t>کتاب نامه</w:t>
      </w:r>
      <w:bookmarkEnd w:id="465"/>
    </w:p>
    <w:p>
      <w:pPr>
        <w:pStyle w:val="Heading3"/>
        <w:numPr>
          <w:ilvl w:val="2"/>
          <w:numId w:val="1"/>
        </w:numPr>
        <w:rPr/>
      </w:pPr>
      <w:bookmarkStart w:id="466" w:name="__RefHeading___Toc3418452_2749589250"/>
      <w:bookmarkStart w:id="467" w:name="_Toc182"/>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 قرآن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کتاب مقدس، ترجمه تفسیری، بی نا،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آرون، ریمون؛ مراحل اساسی اندیشه در جامعه شناسی، باقر پرهام، تهران،سازمان انتشارات و آموزش انقلاب اسلامی،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محمد؛ النهایة، قم، اسماعیلیان، چاپ چهارم،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معجم مقاییس اللغة، قم، مرکز النشر،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منظور، محمد؛ لسان العرب، قم، نشر أدب الحوزة،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ابوریّه، محمود؛ اضواء علی السنة المحمدیة، قم، مؤسسه انصاریان،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اشتراوس، لئو؛ فلسفه سیاسی چیست؟، فرهنگ رجایی، تهران، شرکت انتشارات علمی و فرهنگی،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bookmarkStart w:id="468" w:name="pg3480_42617"/>
    </w:p>
    <w:p>
      <w:pPr>
        <w:pStyle w:val="BookText"/>
        <w:rPr/>
      </w:pPr>
      <w:bookmarkEnd w:id="46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البرو، مارتین؛ مقدمات جامعه شناسی، منوچهر صبوری، تهران، نشر نی،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3"/>
        <w:numPr>
          <w:ilvl w:val="2"/>
          <w:numId w:val="1"/>
        </w:numPr>
        <w:rPr/>
      </w:pPr>
      <w:bookmarkStart w:id="469" w:name="__RefHeading___Toc3418454_2749589250"/>
      <w:bookmarkStart w:id="470" w:name="_Toc183"/>
      <w:bookmarkEnd w:id="469"/>
      <w:r>
        <w:rPr>
          <w:rtl w:val="true"/>
        </w:rPr>
        <w:t>الف</w:t>
      </w:r>
      <w:r>
        <w:rPr>
          <w:rtl w:val="true"/>
        </w:rPr>
        <w:t xml:space="preserve">) </w:t>
      </w:r>
      <w:r>
        <w:rPr>
          <w:rtl w:val="true"/>
        </w:rPr>
        <w:t>کتاب</w:t>
      </w:r>
      <w:r>
        <w:rPr>
          <w:rtl w:val="true"/>
        </w:rPr>
        <w:t>:</w:t>
      </w:r>
      <w:bookmarkEnd w:id="4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الیاده، میرچا؛ فرهنگ و دین، گروه مترجمان زیر نظر بهاء الدین خرمشاهی،تهران، طرح نو،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محمد علی، الموسوعة الفقهیة المیسرة و یلیها الملحق الاصولی، قم،مجمع الفکر الاسلامی،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بارنز و بکر؛ تاریخ اندیشه اجتماعی، جواد یوسفیان و علی اصغر مجیدی، تهران،انتشارات امیر کبیر، چاپ سوم،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براون، کاولین؛ فلسفه و ایمان مسیحی، طاطه‌وس میکائیلیان، تهران، شرکت‌انتشارات علمی و فرهنگی،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بلوم، ویلیام؛ نظریه‌های نظام سیاسی، احمد تدین، تهران، نشر آران، چاپ اول،</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پولادی، کمال؛ تاریخ اندیشه سیاسی در غرب از سقراط تا ماکیاولی، نشر مرکز،چاپ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لنگرودی، محمد جعفر؛ ترمینولوژی حقوق، تهران، گنج دانش، چاپ‌دوم،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لنگرودی، محمد جعفر؛ دائرة المعارف علوم اسلامی، تهران، گنج‌دانش،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الحکیم، سید محمدتقی؛الاصول العامه‌للفقه المقارن، بیروت، دار الاندلس، الطبعة الاولی،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حکیمی، محمد رضا و دیگران؛ الحیاة، طهران، دائرة الطباعة و </w:t>
      </w:r>
    </w:p>
    <w:p>
      <w:pPr>
        <w:pStyle w:val="BookText"/>
        <w:rPr/>
      </w:pPr>
      <w:r>
        <w:rPr>
          <w:rFonts w:ascii="Amiri" w:hAnsi="Amiri" w:eastAsia="Amiri" w:cs="Amiri"/>
          <w:color w:val="111111"/>
          <w:sz w:val="28"/>
          <w:sz w:val="28"/>
          <w:szCs w:val="28"/>
          <w:rtl w:val="true"/>
          <w:lang w:bidi="ar-SA"/>
        </w:rPr>
        <w:t xml:space="preserve">النشر، الطبعه‌الثالثة،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داوید، رنه؛ نظام‌های بزرگ حقوقی معاصر، حسین صفایی و دیگران، تهران،مرکز نشر دانشگاهی،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دورانت، ویل و آری یل؛ تاریخ تمدن، گروه مترجمان، تهران، سازمان انتشارات وآموزش انقلاب اسلامی،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رحیمیان، محمد حسن؛ در سایه آفتاب، قم، انتشارات پاسدار اسلام، چاپ سوم،</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ردهد، برایان؛ اندیشه سیاسی از افلاطون تا ناتو، مرتضی کافی و اکبر افسری،کتاب آگاه، چاپ سوم، پائیز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زحیلی، وهبه؛ اصول الفقه الاسلامی، دارالفکر،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ژیلسون، اتین؛ عقل و وحی در قرون وسطی، شهرام پازوکی، تهران، انتشارات‌گرّوس،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ساروخانی، باقر؛ درآمدی بر دایرة المعارف علوم اجتماعی، انتشارات کیهان،چاپ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عبدالکریم؛ آیین شهریاری و دینداری، تهران، مؤسسه فرهنگی صراط،چاپ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شجاعی زند، علیرضا؛ دین، جامعه و عرفی شدن، تهران، نشر مرکز، چاپ اول،</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ابن بابویه قمی؛ کتاب الخصال، تصحیح و تعلیق علی اکبر غفاری، قم، منشورات جماعة المدرسین فی الحوزة العلمیة،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 لو آی؛ چالش مدرنیته، احمد موثقی، تهران، نشر دادگستر، چاپ اول، بهار</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المیزان، قم، منشورات جماعة المدرسین فی‌الحوزة العلمیة فی قم المقدسة،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عبدالرحمان؛ تاریخ فلسفه سیاسی غرب، تهران، دفتر مطالعات سیاسی وبین المللی،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عنایت، حمید؛ سیری در اندیشه سیاسی عرب، تهران، انتشارات جیبی، چاپ‌سوم،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فاستر، مایکل برسفورد؛ خداوندان اندیشه سیاسی، جواد شیخ الاسلامی،تهران،شرکت انتشارات علمی و فرهنگی، چاپ پنجم،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مصباح المنیر، قم، دار الهجرة،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تهران، دفتر نشر فرهنگ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کوزر، لیوئیس؛ زندگی و اندیشه بزرگان جامعه شناسی، محسن ثلاثی، تهران،انتشارات علمی، چاپ پنجم،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گورویچ، ژرژ؛ درآمدی به جامعه شناسی حقوقی، حسن حبیبی، تهران،انتشارات مؤسسه مطالعات و تحقیقات اجتماعی، چاپ اول،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گیدنز، آنتونی؛ جامعه شناسی، منوچهر صبوری، تهران، نشر نی، چاپ سوم،</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گیدنز، آنتونی؛ دورکم، یوسف اباذری، تهران، خوارزمی،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لوکاس، هنری؛ تاریخ تمدن، عبدالحسین آذرنگ، تهران، انتشارات کیهان، چاپ‌اول،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لیدمان، سون اریک؛ تاریخ عقاید سیاسی از افلاطون تا هابر ماس، سعید مقدم،نشر دانش ایران،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مجتهد شبستری، محمد؛ نقد قرائت رسمی از دین، تهران، طرح نو، چاپ اول،</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بیروت، مؤسسة الوفاء،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مجید؛ سر بر آستان قدسی، دل در گرو عرفی، تهران، نشر قطره، چاپ‌اول،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محمصانی، صبحی؛ فلسفه قانونگذاری در اسلام، اسماعیل گلستانی، تهران،امیر کبیر، چاپ دوم،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اسلام و مقتضیات زمان، انتشارات صدرا،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ده گفتار، قم، انتشارات اسلامی وابسته به جامعه مدرسین‌حوزه علمیه قم، چاپ اول،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معلوف، لویس؛ المنجد فی اللغة و الاعلام، بیروت، دار المشرق، الطبعة الثالثة والعشرون،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مغنیه، محمد جواد؛ فقه 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العلم </w:t>
      </w:r>
    </w:p>
    <w:p>
      <w:pPr>
        <w:pStyle w:val="BookText"/>
        <w:rPr/>
      </w:pPr>
      <w:r>
        <w:rPr>
          <w:rFonts w:ascii="IRNazanin" w:hAnsi="IRNazanin" w:eastAsia="IRNazanin"/>
          <w:color w:val="111111"/>
          <w:sz w:val="28"/>
          <w:sz w:val="28"/>
          <w:szCs w:val="28"/>
          <w:rtl w:val="true"/>
          <w:lang w:bidi="fa-IR"/>
        </w:rPr>
        <w:t xml:space="preserve">للملائین،الطبعة الثانیة،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 اللّه؛ شئون و اختیارات ولی فقیه، سازمان چاپ وانتشارات وزارت فرهنگ و ارشاد اسلامی، چاپ دوم،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 اللّه؛ صحیفه امام، تهران، مؤسسه تنظیم و نشر آثارامام خمینی،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 اللّه؛ کتاب البیع، اسماعیلیان، الطبعة الرابعة،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 اللّه؛ کتاب البیع، تهران، مؤسسه تنظیم و نشر آثار امام‌خمینی،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مولند، اینار؛ جهان مسیحیت، محمد باقر انصاری و مسیح مهاجری، تهران،انتشارات امیر کبیر،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صحیح مسلم، بیروت، دار احیاء التراث العربی، الطبعة الاولی،</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وبر، ماکس؛ اقتصاد و جامعه، عباس منوچهری و دیگران، تهران، انتشارات‌مولی،چاپ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ویلم، ژان پل؛ جامعه شناسی ادیان، عبدالرحیم گواهی، تهران، مؤسسه فرهنگی‌انتشاراتی تبیان،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هابز، توماس؛ لویاتان، حسین بشیریه، تهران، نشر نی،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همیلتون، ملکم؛ جامعه شناسی دین، محسن ثلاثی، تهران، مؤسسه فرهنگی‌انتشاراتی تبیان،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BLAK, HENRY CAMPBELL, BLAK'S LAW DICTIONARY</w:t>
      </w:r>
      <w:r>
        <w:rPr>
          <w:rFonts w:eastAsia="Times New Roman" w:cs="Times New Roman" w:ascii="Times New Roman" w:hAnsi="Times New Roman"/>
          <w:color w:val="111111"/>
          <w:sz w:val="28"/>
          <w:szCs w:val="28"/>
          <w:rtl w:val="true"/>
          <w:lang w:val="en-US" w:bidi="en-US"/>
        </w:rPr>
        <w:t xml:space="preserve">, </w:t>
      </w:r>
      <w:bookmarkStart w:id="471" w:name="pg3480_42628"/>
    </w:p>
    <w:p>
      <w:pPr>
        <w:pStyle w:val="BookText"/>
        <w:rPr/>
      </w:pPr>
      <w:bookmarkEnd w:id="471"/>
      <w:r>
        <w:rPr>
          <w:rFonts w:eastAsia="Times New Roman" w:cs="Times New Roman" w:ascii="Times New Roman" w:hAnsi="Times New Roman"/>
          <w:color w:val="111111"/>
          <w:sz w:val="28"/>
          <w:szCs w:val="28"/>
          <w:lang w:val="en-US" w:bidi="en-US"/>
        </w:rPr>
        <w:t>FIFTH EDITION, WEST PUBLISHING Co, 1983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3418456_2749589250"/>
      <w:bookmarkStart w:id="473" w:name="_Toc184"/>
      <w:bookmarkEnd w:id="472"/>
      <w:r>
        <w:rPr>
          <w:rtl w:val="true"/>
        </w:rPr>
        <w:t>ب</w:t>
      </w:r>
      <w:r>
        <w:rPr>
          <w:rtl w:val="true"/>
        </w:rPr>
        <w:t xml:space="preserve">) </w:t>
      </w:r>
      <w:r>
        <w:rPr>
          <w:rtl w:val="true"/>
        </w:rPr>
        <w:t>مقاله ها</w:t>
      </w:r>
      <w:r>
        <w:rPr>
          <w:rtl w:val="true"/>
        </w:rPr>
        <w:t>:</w:t>
      </w:r>
      <w:bookmarkEnd w:id="47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آخرت و خدا هدف بعثت انبیاء، مهدی بازرگان، کیان، سال پنجم، آذر و بهمن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تطبیقی مفهوم مصلحت از دیدگاه امام خمینی و اندیشمندان غرب، محمد منصور نژاد، حکومت اسلامی، سال چهارم، تابستان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بستر معنوی و عقلائی علم فقه، محمد مجتهد شبستری، کیان، سال نهم،فروردین و اردیبهشت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بنده معتقد به جدایی دین و سیاست هستم، عبدالکریم سروش، ندای اصلاحات، سال اول،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تبعیت احکام از مصالح و مفاسد، جعفر ساعدی، فصلنامه تخصصی فقه اهل بیت، سال هشتم، بهار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دموکراتیک دینی، عبدالکریم سروش، کیان، سال سوم، فروردین و اردیبهشت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عقلانیت دینی انتقادی و عقلانیت مدنی ابزاری، محمد مجتهد شبستری، راه نو، سال اول، خرداد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در ترازو، عبدالکریم سروش، کیان، سال نهم، فروردین و اردیبهشت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و مصلحت نظام، علی اکبر کلانتری، نشریه فقه، سال چهارم، بهار و تابستان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کینگ، وینستون؛ بهاء الدین </w:t>
      </w:r>
    </w:p>
    <w:p>
      <w:pPr>
        <w:pStyle w:val="BookText"/>
        <w:rPr/>
      </w:pPr>
      <w:r>
        <w:rPr>
          <w:rFonts w:ascii="IRNazanin" w:hAnsi="IRNazanin" w:eastAsia="IRNazanin"/>
          <w:color w:val="111111"/>
          <w:sz w:val="28"/>
          <w:sz w:val="28"/>
          <w:szCs w:val="28"/>
          <w:rtl w:val="true"/>
          <w:lang w:bidi="fa-IR"/>
        </w:rPr>
        <w:t xml:space="preserve">خرمشاهی،تهران، مؤسسه مطالعات و تحقیقات فرهنگی،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نجات دین یا غسل تعمید سکولاریسم، مجید محمدی، کیان، سال چهارم،شهریور و مهر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نقدی بر نظریه فربه تر از ایدئولوژی، جهانگیر صالح پور، کیان، سال سوم، مهر وآبان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ویلستون، براین ر، جدا انگاری دین و دنیا، مرتضی اسعدی، مندرج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برگزیده مقالات دایرة المعارف دین، ویراسته میرچا الیاده، گروه مترجمان زیرنظربهاءالدین خرمشاهی، تهران، طرح نو،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ناظر به عقیده نویسنده است که مسیحیت اولیه را به استناد جمله ای از حضرت عیسی، متعلق به حوزه خصوصی می داند و گرنه نسبت مسیحیت و سیاست چه از جنبه نظری و چه از جنبه تاریخی قابل بررسی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می توان این نسبت را در منابع زیر پی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خداوندان اندیشه سیاسی، مایکل برسفورد فاستر،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شیخ الاسلامی، انتشارات علمی فرهنگی،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تاریخ تمدن، هنری لوکاس،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آذرنگ، انتشارات کیهان،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های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تاریخ فلسفه سیاسی غرب، عبدالرحمن عالم، دفتر مطالعات سیاسی و بین المللی،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شناسی دین، ملکم همیلتون،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 موسسه فرهنگی انتشاراتی تبیان،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دنیاگرایی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سکولاریزاسیونیسم در مورد کسانی به کار می رود که ادعا می کنند، بی طرفانه به مطالعه تاریخی و جامعه شناختی سکولاریزاسیون می 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است که در واقع ناظر بی طرف و توصیف گر صرف نیستند، بلکه تلاش می کنند در پس این بی طرفی، مباحث را به گونه ای طرح کنند و سازمان دهند که از آن، حتمی بودن و غیرقابل تخلف بودن سکولاریزاسیون را نتیجه گرفته و به طور ضمنی یا حتی صریح آن را تبلیغ کنند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است که در صفحه بعد، در توضیح نامگذاری کتاب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 شاهد قدسی تجربه و فهمیده نمی شود، مگر آن که از مکانت اعلایش نزول کند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شاهدی قدسی به شاهد بازاری تبدیل نشود، برای ما اصلاً قابل درک و مفاهمه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ترتیب بر لزوم و ضرورت سکولاریزاسیون تأکید و این فرآیند را تأیید می کند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بیروت، مؤسسه الوفاء،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لویاتان، توماس هابز،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نشر نی،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تأثیر مقتضیات روزمرّه زندگی بر اندیشه، تفکر و دستگاه حقوقی و کلامی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واژگون نشان دادن حقایق و نظریات دینی، واقعیت خارجی دین را دگرگون نمودن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سکولاریزاسیون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غربی، چارچوب مسیحی، توضیح قانون های چهارگانه از دیدگاه آکوئیناس،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مقدس چیزی است که به موجب حقی ویژه از آن خدا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تنها آن چه برای خدمت خاص به وی کنار گذاشته شده و تخصیص یافته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لویاتان، توماس هابز،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بشریه، نشر نی،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القدس تنزیه اللّه تعالی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العُرْفُ ضدّ النُّکر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می توان رسالت و زندگی انبیای الهی را در قرآن کریم و برای مثال در سوره های اعراف و هود، مشاهده کرد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ریاست عالی کلیسا و روحانیت انگلستان و از سال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 حاکم عالی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ویژگی کلیسای انگلستان، از یک جریان تاریخی طولانی سرچشمه می گیرد که با نقض پیمان هنری هشتم با مقام پاپی آغاز می شود و تا اصلاحات سال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توان آن را تکامل یافته تلقی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این نقض پیمان به سال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 هنگامی که هنری هشتم مدعی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ریاست عالی کلیسا و روحانیت انگلستان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برمی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عنوان در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کرد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الیزابت اول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عالی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sapreme Governer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دلیل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ریاست عالی کلیسا تنها برای مسیح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پذیرفت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محمدحسین طباطبایی،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 انگاری دین و دنیا، براین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ویلسون،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مرتضی اسعدی؛ فرهنگ و دین، برگزیده مقالات دایره المعارف دین، ویراسته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میرچا الیاده، هیأت مترجمان،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تهران، طرح نو،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 انگاری دین و دنیا، براین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ویلسون،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مرتضی اسعدی؛ فرهنگ و دین، برگزیده مقالات دایره المعارف دین، ویراسته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میرچا الیاده، هیأت مترجمان،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تهران، طرح نو،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جداانگاری دین و دنیا،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عقلانیت ماهوی، عقلانیت ناظر به ارزش ها و باورهاست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از طرفی به موقعیت و نقش عقلانیت ماهوی توجه دارد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طرفی کنش ناظر به ارزش ها را برخلاف مبانی وبری ادعایی، کنش عاطفی می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هیچ گونه کنش یا عقلانیت ناظر به ارزش ها را به رسمیت نمی شناسد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 فرمایش 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جامعه شناسی، مارتین البرو،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صبوری، نشر نی،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شناسی، آنتونی گیدنز،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صبوری، نشر نی،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شناسی، آنتونی گیدنز،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صبوری، نشر نی،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از نویسنده دفاع کرد که او کاربرد خاصی از واژه نهاد را در نظر دارد که در جامعه شناسی نیز سابقه دارد و نهاد را به معنای تشکیلات یا سازمان های اجتماعی به کار می برد، ولی این دفاع با توجه به تفسیری که خود نویسنده از نهاد دین می کند، نادرست و ناکام است؛ زیرا تفسیر او از نهاد دین، اعم از تشکیلات و سازمان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نحوه کاربرد نویسنده، با هیچ نظریه، سابقه یا تعریفی در جامعه شناسی قابل توجیه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 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دایره المعارف علوم اجتماعی، باقر ساروخانی، انتشارات کیهان،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دورکم، آنتونی گیدنز،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اباذری، تهران، خوارزمی، مهرماه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دین،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دین پژوهی،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مراحل اساسی اندیشه در جامعه شناسی، ریمون آرون،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پرهام، تهران، سازمان انتشارات و آموزش انقلاب اسلامی،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بین عدلیه این است که احکام، مبتنی بر رعایت مصالح و مفاسد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این مصالح دنیوی هستند و برخی از این مصالح دنیوی قابل درک و فهم برای ما نیز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فواید حرمت شراب در اسلام یا بعضی فواید دنیوی روزه و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عبادتی مانند نماز نیز دارای فواید دنیوی است و نمازگزاران معمولاً افرادی سودمند برای اجتماع هستند و در معاملات و سیاسات اسلامی نیز به طور وسیع، فواید احکام قابل مشاهده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در آیات زیر سودمندی ناسوتی و فایده قابل اثبات عرضه شده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النیشابوری، بیروت، لبنان، داراحیاء التراث العربی،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الطبعة الاولی،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امام خمینی، مؤسسه تنظیم و نشر آثار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امام خمینی، مؤسسه تنظیم و نشر آثار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جامعه شناسی حقوقی، ژرژ گورویچ،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حبیبی، انتشارات موسسه مطالعات و تحقیقات اجتماعی، اسفند ماه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جامعه شناسی حقوقی، ژرژ گورویچ،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حبیبی، انتشارات موسسه مطالعات و تحقیقات اجتماعی، اسفند ماه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الصفقة علی ایجاب البیع و علی المبایعة و الطاعة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بررسی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عرفی شدن ایدئولوژی 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های نظام سیاسی، ویلیام بلوم،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تدین، نشر آران،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پنجم؛ خداوندان اندیشه سیاسی، مایکل برسفور فاستر،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شیخ الاسلامی، شرکت انتشارات علمی و فرهنگی،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های ششم و هفتم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عقاید سیاسی از افلاطون تا هابرماس، سون اریک لیدمان، سعید مقدم، نشر دانش ایران، چاپ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از افلاطون تا ناتو، برایان ردهد، مرتضی کافی و اکبر افساری، کتاب آگاه، چاپ سوم، پاییز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اندیشه سیاسی در غرب از سقراط تا ماکیاولی، کمال پولادی، نشر مرکز، چاپ اول،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دانیم که علم اصول عمدتا در پی پاسخ به این سه پرسش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الاسلامی، وهبه الزحیلی، دمشق، دارالفکر،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الاسلامی، وهبه الزحیلی، دمشق، دارالفکر،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توضیح که جایگاه مصلحت در فقه شیعی، با جایگاه آن در فقه مالکی یا حنبلی متفاوت است و مصلحت از منابع استنباط حکم شرعی به شمار نمی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 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العامه للفقه المقارن، سید محمدتقی حکیم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های بزرگ حقوقی معاصر، رنه، داوید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مترجمان، تهران، مرکز نشر دانشگاهی،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التنبیه الخامس، جریان المعاطاة فی غیر البیع،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الامام جعفر الصادق علیه السلام، محمدجواد مغنیه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قانون گذاری در اسلام، صبحی محمصانی،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گلستانی، تهران، امیرکبیر،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از جمله باب چهارم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ترمینولوژی حقوق، محمدجعفر جعفری لنگرودی، گنج دانش،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BLAK, HENRY CAMPBEL, BLAKS LAW DICTIONARY, FIFTH EDITION, WEST PUBLISHING CO, 1983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 المعارف علوم اسلامی، محمدجعفر جعفری لنگرودی، گنج دانش،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لویاتان،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از ولایت برامور حسبی نیز سخن به میان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ان الامور الحسبیة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التی علم بعدم رضا الشارع الاقدس باهمالها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علم ان لها متصدیا خاصا او عاما فلا کلام، و ان ثبت انها کانت منوطة بنظر الامام علیه السلام فهی ثابته للفقیة بادله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الحکومة الاسلامیة لمّا کانت حکومة قانونیة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للوالی أن یعمل فی الموضوعات علی طبق صلاح المسلمین او لاهل حوزته، و لیس ذلک استبدادا بالرای، بل هو علی طبق الصلاح، فرأیه تبع للصلاح کعمله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بررسی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 قرمز ارزش یا هنجار؟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بررسی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عرفی شدن ایدئولوژی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دین شناختی نویسنده و متن یا زمینه؟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محمدرضا حکیمی و دیگران، تهران، دایره الطباعة و النشر،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آفتاب، محمدحسن رحیمیان، انتشارات پاسدار اسلام، مرداد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آن همه قدرت در اختیار توده هاست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رعایت حق اقلیت برای آن که بتواند از طرق مسالمت آمیز و قانونی به اکثریت تبدیل شود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فضای سیاسی تنها چند گروه از نخبگان حق رقابت سیاسی دارند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نوع دموکراسی نخبه گرا، فاصله اندکی با خودکامگی و انحصار قدرت دارد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رابطه میان پلورالیسم دینی و پلورالیسم سیاسی را در ضمن مناظره با سروش متذکر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این رابطه بر سر میز صبحانه در آلمان به سروش الهام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شهریاری و دینداری، عبدالکریم سروش، موسسه فرهنگی صراط،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مورد را باید یکی دیگر از موارد تناقض گویی در کلام نویسنده دانست که از طرفی نقش مثبت دکترین های متفاوت فقهی را پذیرفته، تأیید می کند و از طرف دیگر، با تحلیلی نادرست به انکار و تخطئه آن می پردازد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گفته نویسنده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یک دوره فقه را مرور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 که حضور بیش تری در عرصه دولت و سیاست بیابد، بلکه دولتی شدن و دولتی تر شدن آن مدّنظر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تاکنون چنین فقهی در اسلام و تشیع بی سابقه بوده است و باید پس از این تأسیس شود و معلوم نیست که این همه متون فقه سیاسی چگونه بدون تأسیس فقه عمومی تألیف یافته اند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دنیا هیچ سیستم حقوق عمومی را سراغ داریم که مناط احکام آن، تنها و تنها مصلحت باشد، نه اصول، ارزش ها، مبانی و اهداف؟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 که نظر نویسنده این باشد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که در دنیا سیستم های حقوق عمومی، مبتنی بر اصول، مبانی، ارزش ها و اهداف هستند، ولی لزوما فقه شیعه باید در عرصه عمومی تنها و تنها مناط احکامش مصلحت گردد تا بدین گونه سریعا عرفی و سکولار شود؛ زیرا اقتضای تئوری پردازی نویسنده چنین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نویسنده، مصلحت و فقه المصلحتی متفاوت از آن چه در اسلام و فقه اسلام معهود است را در نظر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حوزه مصلحت در فقه اسلام اعم از حوزه عمومی است و تعریف و مکانیزم آن نیز چیز دیگری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بررسی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مقالات گذشته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و ایمان مسیحی، کالین براون،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طاطه وس میکائلیان، انتشارات علمی و فرهنگی،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و ایمان مسیحی، کالین براون،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طاطه وس میکائلیان، انتشارات علمی و فرهنگی،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ویل و آری یل دورانت،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مترجمان، سازمان انتشارات و آموزش انقلاب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ویل و آری یل دورانت،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مترجمان، سازمان انتشارات و آموزش انقلاب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کلام آگوستین و هم چنین گفتار آنسلم را می توان در این منبع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و وحی در قرون وسطی، اتین ژیلسون،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شهرام پازوکی، انتشارات گرّوس،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اول به ویژه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ژیلسون که خود اندیشمندی کاتولیک است، صریحا آنسلم و بیکن را از خانواده فکری آگوستین معرفی می کند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دین سکولار، ایدئولوژی و دین دنیوی، خدمات و حسنات دین، مدارا و مدیریت مؤمنان و معنا و مبنای سکولاریسم در کتاب مدیریت و مدارا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 ش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ندای اصلاحات،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 بنیانی حیات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حکم راه حل دورکیمی تضاد موجود میان علم و دین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با کشف واقعیت عمیق همه ادیان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اعتماد را به وجود می آورد که جامعه قادر است در هر دوره خدایان مورد نیاز خویش را بسازد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علایق دینی، چیزی جز صور تمثیلی علایق اجتماعی و اخلاقی نیستند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دین، آفرینشی جمعی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آرون،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گیدنز دورکیم،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 شناسی دورکیمی مورد انتقاد خود نویسنده نیز هست، از جمله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آقای سروش در سایت اینترنتی ایران امروز و نیز هفته نامه ندای اصلاحات، سال اول،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لویاتان،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اندیشه هابز درباره رابطه دین و دولت، به این جملات توجه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اسفار کتاب مقدس تنها وقتی نزد هر ملتی در حکم شرع، یعنی قانون هستند که قدرت حاکم، آن را به چنین عنوانی تصدیق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الخصال، ابن بابویه قمی صدوق، منشورات جماعة المدرسین فی الحوزة العلمیة،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الغفاری،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 این پرسش از نویسنده وجود دارد که این ارزش گذاری از کجا می آید؟</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سنت ها و ادیان در مسیر عرفی شدن در منزلگاه های متعددی از شبه دین اتراق می کنند که یکی از مهم ترین آن ها ایدئولوژی های متنوع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به 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تسخیرشدگان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داستایوفسکی می افتد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سیاسی چیست؟، لئواشتراوس،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رجایی، شرکت انتشارات علمی و فرهنگی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کتابی از نیچه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در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 معطوف به 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 کند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شناسی دین، همیلتون؛ جامعه شناسی، گیدنز؛ دورکم گیدنز؛ مراحل اساسی در اندیشه جامعه شناسی، آرون؛ جامعه شناسی ادیان، ژان پل ویلم،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گواهی، مؤسسه فرهنگی انتشاراتی تبیان،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زندگی و اندیشه بزرگان جامعه شناسی، لیوئیس کوزر،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 انتشارات علمی، بی تا، 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اول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و جامعه ماکس وبر،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منوچهری و دیگران، انتشارات مولی،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دین، فصل دوازدهم، دین و عقلانیت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دیدگاه ماکس وبر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و نموه فی اجتماع، از تکامل مادی و معنوی انسان سخن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ماهو الطریق الی التحول و التکامل فی المجتمع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 و تکامل مادی و تمدنی و فرهنگی را مورد توجه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در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الاسلام بشریعة یفی باسعاد هذه الحیاة الحاضرة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مقتضیات تمدنی کنونی را بررسی کرده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سروش ظاهرا در عرصه احکام فقهی، به نوعی شیفت و جابه جایی هندسه معرفتی معتقد است که شاید بتوان نتیجه آن را نوعی فقه و حقوق بشری و دموکراتیک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فقه در غیر عبادیات به نوعی فقه سکولار و نوعی فن، روش، تکنیک و تفسیر حقوقی تبدیل خواهد شد و چنین نتیجه ای، ظاهرا بین سروش و مجتهد شبستری مشترک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 ش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مقاله فقه در ترازو؛ درباره مجتهد شبستری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 ش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مقاله بستر معنوی و عقلایی علم فقه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قرائت رسمی از دین، محمد مجتهد شبستری، طرح نو،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عقلانیت دینی انتقادی و عقلانیتِ مدنی ابزاری، محمد مجتهد شبستری، راه نو،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 دین یا غسل تعمید سکولاریسم، مجید محمدی، کیان، 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نقدی بر نظریه فربه تر از ایدئولوژی، جهانگیر صالح پور، کیان،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شاهد قدسی تا شاهد بازاری، سعید حجاریان، طرح نو،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 بر آستان قدسی دل در گرو عرفی، مجید محمدی، نشر قطره،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اصطلاحی است برگرفته از انجیل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جمله های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یوحنا،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جمله های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دو قدرت دینی و دنیوی تفسیر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برتری یکی از این دو قدرت بر دیگری یا حوزه های متفاوت آن ها، نظریه های گوناگونی در تاریخ و اندیشه سیاسی مسیحیت وجود دارد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المحمدیه، محمود ابوریه، مؤسسه انصاریان،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اندیشه سیاسی عرب، حمید عنایت، جیبی،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دورکم، آنتونی گیدنز،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اباذری، انتشارات خوارزمی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جامعه شناسی دین، مالکوم همیلتون،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 انتشارات تبیان،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مراحل اساسی اندیشه در جامعه شناسی، ریمون آرون،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پرهام، انتشارات علمی و فرهنگی،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دینی، فصل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دنیاگرایی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دینی، فصل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دنیاگرایی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تصحیح رفتارها و سیاست های حکومتی،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جامعه و عرفی شدن، علی رضا شجاعی زندی، نشر مرکز،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دینی،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بحث،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الاسلامی، وهبه الزحیلی؛ اصول الفقه المقارن، محمدتقی حکیم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تطبیقی مفهوم مصلحت از دیدگاه امام خمینی و اندیشمندان غرب، محمد منصور نژاد، نشریه حکومت اسلامی،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تشکیل مجمع تشخیص مصلحت نظام </w:t>
      </w:r>
      <w:r>
        <w:rPr>
          <w:rFonts w:eastAsia="IRNazanin" w:cs="IRNazanin"/>
          <w:b w:val="false"/>
          <w:bCs w:val="false"/>
          <w:i w:val="false"/>
          <w:iCs w:val="false"/>
          <w:color w:val="333333"/>
          <w:sz w:val="20"/>
          <w:szCs w:val="20"/>
        </w:rPr>
        <w:t>17/11/66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مصلحت عمومی هم اقتضا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دیگر در مورد قضیه صادق نیست و او در این مورد ولایت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شؤون و اختیارات ولی فقیه، البیع، امام خمینی، انتشارات وزارت فرهنگ و ارشاد اسلامی،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البیع، چ قدیم،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کیان،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گفتمان، شماره صفر، بهار</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کیان، شماره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عرفی شدن دو معنا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اول آن تبدیل قدسیات به عرفیات یا به عبارت دیگر تبدیل جزم به خرد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اتفاقی است که در فقه المصلحة رخ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دوم آن، تمایز یافتن نهاد دین از نهاد دولت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church-statedifferentiation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عرفی شدن به معنای دوم مانع عرفی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قرمز، نشر قطره، چاپ اول،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کیان،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حاضر در نقد این مقاله نگاشته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حکومت دموکراتیک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عبدالکریم سروش، کیان،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کیان،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حاضر در نقد این مقاله نگاشته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فربه تر از ایدئولوژی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عبدالکریم سروش، کیان،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کیان،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حاضر در پاسخ به این مقاله نگاشته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ایدئولوژی دینی و دین ایدئولوژیک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کیان،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اطلاعات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اقتصادی، شماره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کیان،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 و گو در ماهنامه کیان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 دین دربستر تاریخ و 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بود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image" Target="media/image2.jpeg"/><Relationship Id="rId324" Type="http://schemas.openxmlformats.org/officeDocument/2006/relationships/image" Target="media/image2.jpeg"/><Relationship Id="rId325" Type="http://schemas.openxmlformats.org/officeDocument/2006/relationships/footer" Target="footer318.xml"/><Relationship Id="rId326" Type="http://schemas.openxmlformats.org/officeDocument/2006/relationships/footnotes" Target="footnotes.xml"/><Relationship Id="rId327" Type="http://schemas.openxmlformats.org/officeDocument/2006/relationships/numbering" Target="numbering.xml"/><Relationship Id="rId328" Type="http://schemas.openxmlformats.org/officeDocument/2006/relationships/fontTable" Target="fontTable.xml"/><Relationship Id="rId329" Type="http://schemas.openxmlformats.org/officeDocument/2006/relationships/settings" Target="settings.xml"/><Relationship Id="rId3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324</Pages>
  <Words>71727</Words>
  <Characters>276659</Characters>
  <CharactersWithSpaces>346084</CharactersWithSpaces>
  <Paragraphs>2582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2026-08-17T23:16:48Z</dcterms:created>
  <dc:creator>ghaemiyeh.com</dc:creator>
  <dc:description/>
  <dc:language>en-US</dc:language>
  <cp:lastModifiedBy/>
  <dcterms:modified xsi:type="dcterms:W3CDTF">2026-08-18T02:46:56Z</dcterms:modified>
  <cp:revision>1</cp:revision>
  <dc:subject/>
  <dc:title>از دین دنیوی تا آستان قدرت نقد کتاب از شاهد قدسی تا شاهد بازاری</dc:title>
</cp:coreProperties>
</file>

<file path=docProps/custom.xml><?xml version="1.0" encoding="utf-8"?>
<Properties xmlns="http://schemas.openxmlformats.org/officeDocument/2006/custom-properties" xmlns:vt="http://schemas.openxmlformats.org/officeDocument/2006/docPropsVTypes"/>
</file>