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التحقیق فی منهجیه تفسیر القرآن بالقرآن فی تفسیر المیزان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9378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69380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69382_3804643083">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2569384_3804643083">
            <w:r>
              <w:rPr>
                <w:webHidden/>
                <w:rStyle w:val="IndexLink"/>
                <w:rtl w:val="true"/>
              </w:rPr>
              <w:t>مقدّمة المترجم</w:t>
            </w:r>
            <w:r>
              <w:rPr>
                <w:rStyle w:val="IndexLink"/>
                <w:rtl w:val="true"/>
              </w:rPr>
              <w:tab/>
            </w:r>
            <w:r>
              <w:rPr>
                <w:rStyle w:val="IndexLink"/>
              </w:rPr>
              <w:t>8</w:t>
            </w:r>
          </w:hyperlink>
        </w:p>
        <w:p>
          <w:pPr>
            <w:pStyle w:val="Contents2"/>
            <w:tabs>
              <w:tab w:val="clear" w:pos="8743"/>
              <w:tab w:val="right" w:pos="9026" w:leader="dot"/>
            </w:tabs>
            <w:rPr/>
          </w:pPr>
          <w:hyperlink w:anchor="__RefHeading___Toc2569386_3804643083">
            <w:r>
              <w:rPr>
                <w:webHidden/>
                <w:rStyle w:val="IndexLink"/>
                <w:rtl w:val="true"/>
              </w:rPr>
              <w:t>السؤال الأوّل</w:t>
            </w:r>
            <w:r>
              <w:rPr>
                <w:rStyle w:val="IndexLink"/>
                <w:rtl w:val="true"/>
              </w:rPr>
              <w:t xml:space="preserve">: </w:t>
            </w:r>
            <w:r>
              <w:rPr>
                <w:rStyle w:val="IndexLink"/>
                <w:rtl w:val="true"/>
              </w:rPr>
              <w:t>في البدء، ما هو تقييمكم لتفسير الميزان ومؤلّفه بالنسبة إلى سائر التفاسير؟</w:t>
            </w:r>
            <w:r>
              <w:rPr>
                <w:rStyle w:val="IndexLink"/>
                <w:rtl w:val="true"/>
              </w:rPr>
              <w:tab/>
            </w:r>
            <w:r>
              <w:rPr>
                <w:rStyle w:val="IndexLink"/>
              </w:rPr>
              <w:t>10</w:t>
            </w:r>
          </w:hyperlink>
        </w:p>
        <w:p>
          <w:pPr>
            <w:pStyle w:val="Contents2"/>
            <w:tabs>
              <w:tab w:val="clear" w:pos="8743"/>
              <w:tab w:val="right" w:pos="9026" w:leader="dot"/>
            </w:tabs>
            <w:rPr/>
          </w:pPr>
          <w:hyperlink w:anchor="__RefHeading___Toc2569388_3804643083">
            <w:r>
              <w:rPr>
                <w:webHidden/>
                <w:rStyle w:val="IndexLink"/>
                <w:rtl w:val="true"/>
              </w:rPr>
              <w:t>السؤال الثاني</w:t>
            </w:r>
            <w:r>
              <w:rPr>
                <w:rStyle w:val="IndexLink"/>
                <w:rtl w:val="true"/>
              </w:rPr>
              <w:t xml:space="preserve">: </w:t>
            </w:r>
            <w:r>
              <w:rPr>
                <w:rStyle w:val="IndexLink"/>
                <w:rtl w:val="true"/>
              </w:rPr>
              <w:t>ما مدى قبول طريقة تفسير القرآن بالقرآن التي اعتمدها العلّامة في تفسيره وسعى كثيراً إلى تطبيقها؟</w:t>
            </w:r>
            <w:r>
              <w:rPr>
                <w:rStyle w:val="IndexLink"/>
                <w:rtl w:val="true"/>
              </w:rPr>
              <w:tab/>
            </w:r>
            <w:r>
              <w:rPr>
                <w:rStyle w:val="IndexLink"/>
              </w:rPr>
              <w:t>12</w:t>
            </w:r>
          </w:hyperlink>
        </w:p>
        <w:p>
          <w:pPr>
            <w:pStyle w:val="Contents3"/>
            <w:tabs>
              <w:tab w:val="clear" w:pos="8459"/>
              <w:tab w:val="right" w:pos="9026" w:leader="dot"/>
            </w:tabs>
            <w:rPr/>
          </w:pPr>
          <w:hyperlink w:anchor="__RefHeading___Toc2569390_380464308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569392_3804643083">
            <w:r>
              <w:rPr>
                <w:webHidden/>
                <w:rStyle w:val="IndexLink"/>
                <w:rtl w:val="true"/>
              </w:rPr>
              <w:t>نقد على ما ذكره صاحب الميزان حول حديث الثقلين</w:t>
            </w:r>
            <w:r>
              <w:rPr>
                <w:rStyle w:val="IndexLink"/>
                <w:rtl w:val="true"/>
              </w:rPr>
              <w:tab/>
            </w:r>
            <w:r>
              <w:rPr>
                <w:rStyle w:val="IndexLink"/>
              </w:rPr>
              <w:t>24</w:t>
            </w:r>
          </w:hyperlink>
        </w:p>
        <w:p>
          <w:pPr>
            <w:pStyle w:val="Contents2"/>
            <w:tabs>
              <w:tab w:val="clear" w:pos="8743"/>
              <w:tab w:val="right" w:pos="9026" w:leader="dot"/>
            </w:tabs>
            <w:rPr/>
          </w:pPr>
          <w:hyperlink w:anchor="__RefHeading___Toc2569394_3804643083">
            <w:r>
              <w:rPr>
                <w:webHidden/>
                <w:rStyle w:val="IndexLink"/>
                <w:rtl w:val="true"/>
              </w:rPr>
              <w:t>السؤال الثالث</w:t>
            </w:r>
            <w:r>
              <w:rPr>
                <w:rStyle w:val="IndexLink"/>
                <w:rtl w:val="true"/>
              </w:rPr>
              <w:t xml:space="preserve">: </w:t>
            </w:r>
            <w:r>
              <w:rPr>
                <w:rStyle w:val="IndexLink"/>
                <w:rtl w:val="true"/>
              </w:rPr>
              <w:t>ما هي نواقص تفسير الميزان أو تفسير القرآن بالقرآن في نظركم؟</w:t>
            </w:r>
            <w:r>
              <w:rPr>
                <w:rStyle w:val="IndexLink"/>
                <w:rtl w:val="true"/>
              </w:rPr>
              <w:tab/>
            </w:r>
            <w:r>
              <w:rPr>
                <w:rStyle w:val="IndexLink"/>
              </w:rPr>
              <w:t>26</w:t>
            </w:r>
          </w:hyperlink>
        </w:p>
        <w:p>
          <w:pPr>
            <w:pStyle w:val="Contents2"/>
            <w:tabs>
              <w:tab w:val="clear" w:pos="8743"/>
              <w:tab w:val="right" w:pos="9026" w:leader="dot"/>
            </w:tabs>
            <w:rPr/>
          </w:pPr>
          <w:hyperlink w:anchor="__RefHeading___Toc2569396_3804643083">
            <w:r>
              <w:rPr>
                <w:webHidden/>
                <w:rStyle w:val="IndexLink"/>
                <w:rtl w:val="true"/>
              </w:rPr>
              <w:t>فهرس المصادر</w:t>
            </w:r>
            <w:r>
              <w:rPr>
                <w:rStyle w:val="IndexLink"/>
                <w:rtl w:val="true"/>
              </w:rPr>
              <w:tab/>
            </w:r>
            <w:r>
              <w:rPr>
                <w:rStyle w:val="IndexLink"/>
              </w:rPr>
              <w:t>31</w:t>
            </w:r>
          </w:hyperlink>
        </w:p>
        <w:p>
          <w:pPr>
            <w:pStyle w:val="Contents2"/>
            <w:tabs>
              <w:tab w:val="clear" w:pos="8743"/>
              <w:tab w:val="right" w:pos="9026" w:leader="dot"/>
            </w:tabs>
            <w:rPr/>
          </w:pPr>
          <w:hyperlink w:anchor="__RefHeading___Toc2569398_3804643083">
            <w:r>
              <w:rPr>
                <w:webHidden/>
                <w:rStyle w:val="IndexLink"/>
                <w:rtl w:val="true"/>
              </w:rPr>
              <w:t>چكيده</w:t>
            </w:r>
            <w:r>
              <w:rPr>
                <w:rStyle w:val="IndexLink"/>
                <w:rtl w:val="true"/>
              </w:rPr>
              <w:tab/>
            </w:r>
            <w:r>
              <w:rPr>
                <w:rStyle w:val="IndexLink"/>
              </w:rPr>
              <w:t>34</w:t>
            </w:r>
          </w:hyperlink>
        </w:p>
        <w:p>
          <w:pPr>
            <w:pStyle w:val="Contents2"/>
            <w:tabs>
              <w:tab w:val="clear" w:pos="8743"/>
              <w:tab w:val="right" w:pos="9026" w:leader="dot"/>
            </w:tabs>
            <w:rPr/>
          </w:pPr>
          <w:hyperlink w:anchor="__RefHeading___Toc2569400_3804643083">
            <w:r>
              <w:rPr>
                <w:webHidden/>
                <w:rStyle w:val="IndexLink"/>
              </w:rPr>
              <w:t>BOOK SUMMARY</w:t>
            </w:r>
            <w:r>
              <w:rPr>
                <w:rStyle w:val="IndexLink"/>
                <w:rtl w:val="true"/>
              </w:rPr>
              <w:tab/>
            </w:r>
            <w:r>
              <w:rPr>
                <w:rStyle w:val="IndexLink"/>
              </w:rPr>
              <w:t>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37_14448"/>
      <w:bookmarkStart w:id="1" w:name="pg2337_14448"/>
      <w:bookmarkEnd w:id="1"/>
    </w:p>
    <w:p>
      <w:pPr>
        <w:pStyle w:val="Heading2"/>
        <w:numPr>
          <w:ilvl w:val="1"/>
          <w:numId w:val="1"/>
        </w:numPr>
        <w:rPr/>
      </w:pPr>
      <w:bookmarkStart w:id="2" w:name="pg2337_14448"/>
      <w:bookmarkStart w:id="3" w:name="__RefHeading___Toc2569378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سيدان،سيدجعفر،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قراردادي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بررسي روش تفسير قرآن به قرآن در 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 في منهجيه تفسير القرآن بالقرآن في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سيدان؛ ترجمه سيدفاضل الرضوي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ascii="Amiri" w:hAnsi="Amiri" w:eastAsia="Amiri" w:cs="Amiri"/>
          <w:color w:val="111111"/>
          <w:sz w:val="28"/>
          <w:sz w:val="28"/>
          <w:szCs w:val="28"/>
          <w:lang w:bidi="ar-SA"/>
        </w:rPr>
        <w:t>۱۳۹۳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سيدان، جعفر،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مصاحبه‌ها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رضوي، سيدفاضل، مترجم</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۹۰۲۱۵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۳۶۳۶۵۷۹</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منهجيّة تفسير القرآن بالقرآن في تفسير الميزان</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جعفر سيّدان</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فاضل الرضويّ</w:t>
      </w:r>
    </w:p>
    <w:p>
      <w:pPr>
        <w:pStyle w:val="BookText"/>
        <w:rPr/>
      </w:pP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 رضا الفاضليّ</w:t>
      </w:r>
    </w:p>
    <w:p>
      <w:pPr>
        <w:pStyle w:val="BookText"/>
        <w:rPr/>
      </w:pPr>
      <w:r>
        <w:rPr>
          <w:rFonts w:ascii="Amiri" w:hAnsi="Amiri" w:eastAsia="Amiri" w:cs="Amiri"/>
          <w:color w:val="111111"/>
          <w:sz w:val="28"/>
          <w:sz w:val="28"/>
          <w:szCs w:val="28"/>
          <w:rtl w:val="true"/>
          <w:lang w:bidi="ar-SA"/>
        </w:rPr>
        <w:t>تقويم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حميد الخبيريّ</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الجعفريّ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دارالولاية للنشر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مراكز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ـ مشهد ـ دار الولاية للنشر ـ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00989151576003</w:t>
      </w:r>
    </w:p>
    <w:p>
      <w:pPr>
        <w:pStyle w:val="BookText"/>
        <w:rPr/>
      </w:pPr>
      <w:r>
        <w:rPr>
          <w:rFonts w:ascii="Amiri" w:hAnsi="Amiri" w:eastAsia="Amiri" w:cs="Amiri"/>
          <w:color w:val="111111"/>
          <w:sz w:val="28"/>
          <w:sz w:val="28"/>
          <w:szCs w:val="28"/>
          <w:rtl w:val="true"/>
          <w:lang w:bidi="ar-SA"/>
        </w:rPr>
        <w:t xml:space="preserve">ايران ـ قم ـ شارع الصفاييّه ـ مجتمع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الطابق الارضي ـ 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00982537833624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9380_380464308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وَالـمَوعِظَةِ الـحَسَنَة</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يُعدّ العلم والمعرفة أفضل وأكبر النِّعم الإلهيّة المهداة لعباد اللّه الصالحين لأنّه بالعلم يُعينهم اللّه على عبوديّته وبه يخضعون له، وهو من أكبر النّعم التي بها يفتخرون في حياتهم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الربانيّون والعرفاء الإلهيّون هم من يستضيئون بهدى الأنبياء والأئمّة… عليهم السلام … ولا يشعرون بالتَّعب أو الملل أبداً في سلوك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العلم والعمل، ويتجنّبون الطُرُق الأُخرى التي لا تنتهي بهم إلى نيل معارف الأئمّة… عليهم السلام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تهدف هذه المؤسّسة ـ التي تأسّست بدافع إحياء آثار هذه الثلَّة المخلصة التي تحملت على عاتقها مهمّة الدفاع عن معارف الوحي والعلوم الإلهيّة الأصيلة ـ إلى نشر هذا الفكر عبر الوسائل العصريّة المتاحة ومن اللّه التوفيق</w:t>
      </w:r>
      <w:r>
        <w:rPr>
          <w:rFonts w:eastAsia="Amiri" w:cs="Amiri" w:ascii="Amiri" w:hAnsi="Amiri"/>
          <w:color w:val="111111"/>
          <w:sz w:val="28"/>
          <w:szCs w:val="28"/>
          <w:rtl w:val="true"/>
          <w:lang w:bidi="ar-SA"/>
        </w:rPr>
        <w:t>.</w:t>
      </w:r>
      <w:bookmarkStart w:id="7" w:name="pg2337_14454"/>
    </w:p>
    <w:p>
      <w:pPr>
        <w:pStyle w:val="Heading2"/>
        <w:numPr>
          <w:ilvl w:val="1"/>
          <w:numId w:val="1"/>
        </w:numPr>
        <w:rPr/>
      </w:pPr>
      <w:bookmarkStart w:id="8" w:name="__RefHeading___Toc2569382_380464308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البدء، ما هو تقييمكم لتفسير الميزان ومؤلّفه بالنسبة إلى سائر التفاسير؟</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صحّة طريقة تفسير القرآن بالقرآن التي اعتمدها العلّامة في تفسيره وسعى كثيراً إلى تطبيقه؟</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نقد على ما ذكره صاحب الميزان حول حديث الثقلين</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نواقص تفسير الميزان أو تفسير القرآن بالقرآن في نظركم؟</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lang w:bidi="fa-IR"/>
        </w:rPr>
        <w:t>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ملخّص الفارسيّ والإنجليزيّ</w:t>
      </w:r>
      <w:r>
        <w:rPr>
          <w:rFonts w:eastAsia="Amiri" w:cs="Amiri" w:ascii="Amiri" w:hAnsi="Amiri"/>
          <w:color w:val="111111"/>
          <w:sz w:val="28"/>
          <w:szCs w:val="28"/>
          <w:lang w:bidi="ar-SA"/>
        </w:rPr>
        <w:t>36</w:t>
      </w:r>
      <w:bookmarkStart w:id="10" w:name="pg2337_14456"/>
    </w:p>
    <w:p>
      <w:pPr>
        <w:pStyle w:val="Heading2"/>
        <w:numPr>
          <w:ilvl w:val="1"/>
          <w:numId w:val="1"/>
        </w:numPr>
        <w:rPr/>
      </w:pPr>
      <w:bookmarkStart w:id="11" w:name="__RefHeading___Toc2569384_3804643083"/>
      <w:bookmarkStart w:id="12" w:name="_Toc4"/>
      <w:bookmarkEnd w:id="10"/>
      <w:bookmarkEnd w:id="11"/>
      <w:r>
        <w:rPr>
          <w:rtl w:val="true"/>
        </w:rPr>
        <w:t>مقدّمة المترجم</w:t>
      </w:r>
      <w:bookmarkEnd w:id="12"/>
    </w:p>
    <w:p>
      <w:pPr>
        <w:pStyle w:val="BookText"/>
        <w:rPr/>
      </w:pPr>
      <w:r>
        <w:rPr>
          <w:rFonts w:ascii="Amiri" w:hAnsi="Amiri" w:eastAsia="Amiri" w:cs="Amiri"/>
          <w:color w:val="111111"/>
          <w:sz w:val="28"/>
          <w:sz w:val="28"/>
          <w:szCs w:val="28"/>
          <w:rtl w:val="true"/>
          <w:lang w:bidi="ar-SA"/>
        </w:rPr>
        <w:t>القرآن معجزة رسول اللّه… صلي الله عليه و آله و سلم … الخالدة وفيه هداية من كلّ ظلمة وشفاء من كلّ داء، وما جالسه أحد إلّا قام عنه بازدياد في هدى أو نقصان من عمي كما قال أميرالمؤمنين… عليه السلام …</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الناس يحتاجون إلى المعلّم الربّاني الذي نصبه اللّه سبحانه و تعالى لكي يستفيدوا من هداياته و‌حكمه،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بِالْبَيِّناتِ وَالزُّبُرِ 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بَيَانُه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وكما قال… صلي الله عليه و آله و سلم … يوم غدير 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 اللهِ لَنْ يُبَيِّنَ لَكُمْ زَوَاجِرَه وَلَا يُوَضِّحُ لَكُمْ تَفْسِيرَهُ إِلَّا الَّذِي أَنَا آخِذٌ بِيَدِهِ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وهو مفاد قوله… 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فَتَمَسَّكُوا بِهِمَا لَنْ تَضِلُّوا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فمن أراد الهداية و السعادة عليه أن يتمسّك بهذين الثقلين معاً ولا يأخذ بأحدهما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يدي القارئ الكريم مقالة مستقاة 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تمّت طباعتها ضمن عداد الفصليّة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تحت عنوان حوار مع آية اللّه السيّد جعفر سيّدان، وقد تطرّق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إلى نقد نظريّة صاحب الميزان في تفسير القرآن بالقرآن فقط ـ من غير الاحتياج إلى الأحاديث المباركة إلّا في بعض الموارد كتفاصيل الأحكام والقصص والمعاد ـ، بأدلّة كافية 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وفّقني اللّه لترجمته وذلك بطلب من مؤسّسة عالم آل محمّد… عليهم السلام … المعارفيّة، ويبقي هذا القليل لا يخلو من الإشكالات أرجو من القرّاء الكرام أن ينبّهونا عليها ليتمّ تصحيحها في الطبعات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سبحانه وتعالى أن يتقبّل منّي هذا القليل بأحسن القبول ويجعله في ميزان حسناتي يوم القيامة بشفاعة سيّدي ومولاي أبي الحسن عليّ بن موسى الرضا…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1435</w:t>
      </w:r>
    </w:p>
    <w:p>
      <w:pPr>
        <w:pStyle w:val="BookText"/>
        <w:rPr/>
      </w:pPr>
      <w:r>
        <w:rPr>
          <w:rFonts w:ascii="Amiri" w:hAnsi="Amiri" w:eastAsia="Amiri" w:cs="Amiri"/>
          <w:color w:val="111111"/>
          <w:sz w:val="28"/>
          <w:sz w:val="28"/>
          <w:szCs w:val="28"/>
          <w:rtl w:val="true"/>
          <w:lang w:bidi="ar-SA"/>
        </w:rPr>
        <w:t>السيّد فاضل الرضويّ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مشهد المقدّسة</w:t>
      </w:r>
      <w:bookmarkStart w:id="13" w:name="pg2337_14458"/>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2569386_3804643083"/>
      <w:bookmarkStart w:id="15" w:name="_Toc5"/>
      <w:bookmarkEnd w:id="14"/>
      <w:r>
        <w:rPr>
          <w:rtl w:val="true"/>
        </w:rPr>
        <w:t>السؤال الأوّل</w:t>
      </w:r>
      <w:r>
        <w:rPr>
          <w:rtl w:val="true"/>
        </w:rPr>
        <w:t xml:space="preserve">: </w:t>
      </w:r>
      <w:r>
        <w:rPr>
          <w:rtl w:val="true"/>
        </w:rPr>
        <w:t>في البدء، ما هو تقييمكم لتفسير الميزان ومؤلّفه بالنسبة إلى سائر التفاسير؟</w:t>
      </w:r>
      <w:bookmarkEnd w:id="15"/>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 قبل كلّ شئ أن أشير إلى خصائص هذا التفسير الممتازة ولو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لتفسير الميزان امتيازات وافرة مهمّة ملموسة بعضها من جامعيّة شخصيّة مؤلّفه وبعضها من أسلوب ومحتوى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العلّامة الطباطبائيّ، الرجل الجامع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ومختلف العلوم الحوزويّة حينما يكتب في التفسير يكون الناتج تفسيراً جامعاً وكاملاً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لو أنّ أحداً في عصره أراد أن يقدّم تفسيراً مماثلاً وكانت رتبته العلميّة ورؤيته الاجتماعيّة أقلّ من صاحب الميزان لم يتوقّع منه أن يأتي بمثله، رغم توفّر المنابع التفسيريّة والمدارك العلميّة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فكثرة تبحّر العلّامة في العلوم العقليّة والنقليّة واهتمامه بالتفسير وحرصه على استقصاء الكلام وتفصيله وتحقيقه وبسطه إنّما هو سبب اشتماله على الدراسات العميقة والأصيلة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أنّ أسلوبه يمتاز عن غيره من التفاسير القديمة والحديثة، ويمكن بيان ذلك في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بمعاني المفردات القرآنيّة؛ ولعلّه يعدّ من أجود الدراسات لمعاني الألفاظ حسب تتبّعي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الخلفيّات التاريخيّة وأسباب نزول الآيات وظروفها الخاصّة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بطرح المباحث المختلفة الاجتماعيّة والأخلاقيّة والاعتقاديّة وغيرها بمناسبة موضوع كلّ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المباحث التفسيريّة عن المباحث الموضوعيّة والآراء العلميّة والفلسفيّة والكلاميّة المطروحة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المباحث العقليّة بأسلوب فريد لم أر نظيرا له ـ وذلك نتيجة لتبحّره في المباحث العقليّة والفلسفيّة ـ ومع أنّ الكثير دخلت في البحوث العقليّةإلّا أنّها لم تتطرّق إليها بطريقة اللائقة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المسائل الروائيّة بما يتناغم مع التحليل والتدقيق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 هذه النقاط يمكن أن أقول بوضوح بأنّ لهذا التفسير مكانة مرموقة، حتّى أنّ التفاسير التي كتبت من بعده لم تتقدّم عليه ولا تضاهيه في بيانه للمطالب وإحاطته بالتفسير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هذا كلّه، هناك نقاط وملاحَظات على تفسير الميزان ممّا يجعله محطاً للتأمّل عند أهل العلم والنظر</w:t>
      </w:r>
      <w:r>
        <w:rPr>
          <w:rFonts w:eastAsia="Amiri" w:cs="Amiri" w:ascii="Amiri" w:hAnsi="Amiri"/>
          <w:color w:val="111111"/>
          <w:sz w:val="28"/>
          <w:szCs w:val="28"/>
          <w:rtl w:val="true"/>
          <w:lang w:bidi="ar-SA"/>
        </w:rPr>
        <w:t>.</w:t>
      </w:r>
      <w:bookmarkStart w:id="16" w:name="pg2337_14460"/>
    </w:p>
    <w:p>
      <w:pPr>
        <w:pStyle w:val="Heading2"/>
        <w:numPr>
          <w:ilvl w:val="1"/>
          <w:numId w:val="1"/>
        </w:numPr>
        <w:rPr/>
      </w:pPr>
      <w:bookmarkStart w:id="17" w:name="__RefHeading___Toc2569388_3804643083"/>
      <w:bookmarkStart w:id="18" w:name="_Toc6"/>
      <w:bookmarkEnd w:id="16"/>
      <w:bookmarkEnd w:id="17"/>
      <w:r>
        <w:rPr>
          <w:rtl w:val="true"/>
        </w:rPr>
        <w:t>السؤال الثاني</w:t>
      </w:r>
      <w:r>
        <w:rPr>
          <w:rtl w:val="true"/>
        </w:rPr>
        <w:t xml:space="preserve">: </w:t>
      </w:r>
      <w:r>
        <w:rPr>
          <w:rtl w:val="true"/>
        </w:rPr>
        <w:t>ما مدى قبول طريقة تفسير القرآن بالقرآن التي اعتمدها العلّامة في تفسيره وسعى كثيراً إلى تطبيقها؟</w:t>
      </w:r>
      <w:bookmarkEnd w:id="18"/>
    </w:p>
    <w:p>
      <w:pPr>
        <w:pStyle w:val="Heading3"/>
        <w:numPr>
          <w:ilvl w:val="2"/>
          <w:numId w:val="1"/>
        </w:numPr>
        <w:rPr/>
      </w:pPr>
      <w:bookmarkStart w:id="19" w:name="__RefHeading___Toc2569390_3804643083"/>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تفسير القرآن بالقرآن هو من المباني المهمّة في تفسير الم يزان وربما يكون هو أبرز خصوصيّاته التي تطرقتم لها في هذه الفصلية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العلّامة أنّ آيات القرآن لا تحتاج إلى غير القرآن، إلّا في آيات الأحكام وبعض آيات المعاد والقصص، حيث إنّه يرى بأنّ القرآن مفسِّر لنفسه بنفسه، ومبيّن بذاته لآياته، وإنّ الآيات المبهمة والمتشابهة تُفسَّر بالآيات المحكمة والمُبيَّنة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بعض كلماته في هذا المجال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فيما تقدّم أنّ الآيات التي تدعو الناس عامّة من كافر أو مؤمن ممّن شاهد عصر النزول أو غاب عنه إلى تعقّل القرآن وتأمّله والتدبّر فيه وخاصّة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تدلّ دلالة واضحة على أنّ المعارف القرآنيّة يمكن أن ينالها الباحث بالتدبّر والبحث، ويرتفع به ما يتراءى من الاختلاف بين الآيات، والآية في مقام</w:t>
      </w:r>
    </w:p>
    <w:p>
      <w:pPr>
        <w:pStyle w:val="BookText"/>
        <w:rPr/>
      </w:pPr>
      <w:r>
        <w:rPr>
          <w:rFonts w:ascii="Amiri" w:hAnsi="Amiri" w:eastAsia="Amiri" w:cs="Amiri"/>
          <w:color w:val="111111"/>
          <w:sz w:val="28"/>
          <w:sz w:val="28"/>
          <w:szCs w:val="28"/>
          <w:rtl w:val="true"/>
          <w:lang w:bidi="ar-SA"/>
        </w:rPr>
        <w:t>التحدّي، ولا معنى لإرجاع فهم معاني الآيات ـ والمقام هذا المقام ـ إلى فهم الصحابة وتلامذتهم من التابعين حتّى إلى بيان النبيّ… صلي الله عليه و آله و سلم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هل هذه النظريّة صحيحة أم لا؟</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نحكم على هذه النظرية وتقييمها ينبغي الالتفات إلى مسألتين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بوجود آيات في القرآن تحتاج إلي التبيين والتفسير ويمكن أن يستفاد من آيات أخر في تفسيرها،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الطريقة في التفسير صحيحة بنحو الموجبة الجزئية ولا 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أراد بهذه النظريّة تعظيم القرآن الكريم وتكريمه، والاهتمام بالوحي والكتاب الإلهي، و‌لم يقصد من هذه العمليّة نفي اعتبار حجيّة قول المعصوم وفعله في التفسير وسائر المعارف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قبول هذه المقدمات المسلَّمة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يرد على هذه النظريّة هو إطلاقها وعمومها، لا أصلها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قلنا بأنّ إحدى طرق التفسير هي أن يفسَّر القرآن بنفسه، فهذا كلامٌ صحيح لا غبار عليه، وأمّا إذا حصرنا التفسير بها وقلنا بأنّ الطريق الوحيد في فهم القرآن هو طريق تفسير القرآن بالقرآن، وإنّه لا يحتاج إلى بيان أحد حتّى النبيّ وعترته… عليهم السلام …ـ في غير آيات الأحكام وبعض الآيات</w:t>
      </w:r>
    </w:p>
    <w:p>
      <w:pPr>
        <w:pStyle w:val="BookText"/>
        <w:rPr/>
      </w:pPr>
      <w:r>
        <w:rPr>
          <w:rFonts w:ascii="Amiri" w:hAnsi="Amiri" w:eastAsia="Amiri" w:cs="Amiri"/>
          <w:color w:val="111111"/>
          <w:sz w:val="28"/>
          <w:sz w:val="28"/>
          <w:szCs w:val="28"/>
          <w:rtl w:val="true"/>
          <w:lang w:bidi="ar-SA"/>
        </w:rPr>
        <w:t>المرتبطة بالمعاد والقصص القرآنيّة ـ فيرد عليه بعدم التمكّن من رفع الإبهام في بعض المواقع عن الآية بواسطة الآيات الأخرى، ولا يمكن رفعه إلّا ببيان المعصوم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للعلّامة أدلّته لاثبات نظريّةٍ نشير إليها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العلّامة قد ذكر أدلّة ثلاث لإثبات ضرورة تفسير القرآن بالقرآن، وقال في الجزء الأوّل والتاسع من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المجموعة ـ القرآن ـ لا تحتاج إلى غيرها في تبيين معناها وهي التي تبيِّن نفسها بنفسها، إلّا أنّ ذلك لا يتيسّر إلّا لمن كان دقيقاً وعالماً بالمقدّمات الفنّيّة الأدبيّة واللغويّة القرآنيّة وراسخاً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يستطيع أن يفسّر القرآن بالقرآن مع التأمّل والتفكّر إلّا في الموارد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الأدلّة الثلاثة التي ذكرها فهي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عرّف نفسه بأنّه نور، والنور لا يحتاج إلى غيره و لا يستنير بنورٍ آخر؛ وإلّا لما سُمّي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لأنّه نزل تبياناً ومنوِّرا لنفسه، ولا يحتاج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التحدّي المذكور في القرآن منوط بنورانيّة القرآن ووضوحه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يدعو الناس إلى تلاوته لأجل الهداية، ويدعوهم إلى الاهتمام به و إلى النظر في أنّ الإنسان عاجز عن الإتيان بمثل علومه ومعارفه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في مقام التحدّي، وهذا التحدّي لا يتمّ إلّا إذا كان فهم القرآن</w:t>
      </w:r>
    </w:p>
    <w:p>
      <w:pPr>
        <w:pStyle w:val="BookText"/>
        <w:rPr/>
      </w:pPr>
      <w:r>
        <w:rPr>
          <w:rFonts w:ascii="Amiri" w:hAnsi="Amiri" w:eastAsia="Amiri" w:cs="Amiri"/>
          <w:color w:val="111111"/>
          <w:sz w:val="28"/>
          <w:sz w:val="28"/>
          <w:szCs w:val="28"/>
          <w:rtl w:val="true"/>
          <w:lang w:bidi="ar-SA"/>
        </w:rPr>
        <w:t>ممكناً و ميسوراً لمخاطبيه من الكفّار والمشركين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فهمه متوقفاً على شيء آخر غيره حتّى إلى بيان النبيّ… صلي الله عليه و آله و سلم … والصحابة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أحاديث كثيرة، الأمر بالتمسّك بالقرآن وعرض الروايات عليه، وهذا إنّما يصحّ إذا كان من الممكن استفادة جميع الأحاديث المنقولة عن الرسول الأعظم… صلي الله عليه و آله و سلم … من القرآن، وحينئذ لو توقّف فهم القرآن على الأحاديث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إذا كان البناء علي عرض الروايات على القرآن، فإنّه يلزم أن يكون القرآن مشتملاً على جميع المواضيع الروائيّة، ومن جانب آخر لو كان البناء علي أن نفهم القرآن بالروايات، فهذا دور واضح وباطل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الطريق إلى فهم القرآن الكريم غير مسدود، وأنّ البيان الإلهيّ والذكر الحكيم بنفسه هو الطريق الهادي إلى نفسه، أي إنّه لايحتاج في تبيين مقاصده إلى طريق، فكيف يتصوّر أن يكون الكتاب الذي عرّفه اللّه تعالى بأنّه هُدىً وأنّه نور وأنّه تبيان لكلّ شي‌ء مفتقراً إلى هاد غيرِه ومستنيراً بنور غيرِه ومبيّناً بأمر غيرِه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نقد الدليل الأوّل</w:t>
      </w:r>
    </w:p>
    <w:p>
      <w:pPr>
        <w:pStyle w:val="BookText"/>
        <w:rPr/>
      </w:pPr>
      <w:r>
        <w:rPr>
          <w:rFonts w:ascii="Amiri" w:hAnsi="Amiri" w:eastAsia="Amiri" w:cs="Amiri"/>
          <w:color w:val="111111"/>
          <w:sz w:val="28"/>
          <w:sz w:val="28"/>
          <w:szCs w:val="28"/>
          <w:rtl w:val="true"/>
          <w:lang w:bidi="ar-SA"/>
        </w:rPr>
        <w:t>إنّ الحجر الأساس في الدليل الأوّل للعلّامة هي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هدىً ونوراً وتبياناً لكلّ شي‌ء، فما بال النور يستنير بنور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 الهدى يهتدي بهداية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يتبيّن ما هو تبيان كلّ شي‌ء بشي‌ء دون نفسه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آيات الأحكام، فقد اجتنبنا تفصيل البيان فيها لرجوع ذلك إلى الفقه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ولنقل في مقام الإجابة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أخرج آيات الأحكام وبعض آيات المعاد من هذا الإطار، معترفاً بأنّه لا يمكن الاكتفاء بالقرآن في تفسير هذه الآيات، وإنّما نحتاج إلى بيانات النبيّ والأئمّة… عليهم السلام … لفهمها وتفسيرها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الذي نطرحه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تستثنى بعض الآيات من قاعدة كون القرآن تبياناً لكلّ شيء؟</w:t>
      </w:r>
    </w:p>
    <w:p>
      <w:pPr>
        <w:pStyle w:val="BookText"/>
        <w:rPr/>
      </w:pPr>
      <w:r>
        <w:rPr>
          <w:rFonts w:ascii="Amiri" w:hAnsi="Amiri" w:eastAsia="Amiri" w:cs="Amiri"/>
          <w:color w:val="111111"/>
          <w:sz w:val="28"/>
          <w:sz w:val="28"/>
          <w:szCs w:val="28"/>
          <w:rtl w:val="true"/>
          <w:lang w:bidi="ar-SA"/>
        </w:rPr>
        <w:t>وهل يمكن أن تكون بعض الآيات نوراً وبياناً دون البعض الآخر؟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إذا أقررنا بأنّ القرآن نورٌ كلّه، وأنّ جميع آياته بيّنات، وقلنا بأنّ لازم ذلك عدم احتياجه إلى تفسير وتوضيح النبيّ وأهل‌بيته… عليهم السلام …، فإنّه لا يستثنى منه حتّى آيات الأحكام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في المقام تنافٍ، أي بين نورانيّة القرآن وبين احتياج بعض آياته في التفسير إلى السنّة، فحينئذ لا يوجد دليل على حذف السنّة في تفسير القرآن والقول باستغنائه عنها استناداً على نورانيّته، بل يصحّ القول بنورانيّة القرآن حتّى في صورة احتياج فهم بعض آياته ـ من الأحكام والمعاد وغيرها ـ إلى توضيح الروايات وبيانها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نورانيّة القرآن من حيث المجموع لا تتنافى مع كون بعض آياته متشابهة فنحتاج في فهمها إلى الروايات وبيانات المعصومين… عليهم السلام …، أنّ المراد من نورانيّة القرآن وهدايته هو الهداية في طريق السعادة، ولو قلنا إنّ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ناظر إلى مجموع القرآن لا خصوص كلّ آية لوحدها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أنّه يمكن أن يكون القرآن تبياناً لكلّ شئ بالنسبة إلى الحجّة المعصوم… عليه السلام … فحسب، و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يبيّن الحقّ والباطل، وأنّه كتاب حقّ حتّى في صورة لزوم إرجاع فهم بعض آياته إلى بيان الرسول…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صاحب الميزان نفسه أحياناً يعقّب بعد تفسيره لبعض الآيات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عدم اتّضاح معناها، فراجع على سبيل المثال كلامه 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وَيَسْئَلُونَكَ ماذا يُنْفِقُونَ قُلِ الْعَفْوَ</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وقد قال أيضاً إنّا لا نفهم من القرآن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مِنَ الْأَرْض</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لا نجد في كلامه تعالى ما يصلح لتفسير هذه الآية وأنّ هذه الدابة التي سيخرجها لهم من الأرض فتكلّمهم ما هي؟ وما صفتها؟ وكيف تخرج؟ وماذا تتكلّم به؟ بل سياق الآية نعم الدليل على أنّ القصد إلى الإبهام فهو كلام مرموز فيه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w:t>
      </w:r>
    </w:p>
    <w:p>
      <w:pPr>
        <w:pStyle w:val="BookText"/>
        <w:rPr/>
      </w:pPr>
      <w:r>
        <w:rPr>
          <w:rFonts w:ascii="Amiri" w:hAnsi="Amiri" w:eastAsia="Amiri" w:cs="Amiri"/>
          <w:color w:val="111111"/>
          <w:sz w:val="28"/>
          <w:sz w:val="28"/>
          <w:szCs w:val="28"/>
          <w:rtl w:val="true"/>
          <w:lang w:bidi="ar-SA"/>
        </w:rPr>
        <w:t>هذه الموارد لا تتنافى مع نورانيّة القرآن، وإن احتاجت إلى غيرها، خلافاً لرأيه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الدليل الثاني</w:t>
      </w:r>
    </w:p>
    <w:p>
      <w:pPr>
        <w:pStyle w:val="BookText"/>
        <w:rPr/>
      </w:pPr>
      <w:r>
        <w:rPr>
          <w:rFonts w:ascii="Amiri" w:hAnsi="Amiri" w:eastAsia="Amiri" w:cs="Amiri"/>
          <w:color w:val="111111"/>
          <w:sz w:val="28"/>
          <w:sz w:val="28"/>
          <w:szCs w:val="28"/>
          <w:rtl w:val="true"/>
          <w:lang w:bidi="ar-SA"/>
        </w:rPr>
        <w:t>يقول العلّامة الطباطبائيّ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القرآن إنّما نزّل ليعقله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فيما تقدّم أنّ الآيات التي تدعو الناس عامّة من كافر أو مؤمن ممّن شاهد عصر النزول أو غاب عنه إلى تعقّل القرآن وتأمّله والتدبّر فيه وخاصّة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تدلّ دلالة واضحة على أنّ المعارف القرآنيّة يمكن أن ينالها الباحث بالتدبّر والبحث، ويرتفع به ما يتراءى من الاختلاف بين الآيات، والآية في مقام التحدّي</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كلامه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ـ أنّ القرآن نزل لهداية كافّة الناس وليس لفئة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أنّ اللّه يأمر الناس فيه أن يتدبّروا ويتأمّلوا في معارف الوحي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الناتج من المقدّمتين أنّ المفاهيم القرآنيّة قابلة لفهم كافّة الناس إن تأمّلوا فيها، وأنّهم لا يحتاجون لإدراك حقّانيّة القرآن ومعارفه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معنى لإرجاع فهم معاني الآيات ـ والمقام هذا المقام ـ إلى فهم الصحابة وتلامذتهم من التابعين حتّى إلى بيان النبيّ… صلي الله عليه و آله و سلم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هذا الكلام غير تامّ أيضاً، حيث إنّه لو كان القسم المهمّ من الآيات القرآنيّة محكماً وبيّن الدلالة فإنّه يكون كافياً لصحّة دعوته تعالى للناس من دون استثناء إلى التأمّل في آياته، وأن يطلب منهم وجدان حقّانيّته وحقّانيّة رسالة رسوله عبر التدبّر فيها وإذعانهم بالعجز عن الإتيان بمثل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يلزم أن تكون جميع الآيات القرآنيّة المعارفيّة ظاهرة وواضحة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الدليل الثالث</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الأخبار المتواترة عنه… صلي الله عليه و آله و سلم … المتضمّنة لوصيّته بالتمسّك بالقرآن والأخذ به وعرض الروايات المنقولة عنه… صلي الله عليه و آله و سلم … على كتاب اللّه لا يستقيم معناها إلّا مع كون جميع ما نقل عن النبيّ… صلي الله عليه و آله و سلم … ممّا يمكن استفادته من الكتاب، ولو توقّف ذلك على بيان النبيّ… صلي الله عليه و آله و سلم … كان من الدور الباطل وهو ظاهر</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مجمل كلامه</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عرض الروايات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لا يكون مرجعاً للروايات إلّا إذا كان مشتملاً علي جميع المعارف والمفاهيم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القرآن حاوياً على جميع المطالب والمعارف الروائيّة وكان فهمه ممكناً فلا يحتاج إلى الروايات في تبيين مقاصده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المعيار في ثبوت الروايات ومحتواها هو عرضها على القرآن من جانب، وقلنا بأنّ فهم القرآن ـ ولو في بعض الموارد ـ معلّق على بيان الروايات من جانب آخر، فلازمه الدور وهو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يخطر بالبال علي هذا الكلام من العلّامة بعد التدقيق أنّه لا يتحقّق الدور في المقام، وذلك أنّ التوقّف من أحد الطرفين هنا يختلف عنه في الطرف الثاني، بينما الدور الباطل مشروط باتّحاد الجهة، فلو تعدّدت لا يكون دوراً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أربعة قضايا تظهر من كلام العلّامة، وإنّ مفاد ثانيها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الروايات المنقولة عنه… صلي الله عليه و آله و سلم … على كتاب اللّه لا يستقيم معناها إلّا مع كون جميع ما نقل عن النبيّ… صلي الله عليه و آله و سلم … ممّا يمكن إستفادته من الكتاب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الإشكال الأساسيّ يرد على هذا المقطع، لأنّ عرض الروايات على</w:t>
      </w:r>
    </w:p>
    <w:p>
      <w:pPr>
        <w:pStyle w:val="BookText"/>
        <w:rPr/>
      </w:pPr>
      <w:r>
        <w:rPr>
          <w:rFonts w:ascii="Amiri" w:hAnsi="Amiri" w:eastAsia="Amiri" w:cs="Amiri"/>
          <w:color w:val="111111"/>
          <w:sz w:val="28"/>
          <w:sz w:val="28"/>
          <w:szCs w:val="28"/>
          <w:rtl w:val="true"/>
          <w:lang w:bidi="ar-SA"/>
        </w:rPr>
        <w:t>القرآن إنّما هو لمعرفة الصحيح منها عن غيره ولا يكون بمعني وجود تصريح وتأييد في القرآن لكلّ واحد واحد من الروايات، بل عرضها على القرآن إنّما هو لعدم مخالفتها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المذكور في النصّ أنّه لو وجدتم حديثاً مخالفاً للقرآن فاضربوه على الجدار</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إِذَا جَاءَكُمْ عَنِّي حَدِيثٌ، فَاعْرِضُوهُ عَلَى كِتَابِ اللهِ، فَمَا وَافَقَ كِتَابَ اللهِ فَاقْبَلُوهُ وَ مَا خَالَفَهُ فَاضرِبُوا به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الكليني في الكافي،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العلم باب الأخذ بالسنة و شواهد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حديثاً بهذا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الشيخ حرّ العاملي أيضاً في كتاب وسائل‌الشيعة، ج</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من أبواب صفات القاضي باب ما يجوز أن يقضي به من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مفاده ترك ما لم يكن مضمونه موجوداً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في مقام عرض الروايات على القرآن الفحص عمّا خالف القرآن من الروايات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لم يخالف القرآن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 يرد عنه بيان في القرآن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ورد بيان صريح مؤيّد له بالدلالة المطابقيّة أو غيرصريح بالدلالة الالتزاميّة والتضمنيّة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قلنا من اختلاف جهة التوقّف إنّما هو بمعنى وجوب عرض الروايات على القرآن لمعرفة وجود التضادّ بينهما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واحتياج القرآن إلى الروايات إنّما هو لتبيين بعض آياته التي لا تُعرف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يجب الالتفات إلى أنّ القرآن بنفسه قد أمر مخاطبه بالرجوع إلى غيره في موارد كثيرة، ومن جملة تلك الموارد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إنّ ظاهر هذه الآيات ونظائرها لزوم رجوع من له مقام وشأنيّة فهم القرآن في الآية التي لم يعرف تفسيرها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أُوتُوا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العمل أيضاً حينما نراجع القرآن نجد عدم اتّضاح بعض الآيات مع وجود بيانات المفسّرين، كما اعترف العلّامة بنفسه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فِي الأَرْض</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حيث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سعينا لم نفهم معنى هذه الآية من خلال بقيّة الآيات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ينبغي التذكير به هنا بما أنّ اهتمام العلّامة كان في تفسير القرآن بالقرآن؛ لذا صار هذا الأمر سبباً لتوجّهه إلى الآيات بنحو أكثر، فبذل كلّ سعيه في تحقيق هذا الأمر، فبطبيعة الحال فإنّ تفسيره ممتاز من جهات متعدّدة، ولا توجد مثل هذه العناية في أكثر التفاسير في مقام التحقيق عند آية ما، فالمفسّرون لم يوفّقوا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قلنا في 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نور والنور لا يحتاج إلى غيره في النورانيّة والظهور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يظهر لدى الرجوع إلى القرآن والروايات أنّ القرآن أحياناً في بعض الموارد يحتاج إلى غيره، أي النبيّ وأهل بيته… عليهم السلام …، وهذا لا ينافي كونه تبياناً لنفسه، لأنّه يمكن أن يقال إنّه لا‌يحتاج إلى غيره ثبوتاً، وحينئذٍ لا يحتاج إلى غيره مع المعصوم… عليه السلام … وأنّ غير المعصوم يحتاج إلى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المعصوم فإنّه ـ بما له من العلم ـ يستطيع أن يستخرج بعض المسائل من القرآن وإن كانت مبيّنة على نحو الرموز والبطون فيه، فلا يحتاج إلى غير القرآن في فهمه؛ إلّا أنّ القول بأنّ آيات القرآن بهذه الكيفيّة ثبوتاً أم لا؟ ليس هو محطّ الكلام ولا كلام فيه، إنّما الكلام في غير المعصوم وأنّه هل يحتاج إلى بيان المعصوم في موارد خاصة وبنحو الموجبة الجزئية أم لا؟</w:t>
      </w:r>
    </w:p>
    <w:p>
      <w:pPr>
        <w:pStyle w:val="BookText"/>
        <w:rPr/>
      </w:pPr>
      <w:r>
        <w:rPr>
          <w:rFonts w:ascii="Amiri" w:hAnsi="Amiri" w:eastAsia="Amiri" w:cs="Amiri"/>
          <w:color w:val="111111"/>
          <w:sz w:val="28"/>
          <w:sz w:val="28"/>
          <w:szCs w:val="28"/>
          <w:rtl w:val="true"/>
          <w:lang w:bidi="ar-SA"/>
        </w:rPr>
        <w:t>يظهر من عبارات صاحب الميزان في المجلّد الثالث جليّاً أنّ القرآن لا يحتاج إلى غيره من هذه الجهة وأنّ الباحثين بامكانهم بمراجعة بقية الآيات وحتّي في موارد الإختلاف بين الآيات أن يرفعوا الإختلاف و يحلّوا المسألة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القسم من كلام العلّامة مردود عندنا، وكما بيّنا أنّه يظهر غير ذلك لدى دراسة الآيات والروايات</w:t>
      </w:r>
      <w:r>
        <w:rPr>
          <w:rFonts w:eastAsia="Amiri" w:cs="Amiri" w:ascii="Amiri" w:hAnsi="Amiri"/>
          <w:color w:val="111111"/>
          <w:sz w:val="28"/>
          <w:szCs w:val="28"/>
          <w:rtl w:val="true"/>
          <w:lang w:bidi="ar-SA"/>
        </w:rPr>
        <w:t>.</w:t>
      </w:r>
      <w:bookmarkStart w:id="21" w:name="pg2337_14472"/>
    </w:p>
    <w:p>
      <w:pPr>
        <w:pStyle w:val="Heading3"/>
        <w:numPr>
          <w:ilvl w:val="2"/>
          <w:numId w:val="1"/>
        </w:numPr>
        <w:rPr/>
      </w:pPr>
      <w:bookmarkStart w:id="22" w:name="__RefHeading___Toc2569392_3804643083"/>
      <w:bookmarkStart w:id="23" w:name="_Toc8"/>
      <w:bookmarkEnd w:id="21"/>
      <w:bookmarkEnd w:id="22"/>
      <w:r>
        <w:rPr>
          <w:rtl w:val="true"/>
        </w:rPr>
        <w:t>نقد على ما ذكره صاحب الميزان حول حديث الثقلين</w:t>
      </w:r>
      <w:bookmarkEnd w:id="23"/>
    </w:p>
    <w:p>
      <w:pPr>
        <w:pStyle w:val="BookText"/>
        <w:rPr/>
      </w:pPr>
      <w:r>
        <w:rPr>
          <w:rFonts w:ascii="Amiri" w:hAnsi="Amiri" w:eastAsia="Amiri" w:cs="Amiri"/>
          <w:color w:val="111111"/>
          <w:sz w:val="28"/>
          <w:sz w:val="28"/>
          <w:szCs w:val="28"/>
          <w:rtl w:val="true"/>
          <w:lang w:bidi="ar-SA"/>
        </w:rPr>
        <w:t>ذكر صاحب الميزان ـ فيما أوردنا من كلماته ـ حديث الثقلين فبيّن معنىً له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 النبي… صلي الله عليه و آله و سلم … أنّه قال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دالّ على حجّية قول أهل البيت… عليهم السلام … في القرآن ووجوب اتّباع ما ورد عنهم في تفسيره والاقتصار على ذلك وإلّا لزم التفرقة بينهم وبينه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قال في مقام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غير مسوق لإبطال حجّية ظاهر القرآن و قصر الحجيّة على ظاهر بيان أهل البيت… عليهم السلام … كيف وهو… صلي الله عليه و آله و سلم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لن‌يفترقا، فيجعل الحجيّة لهما معاً فللقرآن الدلالة على معانيه والكشف عن المعارف الإلهيّة، ولأهل البيت الدلالة على الطريق وهداية الناس إلى أغراضه ومقاصده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حاصل كلامه أنّ القرآن والعترة كلاهما حجّة استقلالاً ولا يحتاج أحدهما إلى الآخر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الشريف أوصى بالتمسّك بالقرآن والعترة معاً، وأوجب الرجوع إليهما معاً، وأنّ هناك الكثير من الروايات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حديث الثقلين تنصّ على التلازم بين القرآن والعترة أيضاً، وكذلك ورد كثيراً في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تبيان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بياننا أهل البيت… عليهم السلام … لم تتّضح جميع المفاهيم القرآنيّة للناس</w:t>
      </w:r>
      <w:r>
        <w:rPr>
          <w:rFonts w:eastAsia="Amiri" w:cs="Amiri" w:ascii="Amiri" w:hAnsi="Amiri"/>
          <w:color w:val="111111"/>
          <w:sz w:val="28"/>
          <w:szCs w:val="28"/>
          <w:rtl w:val="true"/>
          <w:lang w:bidi="ar-SA"/>
        </w:rPr>
        <w:t>).</w:t>
      </w:r>
      <w:r>
        <w:rPr>
          <w:rStyle w:val="FootnoteAnchor"/>
          <w:rtl w:val="true"/>
        </w:rPr>
        <w:footnoteReference w:id="25"/>
      </w:r>
      <w:bookmarkStart w:id="24" w:name="pg2337_14474"/>
    </w:p>
    <w:p>
      <w:pPr>
        <w:pStyle w:val="Heading2"/>
        <w:numPr>
          <w:ilvl w:val="1"/>
          <w:numId w:val="1"/>
        </w:numPr>
        <w:rPr/>
      </w:pPr>
      <w:bookmarkStart w:id="25" w:name="__RefHeading___Toc2569394_3804643083"/>
      <w:bookmarkStart w:id="26" w:name="_Toc9"/>
      <w:bookmarkEnd w:id="24"/>
      <w:bookmarkEnd w:id="25"/>
      <w:r>
        <w:rPr>
          <w:rtl w:val="true"/>
        </w:rPr>
        <w:t>السؤال الثالث</w:t>
      </w:r>
      <w:r>
        <w:rPr>
          <w:rtl w:val="true"/>
        </w:rPr>
        <w:t xml:space="preserve">: </w:t>
      </w:r>
      <w:r>
        <w:rPr>
          <w:rtl w:val="true"/>
        </w:rPr>
        <w:t>ما هي نواقص تفسير الميزان أو تفسير القرآن بالقرآن في نظركم؟</w:t>
      </w:r>
      <w:bookmarkEnd w:id="26"/>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دراسة تفسير الميزان بما أنّ مؤلّفه ذهب إلي تفسير القرآن بالقرآن وكان بنائه تفسير الآيات بنفس الآيات، أنّ في بعض الموارد التي ورد ذيل بعض الآيات حديثاً مفسّراً لها، لم تفسّر الآية بما يناسبها ويناسب شأن هذا التفسير وذلك لعدم الإلتفات إلي الحديث المذكور في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هذه الموارد،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اغْفِرْ لي وَ هَبْ لي مُلْكاً لا يَنْبَغي لِأَحَدٍ مِنْ بَعْدي</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فإنّ السؤال المطروح في ذيل هذه الآية المباركة هو أنّه كيف يطلب مِثل سليمان النبيّ من اللّه أن لا يهب الملك لأحد من بعده، مع أنّه كان عالماً بمجئ الأنبياء والنبيّ… صلي الله عليه و آله و سلم … وأوصيائه… عليهم السلام … من بعده، أ لا يرجع هذا الطلب إلى نوع من البخل أو العُجب؟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أجابت رواية شريفة عن هذه الشبهة، وردت عن مولانا الإمام موسى بن جعفر… عليهما السلام … وبيّنت معني الآية المباركة، إلّا أنّ صاحب الميزان لم يتعرّض لها ولم يشر إليها، وأراد أن يحلّ هذه المعضلة عن طريق الآيات</w:t>
      </w:r>
    </w:p>
    <w:p>
      <w:pPr>
        <w:pStyle w:val="BookText"/>
        <w:rPr/>
      </w:pPr>
      <w:r>
        <w:rPr>
          <w:rFonts w:ascii="Amiri" w:hAnsi="Amiri" w:eastAsia="Amiri" w:cs="Amiri"/>
          <w:color w:val="111111"/>
          <w:sz w:val="28"/>
          <w:sz w:val="28"/>
          <w:szCs w:val="28"/>
          <w:rtl w:val="true"/>
          <w:lang w:bidi="ar-SA"/>
        </w:rPr>
        <w:t>الأخرى، ولكن بما أنّ الآيات لم تتعرّض للإجابة عن هذا السؤال فإنّه قال في حلّ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سؤال ملك يختصّ به لا سؤال أن يمنع غيره عن مثل ما آتاه و يحرمه ففرق بين أن يسأل ملكا اختصاصيّاً و أن يسأل الاختصاص بملك أوتيه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في حين أنّ هذا المعنى لا يُفهم أصلاً من ظاهر الآية ولا يوجد شاهد عليه، مضافاً إلى أنّ السؤال يبقى على حاله حتّى مع هذه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 موسى بن جعفر… عليهما السلام … فيقول في الجواب عن سؤال عليّ بن يقطين في توضيح الآية ما هذا نصّه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يكون نبي الله عزّ وجلّ بخيلاً؟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سليمان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رَبِّ اغْفِرْ لِي وَهَبْ لِي مُلْكاً لا يَنْبَغِي لِأَحَدٍ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ما وجهه وما معناه؟ فقال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مَأْخُوذٌ بِالْغَلَبَةِ وَالْجَوْرِ وَإِجْبَارِ النَّاسِ وَمُلْكٌ مَأْخُوذٌ مِنْ قِبَلِ اللهِ تَعَالَى ذِكْرُهُ كَمُلْكِ آلِ إِبْرَاهِيمَ وَمُلْكِ طَالُوتَ وَمُلْكِ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مُلْكاً لا يَنْبَغِي لِأَحَدٍ مِنْ بَعْدِي أَنْ يَقُولَ إِنَّهُ مَأْخُوذٌ بِالْغَلَبَةِ وَالجَوْرِ وَإِجْبَارِ النَّاسِ، فَسَخَّرَ اللهُ عَزَّ‌وَ‌جَلَ لَهُ الرِّيحَ تَجْرِي بِأَمْرِهِ رُخاءً حَيْثُ أَصابَ</w:t>
      </w:r>
    </w:p>
    <w:p>
      <w:pPr>
        <w:pStyle w:val="BookText"/>
        <w:rPr/>
      </w:pPr>
      <w:r>
        <w:rPr>
          <w:rFonts w:ascii="Amiri" w:hAnsi="Amiri" w:eastAsia="Amiri" w:cs="Amiri"/>
          <w:color w:val="111111"/>
          <w:sz w:val="28"/>
          <w:sz w:val="28"/>
          <w:szCs w:val="28"/>
          <w:rtl w:val="true"/>
          <w:lang w:bidi="ar-SA"/>
        </w:rPr>
        <w:t>وَجَعَلَ غُدُوَّهَا شَهْراً وَرَوَاحَهَا شَهْراً، وَسَخَّرَ اللهُ عَزَّ‌وَجَلَّ لَهُ الشَّياطِينَ كُلَّ بَنَّاءٍ وَغَوَّاصٍ وَعُلِّمَ مَنْطِقَ الطَّيْرِ وَمُكِّنَ فِي الأَرْضِ فَعَلِمَ النَّاسُ فِي وَقْتِهِ وَبَعْدَهُ أَنَّ مُلْكَهُ لا يُشْبِهُ مُلْكَ المُلُوكِ المُخْتَارِينَ مِنْ قِبَلِ النَّاسِ وَالمَالِكِينَ بِالْغَلَبَةِ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 صلي الله عليه و آله و سلم … رَحِمَ اللهُ أَخِي سُلَيْمَانَ بْنَ دَاوُدَ مَا كَانَ أَبْخَلَهُ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صلي الله عليه و آله و سلم … مَا أَبْخَلَهُ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كَانَ أَبْخَلَهُ بِعِرْضِهِ وَسُوءِ الْقَوْلِ فِيهِ، وَالْوَجْهُ الْآخَرُ يَقُولُ مَا كَانَ أَبْخَلَهُ إِنْ كَانَ أَرَادَ مَا يَذْهَبُ إِلَيْهِ الْجُهَّالُ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أُوتِينَا مَا أُوتِيَ سُلَيْمَانُ وَمَا لَمْ يُؤْتَ سُلَيْمَانُ وَمَا لَمْ يُؤْتَ أَحَدٌ مِنَ الْأَنْبِيَاءِ مِنَ الْعَالَمِينَ قَالَ اللهُ عَزَّ وَجَلَّ فِي قِصَّةِ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وَقَالَ عَزَّ وَجَلَّ فِي قِصَّةِ مُحَمَّدٍ… 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يُعلم أنّا نحتاج إلى غير القرآن لفهم بعض الآيات وكما رأيت فإنّ السؤال المطروح حول الآية لا ينحلّ إلّا بالرواية المذكورة وإلّا فقد كان ينبغي لمثل صاحب الميزان أن يرفع هذه المعضلة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الأخرى التي تثبت لنا احتياج القرآن إلى الروايات هو أنّا لو سلّمنا أنّ بعض الاحتمالات الواردة في ذيل آية تحلّ الإشكالات الواردة عليها، إلّا أنّ هذا الجواب لايمكن عرضه للمستشكل، وذلك لأنّه لو فرض على سبيل المثال ورود شبهة بالنسبة إلى مفهوم آية أو خطر بالبال وجود تعارض بين آيتين، فلو قيل في الجواب يحتمل أن يكون معنى هذه الآية هذا، وللآية الثانية معنى آخر فينتفي التعارض بينهما؛ إلّا أنّ هذا الجواب لا‌يكون مقنعاً للمستشكل إذ أنّ كلّ تناقض وإشكال يمكن رفعه بهذا الأسلوب ولا‌يحلّه واقعاً وحقيقة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يُعرِّف القرآن ومن جاء به، أشخاصاً يكون كلامهم سنداً وحجّةً في تعيين معنى خاصّ من بين الاحتمالات وتثبيته فإنّ الإشكال يبقى على حاله ولايمكن حلّ الشبهات بالاحتمالات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الموارد لايمكن تفسير الآية وتبيين معناها بآيات أخرى بنحو كامل وواضح وقطعي، فلا تنحلّ المشكلة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تجاوز الآية بسهولة عبر طرح الاحتمالات إلّا أنّ هذه الاحتمالات غير كافية للمستشكل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قلنا للمستشكل أنّه يجب الرجوع لحلّ المعضلة والإشكال، إلى أولئك الذين يكون كلامهم سنداً وحجّةً وهم الذين ذُكر القرآن بمعيّتهم في حديث الثقلين وغيره، وأنّ هنالك تلازماً بينهم وبينه، فإنّ هذا الجواب يكون مقنعاً لا‌يرد عليه الإيراد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ينبغي الالتفات إليه أنّه مع إصرار صاحب الميزان على طريقة تفسير القرآن بالقرآن وسعيه في عدم إدخال الوسائل الأخرى في تفسيره ونجاحه في كثير من الموارد، إلّا أنّ أنسه بالمسائل العقليّة ـ الفلسفيّة ـ قد أثّر على تفسيره تأثيراً ملموساً، نشير إلى مثال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نقل رواية عن النبيّ… صلي الله عليه و آله و سلم …من كتاب الدرّ المنثور بهذا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خلق الله ولاتفكّروا في الله فتهلكوا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النهي عن التفكّر في اللّه سبحانه روايات كثيرة أخر مودعة في جوامع الفريقين، والنهي إرشاديّ متعلّق بمن لا‌يحسن الورود في المسائل العقليّة العميقة فيكون خوضه فيها تعرضاً للهلاك الدائم</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الاستفادة من الرواية لا‌يمكن توجيهها إلّا مع الأنس بالمسائل العقليّة الفلسفيّة، لأنّ عدم إمكان استفادة هذا المعنى من ظاهر الحديث واضح</w:t>
      </w:r>
      <w:r>
        <w:rPr>
          <w:rFonts w:eastAsia="Amiri" w:cs="Amiri" w:ascii="Amiri" w:hAnsi="Amiri"/>
          <w:color w:val="111111"/>
          <w:sz w:val="28"/>
          <w:szCs w:val="28"/>
          <w:rtl w:val="true"/>
          <w:lang w:bidi="ar-SA"/>
        </w:rPr>
        <w:t>.</w:t>
      </w:r>
      <w:bookmarkStart w:id="27" w:name="pg2337_14480"/>
    </w:p>
    <w:p>
      <w:pPr>
        <w:pStyle w:val="Heading2"/>
        <w:numPr>
          <w:ilvl w:val="1"/>
          <w:numId w:val="1"/>
        </w:numPr>
        <w:rPr/>
      </w:pPr>
      <w:bookmarkStart w:id="28" w:name="__RefHeading___Toc2569396_3804643083"/>
      <w:bookmarkStart w:id="29" w:name="_Toc10"/>
      <w:bookmarkEnd w:id="27"/>
      <w:bookmarkEnd w:id="28"/>
      <w:r>
        <w:rPr>
          <w:rtl w:val="true"/>
        </w:rPr>
        <w:t>فهرس المصادر</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المنسوب للإمام الحسن العسكريّ… عليه السلام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البحرانيّ، سيّد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العروسيّ حويزيّ، عبد عليّ بن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الكاشاني، محمّدبن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الجامعة لدرر الأخبار الأئمّة الأطهار…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عبدالرحمن 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پژوهش‌هاى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خاصّ عن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الطباعة والنشر التابع لمكتب الإعلام الإسلامي، رقم الدورة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الربيع والصيف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 العاملي،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وسائل الشيعة الي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آل‌البيت… عليهم السلام … لإحياء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هندي، مير حامد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عبقات الأنوار في إثبات إمامة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الطبرسي، احمد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الإحتجاج علي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روش تفسير قرآن به قرآن در تفسير الميزان</w:t>
      </w:r>
    </w:p>
    <w:p>
      <w:pPr>
        <w:pStyle w:val="BookText"/>
        <w:rPr/>
      </w:pPr>
      <w:r>
        <w:rPr>
          <w:rFonts w:ascii="IRNazanin" w:hAnsi="IRNazanin" w:eastAsia="IRNazanin"/>
          <w:color w:val="111111"/>
          <w:sz w:val="28"/>
          <w:sz w:val="28"/>
          <w:szCs w:val="28"/>
          <w:rtl w:val="true"/>
          <w:lang w:bidi="fa-IR"/>
        </w:rPr>
        <w:t>گفتگو با استاد آية اللّه سيد جعفر سيدان</w:t>
      </w:r>
      <w:r>
        <w:rPr>
          <w:rFonts w:ascii="IRNazanin" w:hAnsi="IRNazanin" w:eastAsia="IRNazanin"/>
          <w:color w:val="111111"/>
          <w:sz w:val="28"/>
          <w:sz w:val="28"/>
          <w:szCs w:val="28"/>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فاضل رضوي</w:t>
      </w:r>
    </w:p>
    <w:p>
      <w:pPr>
        <w:pStyle w:val="BookText"/>
        <w:rPr/>
      </w:pPr>
      <w:r>
        <w:rPr>
          <w:rFonts w:ascii="Amiri" w:hAnsi="Amiri" w:eastAsia="Amiri" w:cs="Amiri"/>
          <w:color w:val="111111"/>
          <w:sz w:val="28"/>
          <w:sz w:val="28"/>
          <w:szCs w:val="28"/>
          <w:rtl w:val="true"/>
          <w:lang w:bidi="ar-SA"/>
        </w:rPr>
        <w:t>انتشارات ولايت</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 w:name="pg2337_14483"/>
    </w:p>
    <w:p>
      <w:pPr>
        <w:pStyle w:val="Heading2"/>
        <w:numPr>
          <w:ilvl w:val="1"/>
          <w:numId w:val="1"/>
        </w:numPr>
        <w:rPr/>
      </w:pPr>
      <w:bookmarkStart w:id="31" w:name="__RefHeading___Toc2569398_3804643083"/>
      <w:bookmarkStart w:id="32" w:name="_Toc11"/>
      <w:bookmarkEnd w:id="30"/>
      <w:bookmarkEnd w:id="31"/>
      <w:r>
        <w:rPr>
          <w:rtl w:val="true"/>
        </w:rPr>
        <w:t>چكيده</w:t>
      </w:r>
      <w:bookmarkEnd w:id="32"/>
    </w:p>
    <w:p>
      <w:pPr>
        <w:pStyle w:val="BookText"/>
        <w:rPr/>
      </w:pPr>
      <w:r>
        <w:rPr>
          <w:rFonts w:ascii="IRNazanin" w:hAnsi="IRNazanin" w:eastAsia="IRNazanin"/>
          <w:color w:val="111111"/>
          <w:sz w:val="28"/>
          <w:sz w:val="28"/>
          <w:szCs w:val="28"/>
          <w:rtl w:val="true"/>
          <w:lang w:bidi="fa-IR"/>
        </w:rPr>
        <w:t xml:space="preserve">اثر حاضر يكي ديگر از گفت و شنودهاي حضرت آيت اللّه سيد جعفر سيدان دام ظلّه العالي مي‌باشد كه برگرفته از فصلنامه پژوهش‌هاي قرآني كه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بعد از بيان امتيازات تفسير الميزان بر تفاسير پيشين به نادرست بودن روش تفسير قرآن به قرآن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انتشارات ولايت</w:t>
      </w:r>
    </w:p>
    <w:p>
      <w:pPr>
        <w:pStyle w:val="BookText"/>
        <w:rPr/>
      </w:pPr>
      <w:r>
        <w:rPr>
          <w:rFonts w:ascii="IRNazanin" w:hAnsi="IRNazanin" w:eastAsia="IRNazanin"/>
          <w:color w:val="111111"/>
          <w:sz w:val="28"/>
          <w:sz w:val="28"/>
          <w:szCs w:val="28"/>
          <w:rtl w:val="true"/>
          <w:lang w:bidi="fa-IR"/>
        </w:rPr>
        <w:t>ايران ـ مشهد مقدس ـ بازار بزرگ</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00989151576003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A Critical Study</w:t>
      </w:r>
    </w:p>
    <w:p>
      <w:pPr>
        <w:pStyle w:val="BookText"/>
        <w:rPr/>
      </w:pPr>
      <w:r>
        <w:rPr>
          <w:rFonts w:eastAsia="Times New Roman" w:cs="Times New Roman" w:ascii="Times New Roman" w:hAnsi="Times New Roman"/>
          <w:color w:val="111111"/>
          <w:sz w:val="28"/>
          <w:szCs w:val="28"/>
          <w:lang w:val="en-US" w:bidi="en-US"/>
        </w:rPr>
        <w:t>On The Methodology of Seeking Quranic Understanding Through The Quran</w:t>
      </w:r>
    </w:p>
    <w:p>
      <w:pPr>
        <w:pStyle w:val="BookText"/>
        <w:rPr/>
      </w:pPr>
      <w:r>
        <w:rPr>
          <w:rFonts w:eastAsia="Times New Roman" w:cs="Times New Roman" w:ascii="Times New Roman" w:hAnsi="Times New Roman"/>
          <w:color w:val="111111"/>
          <w:sz w:val="28"/>
          <w:szCs w:val="28"/>
          <w:lang w:val="en-US" w:bidi="en-US"/>
        </w:rPr>
        <w:t>Dialog with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Ayatollah Seyyedan</w:t>
      </w:r>
    </w:p>
    <w:p>
      <w:pPr>
        <w:pStyle w:val="BookText"/>
        <w:rPr/>
      </w:pPr>
      <w:r>
        <w:rPr>
          <w:rFonts w:eastAsia="Times New Roman" w:cs="Times New Roman" w:ascii="Times New Roman" w:hAnsi="Times New Roman"/>
          <w:color w:val="111111"/>
          <w:sz w:val="28"/>
          <w:szCs w:val="28"/>
          <w:lang w:val="en-US" w:bidi="en-US"/>
        </w:rPr>
        <w:t>Translator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Sayed Fadhel Radhawi</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2014</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 w:name="pg2337_14485"/>
    </w:p>
    <w:p>
      <w:pPr>
        <w:pStyle w:val="Heading2"/>
        <w:numPr>
          <w:ilvl w:val="1"/>
          <w:numId w:val="1"/>
        </w:numPr>
        <w:rPr/>
      </w:pPr>
      <w:bookmarkStart w:id="34" w:name="__RefHeading___Toc2569400_3804643083"/>
      <w:bookmarkStart w:id="35" w:name="_Toc12"/>
      <w:bookmarkEnd w:id="33"/>
      <w:bookmarkEnd w:id="34"/>
      <w:r>
        <w:rPr/>
        <w:t>BOOK SUMMARY</w:t>
      </w:r>
      <w:bookmarkEnd w:id="35"/>
    </w:p>
    <w:p>
      <w:pPr>
        <w:pStyle w:val="BookText"/>
        <w:rPr/>
      </w:pPr>
      <w:r>
        <w:rPr>
          <w:rFonts w:eastAsia="Times New Roman" w:cs="Times New Roman" w:ascii="Times New Roman" w:hAnsi="Times New Roman"/>
          <w:color w:val="111111"/>
          <w:sz w:val="28"/>
          <w:szCs w:val="28"/>
          <w:lang w:val="en-US" w:bidi="en-US"/>
        </w:rPr>
        <w:t>This piece is selected from a set of discussions with Ayatollah Sayed Jafar Sayyedan, first published by Quranic Studies Magazine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Following acknowledging the strengths of the Quranic commentary known as Al-Mizan, Ayatollah Sayyedan critiques the methodology employed by the author of this commentary, namely, his attempt at understanding the Quran through the Quran itself without the need to refer to any other source. This method is challenged by Ayatollah Sayyedan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 00989151576003 - 00989151162907</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 الـمَوعِظَةِ الـحَسَنَة</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علم و معرفت بزرگترين و بهترين نعمت الهي است كه خداوند متعال آن را به بندگان صالح خويش عطا مي‌فرمايد و آن‌ها را در مسير عبوديت و كمال بندگي به سوي خود با آن ياري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افتخار بندگان خدا برخورداري آن‌ها از اين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رباني و عارفان حقيقي كساني هستند كه در راه بندگي خدا همواره پيامبران الهي و امامان معصوم… عليهم السلام … را چراغ راه خويش قرار داده واز سلوك طريق علمي و عملي آن‌ها هيچ وقت احساس خستگي به خود راه نداده و از هر طريق ديگري غير از راه امامان معصوم… عليهم السلام … دوري و بيزاري مي‌جويند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بنياد با هدف احياي آثار چنين بزرگاني كه در طول تاريخ تشيع همواره مدافع و پشتيبان معارف اصيل وحياني و علوم راستين اهل بيت… عليهم السلام … بوده‌اند تشكل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توجهات خاص حضرات معصومين در اين راه توفيق يارشان باشد تا بتوانند قدم‌هاي مثبت مهمي در احياي آثار ارزشمند آن بزرگان با شرايط روز بردارند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 الـمَوعِظَةِ الـحَسَنَة</w:t>
      </w:r>
      <w:r>
        <w:rPr>
          <w:rFonts w:ascii="Amiri" w:hAnsi="Amiri" w:eastAsia="Amiri" w:cs="Amiri"/>
          <w:color w:val="111111"/>
          <w:sz w:val="28"/>
          <w:sz w:val="28"/>
          <w:szCs w:val="28"/>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لمزيد من الإطّلاع من مصادر هذا الحديث راجع إلي عبقات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الآيات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ذيل الآية في تفسيره،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طائفة من الروايات تبين هذه الحقيقة، على سبيل المثال قال الشيخ في مقدمته على تفسير التبيان،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 آله و سلم … أنّه قال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علومهم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أميرالمؤمنين في كلامه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اللَّهُ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فَعَلَّمَنِيهِ رَسُولُ اللَّهِ ص ثُمَّ لَا تَزَالُ فِي عَقِبِنَا إِلَى يَوْمِ الْقِيَامَة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السادس من أبواب قصص سليمان بن داود‘ من كتاب النبوّة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البرهان في تفسير القرآن،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تَفَكَّرُوا فِي خَلْقِ اللّهِ وَلَا تَفَكَّرُوا فِي اللّهِ فَإنّكُم لَمْ تَقْدرُوا قَدْرَه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5387</Words>
  <Characters>24548</Characters>
  <CharactersWithSpaces>29652</CharactersWithSpaces>
  <Paragraphs>332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2026-08-17T06:43:57Z</dcterms:created>
  <dc:creator>ghaemiyeh.com</dc:creator>
  <dc:description/>
  <dc:language>en-US</dc:language>
  <cp:lastModifiedBy/>
  <dcterms:modified xsi:type="dcterms:W3CDTF">2026-08-17T10:13:59Z</dcterms:modified>
  <cp:revision>1</cp:revision>
  <dc:subject/>
  <dc:title>التحقیق فی منهجیه تفسیر القرآن بالقرآن فی تفسیر المیزان</dc:title>
</cp:coreProperties>
</file>

<file path=docProps/custom.xml><?xml version="1.0" encoding="utf-8"?>
<Properties xmlns="http://schemas.openxmlformats.org/officeDocument/2006/custom-properties" xmlns:vt="http://schemas.openxmlformats.org/officeDocument/2006/docPropsVTypes"/>
</file>