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عرق الجنب من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7727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77728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777282_1051229030">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7777284_1051229030">
            <w:r>
              <w:rPr>
                <w:webHidden/>
                <w:rStyle w:val="IndexLink"/>
              </w:rPr>
              <w:t>1</w:t>
            </w:r>
            <w:r>
              <w:rPr>
                <w:rStyle w:val="IndexLink"/>
                <w:rtl w:val="true"/>
              </w:rPr>
              <w:t xml:space="preserve"> - </w:t>
            </w:r>
            <w:r>
              <w:rPr>
                <w:rStyle w:val="IndexLink"/>
                <w:rtl w:val="true"/>
              </w:rPr>
              <w:t>لمحةٌ من حياة المؤلّف قدس‌سره</w:t>
            </w:r>
            <w:r>
              <w:rPr>
                <w:rStyle w:val="IndexLink"/>
                <w:rtl w:val="true"/>
              </w:rPr>
              <w:tab/>
            </w:r>
            <w:r>
              <w:rPr>
                <w:rStyle w:val="IndexLink"/>
              </w:rPr>
              <w:t>9</w:t>
            </w:r>
          </w:hyperlink>
        </w:p>
        <w:p>
          <w:pPr>
            <w:pStyle w:val="Contents2"/>
            <w:tabs>
              <w:tab w:val="clear" w:pos="8743"/>
              <w:tab w:val="right" w:pos="9026" w:leader="dot"/>
            </w:tabs>
            <w:rPr/>
          </w:pPr>
          <w:hyperlink w:anchor="__RefHeading___Toc7777286_1051229030">
            <w:r>
              <w:rPr>
                <w:webHidden/>
                <w:rStyle w:val="IndexLink"/>
                <w:rtl w:val="true"/>
              </w:rPr>
              <w:t>اسمه و نسبه</w:t>
            </w:r>
            <w:r>
              <w:rPr>
                <w:rStyle w:val="IndexLink"/>
                <w:rtl w:val="true"/>
              </w:rPr>
              <w:tab/>
            </w:r>
            <w:r>
              <w:rPr>
                <w:rStyle w:val="IndexLink"/>
              </w:rPr>
              <w:t>9</w:t>
            </w:r>
          </w:hyperlink>
        </w:p>
        <w:p>
          <w:pPr>
            <w:pStyle w:val="Contents2"/>
            <w:tabs>
              <w:tab w:val="clear" w:pos="8743"/>
              <w:tab w:val="right" w:pos="9026" w:leader="dot"/>
            </w:tabs>
            <w:rPr/>
          </w:pPr>
          <w:hyperlink w:anchor="__RefHeading___Toc7777288_1051229030">
            <w:r>
              <w:rPr>
                <w:webHidden/>
                <w:rStyle w:val="IndexLink"/>
                <w:rtl w:val="true"/>
              </w:rPr>
              <w:t>ولادته و نشأته</w:t>
            </w:r>
            <w:r>
              <w:rPr>
                <w:rStyle w:val="IndexLink"/>
                <w:rtl w:val="true"/>
              </w:rPr>
              <w:tab/>
            </w:r>
            <w:r>
              <w:rPr>
                <w:rStyle w:val="IndexLink"/>
              </w:rPr>
              <w:t>10</w:t>
            </w:r>
          </w:hyperlink>
        </w:p>
        <w:p>
          <w:pPr>
            <w:pStyle w:val="Contents2"/>
            <w:tabs>
              <w:tab w:val="clear" w:pos="8743"/>
              <w:tab w:val="right" w:pos="9026" w:leader="dot"/>
            </w:tabs>
            <w:rPr/>
          </w:pPr>
          <w:hyperlink w:anchor="__RefHeading___Toc7777290_1051229030">
            <w:r>
              <w:rPr>
                <w:webHidden/>
                <w:rStyle w:val="IndexLink"/>
                <w:rtl w:val="true"/>
              </w:rPr>
              <w:t>إطراء العلماء له</w:t>
            </w:r>
            <w:r>
              <w:rPr>
                <w:rStyle w:val="IndexLink"/>
                <w:rtl w:val="true"/>
              </w:rPr>
              <w:tab/>
            </w:r>
            <w:r>
              <w:rPr>
                <w:rStyle w:val="IndexLink"/>
              </w:rPr>
              <w:t>15</w:t>
            </w:r>
          </w:hyperlink>
        </w:p>
        <w:p>
          <w:pPr>
            <w:pStyle w:val="Contents2"/>
            <w:tabs>
              <w:tab w:val="clear" w:pos="8743"/>
              <w:tab w:val="right" w:pos="9026" w:leader="dot"/>
            </w:tabs>
            <w:rPr/>
          </w:pPr>
          <w:hyperlink w:anchor="__RefHeading___Toc7777292_1051229030">
            <w:r>
              <w:rPr>
                <w:webHidden/>
                <w:rStyle w:val="IndexLink"/>
                <w:rtl w:val="true"/>
              </w:rPr>
              <w:t>زهده و عبادته</w:t>
            </w:r>
            <w:r>
              <w:rPr>
                <w:rStyle w:val="IndexLink"/>
                <w:rtl w:val="true"/>
              </w:rPr>
              <w:tab/>
            </w:r>
            <w:r>
              <w:rPr>
                <w:rStyle w:val="IndexLink"/>
              </w:rPr>
              <w:t>16</w:t>
            </w:r>
          </w:hyperlink>
        </w:p>
        <w:p>
          <w:pPr>
            <w:pStyle w:val="Contents2"/>
            <w:tabs>
              <w:tab w:val="clear" w:pos="8743"/>
              <w:tab w:val="right" w:pos="9026" w:leader="dot"/>
            </w:tabs>
            <w:rPr/>
          </w:pPr>
          <w:hyperlink w:anchor="__RefHeading___Toc7777294_1051229030">
            <w:r>
              <w:rPr>
                <w:webHidden/>
                <w:rStyle w:val="IndexLink"/>
                <w:rtl w:val="true"/>
              </w:rPr>
              <w:t>إقامته الحدود الشرعيّة</w:t>
            </w:r>
            <w:r>
              <w:rPr>
                <w:rStyle w:val="IndexLink"/>
                <w:rtl w:val="true"/>
              </w:rPr>
              <w:tab/>
            </w:r>
            <w:r>
              <w:rPr>
                <w:rStyle w:val="IndexLink"/>
              </w:rPr>
              <w:t>17</w:t>
            </w:r>
          </w:hyperlink>
        </w:p>
        <w:p>
          <w:pPr>
            <w:pStyle w:val="Contents2"/>
            <w:tabs>
              <w:tab w:val="clear" w:pos="8743"/>
              <w:tab w:val="right" w:pos="9026" w:leader="dot"/>
            </w:tabs>
            <w:rPr/>
          </w:pPr>
          <w:hyperlink w:anchor="__RefHeading___Toc7777296_1051229030">
            <w:r>
              <w:rPr>
                <w:webHidden/>
                <w:rStyle w:val="IndexLink"/>
                <w:rtl w:val="true"/>
              </w:rPr>
              <w:t>أساتذته و مشايخ روايته</w:t>
            </w:r>
            <w:r>
              <w:rPr>
                <w:rStyle w:val="IndexLink"/>
                <w:rtl w:val="true"/>
              </w:rPr>
              <w:tab/>
            </w:r>
            <w:r>
              <w:rPr>
                <w:rStyle w:val="IndexLink"/>
              </w:rPr>
              <w:t>18</w:t>
            </w:r>
          </w:hyperlink>
        </w:p>
        <w:p>
          <w:pPr>
            <w:pStyle w:val="Contents2"/>
            <w:tabs>
              <w:tab w:val="clear" w:pos="8743"/>
              <w:tab w:val="right" w:pos="9026" w:leader="dot"/>
            </w:tabs>
            <w:rPr/>
          </w:pPr>
          <w:hyperlink w:anchor="__RefHeading___Toc7777298_1051229030">
            <w:r>
              <w:rPr>
                <w:webHidden/>
                <w:rStyle w:val="IndexLink"/>
                <w:rtl w:val="true"/>
              </w:rPr>
              <w:t>أولاده</w:t>
            </w:r>
            <w:r>
              <w:rPr>
                <w:rStyle w:val="IndexLink"/>
                <w:rtl w:val="true"/>
              </w:rPr>
              <w:tab/>
            </w:r>
            <w:r>
              <w:rPr>
                <w:rStyle w:val="IndexLink"/>
              </w:rPr>
              <w:t>18</w:t>
            </w:r>
          </w:hyperlink>
        </w:p>
        <w:p>
          <w:pPr>
            <w:pStyle w:val="Contents2"/>
            <w:tabs>
              <w:tab w:val="clear" w:pos="8743"/>
              <w:tab w:val="right" w:pos="9026" w:leader="dot"/>
            </w:tabs>
            <w:rPr/>
          </w:pPr>
          <w:hyperlink w:anchor="__RefHeading___Toc7777300_1051229030">
            <w:r>
              <w:rPr>
                <w:webHidden/>
                <w:rStyle w:val="IndexLink"/>
                <w:rtl w:val="true"/>
              </w:rPr>
              <w:t>تآليفه القيّمة</w:t>
            </w:r>
            <w:r>
              <w:rPr>
                <w:rStyle w:val="IndexLink"/>
                <w:rtl w:val="true"/>
              </w:rPr>
              <w:tab/>
            </w:r>
            <w:r>
              <w:rPr>
                <w:rStyle w:val="IndexLink"/>
              </w:rPr>
              <w:t>21</w:t>
            </w:r>
          </w:hyperlink>
        </w:p>
        <w:p>
          <w:pPr>
            <w:pStyle w:val="Contents2"/>
            <w:tabs>
              <w:tab w:val="clear" w:pos="8743"/>
              <w:tab w:val="right" w:pos="9026" w:leader="dot"/>
            </w:tabs>
            <w:rPr/>
          </w:pPr>
          <w:hyperlink w:anchor="__RefHeading___Toc7777302_1051229030">
            <w:r>
              <w:rPr>
                <w:webHidden/>
                <w:rStyle w:val="IndexLink"/>
                <w:rtl w:val="true"/>
              </w:rPr>
              <w:t>الكتب و الرسائل الفقهيّة</w:t>
            </w:r>
            <w:r>
              <w:rPr>
                <w:rStyle w:val="IndexLink"/>
                <w:rtl w:val="true"/>
              </w:rPr>
              <w:tab/>
            </w:r>
            <w:r>
              <w:rPr>
                <w:rStyle w:val="IndexLink"/>
              </w:rPr>
              <w:t>21</w:t>
            </w:r>
          </w:hyperlink>
        </w:p>
        <w:p>
          <w:pPr>
            <w:pStyle w:val="Contents2"/>
            <w:tabs>
              <w:tab w:val="clear" w:pos="8743"/>
              <w:tab w:val="right" w:pos="9026" w:leader="dot"/>
            </w:tabs>
            <w:rPr/>
          </w:pPr>
          <w:hyperlink w:anchor="__RefHeading___Toc7777304_1051229030">
            <w:r>
              <w:rPr>
                <w:webHidden/>
                <w:rStyle w:val="IndexLink"/>
                <w:rtl w:val="true"/>
              </w:rPr>
              <w:t>الكتب و الرسائل الحديثيّة</w:t>
            </w:r>
            <w:r>
              <w:rPr>
                <w:rStyle w:val="IndexLink"/>
                <w:rtl w:val="true"/>
              </w:rPr>
              <w:tab/>
            </w:r>
            <w:r>
              <w:rPr>
                <w:rStyle w:val="IndexLink"/>
              </w:rPr>
              <w:t>24</w:t>
            </w:r>
          </w:hyperlink>
        </w:p>
        <w:p>
          <w:pPr>
            <w:pStyle w:val="Contents2"/>
            <w:tabs>
              <w:tab w:val="clear" w:pos="8743"/>
              <w:tab w:val="right" w:pos="9026" w:leader="dot"/>
            </w:tabs>
            <w:rPr/>
          </w:pPr>
          <w:hyperlink w:anchor="__RefHeading___Toc7777306_1051229030">
            <w:r>
              <w:rPr>
                <w:webHidden/>
                <w:rStyle w:val="IndexLink"/>
                <w:rtl w:val="true"/>
              </w:rPr>
              <w:t>الكتب و الرسائل الأصوليّة</w:t>
            </w:r>
            <w:r>
              <w:rPr>
                <w:rStyle w:val="IndexLink"/>
                <w:rtl w:val="true"/>
              </w:rPr>
              <w:tab/>
            </w:r>
            <w:r>
              <w:rPr>
                <w:rStyle w:val="IndexLink"/>
              </w:rPr>
              <w:t>25</w:t>
            </w:r>
          </w:hyperlink>
        </w:p>
        <w:p>
          <w:pPr>
            <w:pStyle w:val="Contents2"/>
            <w:tabs>
              <w:tab w:val="clear" w:pos="8743"/>
              <w:tab w:val="right" w:pos="9026" w:leader="dot"/>
            </w:tabs>
            <w:rPr/>
          </w:pPr>
          <w:hyperlink w:anchor="__RefHeading___Toc7777308_1051229030">
            <w:r>
              <w:rPr>
                <w:webHidden/>
                <w:rStyle w:val="IndexLink"/>
                <w:rtl w:val="true"/>
              </w:rPr>
              <w:t>الكتب و الرسائل الرجاليّة</w:t>
            </w:r>
            <w:r>
              <w:rPr>
                <w:rStyle w:val="IndexLink"/>
                <w:rtl w:val="true"/>
              </w:rPr>
              <w:tab/>
            </w:r>
            <w:r>
              <w:rPr>
                <w:rStyle w:val="IndexLink"/>
              </w:rPr>
              <w:t>25</w:t>
            </w:r>
          </w:hyperlink>
        </w:p>
        <w:p>
          <w:pPr>
            <w:pStyle w:val="Contents2"/>
            <w:tabs>
              <w:tab w:val="clear" w:pos="8743"/>
              <w:tab w:val="right" w:pos="9026" w:leader="dot"/>
            </w:tabs>
            <w:rPr/>
          </w:pPr>
          <w:hyperlink w:anchor="__RefHeading___Toc7777310_1051229030">
            <w:r>
              <w:rPr>
                <w:webHidden/>
                <w:rStyle w:val="IndexLink"/>
                <w:rtl w:val="true"/>
              </w:rPr>
              <w:t>الكتب و الرسائل المتفرّقة</w:t>
            </w:r>
            <w:r>
              <w:rPr>
                <w:rStyle w:val="IndexLink"/>
                <w:rtl w:val="true"/>
              </w:rPr>
              <w:tab/>
            </w:r>
            <w:r>
              <w:rPr>
                <w:rStyle w:val="IndexLink"/>
              </w:rPr>
              <w:t>27</w:t>
            </w:r>
          </w:hyperlink>
        </w:p>
        <w:p>
          <w:pPr>
            <w:pStyle w:val="Contents2"/>
            <w:tabs>
              <w:tab w:val="clear" w:pos="8743"/>
              <w:tab w:val="right" w:pos="9026" w:leader="dot"/>
            </w:tabs>
            <w:rPr/>
          </w:pPr>
          <w:hyperlink w:anchor="__RefHeading___Toc7777312_1051229030">
            <w:r>
              <w:rPr>
                <w:webHidden/>
                <w:rStyle w:val="IndexLink"/>
                <w:rtl w:val="true"/>
              </w:rPr>
              <w:t>وفاته و مرقده</w:t>
            </w:r>
            <w:r>
              <w:rPr>
                <w:rStyle w:val="IndexLink"/>
                <w:rtl w:val="true"/>
              </w:rPr>
              <w:tab/>
            </w:r>
            <w:r>
              <w:rPr>
                <w:rStyle w:val="IndexLink"/>
              </w:rPr>
              <w:t>28</w:t>
            </w:r>
          </w:hyperlink>
        </w:p>
        <w:p>
          <w:pPr>
            <w:pStyle w:val="Contents2"/>
            <w:tabs>
              <w:tab w:val="clear" w:pos="8743"/>
              <w:tab w:val="right" w:pos="9026" w:leader="dot"/>
            </w:tabs>
            <w:rPr/>
          </w:pPr>
          <w:hyperlink w:anchor="__RefHeading___Toc7777314_1051229030">
            <w:r>
              <w:rPr>
                <w:webHidden/>
                <w:rStyle w:val="IndexLink"/>
              </w:rPr>
              <w:t>2</w:t>
            </w:r>
            <w:r>
              <w:rPr>
                <w:rStyle w:val="IndexLink"/>
                <w:rtl w:val="true"/>
              </w:rPr>
              <w:t xml:space="preserve"> - </w:t>
            </w:r>
            <w:r>
              <w:rPr>
                <w:rStyle w:val="IndexLink"/>
                <w:rtl w:val="true"/>
              </w:rPr>
              <w:t>التعريف بالرسالة</w:t>
            </w:r>
            <w:r>
              <w:rPr>
                <w:rStyle w:val="IndexLink"/>
                <w:rtl w:val="true"/>
              </w:rPr>
              <w:tab/>
            </w:r>
            <w:r>
              <w:rPr>
                <w:rStyle w:val="IndexLink"/>
              </w:rPr>
              <w:t>30</w:t>
            </w:r>
          </w:hyperlink>
        </w:p>
        <w:p>
          <w:pPr>
            <w:pStyle w:val="Contents2"/>
            <w:tabs>
              <w:tab w:val="clear" w:pos="8743"/>
              <w:tab w:val="right" w:pos="9026" w:leader="dot"/>
            </w:tabs>
            <w:rPr/>
          </w:pPr>
          <w:hyperlink w:anchor="__RefHeading___Toc7777316_1051229030">
            <w:r>
              <w:rPr>
                <w:webHidden/>
                <w:rStyle w:val="IndexLink"/>
              </w:rPr>
              <w:t>3</w:t>
            </w:r>
            <w:r>
              <w:rPr>
                <w:rStyle w:val="IndexLink"/>
                <w:rtl w:val="true"/>
              </w:rPr>
              <w:t xml:space="preserve"> - </w:t>
            </w:r>
            <w:r>
              <w:rPr>
                <w:rStyle w:val="IndexLink"/>
                <w:rtl w:val="true"/>
              </w:rPr>
              <w:t>منهجيّة التحقيق</w:t>
            </w:r>
            <w:r>
              <w:rPr>
                <w:rStyle w:val="IndexLink"/>
                <w:rtl w:val="true"/>
              </w:rPr>
              <w:tab/>
            </w:r>
            <w:r>
              <w:rPr>
                <w:rStyle w:val="IndexLink"/>
              </w:rPr>
              <w:t>32</w:t>
            </w:r>
          </w:hyperlink>
        </w:p>
        <w:p>
          <w:pPr>
            <w:pStyle w:val="Contents2"/>
            <w:tabs>
              <w:tab w:val="clear" w:pos="8743"/>
              <w:tab w:val="right" w:pos="9026" w:leader="dot"/>
            </w:tabs>
            <w:rPr/>
          </w:pPr>
          <w:hyperlink w:anchor="__RefHeading___Toc7777318_1051229030">
            <w:r>
              <w:rPr>
                <w:webHidden/>
                <w:rStyle w:val="IndexLink"/>
                <w:rtl w:val="true"/>
              </w:rPr>
              <w:t>كلمات القائلين بنجاسة عرق الجنب من الحرام</w:t>
            </w:r>
            <w:r>
              <w:rPr>
                <w:rStyle w:val="IndexLink"/>
                <w:rtl w:val="true"/>
              </w:rPr>
              <w:tab/>
            </w:r>
            <w:r>
              <w:rPr>
                <w:rStyle w:val="IndexLink"/>
              </w:rPr>
              <w:t>37</w:t>
            </w:r>
          </w:hyperlink>
        </w:p>
        <w:p>
          <w:pPr>
            <w:pStyle w:val="Contents2"/>
            <w:tabs>
              <w:tab w:val="clear" w:pos="8743"/>
              <w:tab w:val="right" w:pos="9026" w:leader="dot"/>
            </w:tabs>
            <w:rPr/>
          </w:pPr>
          <w:hyperlink w:anchor="__RefHeading___Toc7777320_1051229030">
            <w:r>
              <w:rPr>
                <w:webHidden/>
                <w:rStyle w:val="IndexLink"/>
                <w:rtl w:val="true"/>
              </w:rPr>
              <w:t>القائلون بنجاسة عرق الجنب من الحرام</w:t>
            </w:r>
            <w:r>
              <w:rPr>
                <w:rStyle w:val="IndexLink"/>
                <w:rtl w:val="true"/>
              </w:rPr>
              <w:tab/>
            </w:r>
            <w:r>
              <w:rPr>
                <w:rStyle w:val="IndexLink"/>
              </w:rPr>
              <w:t>61</w:t>
            </w:r>
          </w:hyperlink>
        </w:p>
        <w:p>
          <w:pPr>
            <w:pStyle w:val="Contents2"/>
            <w:tabs>
              <w:tab w:val="clear" w:pos="8743"/>
              <w:tab w:val="right" w:pos="9026" w:leader="dot"/>
            </w:tabs>
            <w:rPr/>
          </w:pPr>
          <w:hyperlink w:anchor="__RefHeading___Toc7777322_1051229030">
            <w:r>
              <w:rPr>
                <w:webHidden/>
                <w:rStyle w:val="IndexLink"/>
                <w:rtl w:val="true"/>
              </w:rPr>
              <w:t>مستند القائلين بالنجاسة</w:t>
            </w:r>
            <w:r>
              <w:rPr>
                <w:rStyle w:val="IndexLink"/>
                <w:rtl w:val="true"/>
              </w:rPr>
              <w:tab/>
            </w:r>
            <w:r>
              <w:rPr>
                <w:rStyle w:val="IndexLink"/>
              </w:rPr>
              <w:t>62</w:t>
            </w:r>
          </w:hyperlink>
        </w:p>
        <w:p>
          <w:pPr>
            <w:pStyle w:val="Contents2"/>
            <w:tabs>
              <w:tab w:val="clear" w:pos="8743"/>
              <w:tab w:val="right" w:pos="9026" w:leader="dot"/>
            </w:tabs>
            <w:rPr/>
          </w:pPr>
          <w:hyperlink w:anchor="__RefHeading___Toc7777324_1051229030">
            <w:r>
              <w:rPr>
                <w:webHidden/>
                <w:rStyle w:val="IndexLink"/>
                <w:rtl w:val="true"/>
              </w:rPr>
              <w:t xml:space="preserve">[ </w:t>
            </w:r>
            <w:r>
              <w:rPr>
                <w:rStyle w:val="IndexLink"/>
                <w:rtl w:val="true"/>
              </w:rPr>
              <w:t xml:space="preserve">الوجه الأوّل </w:t>
            </w:r>
            <w:r>
              <w:rPr>
                <w:rStyle w:val="IndexLink"/>
                <w:rtl w:val="true"/>
              </w:rPr>
              <w:t xml:space="preserve">: </w:t>
            </w:r>
            <w:r>
              <w:rPr>
                <w:rStyle w:val="IndexLink"/>
                <w:rtl w:val="true"/>
              </w:rPr>
              <w:t xml:space="preserve">الإجماعات </w:t>
            </w:r>
            <w:r>
              <w:rPr>
                <w:rStyle w:val="IndexLink"/>
                <w:rtl w:val="true"/>
              </w:rPr>
              <w:t>]</w:t>
              <w:tab/>
            </w:r>
            <w:r>
              <w:rPr>
                <w:rStyle w:val="IndexLink"/>
              </w:rPr>
              <w:t>62</w:t>
            </w:r>
          </w:hyperlink>
        </w:p>
        <w:p>
          <w:pPr>
            <w:pStyle w:val="Contents2"/>
            <w:tabs>
              <w:tab w:val="clear" w:pos="8743"/>
              <w:tab w:val="right" w:pos="9026" w:leader="dot"/>
            </w:tabs>
            <w:rPr/>
          </w:pPr>
          <w:hyperlink w:anchor="__RefHeading___Toc7777326_1051229030">
            <w:r>
              <w:rPr>
                <w:webHidden/>
                <w:rStyle w:val="IndexLink"/>
                <w:rtl w:val="true"/>
              </w:rPr>
              <w:t xml:space="preserve">[ </w:t>
            </w:r>
            <w:r>
              <w:rPr>
                <w:rStyle w:val="IndexLink"/>
                <w:rtl w:val="true"/>
              </w:rPr>
              <w:t xml:space="preserve">الوجه الثاني </w:t>
            </w:r>
            <w:r>
              <w:rPr>
                <w:rStyle w:val="IndexLink"/>
                <w:rtl w:val="true"/>
              </w:rPr>
              <w:t xml:space="preserve">: </w:t>
            </w:r>
            <w:r>
              <w:rPr>
                <w:rStyle w:val="IndexLink"/>
                <w:rtl w:val="true"/>
              </w:rPr>
              <w:t xml:space="preserve">الأخبار </w:t>
            </w:r>
            <w:r>
              <w:rPr>
                <w:rStyle w:val="IndexLink"/>
                <w:rtl w:val="true"/>
              </w:rPr>
              <w:t>]</w:t>
              <w:tab/>
            </w:r>
            <w:r>
              <w:rPr>
                <w:rStyle w:val="IndexLink"/>
              </w:rPr>
              <w:t>62</w:t>
            </w:r>
          </w:hyperlink>
        </w:p>
        <w:p>
          <w:pPr>
            <w:pStyle w:val="Contents2"/>
            <w:tabs>
              <w:tab w:val="clear" w:pos="8743"/>
              <w:tab w:val="right" w:pos="9026" w:leader="dot"/>
            </w:tabs>
            <w:rPr/>
          </w:pPr>
          <w:hyperlink w:anchor="__RefHeading___Toc7777328_1051229030">
            <w:r>
              <w:rPr>
                <w:webHidden/>
                <w:rStyle w:val="IndexLink"/>
                <w:rtl w:val="true"/>
              </w:rPr>
              <w:t xml:space="preserve">[ </w:t>
            </w:r>
            <w:r>
              <w:rPr>
                <w:rStyle w:val="IndexLink"/>
                <w:rtl w:val="true"/>
              </w:rPr>
              <w:t xml:space="preserve">الوجه الثالث </w:t>
            </w:r>
            <w:r>
              <w:rPr>
                <w:rStyle w:val="IndexLink"/>
                <w:rtl w:val="true"/>
              </w:rPr>
              <w:t xml:space="preserve">: </w:t>
            </w:r>
            <w:r>
              <w:rPr>
                <w:rStyle w:val="IndexLink"/>
                <w:rtl w:val="true"/>
              </w:rPr>
              <w:t xml:space="preserve">الاحتياط </w:t>
            </w:r>
            <w:r>
              <w:rPr>
                <w:rStyle w:val="IndexLink"/>
                <w:rtl w:val="true"/>
              </w:rPr>
              <w:t>]</w:t>
              <w:tab/>
            </w:r>
            <w:r>
              <w:rPr>
                <w:rStyle w:val="IndexLink"/>
              </w:rPr>
              <w:t>62</w:t>
            </w:r>
          </w:hyperlink>
        </w:p>
        <w:p>
          <w:pPr>
            <w:pStyle w:val="Contents2"/>
            <w:tabs>
              <w:tab w:val="clear" w:pos="8743"/>
              <w:tab w:val="right" w:pos="9026" w:leader="dot"/>
            </w:tabs>
            <w:rPr/>
          </w:pPr>
          <w:hyperlink w:anchor="__RefHeading___Toc7777330_1051229030">
            <w:r>
              <w:rPr>
                <w:webHidden/>
                <w:rStyle w:val="IndexLink"/>
                <w:rtl w:val="true"/>
              </w:rPr>
              <w:t>الجواب عن مستند القائلين بالنجاسة</w:t>
            </w:r>
            <w:r>
              <w:rPr>
                <w:rStyle w:val="IndexLink"/>
                <w:rtl w:val="true"/>
              </w:rPr>
              <w:tab/>
            </w:r>
            <w:r>
              <w:rPr>
                <w:rStyle w:val="IndexLink"/>
              </w:rPr>
              <w:t>63</w:t>
            </w:r>
          </w:hyperlink>
        </w:p>
        <w:p>
          <w:pPr>
            <w:pStyle w:val="Contents2"/>
            <w:tabs>
              <w:tab w:val="clear" w:pos="8743"/>
              <w:tab w:val="right" w:pos="9026" w:leader="dot"/>
            </w:tabs>
            <w:rPr/>
          </w:pPr>
          <w:hyperlink w:anchor="__RefHeading___Toc7777332_1051229030">
            <w:r>
              <w:rPr>
                <w:webHidden/>
                <w:rStyle w:val="IndexLink"/>
                <w:rtl w:val="true"/>
              </w:rPr>
              <w:t>الجواب عن الإجماعات</w:t>
            </w:r>
            <w:r>
              <w:rPr>
                <w:rStyle w:val="IndexLink"/>
                <w:rtl w:val="true"/>
              </w:rPr>
              <w:tab/>
            </w:r>
            <w:r>
              <w:rPr>
                <w:rStyle w:val="IndexLink"/>
              </w:rPr>
              <w:t>63</w:t>
            </w:r>
          </w:hyperlink>
        </w:p>
        <w:p>
          <w:pPr>
            <w:pStyle w:val="Contents2"/>
            <w:tabs>
              <w:tab w:val="clear" w:pos="8743"/>
              <w:tab w:val="right" w:pos="9026" w:leader="dot"/>
            </w:tabs>
            <w:rPr/>
          </w:pPr>
          <w:hyperlink w:anchor="__RefHeading___Toc7777334_1051229030">
            <w:r>
              <w:rPr>
                <w:webHidden/>
                <w:rStyle w:val="IndexLink"/>
                <w:rtl w:val="true"/>
              </w:rPr>
              <w:t>الجواب عن إجماع المجالس</w:t>
            </w:r>
            <w:r>
              <w:rPr>
                <w:rStyle w:val="IndexLink"/>
                <w:rtl w:val="true"/>
              </w:rPr>
              <w:tab/>
            </w:r>
            <w:r>
              <w:rPr>
                <w:rStyle w:val="IndexLink"/>
              </w:rPr>
              <w:t>63</w:t>
            </w:r>
          </w:hyperlink>
        </w:p>
        <w:p>
          <w:pPr>
            <w:pStyle w:val="Contents2"/>
            <w:tabs>
              <w:tab w:val="clear" w:pos="8743"/>
              <w:tab w:val="right" w:pos="9026" w:leader="dot"/>
            </w:tabs>
            <w:rPr/>
          </w:pPr>
          <w:hyperlink w:anchor="__RefHeading___Toc7777336_1051229030">
            <w:r>
              <w:rPr>
                <w:webHidden/>
                <w:rStyle w:val="IndexLink"/>
                <w:rtl w:val="true"/>
              </w:rPr>
              <w:t>الجواب عن إجماع الخلاف</w:t>
            </w:r>
            <w:r>
              <w:rPr>
                <w:rStyle w:val="IndexLink"/>
                <w:rtl w:val="true"/>
              </w:rPr>
              <w:tab/>
            </w:r>
            <w:r>
              <w:rPr>
                <w:rStyle w:val="IndexLink"/>
              </w:rPr>
              <w:t>64</w:t>
            </w:r>
          </w:hyperlink>
        </w:p>
        <w:p>
          <w:pPr>
            <w:pStyle w:val="Contents2"/>
            <w:tabs>
              <w:tab w:val="clear" w:pos="8743"/>
              <w:tab w:val="right" w:pos="9026" w:leader="dot"/>
            </w:tabs>
            <w:rPr/>
          </w:pPr>
          <w:hyperlink w:anchor="__RefHeading___Toc7777338_1051229030">
            <w:r>
              <w:rPr>
                <w:webHidden/>
                <w:rStyle w:val="IndexLink"/>
                <w:rtl w:val="true"/>
              </w:rPr>
              <w:t>الجواب عن إجماع المراسم والغنية</w:t>
            </w:r>
            <w:r>
              <w:rPr>
                <w:rStyle w:val="IndexLink"/>
                <w:rtl w:val="true"/>
              </w:rPr>
              <w:tab/>
            </w:r>
            <w:r>
              <w:rPr>
                <w:rStyle w:val="IndexLink"/>
              </w:rPr>
              <w:t>66</w:t>
            </w:r>
          </w:hyperlink>
        </w:p>
        <w:p>
          <w:pPr>
            <w:pStyle w:val="Contents2"/>
            <w:tabs>
              <w:tab w:val="clear" w:pos="8743"/>
              <w:tab w:val="right" w:pos="9026" w:leader="dot"/>
            </w:tabs>
            <w:rPr/>
          </w:pPr>
          <w:hyperlink w:anchor="__RefHeading___Toc7777340_1051229030">
            <w:r>
              <w:rPr>
                <w:webHidden/>
                <w:rStyle w:val="IndexLink"/>
                <w:rtl w:val="true"/>
              </w:rPr>
              <w:t>الجواب عن الأخبار</w:t>
            </w:r>
            <w:r>
              <w:rPr>
                <w:rStyle w:val="IndexLink"/>
                <w:rtl w:val="true"/>
              </w:rPr>
              <w:tab/>
            </w:r>
            <w:r>
              <w:rPr>
                <w:rStyle w:val="IndexLink"/>
              </w:rPr>
              <w:t>69</w:t>
            </w:r>
          </w:hyperlink>
        </w:p>
        <w:p>
          <w:pPr>
            <w:pStyle w:val="Contents2"/>
            <w:tabs>
              <w:tab w:val="clear" w:pos="8743"/>
              <w:tab w:val="right" w:pos="9026" w:leader="dot"/>
            </w:tabs>
            <w:rPr/>
          </w:pPr>
          <w:hyperlink w:anchor="__RefHeading___Toc7777342_1051229030">
            <w:r>
              <w:rPr>
                <w:webHidden/>
                <w:rStyle w:val="IndexLink"/>
                <w:rtl w:val="true"/>
              </w:rPr>
              <w:t>إيراد الاشتباهات الصادرة في المسألة من العلماء</w:t>
            </w:r>
            <w:r>
              <w:rPr>
                <w:rStyle w:val="IndexLink"/>
                <w:rtl w:val="true"/>
              </w:rPr>
              <w:tab/>
            </w:r>
            <w:r>
              <w:rPr>
                <w:rStyle w:val="IndexLink"/>
              </w:rPr>
              <w:t>81</w:t>
            </w:r>
          </w:hyperlink>
        </w:p>
        <w:p>
          <w:pPr>
            <w:pStyle w:val="Contents2"/>
            <w:tabs>
              <w:tab w:val="clear" w:pos="8743"/>
              <w:tab w:val="right" w:pos="9026" w:leader="dot"/>
            </w:tabs>
            <w:rPr/>
          </w:pPr>
          <w:hyperlink w:anchor="__RefHeading___Toc7777344_1051229030">
            <w:r>
              <w:rPr>
                <w:webHidden/>
                <w:rStyle w:val="IndexLink"/>
                <w:rtl w:val="true"/>
              </w:rPr>
              <w:t>الاشتباه الّذي صدر من شيخ الطائفة</w:t>
            </w:r>
            <w:r>
              <w:rPr>
                <w:rStyle w:val="IndexLink"/>
                <w:rtl w:val="true"/>
              </w:rPr>
              <w:tab/>
            </w:r>
            <w:r>
              <w:rPr>
                <w:rStyle w:val="IndexLink"/>
              </w:rPr>
              <w:t>81</w:t>
            </w:r>
          </w:hyperlink>
        </w:p>
        <w:p>
          <w:pPr>
            <w:pStyle w:val="Contents2"/>
            <w:tabs>
              <w:tab w:val="clear" w:pos="8743"/>
              <w:tab w:val="right" w:pos="9026" w:leader="dot"/>
            </w:tabs>
            <w:rPr/>
          </w:pPr>
          <w:hyperlink w:anchor="__RefHeading___Toc7777346_1051229030">
            <w:r>
              <w:rPr>
                <w:webHidden/>
                <w:rStyle w:val="IndexLink"/>
                <w:rtl w:val="true"/>
              </w:rPr>
              <w:t>الاشتباه الّذي صدر من ابن زهرة</w:t>
            </w:r>
            <w:r>
              <w:rPr>
                <w:rStyle w:val="IndexLink"/>
                <w:rtl w:val="true"/>
              </w:rPr>
              <w:tab/>
            </w:r>
            <w:r>
              <w:rPr>
                <w:rStyle w:val="IndexLink"/>
              </w:rPr>
              <w:t>83</w:t>
            </w:r>
          </w:hyperlink>
        </w:p>
        <w:p>
          <w:pPr>
            <w:pStyle w:val="Contents2"/>
            <w:tabs>
              <w:tab w:val="clear" w:pos="8743"/>
              <w:tab w:val="right" w:pos="9026" w:leader="dot"/>
            </w:tabs>
            <w:rPr/>
          </w:pPr>
          <w:hyperlink w:anchor="__RefHeading___Toc7777348_1051229030">
            <w:r>
              <w:rPr>
                <w:webHidden/>
                <w:rStyle w:val="IndexLink"/>
                <w:rtl w:val="true"/>
              </w:rPr>
              <w:t>الاشتباه الّذي صدر من صاحب المراسم</w:t>
            </w:r>
            <w:r>
              <w:rPr>
                <w:rStyle w:val="IndexLink"/>
                <w:rtl w:val="true"/>
              </w:rPr>
              <w:tab/>
            </w:r>
            <w:r>
              <w:rPr>
                <w:rStyle w:val="IndexLink"/>
              </w:rPr>
              <w:t>87</w:t>
            </w:r>
          </w:hyperlink>
        </w:p>
        <w:p>
          <w:pPr>
            <w:pStyle w:val="Contents2"/>
            <w:tabs>
              <w:tab w:val="clear" w:pos="8743"/>
              <w:tab w:val="right" w:pos="9026" w:leader="dot"/>
            </w:tabs>
            <w:rPr/>
          </w:pPr>
          <w:hyperlink w:anchor="__RefHeading___Toc7777350_1051229030">
            <w:r>
              <w:rPr>
                <w:webHidden/>
                <w:rStyle w:val="IndexLink"/>
                <w:rtl w:val="true"/>
              </w:rPr>
              <w:t>الاشتباه الّذي صدر من الشيخ يحيى بن سعيد</w:t>
            </w:r>
            <w:r>
              <w:rPr>
                <w:rStyle w:val="IndexLink"/>
                <w:rtl w:val="true"/>
              </w:rPr>
              <w:tab/>
            </w:r>
            <w:r>
              <w:rPr>
                <w:rStyle w:val="IndexLink"/>
              </w:rPr>
              <w:t>89</w:t>
            </w:r>
          </w:hyperlink>
        </w:p>
        <w:p>
          <w:pPr>
            <w:pStyle w:val="Contents2"/>
            <w:tabs>
              <w:tab w:val="clear" w:pos="8743"/>
              <w:tab w:val="right" w:pos="9026" w:leader="dot"/>
            </w:tabs>
            <w:rPr/>
          </w:pPr>
          <w:hyperlink w:anchor="__RefHeading___Toc7777352_1051229030">
            <w:r>
              <w:rPr>
                <w:webHidden/>
                <w:rStyle w:val="IndexLink"/>
                <w:rtl w:val="true"/>
              </w:rPr>
              <w:t>الاشتباه الّذي صدر من صاحب كشف الرموز</w:t>
            </w:r>
            <w:r>
              <w:rPr>
                <w:rStyle w:val="IndexLink"/>
                <w:rtl w:val="true"/>
              </w:rPr>
              <w:tab/>
            </w:r>
            <w:r>
              <w:rPr>
                <w:rStyle w:val="IndexLink"/>
              </w:rPr>
              <w:t>90</w:t>
            </w:r>
          </w:hyperlink>
        </w:p>
        <w:p>
          <w:pPr>
            <w:pStyle w:val="Contents2"/>
            <w:tabs>
              <w:tab w:val="clear" w:pos="8743"/>
              <w:tab w:val="right" w:pos="9026" w:leader="dot"/>
            </w:tabs>
            <w:rPr/>
          </w:pPr>
          <w:hyperlink w:anchor="__RefHeading___Toc7777354_1051229030">
            <w:r>
              <w:rPr>
                <w:webHidden/>
                <w:rStyle w:val="IndexLink"/>
                <w:rtl w:val="true"/>
              </w:rPr>
              <w:t>الاشتباه الّذي صدر صاحب التنقيح والمهذّب</w:t>
            </w:r>
            <w:r>
              <w:rPr>
                <w:rStyle w:val="IndexLink"/>
                <w:rtl w:val="true"/>
              </w:rPr>
              <w:tab/>
            </w:r>
            <w:r>
              <w:rPr>
                <w:rStyle w:val="IndexLink"/>
              </w:rPr>
              <w:t>90</w:t>
            </w:r>
          </w:hyperlink>
        </w:p>
        <w:p>
          <w:pPr>
            <w:pStyle w:val="Contents2"/>
            <w:tabs>
              <w:tab w:val="clear" w:pos="8743"/>
              <w:tab w:val="right" w:pos="9026" w:leader="dot"/>
            </w:tabs>
            <w:rPr/>
          </w:pPr>
          <w:hyperlink w:anchor="__RefHeading___Toc7777356_1051229030">
            <w:r>
              <w:rPr>
                <w:webHidden/>
                <w:rStyle w:val="IndexLink"/>
                <w:rtl w:val="true"/>
              </w:rPr>
              <w:t>الاشتباه الّذي صدر من صاحب المدارك</w:t>
            </w:r>
            <w:r>
              <w:rPr>
                <w:rStyle w:val="IndexLink"/>
                <w:rtl w:val="true"/>
              </w:rPr>
              <w:tab/>
            </w:r>
            <w:r>
              <w:rPr>
                <w:rStyle w:val="IndexLink"/>
              </w:rPr>
              <w:t>91</w:t>
            </w:r>
          </w:hyperlink>
        </w:p>
        <w:p>
          <w:pPr>
            <w:pStyle w:val="Contents2"/>
            <w:tabs>
              <w:tab w:val="clear" w:pos="8743"/>
              <w:tab w:val="right" w:pos="9026" w:leader="dot"/>
            </w:tabs>
            <w:rPr/>
          </w:pPr>
          <w:hyperlink w:anchor="__RefHeading___Toc7777358_1051229030">
            <w:r>
              <w:rPr>
                <w:webHidden/>
                <w:rStyle w:val="IndexLink"/>
                <w:rtl w:val="true"/>
              </w:rPr>
              <w:t xml:space="preserve">الاشتباه الّذي صدر من الأستاد </w:t>
            </w:r>
            <w:r>
              <w:rPr>
                <w:rStyle w:val="IndexLink"/>
                <w:rtl w:val="true"/>
              </w:rPr>
              <w:t xml:space="preserve">: </w:t>
            </w:r>
            <w:r>
              <w:rPr>
                <w:rStyle w:val="IndexLink"/>
                <w:rtl w:val="true"/>
              </w:rPr>
              <w:t>الوحيد البهبهانيّ قدس‌سره</w:t>
            </w:r>
            <w:r>
              <w:rPr>
                <w:rStyle w:val="IndexLink"/>
                <w:rtl w:val="true"/>
              </w:rPr>
              <w:tab/>
            </w:r>
            <w:r>
              <w:rPr>
                <w:rStyle w:val="IndexLink"/>
              </w:rPr>
              <w:t>92</w:t>
            </w:r>
          </w:hyperlink>
        </w:p>
        <w:p>
          <w:pPr>
            <w:pStyle w:val="Contents2"/>
            <w:tabs>
              <w:tab w:val="clear" w:pos="8743"/>
              <w:tab w:val="right" w:pos="9026" w:leader="dot"/>
            </w:tabs>
            <w:rPr/>
          </w:pPr>
          <w:hyperlink w:anchor="__RefHeading___Toc7777360_1051229030">
            <w:r>
              <w:rPr>
                <w:webHidden/>
                <w:rStyle w:val="IndexLink"/>
                <w:rtl w:val="true"/>
              </w:rPr>
              <w:t>الوجه الأوّل من وجوه الإشكال في كلام الأستاد</w:t>
            </w:r>
            <w:r>
              <w:rPr>
                <w:rStyle w:val="IndexLink"/>
                <w:rtl w:val="true"/>
              </w:rPr>
              <w:tab/>
            </w:r>
            <w:r>
              <w:rPr>
                <w:rStyle w:val="IndexLink"/>
              </w:rPr>
              <w:t>94</w:t>
            </w:r>
          </w:hyperlink>
        </w:p>
        <w:p>
          <w:pPr>
            <w:pStyle w:val="Contents2"/>
            <w:tabs>
              <w:tab w:val="clear" w:pos="8743"/>
              <w:tab w:val="right" w:pos="9026" w:leader="dot"/>
            </w:tabs>
            <w:rPr/>
          </w:pPr>
          <w:hyperlink w:anchor="__RefHeading___Toc7777362_1051229030">
            <w:r>
              <w:rPr>
                <w:webHidden/>
                <w:rStyle w:val="IndexLink"/>
                <w:rtl w:val="true"/>
              </w:rPr>
              <w:t>الوجه الثاني من وجوه الإشكال في كلام الأستاد</w:t>
            </w:r>
            <w:r>
              <w:rPr>
                <w:rStyle w:val="IndexLink"/>
                <w:rtl w:val="true"/>
              </w:rPr>
              <w:tab/>
            </w:r>
            <w:r>
              <w:rPr>
                <w:rStyle w:val="IndexLink"/>
              </w:rPr>
              <w:t>97</w:t>
            </w:r>
          </w:hyperlink>
        </w:p>
        <w:p>
          <w:pPr>
            <w:pStyle w:val="Contents2"/>
            <w:tabs>
              <w:tab w:val="clear" w:pos="8743"/>
              <w:tab w:val="right" w:pos="9026" w:leader="dot"/>
            </w:tabs>
            <w:rPr/>
          </w:pPr>
          <w:hyperlink w:anchor="__RefHeading___Toc7777364_1051229030">
            <w:r>
              <w:rPr>
                <w:webHidden/>
                <w:rStyle w:val="IndexLink"/>
                <w:rtl w:val="true"/>
              </w:rPr>
              <w:t>الوجه الثالث من وجوه الإشكال في كلام الأستاد</w:t>
            </w:r>
            <w:r>
              <w:rPr>
                <w:rStyle w:val="IndexLink"/>
                <w:rtl w:val="true"/>
              </w:rPr>
              <w:tab/>
            </w:r>
            <w:r>
              <w:rPr>
                <w:rStyle w:val="IndexLink"/>
              </w:rPr>
              <w:t>99</w:t>
            </w:r>
          </w:hyperlink>
        </w:p>
        <w:p>
          <w:pPr>
            <w:pStyle w:val="Contents2"/>
            <w:tabs>
              <w:tab w:val="clear" w:pos="8743"/>
              <w:tab w:val="right" w:pos="9026" w:leader="dot"/>
            </w:tabs>
            <w:rPr/>
          </w:pPr>
          <w:hyperlink w:anchor="__RefHeading___Toc7777366_1051229030">
            <w:r>
              <w:rPr>
                <w:webHidden/>
                <w:rStyle w:val="IndexLink"/>
                <w:rtl w:val="true"/>
              </w:rPr>
              <w:t>الوجه الرابع من وجوه الإشكال في كلام الأستاد</w:t>
            </w:r>
            <w:r>
              <w:rPr>
                <w:rStyle w:val="IndexLink"/>
                <w:rtl w:val="true"/>
              </w:rPr>
              <w:tab/>
            </w:r>
            <w:r>
              <w:rPr>
                <w:rStyle w:val="IndexLink"/>
              </w:rPr>
              <w:t>101</w:t>
            </w:r>
          </w:hyperlink>
        </w:p>
        <w:p>
          <w:pPr>
            <w:pStyle w:val="Contents2"/>
            <w:tabs>
              <w:tab w:val="clear" w:pos="8743"/>
              <w:tab w:val="right" w:pos="9026" w:leader="dot"/>
            </w:tabs>
            <w:rPr/>
          </w:pPr>
          <w:hyperlink w:anchor="__RefHeading___Toc7777368_1051229030">
            <w:r>
              <w:rPr>
                <w:webHidden/>
                <w:rStyle w:val="IndexLink"/>
                <w:rtl w:val="true"/>
              </w:rPr>
              <w:t>الوجه الخامس من وجوه الإشكال في كلام الأستاد</w:t>
            </w:r>
            <w:r>
              <w:rPr>
                <w:rStyle w:val="IndexLink"/>
                <w:rtl w:val="true"/>
              </w:rPr>
              <w:tab/>
            </w:r>
            <w:r>
              <w:rPr>
                <w:rStyle w:val="IndexLink"/>
              </w:rPr>
              <w:t>102</w:t>
            </w:r>
          </w:hyperlink>
        </w:p>
        <w:p>
          <w:pPr>
            <w:pStyle w:val="Contents2"/>
            <w:tabs>
              <w:tab w:val="clear" w:pos="8743"/>
              <w:tab w:val="right" w:pos="9026" w:leader="dot"/>
            </w:tabs>
            <w:rPr/>
          </w:pPr>
          <w:hyperlink w:anchor="__RefHeading___Toc7777370_1051229030">
            <w:r>
              <w:rPr>
                <w:webHidden/>
                <w:rStyle w:val="IndexLink"/>
                <w:rtl w:val="true"/>
              </w:rPr>
              <w:t>فهرس مصادر التحقيق</w:t>
            </w:r>
            <w:r>
              <w:rPr>
                <w:rStyle w:val="IndexLink"/>
                <w:rtl w:val="true"/>
              </w:rPr>
              <w:tab/>
            </w:r>
            <w:r>
              <w:rPr>
                <w:rStyle w:val="IndexLink"/>
              </w:rPr>
              <w:t>113</w:t>
            </w:r>
          </w:hyperlink>
        </w:p>
        <w:p>
          <w:pPr>
            <w:pStyle w:val="Contents2"/>
            <w:tabs>
              <w:tab w:val="clear" w:pos="8743"/>
              <w:tab w:val="right" w:pos="9026" w:leader="dot"/>
            </w:tabs>
            <w:rPr/>
          </w:pPr>
          <w:hyperlink w:anchor="__RefHeading___Toc7777372_1051229030">
            <w:r>
              <w:rPr>
                <w:webHidden/>
                <w:rStyle w:val="IndexLink"/>
                <w:rtl w:val="true"/>
              </w:rPr>
              <w:t>فهرس المطالب</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4_124552"/>
      <w:bookmarkStart w:id="1" w:name="pg8074_124552"/>
      <w:bookmarkEnd w:id="1"/>
    </w:p>
    <w:p>
      <w:pPr>
        <w:pStyle w:val="Heading2"/>
        <w:numPr>
          <w:ilvl w:val="1"/>
          <w:numId w:val="1"/>
        </w:numPr>
        <w:rPr/>
      </w:pPr>
      <w:bookmarkStart w:id="2" w:name="pg8074_124552"/>
      <w:bookmarkStart w:id="3" w:name="__RefHeading___Toc777727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 عرق الجنب من الحرام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و الفقيه المتتبّع</w:t>
      </w:r>
    </w:p>
    <w:p>
      <w:pPr>
        <w:pStyle w:val="BookText"/>
        <w:rPr/>
      </w:pPr>
      <w:r>
        <w:rPr>
          <w:rFonts w:ascii="Amiri" w:hAnsi="Amiri" w:eastAsia="Amiri" w:cs="Amiri"/>
          <w:color w:val="111111"/>
          <w:sz w:val="28"/>
          <w:sz w:val="28"/>
          <w:szCs w:val="28"/>
          <w:rtl w:val="true"/>
          <w:lang w:bidi="ar-SA"/>
        </w:rPr>
        <w:t>الحاجّ السيّد محمّد باقر الشفتيّ</w:t>
      </w:r>
    </w:p>
    <w:p>
      <w:pPr>
        <w:pStyle w:val="BookText"/>
        <w:rPr/>
      </w:pPr>
      <w:r>
        <w:rPr>
          <w:rFonts w:ascii="Amiri" w:hAnsi="Amiri" w:eastAsia="Amiri" w:cs="Amiri"/>
          <w:color w:val="111111"/>
          <w:sz w:val="28"/>
          <w:sz w:val="28"/>
          <w:szCs w:val="28"/>
          <w:rtl w:val="true"/>
          <w:lang w:bidi="ar-SA"/>
        </w:rPr>
        <w:t>المعروف بحجّة الإسلام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مهدي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7728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74_124556"/>
      <w:bookmarkStart w:id="8" w:name="pg8074_124556"/>
      <w:bookmarkEnd w:id="8"/>
    </w:p>
    <w:p>
      <w:pPr>
        <w:pStyle w:val="Heading2"/>
        <w:numPr>
          <w:ilvl w:val="1"/>
          <w:numId w:val="1"/>
        </w:numPr>
        <w:rPr/>
      </w:pPr>
      <w:bookmarkStart w:id="9" w:name="pg8074_124556"/>
      <w:bookmarkStart w:id="10" w:name="__RefHeading___Toc7777282_1051229030"/>
      <w:bookmarkStart w:id="11" w:name="_Toc3"/>
      <w:bookmarkEnd w:id="9"/>
      <w:bookmarkEnd w:id="10"/>
      <w:r>
        <w:rPr>
          <w:rtl w:val="true"/>
        </w:rPr>
        <w:t>مقدّمة التحقيق</w:t>
      </w:r>
      <w:bookmarkEnd w:id="11"/>
    </w:p>
    <w:p>
      <w:pPr>
        <w:pStyle w:val="Heading2"/>
        <w:numPr>
          <w:ilvl w:val="1"/>
          <w:numId w:val="1"/>
        </w:numPr>
        <w:rPr/>
      </w:pPr>
      <w:bookmarkStart w:id="12" w:name="__RefHeading___Toc7777284_1051229030"/>
      <w:bookmarkStart w:id="13" w:name="_Toc4"/>
      <w:bookmarkEnd w:id="12"/>
      <w:r>
        <w:rPr/>
        <w:t>1</w:t>
      </w:r>
      <w:r>
        <w:rPr>
          <w:rtl w:val="true"/>
        </w:rPr>
        <w:t xml:space="preserve"> - </w:t>
      </w:r>
      <w:r>
        <w:rPr>
          <w:rtl w:val="true"/>
        </w:rPr>
        <w:t>لمحةٌ من حياة المؤلّف قدس‌سره</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لمحةٌ من حياة المؤلّف قدس‌سره</w:t>
      </w:r>
      <w:r>
        <w:rPr>
          <w:rStyle w:val="FootnoteAnchor"/>
          <w:rtl w:val="true"/>
        </w:rPr>
        <w:footnoteReference w:id="2"/>
      </w:r>
    </w:p>
    <w:p>
      <w:pPr>
        <w:pStyle w:val="Heading2"/>
        <w:numPr>
          <w:ilvl w:val="1"/>
          <w:numId w:val="1"/>
        </w:numPr>
        <w:rPr/>
      </w:pPr>
      <w:bookmarkStart w:id="14" w:name="__RefHeading___Toc7777286_1051229030"/>
      <w:bookmarkStart w:id="15" w:name="_Toc5"/>
      <w:bookmarkEnd w:id="14"/>
      <w:r>
        <w:rPr>
          <w:rtl w:val="true"/>
        </w:rPr>
        <w:t>اسمه و نسبه</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w:t>
      </w:r>
      <w:bookmarkStart w:id="16" w:name="pg8074_124557"/>
    </w:p>
    <w:p>
      <w:pPr>
        <w:pStyle w:val="BookText"/>
        <w:rPr/>
      </w:pPr>
      <w:bookmarkEnd w:id="16"/>
      <w:r>
        <w:rPr>
          <w:rFonts w:ascii="Amiri" w:hAnsi="Amiri" w:eastAsia="Amiri" w:cs="Amiri"/>
          <w:color w:val="111111"/>
          <w:sz w:val="28"/>
          <w:sz w:val="28"/>
          <w:szCs w:val="28"/>
          <w:rtl w:val="true"/>
          <w:lang w:bidi="ar-SA"/>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نقي بن محمّد زكي بن محمّد تقي بن شاه قاسم بن</w:t>
      </w:r>
    </w:p>
    <w:p>
      <w:pPr>
        <w:pStyle w:val="BookText"/>
        <w:rPr/>
      </w:pPr>
      <w:r>
        <w:rPr>
          <w:rFonts w:ascii="Amiri" w:hAnsi="Amiri" w:eastAsia="Amiri" w:cs="Amiri"/>
          <w:color w:val="111111"/>
          <w:sz w:val="28"/>
          <w:sz w:val="28"/>
          <w:szCs w:val="28"/>
          <w:rtl w:val="true"/>
          <w:lang w:bidi="ar-SA"/>
        </w:rPr>
        <w:t xml:space="preserve">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7777288_1051229030"/>
      <w:bookmarkStart w:id="18" w:name="_Toc6"/>
      <w:bookmarkEnd w:id="17"/>
      <w:r>
        <w:rPr>
          <w:rtl w:val="true"/>
        </w:rPr>
        <w:t>ولادته و نشأته</w:t>
      </w:r>
      <w:bookmarkEnd w:id="18"/>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قدس‌سره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المير سيّد عليّ الطباطبائيّ قدس‌سره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النجف الأشرف و أقام فيها سبع سنين، و حضر فيها على العلاّمة</w:t>
      </w:r>
    </w:p>
    <w:p>
      <w:pPr>
        <w:pStyle w:val="BookText"/>
        <w:rPr/>
      </w:pPr>
      <w:r>
        <w:rPr>
          <w:rFonts w:ascii="Amiri" w:hAnsi="Amiri" w:eastAsia="Amiri" w:cs="Amiri"/>
          <w:color w:val="111111"/>
          <w:sz w:val="28"/>
          <w:sz w:val="28"/>
          <w:szCs w:val="28"/>
          <w:rtl w:val="true"/>
          <w:lang w:bidi="ar-SA"/>
        </w:rPr>
        <w:t>الطباطبائيّ بحر العلوم قدس‌سره، والشيخ الأكبر صاحب كشف الغطاء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الكاظميّة، فحضر فيها على السيّد المحقّق المُحسن البغداديّ</w:t>
      </w:r>
    </w:p>
    <w:p>
      <w:pPr>
        <w:pStyle w:val="BookText"/>
        <w:rPr/>
      </w:pPr>
      <w:r>
        <w:rPr>
          <w:rFonts w:ascii="Amiri" w:hAnsi="Amiri" w:eastAsia="Amiri" w:cs="Amiri"/>
          <w:color w:val="111111"/>
          <w:sz w:val="28"/>
          <w:sz w:val="28"/>
          <w:szCs w:val="28"/>
          <w:rtl w:val="true"/>
          <w:lang w:bidi="ar-SA"/>
        </w:rPr>
        <w:t xml:space="preserve">المقدّس الأعرجي رحمه‌الله قليلاً، فقد قرأ عليه القضاء والشهادات، وأقام عنده مدّة من الزمان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ابراهيم الكلباسي قدس‌سره،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رحمه‌الله، فحضر مجلسه بما ينيف على ستّة أشهر </w:t>
      </w:r>
      <w:r>
        <w:rPr>
          <w:rStyle w:val="FootnoteAnchor"/>
          <w:rtl w:val="true"/>
        </w:rPr>
        <w:footnoteReference w:id="10"/>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الارتحال من اصبهان إلى بلدة قم، ومكثت فيها أربعة أشهر أو أكثر، وكنت مشتغلاً بكتابة هذا المجلّد من الشرح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فكتب له الميرزا قدس‌سره إجازة مبسوطة مضبوطة كان يغتنم بها من ذلك السفر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بعدها إلى كاشان، فحضر على المولى محمّد مهدي النراقي</w:t>
      </w:r>
    </w:p>
    <w:p>
      <w:pPr>
        <w:pStyle w:val="BookText"/>
        <w:rPr/>
      </w:pPr>
      <w:r>
        <w:rPr>
          <w:rFonts w:ascii="Amiri" w:hAnsi="Amiri" w:eastAsia="Amiri" w:cs="Amiri"/>
          <w:color w:val="111111"/>
          <w:sz w:val="28"/>
          <w:sz w:val="28"/>
          <w:szCs w:val="28"/>
          <w:rtl w:val="true"/>
          <w:lang w:bidi="ar-SA"/>
        </w:rPr>
        <w:t xml:space="preserve">رحمه‌الله، وتلمّذ عليه مدّة قليلة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من بعض المشايخ أنّه بعد وروده إلى أصفهان ليس له شيء من الكتب إلاّ مجلّدًا واحدًا من المدارك، و كان مجرّدًا من الأموال، قليل البضاعة، بل عديمها، </w:t>
      </w:r>
    </w:p>
    <w:p>
      <w:pPr>
        <w:pStyle w:val="BookText"/>
        <w:rPr/>
      </w:pPr>
      <w:r>
        <w:rPr>
          <w:rFonts w:ascii="Amiri" w:hAnsi="Amiri" w:eastAsia="Amiri" w:cs="Amiri"/>
          <w:color w:val="111111"/>
          <w:sz w:val="28"/>
          <w:sz w:val="28"/>
          <w:szCs w:val="28"/>
          <w:rtl w:val="true"/>
          <w:lang w:bidi="ar-SA"/>
        </w:rPr>
        <w:t xml:space="preserve">إلاّ منديلاً لمحلّ الخبز، ويسمّى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w:t>
      </w:r>
    </w:p>
    <w:p>
      <w:pPr>
        <w:pStyle w:val="BookText"/>
        <w:rPr/>
      </w:pPr>
      <w:r>
        <w:rPr>
          <w:rFonts w:ascii="IRNazanin" w:hAnsi="IRNazanin" w:eastAsia="IRNazanin"/>
          <w:color w:val="111111"/>
          <w:sz w:val="28"/>
          <w:sz w:val="28"/>
          <w:szCs w:val="28"/>
          <w:rtl w:val="true"/>
          <w:lang w:bidi="fa-IR"/>
        </w:rPr>
        <w:t xml:space="preserve">في اصفهان بمدرسة چهارباغ، واجتمع الطلاّب والمشتغلون عنده للتحصيل والتعليم، و أخرجه المدرّس من المدرسة و لم يتعرّض له و لم يعارضه، فإذا اطّلع على انّه أمر بالخروج، خرج من غير إظهار للكراهة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قدس‌سره، المقبول قوله عند العوام والخواصّ، و عند السلطان والرعيّة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الكلباسي رحمه‌الله في المشي والحكم و غيرهما، فكلّ هذه الأمور كانت ترفع شأنه، إلاّ أنّ يده تعالى فوق </w:t>
      </w:r>
    </w:p>
    <w:p>
      <w:pPr>
        <w:pStyle w:val="BookText"/>
        <w:rPr/>
      </w:pPr>
      <w:r>
        <w:rPr>
          <w:rFonts w:ascii="Amiri" w:hAnsi="Amiri" w:eastAsia="Amiri" w:cs="Amiri"/>
          <w:color w:val="111111"/>
          <w:sz w:val="28"/>
          <w:sz w:val="28"/>
          <w:szCs w:val="28"/>
          <w:rtl w:val="true"/>
          <w:lang w:bidi="ar-SA"/>
        </w:rPr>
        <w:t xml:space="preserve">الأيدي، ترفع و تضع طبق المصالح الربّانيّة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بينه و 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w:t>
      </w:r>
    </w:p>
    <w:p>
      <w:pPr>
        <w:pStyle w:val="BookText"/>
        <w:rPr/>
      </w:pPr>
      <w:r>
        <w:rPr>
          <w:rFonts w:ascii="Amiri" w:hAnsi="Amiri" w:eastAsia="Amiri" w:cs="Amiri"/>
          <w:color w:val="111111"/>
          <w:sz w:val="28"/>
          <w:sz w:val="28"/>
          <w:szCs w:val="28"/>
          <w:rtl w:val="true"/>
          <w:lang w:bidi="ar-SA"/>
        </w:rPr>
        <w:t xml:space="preserve">يحدث له في البال، وأن يسكنا معًا بلدة أصفهان، ويتزعّما بها في وقت واحد، ولم تكن الرياسة لتكدّر صفو ذلك الودّ الخالص، أو تؤثّر مثقال ذرّة، فكلّما زادت سطوة أحدهما زاد اتّصالاً و رغبة بصاحبه، فاعتبروا يا أولى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5"/>
      </w:r>
      <w:r>
        <w:rPr>
          <w:rFonts w:ascii="Amiri" w:hAnsi="Amiri" w:eastAsia="Amiri" w:cs="Amiri"/>
          <w:color w:val="111111"/>
          <w:sz w:val="28"/>
          <w:sz w:val="28"/>
          <w:szCs w:val="28"/>
          <w:rtl w:val="true"/>
          <w:lang w:bidi="ar-SA"/>
        </w:rPr>
        <w:t>من طريق البحر، و كان ذلك أيّام</w:t>
      </w:r>
    </w:p>
    <w:p>
      <w:pPr>
        <w:pStyle w:val="BookText"/>
        <w:rPr/>
      </w:pPr>
      <w:r>
        <w:rPr>
          <w:rFonts w:ascii="Amiri" w:hAnsi="Amiri" w:eastAsia="Amiri" w:cs="Amiri"/>
          <w:color w:val="111111"/>
          <w:sz w:val="28"/>
          <w:sz w:val="28"/>
          <w:szCs w:val="28"/>
          <w:rtl w:val="true"/>
          <w:lang w:bidi="ar-SA"/>
        </w:rPr>
        <w:t xml:space="preserve">محمّد عليّ باشا المصريّ، و 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بها سادات المدينة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ميراث أولاد الزهراء استرد لهم من غاصبي فدك في طوفه الحرما</w:t>
      </w:r>
    </w:p>
    <w:p>
      <w:pPr>
        <w:pStyle w:val="BookText"/>
        <w:rPr/>
      </w:pPr>
      <w:r>
        <w:rPr>
          <w:rFonts w:ascii="Amiri" w:hAnsi="Amiri" w:eastAsia="Amiri" w:cs="Amiri"/>
          <w:color w:val="111111"/>
          <w:sz w:val="28"/>
          <w:sz w:val="28"/>
          <w:szCs w:val="28"/>
          <w:rtl w:val="true"/>
          <w:lang w:bidi="ar-SA"/>
        </w:rPr>
        <w:t>؛ 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8"/>
      </w:r>
      <w:r>
        <w:rPr>
          <w:rFonts w:ascii="Amiri" w:hAnsi="Amiri" w:eastAsia="Amiri" w:cs="Amiri"/>
          <w:color w:val="111111"/>
          <w:sz w:val="28"/>
          <w:sz w:val="28"/>
          <w:szCs w:val="28"/>
          <w:rtl w:val="true"/>
          <w:lang w:bidi="ar-SA"/>
        </w:rPr>
        <w:t xml:space="preserve">وأنفق عليه ما </w:t>
      </w:r>
      <w:bookmarkStart w:id="19" w:name="pg8074_124562"/>
    </w:p>
    <w:p>
      <w:pPr>
        <w:pStyle w:val="BookText"/>
        <w:rPr/>
      </w:pPr>
      <w:bookmarkEnd w:id="19"/>
      <w:r>
        <w:rPr>
          <w:rFonts w:ascii="Amiri" w:hAnsi="Amiri" w:eastAsia="Amiri" w:cs="Amiri"/>
          <w:color w:val="111111"/>
          <w:sz w:val="28"/>
          <w:sz w:val="28"/>
          <w:szCs w:val="28"/>
          <w:rtl w:val="true"/>
          <w:lang w:bidi="ar-SA"/>
        </w:rPr>
        <w:t xml:space="preserve">يقرب من مائة ألف دينار شرعيّ تقريبًا من أمواله الخالصة، ومال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بمنزلة مشهد من مشاهد الأنبياء والأئمّة عليهم‌السلام مطاف للخلايق في خمسة أوقات الصلوات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777290_1051229030"/>
      <w:bookmarkStart w:id="21" w:name="_Toc7"/>
      <w:bookmarkEnd w:id="20"/>
      <w:r>
        <w:rPr>
          <w:rtl w:val="true"/>
        </w:rPr>
        <w:t>إطراء العلماء له</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المحقّق ميرزا أبوالقاسم القمّي قدس‌سره</w:t>
      </w:r>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w:t>
      </w:r>
      <w:bookmarkStart w:id="22" w:name="pg8074_124563"/>
    </w:p>
    <w:p>
      <w:pPr>
        <w:pStyle w:val="BookText"/>
        <w:rPr/>
      </w:pPr>
      <w:bookmarkEnd w:id="22"/>
      <w:r>
        <w:rPr>
          <w:rFonts w:ascii="IRNazanin" w:hAnsi="IRNazanin" w:eastAsia="IRNazanin"/>
          <w:color w:val="111111"/>
          <w:sz w:val="28"/>
          <w:sz w:val="28"/>
          <w:szCs w:val="28"/>
          <w:rtl w:val="true"/>
          <w:lang w:bidi="fa-IR"/>
        </w:rPr>
        <w:t xml:space="preserve">أمثاله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المولى عليّ النوريّ قدس‌سره</w:t>
      </w:r>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العهد، فقيه العصر، حجّة الطائفة المحقّة، قبلة الكرام البررة،</w:t>
      </w:r>
    </w:p>
    <w:p>
      <w:pPr>
        <w:pStyle w:val="BookText"/>
        <w:rPr/>
      </w:pPr>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7777292_1051229030"/>
      <w:bookmarkStart w:id="24" w:name="_Toc8"/>
      <w:bookmarkEnd w:id="23"/>
      <w:r>
        <w:rPr>
          <w:rtl w:val="true"/>
        </w:rPr>
        <w:t>زهده و عبادته</w:t>
      </w:r>
      <w:bookmarkEnd w:id="24"/>
    </w:p>
    <w:p>
      <w:pPr>
        <w:pStyle w:val="BookText"/>
        <w:rPr/>
      </w:pPr>
      <w:r>
        <w:rPr>
          <w:rFonts w:ascii="Amiri" w:hAnsi="Amiri" w:eastAsia="Amiri" w:cs="Amiri"/>
          <w:color w:val="111111"/>
          <w:sz w:val="28"/>
          <w:sz w:val="28"/>
          <w:szCs w:val="28"/>
          <w:rtl w:val="true"/>
          <w:lang w:bidi="ar-SA"/>
        </w:rPr>
        <w:t xml:space="preserve">قال المحدّث القمّي رحمه‌الله في الفوائد الرضويّة، نقلاً عن صاحب التكملة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السيّد محمّد باقر كان عالمًا ربّانيًّا روحانيًّا ممّن عرف حلال آل محمّد عليهم‌السلام و حرامهم، و شيّد أحكامهم، و خالف هواه، واتّبع أمر مولاه، كان دائم المراقبة لربّه، لا يشغله شيء عن الحضور والمراقبة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رحمه‌الله انّ آماق عين السيّد كانت مجروحة من كثرة بكائه في تهجّده </w:t>
      </w:r>
      <w:r>
        <w:rPr>
          <w:rFonts w:eastAsia="Amiri" w:cs="Amiri" w:ascii="Amiri" w:hAnsi="Amiri"/>
          <w:color w:val="111111"/>
          <w:sz w:val="28"/>
          <w:szCs w:val="28"/>
          <w:rtl w:val="true"/>
          <w:lang w:bidi="ar-SA"/>
        </w:rPr>
        <w:t xml:space="preserve">. </w:t>
      </w:r>
      <w:bookmarkStart w:id="25" w:name="pg8074_124564"/>
    </w:p>
    <w:p>
      <w:pPr>
        <w:pStyle w:val="BookText"/>
        <w:rPr/>
      </w:pPr>
      <w:bookmarkEnd w:id="25"/>
      <w:r>
        <w:rPr>
          <w:rFonts w:ascii="Amiri" w:hAnsi="Amiri" w:eastAsia="Amiri" w:cs="Amiri"/>
          <w:color w:val="111111"/>
          <w:sz w:val="28"/>
          <w:sz w:val="28"/>
          <w:szCs w:val="28"/>
          <w:rtl w:val="true"/>
          <w:lang w:bidi="ar-SA"/>
        </w:rPr>
        <w:t xml:space="preserve">و حدّثني بعض خواصّه،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7777294_1051229030"/>
      <w:bookmarkStart w:id="27" w:name="_Toc9"/>
      <w:bookmarkEnd w:id="26"/>
      <w:r>
        <w:rPr>
          <w:rtl w:val="true"/>
        </w:rPr>
        <w:t>إقامته الحدود الشرعيّة</w:t>
      </w:r>
      <w:bookmarkEnd w:id="27"/>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قدس‌سره في إثبات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إلى إجرائه بالمباشرة أو الأمر بحيث بلغ عدد من قتله رحمه‌الله في سبيل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الجناة والجفاة أو الزناة أو المحاربين اللاطين زمن رئاسته ثمانين أو تسعين،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8" w:name="pg8074_124565"/>
    </w:p>
    <w:p>
      <w:pPr>
        <w:pStyle w:val="Heading2"/>
        <w:numPr>
          <w:ilvl w:val="1"/>
          <w:numId w:val="1"/>
        </w:numPr>
        <w:rPr/>
      </w:pPr>
      <w:bookmarkStart w:id="29" w:name="__RefHeading___Toc7777296_1051229030"/>
      <w:bookmarkStart w:id="30" w:name="_Toc10"/>
      <w:bookmarkEnd w:id="28"/>
      <w:bookmarkEnd w:id="29"/>
      <w:r>
        <w:rPr>
          <w:rtl w:val="true"/>
        </w:rPr>
        <w:t>أساتذته و مشايخ روايته</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الأكبر الآقا محمّد باقر الوحيد البهبهاني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7777298_1051229030"/>
      <w:bookmarkStart w:id="32" w:name="_Toc11"/>
      <w:bookmarkEnd w:id="31"/>
      <w:r>
        <w:rPr>
          <w:rtl w:val="true"/>
        </w:rPr>
        <w:t>أولاده</w:t>
      </w:r>
      <w:bookmarkEnd w:id="32"/>
    </w:p>
    <w:p>
      <w:pPr>
        <w:pStyle w:val="BookText"/>
        <w:rPr/>
      </w:pPr>
      <w:r>
        <w:rPr>
          <w:rFonts w:ascii="Amiri" w:hAnsi="Amiri" w:eastAsia="Amiri" w:cs="Amiri"/>
          <w:color w:val="111111"/>
          <w:sz w:val="28"/>
          <w:sz w:val="28"/>
          <w:szCs w:val="28"/>
          <w:rtl w:val="true"/>
          <w:lang w:bidi="ar-SA"/>
        </w:rPr>
        <w:t xml:space="preserve">له قدس‌سره أولاد متعدّدون، كلّهم علماء أجلاّء، و سادة فضلاء، انتهت إليهم الرئاسة الدينيّة والعلميّة بعد أبيهم في أصفهان، و 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قال الإمام السيّد عبدالحسين شرف الدين في ترجمة والده قدس‌سره ما هذا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رحمه‌الله على شاكلة أبيه في العلم والعمل والجهاد لنفسه و 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وخاصّتها حتّى السلطان ناصر الدين شاه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المآثر والآثار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الفكر والأدب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1"/>
      </w:r>
      <w:bookmarkStart w:id="33" w:name="pg8074_124568"/>
    </w:p>
    <w:p>
      <w:pPr>
        <w:pStyle w:val="Heading2"/>
        <w:numPr>
          <w:ilvl w:val="1"/>
          <w:numId w:val="1"/>
        </w:numPr>
        <w:rPr/>
      </w:pPr>
      <w:bookmarkStart w:id="34" w:name="__RefHeading___Toc7777300_1051229030"/>
      <w:bookmarkStart w:id="35" w:name="_Toc12"/>
      <w:bookmarkEnd w:id="33"/>
      <w:bookmarkEnd w:id="34"/>
      <w:r>
        <w:rPr>
          <w:rtl w:val="true"/>
        </w:rPr>
        <w:t>تآليفه القيّمة</w:t>
      </w:r>
      <w:bookmarkEnd w:id="35"/>
    </w:p>
    <w:p>
      <w:p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المختلفة خصوصًا الفقه والرجال، و تظهر منها جامعيّته من المعقول والمنقول، وإليك أسماء بعضها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7777302_1051229030"/>
      <w:bookmarkStart w:id="37" w:name="_Toc13"/>
      <w:bookmarkEnd w:id="36"/>
      <w:r>
        <w:rPr>
          <w:rtl w:val="true"/>
        </w:rPr>
        <w:t>الكتب و الرسائل الفقهيّة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المقتبسة من آثار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 الجواب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 الشهادات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إبراء الوليّ مدّة المتعة عن المولى عليه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حرمة محارم الموطوء على الواطي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ردّ المولى الإيجهي رحمه‌الله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عرق الجنب من الحرام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ثبوت الزنا واللواط بالإقرار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 رحمه‌الله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كيفيّة زيارة عاشوراء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المخالفين و عدمها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يجوز نيّة الوجوب في الوضوء قبل دخول الوقت مع</w:t>
      </w:r>
    </w:p>
    <w:p>
      <w:pPr>
        <w:pStyle w:val="BookText"/>
        <w:rPr/>
      </w:pPr>
      <w:r>
        <w:rPr>
          <w:rFonts w:ascii="Amiri" w:hAnsi="Amiri" w:eastAsia="Amiri" w:cs="Amiri"/>
          <w:color w:val="111111"/>
          <w:sz w:val="28"/>
          <w:sz w:val="28"/>
          <w:szCs w:val="28"/>
          <w:rtl w:val="true"/>
          <w:lang w:bidi="ar-SA"/>
        </w:rPr>
        <w:t>اشتغال الذمّة بالقضاء و عدم إرادة الإتيان بها بذلك الوضوء، أم لا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تعريف البيع وأقسامه و شروطه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توكيل الصبيّ المميّز</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ينفسخ المبايعة الخياريّة بمجرّد ردّ مثل الثمن و إرادة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الفسخ من غير أن يتلفّظ بصيغة الفسخ، أم لا ؟ </w:t>
      </w:r>
      <w:bookmarkStart w:id="38" w:name="pg8074_124571"/>
    </w:p>
    <w:p>
      <w:pPr>
        <w:pStyle w:val="BookText"/>
        <w:rPr/>
      </w:pPr>
      <w:bookmarkEnd w:id="38"/>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وقع عقد النكاح من الأب وكالة للابن المريض فمات قبل الدخول ما حكمه من العدّة والصداق والميراث و تزويج المرأة في العدّة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انهدم بنيان لمالكين، هل يجوز لمالك بناء التحت بعد</w:t>
      </w:r>
    </w:p>
    <w:p>
      <w:pPr>
        <w:pStyle w:val="BookText"/>
        <w:rPr/>
      </w:pPr>
      <w:r>
        <w:rPr>
          <w:rFonts w:ascii="Amiri" w:hAnsi="Amiri" w:eastAsia="Amiri" w:cs="Amiri"/>
          <w:color w:val="111111"/>
          <w:sz w:val="28"/>
          <w:sz w:val="28"/>
          <w:szCs w:val="28"/>
          <w:rtl w:val="true"/>
          <w:lang w:bidi="ar-SA"/>
        </w:rPr>
        <w:t>الإحياء منع مالك الفوق من الإحياء، أم لا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قتل عبدٌ حرًّا ما حكمه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الوصل بين اسطوانين أو أسطوانات المسجد لجدار ضعيف</w:t>
      </w:r>
    </w:p>
    <w:p>
      <w:pPr>
        <w:pStyle w:val="BookText"/>
        <w:rPr/>
      </w:pPr>
      <w:r>
        <w:rPr>
          <w:rFonts w:ascii="Amiri" w:hAnsi="Amiri" w:eastAsia="Amiri" w:cs="Amiri"/>
          <w:color w:val="111111"/>
          <w:sz w:val="28"/>
          <w:sz w:val="28"/>
          <w:szCs w:val="28"/>
          <w:rtl w:val="true"/>
          <w:lang w:bidi="ar-SA"/>
        </w:rPr>
        <w:t>البنيان لمصلحة إقامة الجماعة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السلام في الصلاة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العمليّة</w:t>
      </w:r>
    </w:p>
    <w:p>
      <w:pPr>
        <w:pStyle w:val="Heading2"/>
        <w:numPr>
          <w:ilvl w:val="1"/>
          <w:numId w:val="1"/>
        </w:numPr>
        <w:rPr/>
      </w:pPr>
      <w:bookmarkStart w:id="39" w:name="__RefHeading___Toc7777304_1051229030"/>
      <w:bookmarkStart w:id="40" w:name="_Toc14"/>
      <w:bookmarkEnd w:id="39"/>
      <w:r>
        <w:rPr>
          <w:rtl w:val="true"/>
        </w:rPr>
        <w:t>الكتب و الرسائل الحديثيّة</w:t>
      </w:r>
      <w:bookmarkEnd w:id="4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الحديثين المرويّين عن العترة الطاهرة عليهم‌السلام </w:t>
      </w:r>
      <w:bookmarkStart w:id="41" w:name="pg8074_124572"/>
    </w:p>
    <w:p>
      <w:pPr>
        <w:pStyle w:val="Heading2"/>
        <w:numPr>
          <w:ilvl w:val="1"/>
          <w:numId w:val="1"/>
        </w:numPr>
        <w:rPr/>
      </w:pPr>
      <w:bookmarkStart w:id="42" w:name="__RefHeading___Toc7777306_1051229030"/>
      <w:bookmarkStart w:id="43" w:name="_Toc15"/>
      <w:bookmarkEnd w:id="41"/>
      <w:bookmarkEnd w:id="42"/>
      <w:r>
        <w:rPr>
          <w:rtl w:val="true"/>
        </w:rPr>
        <w:t>الكتب و الرسائل الأصوليّة</w:t>
      </w:r>
      <w:bookmarkEnd w:id="43"/>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والتقليد</w:t>
      </w:r>
    </w:p>
    <w:p>
      <w:pPr>
        <w:pStyle w:val="Heading2"/>
        <w:numPr>
          <w:ilvl w:val="1"/>
          <w:numId w:val="1"/>
        </w:numPr>
        <w:rPr/>
      </w:pPr>
      <w:bookmarkStart w:id="44" w:name="__RefHeading___Toc7777308_1051229030"/>
      <w:bookmarkStart w:id="45" w:name="_Toc16"/>
      <w:bookmarkEnd w:id="44"/>
      <w:r>
        <w:rPr>
          <w:rtl w:val="true"/>
        </w:rPr>
        <w:t>الكتب و الرسائل الرجاليّة</w:t>
      </w:r>
      <w:bookmarkEnd w:id="4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رجال الطوسي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أبان بن عثمان و أصحاب الإجماع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32"/>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عبد الحميد بن سالم العطّار وولده محمّد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عمر بن يزيد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تعيين محمّد بن إسماعيل الواقع في صدر بعض أسانيد الكافي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تحقيق حال محمّد بن أحمد الراوي عن العمركي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حال محمّد بن خالد البرقي </w:t>
      </w:r>
      <w:bookmarkStart w:id="46" w:name="pg8074_124574"/>
    </w:p>
    <w:p>
      <w:pPr>
        <w:pStyle w:val="BookText"/>
        <w:rPr/>
      </w:pPr>
      <w:bookmarkEnd w:id="46"/>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معاوية بن شريح و معاوية بن ميسرة و أنّهما واحد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بيان العدّة المتكرّرة في أسانيد الكافي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قدس‌سرهباصفهان </w:t>
      </w:r>
      <w:r>
        <w:rPr>
          <w:rFonts w:eastAsia="IRNazanin" w:cs="IRNazanin"/>
          <w:color w:val="111111"/>
          <w:sz w:val="28"/>
          <w:szCs w:val="28"/>
          <w:rtl w:val="true"/>
          <w:lang w:bidi="fa-IR"/>
        </w:rPr>
        <w:t>.</w:t>
      </w:r>
    </w:p>
    <w:p>
      <w:pPr>
        <w:pStyle w:val="Heading2"/>
        <w:numPr>
          <w:ilvl w:val="1"/>
          <w:numId w:val="1"/>
        </w:numPr>
        <w:rPr/>
      </w:pPr>
      <w:bookmarkStart w:id="47" w:name="__RefHeading___Toc7777310_1051229030"/>
      <w:bookmarkStart w:id="48" w:name="_Toc17"/>
      <w:bookmarkEnd w:id="47"/>
      <w:r>
        <w:rPr>
          <w:rtl w:val="true"/>
        </w:rPr>
        <w:t>الكتب و الرسائل المتفرّقة</w:t>
      </w:r>
      <w:bookmarkEnd w:id="48"/>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و جواب عن بعض عقائد الشيخيّة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طعام الّذين أوتوا الكتاب</w:t>
      </w:r>
    </w:p>
    <w:p>
      <w:pPr>
        <w:pStyle w:val="BookText"/>
        <w:rPr/>
      </w:pPr>
      <w:r>
        <w:rPr>
          <w:rFonts w:ascii="Amiri" w:hAnsi="Amiri" w:eastAsia="Amiri" w:cs="Amiri"/>
          <w:color w:val="111111"/>
          <w:sz w:val="28"/>
          <w:sz w:val="28"/>
          <w:szCs w:val="28"/>
          <w:rtl w:val="true"/>
          <w:lang w:bidi="ar-SA"/>
        </w:rPr>
        <w:t xml:space="preserve">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الحلية اللامعة للبهجة المرضيّة </w:t>
      </w:r>
      <w:bookmarkStart w:id="49" w:name="pg8074_124575"/>
    </w:p>
    <w:p>
      <w:pPr>
        <w:pStyle w:val="Heading2"/>
        <w:numPr>
          <w:ilvl w:val="1"/>
          <w:numId w:val="1"/>
        </w:numPr>
        <w:rPr/>
      </w:pPr>
      <w:bookmarkStart w:id="50" w:name="__RefHeading___Toc7777312_1051229030"/>
      <w:bookmarkStart w:id="51" w:name="_Toc18"/>
      <w:bookmarkEnd w:id="49"/>
      <w:bookmarkEnd w:id="50"/>
      <w:r>
        <w:rPr>
          <w:rtl w:val="true"/>
        </w:rPr>
        <w:t>وفاته و مرقده</w:t>
      </w:r>
      <w:bookmarkEnd w:id="51"/>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اول حمل و دويم ربيع دويم زدامگاه جهان شد بسوى دار سلامبلفظ تازى تاريخ رحلتش گفتم چو بشمرى مأتين است و ألف و ستّين 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الأقوال ؛ 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الچهارسوقي قدس‌سره في الروضات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 مثل يوم وفاته، يوم عظيم، ملأت زقاق البلد من أفواج الأنام رجالاً و نساءًا، يبكون عليه بكاء الفاقد والده الرحيم و مشفقه الكريم، بحيث كان همهمة الخلائق تسمع من وراء البلد، و غسل في بيته الشريف، ثمّ أتى به إلى المسجد، فصلّى عليه ولده الأفضل و خلفه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الأسعد الأرشد والفقيه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العجائب اتّفاق فراغه من التحصيل و مراجعته من النجف الأشرف بإصرار والده الجليل في سنة وفاته، و مسارعة روحه المطهّر إلى جنّاته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2" w:name="pg8074_124577"/>
    </w:p>
    <w:p>
      <w:pPr>
        <w:pStyle w:val="Heading2"/>
        <w:numPr>
          <w:ilvl w:val="1"/>
          <w:numId w:val="1"/>
        </w:numPr>
        <w:rPr/>
      </w:pPr>
      <w:bookmarkStart w:id="53" w:name="__RefHeading___Toc7777314_1051229030"/>
      <w:bookmarkStart w:id="54" w:name="_Toc19"/>
      <w:bookmarkEnd w:id="52"/>
      <w:bookmarkEnd w:id="53"/>
      <w:r>
        <w:rPr/>
        <w:t>2</w:t>
      </w:r>
      <w:r>
        <w:rPr>
          <w:rtl w:val="true"/>
        </w:rPr>
        <w:t xml:space="preserve"> - </w:t>
      </w:r>
      <w:r>
        <w:rPr>
          <w:rtl w:val="true"/>
        </w:rPr>
        <w:t>التعريف بالرسالة</w:t>
      </w:r>
      <w:bookmarkEnd w:id="54"/>
    </w:p>
    <w:p>
      <w:pPr>
        <w:pStyle w:val="BookText"/>
        <w:rPr/>
      </w:pPr>
      <w:r>
        <w:rPr>
          <w:rFonts w:ascii="Amiri" w:hAnsi="Amiri" w:eastAsia="Amiri" w:cs="Amiri"/>
          <w:color w:val="111111"/>
          <w:sz w:val="28"/>
          <w:sz w:val="28"/>
          <w:szCs w:val="28"/>
          <w:rtl w:val="true"/>
          <w:lang w:bidi="ar-SA"/>
        </w:rPr>
        <w:t xml:space="preserve">لا إشكال و لا ترديد في نسبة هذا الأثر الفقهيّ القيّم إلى مؤلّفنا الجليل صاحب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في شرح 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المستطاب الّذي أحاط بدقائق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عرق الجنب من الحرام ؛ من تأليفات فخر الشيعة و ركن الشريعة العلاّمة الحاجّ السيّد محمّد</w:t>
      </w:r>
    </w:p>
    <w:p>
      <w:pPr>
        <w:pStyle w:val="BookText"/>
        <w:rPr/>
      </w:pPr>
      <w:r>
        <w:rPr>
          <w:rFonts w:ascii="Amiri" w:hAnsi="Amiri" w:eastAsia="Amiri" w:cs="Amiri"/>
          <w:color w:val="111111"/>
          <w:sz w:val="28"/>
          <w:sz w:val="28"/>
          <w:szCs w:val="28"/>
          <w:rtl w:val="true"/>
          <w:lang w:bidi="ar-SA"/>
        </w:rPr>
        <w:t>باقر بن محمّد نقي الموسويّ الشفتيّ الرشتيّ الجيلانيّ الأصفهانيّ، المعروف بحجّة</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رسالةٌ استدلاليّة، كتبها في جواب مَن سأله عن حكم عرق الجنب من الحرام، توجد ضمن مجموعةٍ نفيسة جدًّا من رسائل المصنّف قدس‌سره سمّيت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كتابتها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المسألة 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عرق جنب از حرام پاك است يا نجس ؟</w:t>
      </w:r>
    </w:p>
    <w:p>
      <w:pPr>
        <w:pStyle w:val="BookText"/>
        <w:rPr/>
      </w:pPr>
      <w:r>
        <w:rPr>
          <w:rFonts w:ascii="Amiri" w:hAnsi="Amiri" w:eastAsia="Amiri" w:cs="Amiri"/>
          <w:color w:val="111111"/>
          <w:sz w:val="28"/>
          <w:sz w:val="28"/>
          <w:szCs w:val="28"/>
          <w:rtl w:val="true"/>
          <w:lang w:bidi="ar-SA"/>
        </w:rPr>
        <w:t xml:space="preserve">قال السائل ما ترجمته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عرق الجنب من الحرام طاهر، أم لا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السيّد حجّة الإسلام قدس‌سره في الجواب أوّلاً بعض كلمات القائلين بنجاسة </w:t>
      </w:r>
    </w:p>
    <w:p>
      <w:pPr>
        <w:pStyle w:val="BookText"/>
        <w:rPr/>
      </w:pPr>
      <w:r>
        <w:rPr>
          <w:rFonts w:ascii="Amiri" w:hAnsi="Amiri" w:eastAsia="Amiri" w:cs="Amiri"/>
          <w:color w:val="111111"/>
          <w:sz w:val="28"/>
          <w:sz w:val="28"/>
          <w:szCs w:val="28"/>
          <w:rtl w:val="true"/>
          <w:lang w:bidi="ar-SA"/>
        </w:rPr>
        <w:t xml:space="preserve">عرق الجنب من الحرام، ثمّ ما استندوا إليه في الحكم بالنجاسة، ثمّ شرع في الجواب عن مستندهم، و في آخره نبّه على الاشتباهات الصادرة في هذه المسألة من العلماء الأعلام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في الرسالة فروعًا كثيرة تتعلّق بالمسألة، و أدرج فيها تحقيقات رشيقة و فوائد نافعة مفيدة تنبئ عن دقّة نظره و غوره، واستوفى فيها إنصافًا حقّ الاستدلال والتحليل ؛ و كان هذا ممّا يدلّ على طول باعه و تبحّره في المباحث الفقهيّة، جزاه اللّه تعالى عن الإسلام و أهله خير الجزاء </w:t>
      </w:r>
      <w:r>
        <w:rPr>
          <w:rFonts w:eastAsia="Amiri" w:cs="Amiri" w:ascii="Amiri" w:hAnsi="Amiri"/>
          <w:color w:val="111111"/>
          <w:sz w:val="28"/>
          <w:szCs w:val="28"/>
          <w:rtl w:val="true"/>
          <w:lang w:bidi="ar-SA"/>
        </w:rPr>
        <w:t xml:space="preserve">. </w:t>
      </w:r>
      <w:bookmarkStart w:id="55" w:name="pg8074_124579"/>
    </w:p>
    <w:p>
      <w:pPr>
        <w:pStyle w:val="Heading2"/>
        <w:numPr>
          <w:ilvl w:val="1"/>
          <w:numId w:val="1"/>
        </w:numPr>
        <w:rPr/>
      </w:pPr>
      <w:bookmarkStart w:id="56" w:name="__RefHeading___Toc7777316_1051229030"/>
      <w:bookmarkStart w:id="57" w:name="_Toc20"/>
      <w:bookmarkEnd w:id="55"/>
      <w:bookmarkEnd w:id="56"/>
      <w:r>
        <w:rPr/>
        <w:t>3</w:t>
      </w:r>
      <w:r>
        <w:rPr>
          <w:rtl w:val="true"/>
        </w:rPr>
        <w:t xml:space="preserve"> - </w:t>
      </w:r>
      <w:r>
        <w:rPr>
          <w:rtl w:val="true"/>
        </w:rPr>
        <w:t>منهجيّة التحقيق</w:t>
      </w:r>
      <w:bookmarkEnd w:id="57"/>
    </w:p>
    <w:p>
      <w:pPr>
        <w:pStyle w:val="BookText"/>
        <w:rPr/>
      </w:pPr>
      <w:r>
        <w:rPr>
          <w:rFonts w:ascii="Amiri" w:hAnsi="Amiri" w:eastAsia="Amiri" w:cs="Amiri"/>
          <w:color w:val="111111"/>
          <w:sz w:val="28"/>
          <w:sz w:val="28"/>
          <w:szCs w:val="28"/>
          <w:rtl w:val="true"/>
          <w:lang w:bidi="ar-SA"/>
        </w:rPr>
        <w:t xml:space="preserve">قد اعتمدنا في تحقيق هذه الرسالة على ثلاث نسخ خطّية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من أصلها المخزون في مكتبة أميرالمؤمنين عليه‌السلامبأصفهان،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ضمن مجموعةٍ تحتوي على عدّة رسائل للمصنّف قدس‌سرهتسمّى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بخطّ النسخ الجيّد الميرزا أحمد بن محمّد تقي الخوانساريّ، و فرغ من كتابتها في الثاني من شهر محرّم الحرام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قد رمزنا لها في الهامش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مصوّرة من أصلها المخزون في المكتبة الرضويّة في مشهد المقدّسة،</w:t>
      </w:r>
    </w:p>
    <w:p>
      <w:p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57680</w:t>
      </w:r>
      <w:r>
        <w:rPr>
          <w:rFonts w:ascii="Amiri" w:hAnsi="Amiri" w:eastAsia="Amiri" w:cs="Amiri"/>
          <w:color w:val="111111"/>
          <w:sz w:val="28"/>
          <w:sz w:val="28"/>
          <w:szCs w:val="28"/>
          <w:rtl w:val="true"/>
          <w:lang w:bidi="ar-SA"/>
        </w:rPr>
        <w:t xml:space="preserve">، و هي أيضًا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أيضًا</w:t>
      </w:r>
    </w:p>
    <w:p>
      <w:pPr>
        <w:pStyle w:val="BookText"/>
        <w:rPr/>
      </w:pPr>
      <w:r>
        <w:rPr>
          <w:rFonts w:ascii="Amiri" w:hAnsi="Amiri" w:eastAsia="Amiri" w:cs="Amiri"/>
          <w:color w:val="111111"/>
          <w:sz w:val="28"/>
          <w:sz w:val="28"/>
          <w:szCs w:val="28"/>
          <w:rtl w:val="true"/>
          <w:lang w:bidi="ar-SA"/>
        </w:rPr>
        <w:t xml:space="preserve">الميرزا أحمد بن محمّد تقي الخوانساريّ، و فرغ من كتابتها في شهر شعبان المعظّم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قد رمزنا لها في الهامش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من أصلها المخزون في مركز إحياء التراث الإسلاميّ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 مخطوطات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ضمن مجموعةٍ تحتوي على عدّة رسائل للمصنّف قدس‌سره، كتبت بخطّ النسخ، مجهولة الكاتب والتأريخ، والظاهر أنّها كتبت في القرن الثالث عشر الهجريّ ؛ و قد رمزنا لها في الهامش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نحن في نهجنا التحقيقيّ اتّبعنا الخطوات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اعتمدنا أسلوب التلفيق بين المخطوطات، مختارين ما نراه أنّه الصحيح، فجعلناه في المتن، وأشرنا إلى ما سواه في الهامش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بذلنا جميع ما في وسعنا من الجهد والطاقة لتخريج الآيات القرآنيّة الكريمة، والأحاديث الشريفة، والأقوال الواردة بحدود ما عثرنا عليه من المصادر المعتبرة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أوضحنا المواضع المشكلة والعبارات المبهمة، و شرحنا بعض اللغات الغريبة الواردة في المتن مع الاستعانة بكتب اللغة و معاجم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أضفنا عناوين فرعيّة في المتن بين قوسين معقوفين كي يسهّل الوصول إلى تفاصيل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في نهاية الكتاب فهرسًا للموضوعات المطروحة، و فهرسًا لمراجع البحث، تسهيلاً لمهمّة الباحثين والمراجعين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قصارى جهدنا في تحقيق هذا السفر القيّم و 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يتقبّل منّا هذا القليل بقبول حسن ؛ و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يوفّقنا لإحياء تراث أهل البيت عليهم‌السلام و علمائنا الأبرار، خصوصًا بقيّة آثار جدّنا الأمجد الأسعد العلاّمة المحقّق والفقيه الأصوليّ الأوحد السيّد محمّد باقر الشفتيّ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سلفه الصالح، جزاءً لجزيل خدماتهم المباركة في إحياء الشريعة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والصلاة والسلام على محمّد وأهل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الشفتيّ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p>
    <w:p>
      <w:pPr>
        <w:pStyle w:val="BookText"/>
        <w:rPr/>
      </w:pP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 عرق الجنب من الحرام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الفقيه الأصوليّ</w:t>
      </w:r>
    </w:p>
    <w:p>
      <w:pPr>
        <w:pStyle w:val="BookText"/>
        <w:rPr/>
      </w:pPr>
      <w:r>
        <w:rPr>
          <w:rFonts w:ascii="Amiri" w:hAnsi="Amiri" w:eastAsia="Amiri" w:cs="Amiri"/>
          <w:color w:val="111111"/>
          <w:sz w:val="28"/>
          <w:sz w:val="28"/>
          <w:szCs w:val="28"/>
          <w:rtl w:val="true"/>
          <w:lang w:bidi="ar-SA"/>
        </w:rPr>
        <w:t>الحاجّ السيّد محمّد باقر الشفتيّ قدس‌سره</w:t>
      </w:r>
    </w:p>
    <w:p>
      <w:pPr>
        <w:pStyle w:val="BookText"/>
        <w:rPr/>
      </w:pPr>
      <w:r>
        <w:rPr>
          <w:rFonts w:ascii="Amiri" w:hAnsi="Amiri" w:eastAsia="Amiri" w:cs="Amiri"/>
          <w:color w:val="111111"/>
          <w:sz w:val="28"/>
          <w:sz w:val="28"/>
          <w:szCs w:val="28"/>
          <w:rtl w:val="true"/>
          <w:lang w:bidi="ar-SA"/>
        </w:rPr>
        <w:t>المعروف بحجّة الإسلام على الإطلاق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الشفتيّ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074_124584"/>
      <w:bookmarkStart w:id="59" w:name="pg8074_124584"/>
      <w:bookmarkEnd w:id="59"/>
    </w:p>
    <w:p>
      <w:pPr>
        <w:pStyle w:val="BookText"/>
        <w:rPr/>
      </w:pPr>
      <w:bookmarkStart w:id="60" w:name="pg8074_124584"/>
      <w:bookmarkEnd w:id="6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پاك است يا نجس ؟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اعاظم قدما حكم به حرمت صلاة در آن و نجاست آن فرموده‌اند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7777318_1051229030"/>
      <w:bookmarkStart w:id="62" w:name="_Toc21"/>
      <w:bookmarkEnd w:id="61"/>
      <w:r>
        <w:rPr>
          <w:rtl w:val="true"/>
        </w:rPr>
        <w:t>كلمات القائلين بنجاسة عرق الجنب من الحرام</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القائلين بنجاسة عرق الجنب من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الكتاب المشتبه الحال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قال في موضعٍ آخرٍ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والراوي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الجلالة والوثوق، ذكره شيخ الطائفة في رجاله من أصحاب مولانا الرضا عليه‌السلام ؛ و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 ثقة، جليل القدر، له كتاب ينسب إلى جعفر بن محمّد عليهماالسلام رواية عليّ بن موسى الرضا</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الكتاب يمكن أن يكون هو الكتاب المشتهر في هذه الأعصار بفقه الرضا، لأنّ المذكور في أوّل هذا الكتاب بعد الحمد والصلاة على النبيّ وآله عليهم‌السلامهذا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عبداللّه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انّ أوّل ما افترض اللّه على عباده،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هذا الكتاب في عصر الشيخ و ما قبله ممّا نسب إلى مولانا الصادق عليه‌السلام، كما أنّه في هذا الأوان نسب إلى مولانا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في شرح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عرقت في ثوبك و أنت جنب و كانت الجنابة من الحلال فيجوز </w:t>
      </w:r>
      <w:r>
        <w:rPr>
          <w:rStyle w:val="FootnoteAnchor"/>
          <w:rtl w:val="true"/>
        </w:rPr>
        <w:footnoteReference w:id="40"/>
      </w:r>
      <w:r>
        <w:rPr>
          <w:rFonts w:ascii="Amiri" w:hAnsi="Amiri" w:eastAsia="Amiri" w:cs="Amiri"/>
          <w:color w:val="111111"/>
          <w:sz w:val="28"/>
          <w:sz w:val="28"/>
          <w:szCs w:val="28"/>
          <w:rtl w:val="true"/>
          <w:lang w:bidi="ar-SA"/>
        </w:rPr>
        <w:t xml:space="preserve">الصلاة فيه، وإن كانت حرامًا فلا يجوز </w:t>
      </w:r>
      <w:r>
        <w:rPr>
          <w:rStyle w:val="FootnoteAnchor"/>
          <w:rtl w:val="true"/>
        </w:rPr>
        <w:footnoteReference w:id="41"/>
      </w:r>
      <w:r>
        <w:rPr>
          <w:rFonts w:ascii="Amiri" w:hAnsi="Amiri" w:eastAsia="Amiri" w:cs="Amiri"/>
          <w:color w:val="111111"/>
          <w:sz w:val="28"/>
          <w:sz w:val="28"/>
          <w:szCs w:val="28"/>
          <w:rtl w:val="true"/>
          <w:lang w:bidi="ar-SA"/>
        </w:rPr>
        <w:t xml:space="preserve">الصلاة فيه حتّى تغتسل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شيخنا الصدوق في أواخر مجالسه في بيان ما ثبت في دين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عرق الجنب في ثوبه و كانت الجنابة من حلال فحلال الصلاة في الثوب، وإن كانت من حرام فحرام الصلاة فيه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متى </w:t>
      </w:r>
      <w:r>
        <w:rPr>
          <w:rStyle w:val="FootnoteAnchor"/>
          <w:rtl w:val="true"/>
        </w:rPr>
        <w:footnoteReference w:id="44"/>
      </w:r>
      <w:r>
        <w:rPr>
          <w:rFonts w:ascii="Amiri" w:hAnsi="Amiri" w:eastAsia="Amiri" w:cs="Amiri"/>
          <w:color w:val="111111"/>
          <w:sz w:val="28"/>
          <w:sz w:val="28"/>
          <w:szCs w:val="28"/>
          <w:rtl w:val="true"/>
          <w:lang w:bidi="ar-SA"/>
        </w:rPr>
        <w:t xml:space="preserve">عرق في ثوبه و هو جنب فلينشف </w:t>
      </w:r>
      <w:r>
        <w:rPr>
          <w:rStyle w:val="FootnoteAnchor"/>
          <w:rtl w:val="true"/>
        </w:rPr>
        <w:footnoteReference w:id="45"/>
      </w:r>
      <w:r>
        <w:rPr>
          <w:rFonts w:ascii="Amiri" w:hAnsi="Amiri" w:eastAsia="Amiri" w:cs="Amiri"/>
          <w:color w:val="111111"/>
          <w:sz w:val="28"/>
          <w:sz w:val="28"/>
          <w:szCs w:val="28"/>
          <w:rtl w:val="true"/>
          <w:lang w:bidi="ar-SA"/>
        </w:rPr>
        <w:t xml:space="preserve">فيه </w:t>
      </w:r>
      <w:r>
        <w:rPr>
          <w:rStyle w:val="FootnoteAnchor"/>
          <w:rtl w:val="true"/>
        </w:rPr>
        <w:footnoteReference w:id="46"/>
      </w:r>
      <w:r>
        <w:rPr>
          <w:rFonts w:ascii="Amiri" w:hAnsi="Amiri" w:eastAsia="Amiri" w:cs="Amiri"/>
          <w:color w:val="111111"/>
          <w:sz w:val="28"/>
          <w:sz w:val="28"/>
          <w:szCs w:val="28"/>
          <w:rtl w:val="true"/>
          <w:lang w:bidi="ar-SA"/>
        </w:rPr>
        <w:t xml:space="preserve">إذا اغتسل، وإن كانت الجنابة من حلال فحلال الصلاة فيه، وإن كانت من حرام فحرام الصلاة فيه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الهداية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والجنب إذا عرق في ثوبه فإن كانت الجنابة من حلال فحلال الصلاة فيه، وإن كانت من حرام فحرام الصلاة فيه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عرقت في ثوبك و أنت جنب و كانت الجنابة من حرام، فحرام الصلاة فيه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بعرق الحائض والجنب، و لا يجب غسل الثوب منه إلاّ أن يكون </w:t>
      </w:r>
      <w:r>
        <w:rPr>
          <w:rStyle w:val="FootnoteAnchor"/>
          <w:rtl w:val="true"/>
        </w:rPr>
        <w:footnoteReference w:id="50"/>
      </w:r>
      <w:r>
        <w:rPr>
          <w:rFonts w:ascii="Amiri" w:hAnsi="Amiri" w:eastAsia="Amiri" w:cs="Amiri"/>
          <w:color w:val="111111"/>
          <w:sz w:val="28"/>
          <w:sz w:val="28"/>
          <w:szCs w:val="28"/>
          <w:rtl w:val="true"/>
          <w:lang w:bidi="ar-SA"/>
        </w:rPr>
        <w:t xml:space="preserve">الجنابة من حرام، فيغسل ما أصابه من عرق صاحبها من جسد و ثوب، و يعمل في الطهارة بالاحتياط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عرق الجنب إذا كانت الجنابة من حرام حرم </w:t>
      </w:r>
      <w:r>
        <w:rPr>
          <w:rStyle w:val="FootnoteAnchor"/>
          <w:rtl w:val="true"/>
        </w:rPr>
        <w:footnoteReference w:id="52"/>
      </w:r>
      <w:r>
        <w:rPr>
          <w:rFonts w:ascii="Amiri" w:hAnsi="Amiri" w:eastAsia="Amiri" w:cs="Amiri"/>
          <w:color w:val="111111"/>
          <w:sz w:val="28"/>
          <w:sz w:val="28"/>
          <w:szCs w:val="28"/>
          <w:rtl w:val="true"/>
          <w:lang w:bidi="ar-SA"/>
        </w:rPr>
        <w:t xml:space="preserve">الصلاة فيه، وإن كانت من حلال فلا بأس بالصلاة فيه، و أجاز الفقهاء كلّهم ذلك ولم يفصّلوا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 طريقة الاحتياط، والأخبار الّتي ذكرناها في </w:t>
      </w:r>
    </w:p>
    <w:p>
      <w:pPr>
        <w:pStyle w:val="BookText"/>
        <w:rPr/>
      </w:pPr>
      <w:r>
        <w:rPr>
          <w:rFonts w:ascii="Amiri" w:hAnsi="Amiri" w:eastAsia="Amiri" w:cs="Amiri"/>
          <w:color w:val="111111"/>
          <w:sz w:val="28"/>
          <w:sz w:val="28"/>
          <w:szCs w:val="28"/>
          <w:rtl w:val="true"/>
          <w:lang w:bidi="ar-SA"/>
        </w:rPr>
        <w:t xml:space="preserve">الكتابين المقدّم ذكرهما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بعرق الحائض والجنب في الثوب، واجتنابه أفضل، إلاّ أن يكون </w:t>
      </w:r>
      <w:r>
        <w:rPr>
          <w:rStyle w:val="FootnoteAnchor"/>
          <w:rtl w:val="true"/>
        </w:rPr>
        <w:footnoteReference w:id="54"/>
      </w:r>
      <w:r>
        <w:rPr>
          <w:rFonts w:ascii="Amiri" w:hAnsi="Amiri" w:eastAsia="Amiri" w:cs="Amiri"/>
          <w:color w:val="111111"/>
          <w:sz w:val="28"/>
          <w:sz w:val="28"/>
          <w:szCs w:val="28"/>
          <w:rtl w:val="true"/>
          <w:lang w:bidi="ar-SA"/>
        </w:rPr>
        <w:t xml:space="preserve">الجنابة من حرام، فإنّه يجب غسل الثوب إذا عرق فيه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بعرق الجنب والحائض إذا كانا خاليين من نجاسة، فإن كان في </w:t>
      </w:r>
      <w:r>
        <w:rPr>
          <w:rStyle w:val="FootnoteAnchor"/>
          <w:rtl w:val="true"/>
        </w:rPr>
        <w:footnoteReference w:id="56"/>
      </w:r>
      <w:r>
        <w:rPr>
          <w:rFonts w:ascii="Amiri" w:hAnsi="Amiri" w:eastAsia="Amiri" w:cs="Amiri"/>
          <w:color w:val="111111"/>
          <w:sz w:val="28"/>
          <w:sz w:val="28"/>
          <w:szCs w:val="28"/>
          <w:rtl w:val="true"/>
          <w:lang w:bidi="ar-SA"/>
        </w:rPr>
        <w:t xml:space="preserve">بدنهما نجاسة و عرقا نجس الثوب الّذي عرقا فيه ؛ وإن كانت الجنابة من حرام وجب غسل ما عرقا فيه، على ما رواه بعض أصحابنا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حكم الثوب والبدن والأرض إذا أصابته نجاسة، من كتاب</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الصلاة في ثوب الحائض ما لم يعلم فيه نجاسة، و كذلك في </w:t>
      </w:r>
    </w:p>
    <w:p>
      <w:pPr>
        <w:pStyle w:val="BookText"/>
        <w:rPr/>
      </w:pPr>
      <w:r>
        <w:rPr>
          <w:rFonts w:ascii="Amiri" w:hAnsi="Amiri" w:eastAsia="Amiri" w:cs="Amiri"/>
          <w:color w:val="111111"/>
          <w:sz w:val="28"/>
          <w:sz w:val="28"/>
          <w:szCs w:val="28"/>
          <w:rtl w:val="true"/>
          <w:lang w:bidi="ar-SA"/>
        </w:rPr>
        <w:t xml:space="preserve">ثوب الجنب، فإن عرق فيه و كانت الجنابة من </w:t>
      </w:r>
      <w:r>
        <w:rPr>
          <w:rStyle w:val="FootnoteAnchor"/>
          <w:rtl w:val="true"/>
        </w:rPr>
        <w:footnoteReference w:id="58"/>
      </w:r>
      <w:r>
        <w:rPr>
          <w:rFonts w:ascii="Amiri" w:hAnsi="Amiri" w:eastAsia="Amiri" w:cs="Amiri"/>
          <w:color w:val="111111"/>
          <w:sz w:val="28"/>
          <w:sz w:val="28"/>
          <w:szCs w:val="28"/>
          <w:rtl w:val="true"/>
          <w:lang w:bidi="ar-SA"/>
        </w:rPr>
        <w:t xml:space="preserve">حرام روى أصحابنا أنّه لا تجوز الصلاة فيه، فإن كان من حلال لم يكن به بأس، و يقوى في نفسي أنّ ذلك تغليظ في الكراهة </w:t>
      </w:r>
      <w:r>
        <w:rPr>
          <w:rStyle w:val="FootnoteAnchor"/>
          <w:rtl w:val="true"/>
        </w:rPr>
        <w:footnoteReference w:id="59"/>
      </w:r>
      <w:r>
        <w:rPr>
          <w:rFonts w:ascii="Amiri" w:hAnsi="Amiri" w:eastAsia="Amiri" w:cs="Amiri"/>
          <w:color w:val="111111"/>
          <w:sz w:val="28"/>
          <w:sz w:val="28"/>
          <w:szCs w:val="28"/>
          <w:rtl w:val="true"/>
          <w:lang w:bidi="ar-SA"/>
        </w:rPr>
        <w:t xml:space="preserve">دون فساد الصلاة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يدلّ على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من حرام، فإنّه يغسل منها الثوب </w:t>
      </w:r>
      <w:r>
        <w:rPr>
          <w:rStyle w:val="FootnoteAnchor"/>
          <w:rtl w:val="true"/>
        </w:rPr>
        <w:footnoteReference w:id="62"/>
      </w:r>
      <w:r>
        <w:rPr>
          <w:rFonts w:ascii="Amiri" w:hAnsi="Amiri" w:eastAsia="Amiri" w:cs="Amiri"/>
          <w:color w:val="111111"/>
          <w:sz w:val="28"/>
          <w:sz w:val="28"/>
          <w:szCs w:val="28"/>
          <w:rtl w:val="true"/>
          <w:lang w:bidi="ar-SA"/>
        </w:rPr>
        <w:t xml:space="preserve">احتياطًا، فهو ما أخبرني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أن يكون المراد بهذا الخبر إلاّ من عرق في الثوب من جنابة إذا كانت من حرام، لأنّا قد بيّنا أنّ نفس الجنابة لا تتعدّى إلى الثوب، و ذكرنا أيضًا أنّ عرق الجنب لا ينجّس الثوب، فلم يبق معنى يحمل عليه الخبر إلاّ عرق الجنابة من حرام، فحملناه عليه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المهذّب لابن البرّاج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والنجاسة على ثلاثة أضرب،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إزالته، قليلاً كان أو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فهو دم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عرق الجنب من الحرام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شرحه على جمل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ينجس به الماء عندنا فهو ملاقاة أجسام الكفّار له على</w:t>
      </w:r>
    </w:p>
    <w:p>
      <w:pPr>
        <w:pStyle w:val="BookText"/>
        <w:rPr/>
      </w:pPr>
      <w:r>
        <w:rPr>
          <w:rFonts w:ascii="Amiri" w:hAnsi="Amiri" w:eastAsia="Amiri" w:cs="Amiri"/>
          <w:color w:val="111111"/>
          <w:sz w:val="28"/>
          <w:sz w:val="28"/>
          <w:szCs w:val="28"/>
          <w:rtl w:val="true"/>
          <w:lang w:bidi="ar-SA"/>
        </w:rPr>
        <w:t xml:space="preserve">اختلات مذاهبهم، والكلاب، والخنازير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عرق الجنب إذا أجنب من حرام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أصحابنا بالنجاسات عرق الإبل الجلاّلة، و عرق الجنب إذا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أجنب في </w:t>
      </w:r>
      <w:r>
        <w:rPr>
          <w:rStyle w:val="FootnoteAnchor"/>
          <w:rtl w:val="true"/>
        </w:rPr>
        <w:footnoteReference w:id="66"/>
      </w:r>
      <w:r>
        <w:rPr>
          <w:rFonts w:ascii="IRNazanin" w:hAnsi="IRNazanin" w:eastAsia="IRNazanin"/>
          <w:color w:val="111111"/>
          <w:sz w:val="28"/>
          <w:sz w:val="28"/>
          <w:szCs w:val="28"/>
          <w:rtl w:val="true"/>
          <w:lang w:bidi="fa-IR"/>
        </w:rPr>
        <w:t xml:space="preserve">الحرام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الإبل الجلاّلة و عرق الجنب من حرام فيه خلاف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الوسيلة، في مقام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الجنب من الحرام على أحد القولين، و لبن الصبيّة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70"/>
      </w:r>
      <w:r>
        <w:rPr>
          <w:rFonts w:ascii="Amiri" w:hAnsi="Amiri" w:eastAsia="Amiri" w:cs="Amiri"/>
          <w:color w:val="111111"/>
          <w:sz w:val="28"/>
          <w:sz w:val="28"/>
          <w:szCs w:val="28"/>
          <w:rtl w:val="true"/>
          <w:lang w:bidi="ar-SA"/>
        </w:rPr>
        <w:t xml:space="preserve">غسل الثياب من ذرق الدجاج، و عرق جلاّل الإبل، و عرق الجنب من الحرام، فأصحابنا يوجبون إزالته، و هو عندي ندب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الوسيلة في مقام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عرق الجنب من الحرام على أحد القولين، و لبن الصبيّة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بعرق الجنب والحائض إذا كانا خاليين من نجاسة، فإن كان في بدنهما نجاسة و عرقا نجس الثوب الّذي عرقا فيه، سواء كانت الجنابة </w:t>
      </w:r>
    </w:p>
    <w:p>
      <w:pPr>
        <w:pStyle w:val="BookText"/>
        <w:rPr/>
      </w:pPr>
      <w:r>
        <w:rPr>
          <w:rFonts w:ascii="Amiri" w:hAnsi="Amiri" w:eastAsia="Amiri" w:cs="Amiri"/>
          <w:color w:val="111111"/>
          <w:sz w:val="28"/>
          <w:sz w:val="28"/>
          <w:szCs w:val="28"/>
          <w:rtl w:val="true"/>
          <w:lang w:bidi="ar-SA"/>
        </w:rPr>
        <w:t xml:space="preserve">من حلال أو حرام على الصحيح من الأقوال و 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الجنابة من حرام وجب غسل ما عرقا </w:t>
      </w:r>
      <w:r>
        <w:rPr>
          <w:rStyle w:val="FootnoteAnchor"/>
          <w:rtl w:val="true"/>
        </w:rPr>
        <w:footnoteReference w:id="73"/>
      </w:r>
      <w:r>
        <w:rPr>
          <w:rFonts w:ascii="Amiri" w:hAnsi="Amiri" w:eastAsia="Amiri" w:cs="Amiri"/>
          <w:color w:val="111111"/>
          <w:sz w:val="28"/>
          <w:sz w:val="28"/>
          <w:szCs w:val="28"/>
          <w:rtl w:val="true"/>
          <w:lang w:bidi="ar-SA"/>
        </w:rPr>
        <w:t xml:space="preserve">فيه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عرق الجنابة من حلال أو حرام في طهارتها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النزهة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الشيخ أبو جعفر بذلك عرق الجنابة من الحرام، و إليه ذهب</w:t>
      </w:r>
    </w:p>
    <w:p>
      <w:pPr>
        <w:pStyle w:val="BookText"/>
        <w:rPr/>
      </w:pPr>
      <w:r>
        <w:rPr>
          <w:rFonts w:ascii="Amiri" w:hAnsi="Amiri" w:eastAsia="Amiri" w:cs="Amiri"/>
          <w:color w:val="111111"/>
          <w:sz w:val="28"/>
          <w:sz w:val="28"/>
          <w:szCs w:val="28"/>
          <w:rtl w:val="true"/>
          <w:lang w:bidi="ar-SA"/>
        </w:rPr>
        <w:t xml:space="preserve">المفيد، و رجع عنه في الرسالة إلى ولده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عرق الجنب من الحرام، و عرق الإبل الجلاّلة، والمسوخ خلاف، والأظهر الطهارة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نجاسة عرق الجنب من الحرام، و عرق الإبل الجلاّلة، ولعاب </w:t>
      </w:r>
    </w:p>
    <w:p>
      <w:pPr>
        <w:pStyle w:val="BookText"/>
        <w:rPr/>
      </w:pPr>
      <w:r>
        <w:rPr>
          <w:rFonts w:ascii="Amiri" w:hAnsi="Amiri" w:eastAsia="Amiri" w:cs="Amiri"/>
          <w:color w:val="111111"/>
          <w:sz w:val="28"/>
          <w:sz w:val="28"/>
          <w:szCs w:val="28"/>
          <w:rtl w:val="true"/>
          <w:lang w:bidi="ar-SA"/>
        </w:rPr>
        <w:t xml:space="preserve">المسوخ، و ذرق الدجاج والثعلب والأرنب والفأرة والوزغة اختلاف، والكراهة </w:t>
      </w:r>
      <w:r>
        <w:rPr>
          <w:rStyle w:val="FootnoteAnchor"/>
          <w:rtl w:val="true"/>
        </w:rPr>
        <w:footnoteReference w:id="78"/>
      </w:r>
      <w:r>
        <w:rPr>
          <w:rFonts w:ascii="IRNazanin" w:hAnsi="IRNazanin" w:eastAsia="IRNazanin"/>
          <w:color w:val="111111"/>
          <w:sz w:val="28"/>
          <w:sz w:val="28"/>
          <w:szCs w:val="28"/>
          <w:rtl w:val="true"/>
          <w:lang w:bidi="fa-IR"/>
        </w:rPr>
        <w:t xml:space="preserve">أظهر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حرام الصلاة فيه </w:t>
      </w:r>
      <w:r>
        <w:rPr>
          <w:rStyle w:val="FootnoteAnchor"/>
          <w:rtl w:val="true"/>
        </w:rPr>
        <w:footnoteReference w:id="80"/>
      </w:r>
      <w:r>
        <w:rPr>
          <w:rFonts w:ascii="Amiri" w:hAnsi="Amiri" w:eastAsia="Amiri" w:cs="Amiri"/>
          <w:color w:val="111111"/>
          <w:sz w:val="28"/>
          <w:sz w:val="28"/>
          <w:szCs w:val="28"/>
          <w:rtl w:val="true"/>
          <w:lang w:bidi="ar-SA"/>
        </w:rPr>
        <w:t xml:space="preserve">، واستدلّ بإجماع الفرقة و أخبارهم، و بمعناه 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ما عرق فيه على ما رواه بعض أصحابنا، فالشيخ </w:t>
      </w:r>
      <w:r>
        <w:rPr>
          <w:rStyle w:val="FootnoteAnchor"/>
          <w:rtl w:val="true"/>
        </w:rPr>
        <w:footnoteReference w:id="81"/>
      </w:r>
      <w:r>
        <w:rPr>
          <w:rFonts w:ascii="Amiri" w:hAnsi="Amiri" w:eastAsia="Amiri" w:cs="Amiri"/>
          <w:color w:val="111111"/>
          <w:sz w:val="28"/>
          <w:sz w:val="28"/>
          <w:szCs w:val="28"/>
          <w:rtl w:val="true"/>
          <w:lang w:bidi="ar-SA"/>
        </w:rPr>
        <w:t xml:space="preserve">على ما يراه متردّد في نجاسته، فالقول بالطهارة أقوى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الجنب من الحرام والإبل الجلاّلة، قال الشيخان بنجاسته، و قال</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مذهب شيخنا أعني </w:t>
      </w:r>
      <w:r>
        <w:rPr>
          <w:rStyle w:val="FootnoteAnchor"/>
          <w:rtl w:val="true"/>
        </w:rPr>
        <w:footnoteReference w:id="83"/>
      </w:r>
      <w:r>
        <w:rPr>
          <w:rFonts w:ascii="Amiri" w:hAnsi="Amiri" w:eastAsia="Amiri" w:cs="Amiri"/>
          <w:color w:val="111111"/>
          <w:sz w:val="28"/>
          <w:sz w:val="28"/>
          <w:szCs w:val="28"/>
          <w:rtl w:val="true"/>
          <w:lang w:bidi="ar-SA"/>
        </w:rPr>
        <w:t xml:space="preserve">الطهارة أشبه، لعدم الدلالة على التنجيس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الجنب طاهر وإن كان من الحرام، و عرق الإبل طاهر وإن كانت من الجلاّل، و كذا غيرهما كالحائض، و قال الشيخ </w:t>
      </w:r>
      <w:r>
        <w:rPr>
          <w:rStyle w:val="FootnoteAnchor"/>
          <w:rtl w:val="true"/>
        </w:rPr>
        <w:footnoteReference w:id="85"/>
      </w:r>
      <w:r>
        <w:rPr>
          <w:rFonts w:ascii="Amiri" w:hAnsi="Amiri" w:eastAsia="Amiri" w:cs="Amiri"/>
          <w:color w:val="111111"/>
          <w:sz w:val="28"/>
          <w:sz w:val="28"/>
          <w:szCs w:val="28"/>
          <w:rtl w:val="true"/>
          <w:lang w:bidi="ar-SA"/>
        </w:rPr>
        <w:t xml:space="preserve">بنجاسة العرقين في بعض كتبه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نهاية الإحكام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الجنب من الحرام و عرق الإبل الجلاّلة طاهران على الأقوى، لطهارة بدنهما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كلّ حيوان طاهر طاهر، عملاً بالأصل ؛ و أوجب الشيخان إزالة عرق الإبل الجلاّلة، والجنب من الحرام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عدا هذه الأعيان طاهر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عرق الجنب من الحرام و عرق الإبل الجلاّلة خلافًا 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إزالة عرق الجنب من الحرام، و عرق الإبل الجلاّلة</w:t>
      </w:r>
    </w:p>
    <w:p>
      <w:pPr>
        <w:pStyle w:val="BookText"/>
        <w:rPr/>
      </w:pPr>
      <w:r>
        <w:rPr>
          <w:rFonts w:ascii="Amiri" w:hAnsi="Amiri" w:eastAsia="Amiri" w:cs="Amiri"/>
          <w:color w:val="111111"/>
          <w:sz w:val="28"/>
          <w:sz w:val="28"/>
          <w:szCs w:val="28"/>
          <w:rtl w:val="true"/>
          <w:lang w:bidi="ar-SA"/>
        </w:rPr>
        <w:t xml:space="preserve">عن الثوب والبدن، و هو اختيار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الصلاة في ثوب أصابه عرق الجنب من الحرام، والمشهور الطهارة، و هو اختيار سلاّر وابن إدريس، و هو المعتمد لنا، لأنّ الأصل الطهارة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المسوخ، و عرق الجنب من الحرام، والإبل الجلاّلة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التلخيص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المسوخ و لعابه، و عرق الجنب من الحرام، و جلاّل الإبل</w:t>
      </w:r>
    </w:p>
    <w:p>
      <w:pPr>
        <w:pStyle w:val="BookText"/>
        <w:rPr/>
      </w:pPr>
      <w:r>
        <w:rPr>
          <w:rFonts w:ascii="Amiri" w:hAnsi="Amiri" w:eastAsia="Amiri" w:cs="Amiri"/>
          <w:color w:val="111111"/>
          <w:sz w:val="28"/>
          <w:sz w:val="28"/>
          <w:szCs w:val="28"/>
          <w:rtl w:val="true"/>
          <w:lang w:bidi="ar-SA"/>
        </w:rPr>
        <w:t xml:space="preserve">الطهارة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نجس الشيخان وابن البرّاج عرق الجنب من الحرام </w:t>
      </w:r>
      <w:r>
        <w:rPr>
          <w:rStyle w:val="FootnoteAnchor"/>
          <w:rtl w:val="true"/>
        </w:rPr>
        <w:footnoteReference w:id="93"/>
      </w:r>
      <w:r>
        <w:rPr>
          <w:rFonts w:ascii="IRNazanin" w:hAnsi="IRNazanin" w:eastAsia="IRNazanin"/>
          <w:color w:val="111111"/>
          <w:sz w:val="28"/>
          <w:sz w:val="28"/>
          <w:szCs w:val="28"/>
          <w:rtl w:val="true"/>
          <w:lang w:bidi="fa-IR"/>
        </w:rPr>
        <w:t xml:space="preserve">، للأمر بغسله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إنّهما غير نجسين، فلا ينجس عرقهما، والأمر هنا للاستحباب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المسوخ، والسباع، والفأرة، والوزغة، والثعلب، والأرنب، و عرق الجنب من الحرام، و عرق جلاّل الإبل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ينجس لبن البنت، و لا القيء، والقَيْح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عرق الجنب حرامًا، والإبل جلاّلة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بذلك ما ظنّ نجاسته ولم يثبت، و هو اثنا عشر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والجنب من الحرام في المشهور، للأصل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الشيخان وابن البرّاج بالنجاسة، لورود الأمر بغسله، وإن لم تكن دلالة الخبر صريحة في أنّ الغسل من عرق الجنب، و هو معارضٌ بما دلّ بعمومه على طهارة عرق الجنب من حلال 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بغسل عرق الإبل الجلاّلة لا يدلّ على النجاسة صريحًا، فيحمل</w:t>
      </w:r>
    </w:p>
    <w:p>
      <w:pPr>
        <w:pStyle w:val="BookText"/>
        <w:rPr/>
      </w:pPr>
      <w:r>
        <w:rPr>
          <w:rFonts w:ascii="Amiri" w:hAnsi="Amiri" w:eastAsia="Amiri" w:cs="Amiri"/>
          <w:color w:val="111111"/>
          <w:sz w:val="28"/>
          <w:sz w:val="28"/>
          <w:szCs w:val="28"/>
          <w:rtl w:val="true"/>
          <w:lang w:bidi="ar-SA"/>
        </w:rPr>
        <w:t xml:space="preserve">على الاستحباب، لأنّها طاهرة العين إجماعًا، و 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قيّد عرق الجنب من الحرام بكونه حال الفعل، و ما ظفرنا به من عبارات القوم خالٍ من هذا القيد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الجعفريّة لمولانا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شرح النجاسات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أشياء قد ظنّ بعض الأصحاب أنّها نجسة و لم يثبت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رابعها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القيء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الإبل الجلاّل والجنب من الحرام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الموجز في مقام تعداد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مائع المسكر وإن عرض جموده دون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كالحشيشة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وإن عرض ميعانها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والفقّاع، لا القيح والصديد الخالي من الدم، و عرق الجنب حرامًا و حلاله </w:t>
      </w:r>
      <w:r>
        <w:rPr>
          <w:rStyle w:val="FootnoteAnchor"/>
          <w:rtl w:val="true"/>
        </w:rPr>
        <w:footnoteReference w:id="103"/>
      </w:r>
      <w:r>
        <w:rPr>
          <w:rFonts w:ascii="Amiri" w:hAnsi="Amiri" w:eastAsia="Amiri" w:cs="Amiri"/>
          <w:color w:val="111111"/>
          <w:sz w:val="28"/>
          <w:sz w:val="28"/>
          <w:szCs w:val="28"/>
          <w:rtl w:val="true"/>
          <w:lang w:bidi="ar-SA"/>
        </w:rPr>
        <w:t xml:space="preserve">، و جلاّلة الإبل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الالتباس في شرح هذه العبارة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و حكمه حكم الخمر في النجاسة والتحريم عند علمائنا أجمع، لقول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خمر مجهول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استثناه المصنّف فهو مشهور الطهارة واضح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نطول الكتاب بشرحه، و لو </w:t>
      </w:r>
      <w:r>
        <w:rPr>
          <w:rStyle w:val="FootnoteAnchor"/>
          <w:rtl w:val="true"/>
        </w:rPr>
        <w:footnoteReference w:id="107"/>
      </w:r>
      <w:r>
        <w:rPr>
          <w:rFonts w:ascii="Amiri" w:hAnsi="Amiri" w:eastAsia="Amiri" w:cs="Amiri"/>
          <w:color w:val="111111"/>
          <w:sz w:val="28"/>
          <w:sz w:val="28"/>
          <w:szCs w:val="28"/>
          <w:rtl w:val="true"/>
          <w:lang w:bidi="ar-SA"/>
        </w:rPr>
        <w:t>كان في بعضه خلاف، فهو متروك لا</w:t>
      </w:r>
    </w:p>
    <w:p>
      <w:pPr>
        <w:pStyle w:val="BookText"/>
        <w:rPr/>
      </w:pPr>
      <w:r>
        <w:rPr>
          <w:rFonts w:ascii="Amiri" w:hAnsi="Amiri" w:eastAsia="Amiri" w:cs="Amiri"/>
          <w:color w:val="111111"/>
          <w:sz w:val="28"/>
          <w:sz w:val="28"/>
          <w:szCs w:val="28"/>
          <w:rtl w:val="true"/>
          <w:lang w:bidi="ar-SA"/>
        </w:rPr>
        <w:t xml:space="preserve">عمل عليه، فللشيخ رحمه‌الله قول بنجاسة عرق الجنب من الحرام و عرق الإبل الجلاّلة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بنجاسة عرق الجنب من الحرام </w:t>
      </w:r>
      <w:r>
        <w:rPr>
          <w:rStyle w:val="FootnoteAnchor"/>
          <w:rtl w:val="true"/>
        </w:rPr>
        <w:footnoteReference w:id="108"/>
      </w:r>
      <w:r>
        <w:rPr>
          <w:rFonts w:ascii="Amiri" w:hAnsi="Amiri" w:eastAsia="Amiri" w:cs="Amiri"/>
          <w:color w:val="111111"/>
          <w:sz w:val="28"/>
          <w:sz w:val="28"/>
          <w:szCs w:val="28"/>
          <w:rtl w:val="true"/>
          <w:lang w:bidi="ar-SA"/>
        </w:rPr>
        <w:t xml:space="preserve">لا فرق بين الرجل والمرأة، و لا فرق بين الإنزال و عدمه، و لا بين الفاعل والمفعول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التنقيح بعد أن عنون العبارة المذكورة من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الأشياء وقع الخلاف فيها، و يحكى ذلك </w:t>
      </w:r>
      <w:r>
        <w:rPr>
          <w:rStyle w:val="FootnoteAnchor"/>
          <w:rtl w:val="true"/>
        </w:rPr>
        <w:footnoteReference w:id="110"/>
      </w:r>
      <w:r>
        <w:rPr>
          <w:rFonts w:ascii="Amiri" w:hAnsi="Amiri" w:eastAsia="Amiri" w:cs="Amiri"/>
          <w:color w:val="111111"/>
          <w:sz w:val="28"/>
          <w:sz w:val="28"/>
          <w:szCs w:val="28"/>
          <w:rtl w:val="true"/>
          <w:lang w:bidi="ar-SA"/>
        </w:rPr>
        <w:t xml:space="preserve">في واحد واحد،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قال بنجاسته الشيخان وابن بابويه وابن البرّاج، لرواية الحلبي في الحسن ؛ والحقّ الطهارة، و به قال ابن إدريس و سلاّر، للأصل، و لعدم دلالة الرواية على مدّعاهم صريحًا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المهذّب البارع بعد أن أورد العبارة السابقة </w:t>
      </w:r>
      <w:r>
        <w:rPr>
          <w:rStyle w:val="FootnoteAnchor"/>
          <w:rtl w:val="true"/>
        </w:rPr>
        <w:footnoteReference w:id="112"/>
      </w:r>
      <w:r>
        <w:rPr>
          <w:rFonts w:ascii="IRNazanin" w:hAnsi="IRNazanin" w:eastAsia="IRNazanin"/>
          <w:color w:val="111111"/>
          <w:sz w:val="28"/>
          <w:sz w:val="28"/>
          <w:szCs w:val="28"/>
          <w:rtl w:val="true"/>
          <w:lang w:bidi="fa-IR"/>
        </w:rPr>
        <w:t xml:space="preserve">من النافع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و فيه قولان،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 هو مذهب الشيخين، و به قال الصدوق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بحسنة محمّد الحلبي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الجنابة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بالطهارة قال سلاّر وابن إدريس،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الجنب من حرام </w:t>
      </w:r>
      <w:r>
        <w:rPr>
          <w:rStyle w:val="FootnoteAnchor"/>
          <w:rtl w:val="true"/>
        </w:rPr>
        <w:footnoteReference w:id="114"/>
      </w:r>
      <w:r>
        <w:rPr>
          <w:rFonts w:ascii="Amiri" w:hAnsi="Amiri" w:eastAsia="Amiri" w:cs="Amiri"/>
          <w:color w:val="111111"/>
          <w:sz w:val="28"/>
          <w:sz w:val="28"/>
          <w:szCs w:val="28"/>
          <w:rtl w:val="true"/>
          <w:lang w:bidi="ar-SA"/>
        </w:rPr>
        <w:t>ليس بنجس، فلا يكون عرقه نجسًا،</w:t>
      </w:r>
    </w:p>
    <w:p>
      <w:pPr>
        <w:pStyle w:val="BookText"/>
        <w:rPr/>
      </w:pPr>
      <w:r>
        <w:rPr>
          <w:rFonts w:ascii="Amiri" w:hAnsi="Amiri" w:eastAsia="Amiri" w:cs="Amiri"/>
          <w:color w:val="111111"/>
          <w:sz w:val="28"/>
          <w:sz w:val="28"/>
          <w:szCs w:val="28"/>
          <w:rtl w:val="true"/>
          <w:lang w:bidi="ar-SA"/>
        </w:rPr>
        <w:t xml:space="preserve">كغيره من الحيوانات الطاهرة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أسامة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الأصحاب في حكمه، فذهب الشيخان و أتباعهما وابن بابويه إلى نجاسته، و قال ابن إدريس و سلاّر و عامّة المتأخّرين </w:t>
      </w:r>
    </w:p>
    <w:p>
      <w:pPr>
        <w:pStyle w:val="BookText"/>
        <w:rPr/>
      </w:pPr>
      <w:r>
        <w:rPr>
          <w:rFonts w:ascii="Amiri" w:hAnsi="Amiri" w:eastAsia="Amiri" w:cs="Amiri"/>
          <w:color w:val="111111"/>
          <w:sz w:val="28"/>
          <w:sz w:val="28"/>
          <w:szCs w:val="28"/>
          <w:rtl w:val="true"/>
          <w:lang w:bidi="ar-SA"/>
        </w:rPr>
        <w:t xml:space="preserve">بالطهارة، و هو المعتمد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عن الصدوقين و شيخنا المفيد ما تقدّم نقله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ابن الجنيد في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الحائض لا ينجّس الثوب، وكذلك</w:t>
      </w:r>
    </w:p>
    <w:p>
      <w:pPr>
        <w:pStyle w:val="BookText"/>
        <w:rPr/>
      </w:pPr>
      <w:r>
        <w:rPr>
          <w:rFonts w:ascii="Amiri" w:hAnsi="Amiri" w:eastAsia="Amiri" w:cs="Amiri"/>
          <w:color w:val="111111"/>
          <w:sz w:val="28"/>
          <w:sz w:val="28"/>
          <w:szCs w:val="28"/>
          <w:rtl w:val="true"/>
          <w:lang w:bidi="ar-SA"/>
        </w:rPr>
        <w:t xml:space="preserve">عرق الجنب من حلال، فإن كان أجنب من حرام غسل الثوب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يحكى عن ابن إدريس القول بالطهارة، و هو اختيار الفاضلين و جمهور المتأخّرين، و إليه أذهب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الحديقة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 است در نجاست عرق جنب از حرام، و أظهر طهارت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الذخيرة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ابنا بابويه الصلاة في ثوب عرق فيه الجنب من الحرام، و أوجب</w:t>
      </w:r>
    </w:p>
    <w:p>
      <w:pPr>
        <w:pStyle w:val="BookText"/>
        <w:rPr/>
      </w:pPr>
      <w:r>
        <w:rPr>
          <w:rFonts w:ascii="Amiri" w:hAnsi="Amiri" w:eastAsia="Amiri" w:cs="Amiri"/>
          <w:color w:val="111111"/>
          <w:sz w:val="28"/>
          <w:sz w:val="28"/>
          <w:szCs w:val="28"/>
          <w:rtl w:val="true"/>
          <w:lang w:bidi="ar-SA"/>
        </w:rPr>
        <w:t xml:space="preserve">المفيد غسله، و كذا الشيخ وابن الجنيد وابن البرّاج على ما حكى عنهم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أصحابنا بالنجاسات عرق الجنب من الحرام، وذهب سلاّر وابن إدريس والفاضلان و عامّة المتأخّرين إلى القول </w:t>
      </w:r>
    </w:p>
    <w:p>
      <w:pPr>
        <w:pStyle w:val="BookText"/>
        <w:rPr/>
      </w:pP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أقرب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عرق الجنب من الحرام، و كذا عرق الإبل الجلاّلة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مشهور ميانه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عرق جنب است از حرام، و بعضى نجس دانسته‌اند، و أقوى قول أوّل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طهارة عرق الجنب من الحلال، و إنّما الخلاف في الجنب من الحرام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فالمسألة لا يخلو </w:t>
      </w:r>
      <w:r>
        <w:rPr>
          <w:rStyle w:val="FootnoteAnchor"/>
          <w:rtl w:val="true"/>
        </w:rPr>
        <w:footnoteReference w:id="122"/>
      </w:r>
      <w:r>
        <w:rPr>
          <w:rFonts w:ascii="Amiri" w:hAnsi="Amiri" w:eastAsia="Amiri" w:cs="Amiri"/>
          <w:color w:val="111111"/>
          <w:sz w:val="28"/>
          <w:sz w:val="28"/>
          <w:szCs w:val="28"/>
          <w:rtl w:val="true"/>
          <w:lang w:bidi="ar-SA"/>
        </w:rPr>
        <w:t xml:space="preserve">عن إشكال، والاحتياط في مثله ممّا لا يترك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غير ما ذكر فهو طاهر ما لم يلاق شيئًا من النجاسات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للمشهور بين المتأخّرين في العصير العنبيّ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للشيخين في عرق الإبل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لهما و للصدوق في عرق الجنب من الحرام للخبر، و هو ضعيف، فيحمل على الكراهة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منها ثعلب و 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25"/>
      </w:r>
      <w:r>
        <w:rPr>
          <w:rFonts w:ascii="Amiri" w:hAnsi="Amiri" w:eastAsia="Amiri" w:cs="Amiri"/>
          <w:color w:val="111111"/>
          <w:sz w:val="28"/>
          <w:sz w:val="28"/>
          <w:szCs w:val="28"/>
          <w:rtl w:val="true"/>
          <w:lang w:bidi="ar-SA"/>
        </w:rPr>
        <w:t>فأرة أو وزغ و عقرب</w:t>
      </w:r>
    </w:p>
    <w:p>
      <w:pPr>
        <w:pStyle w:val="BookText"/>
        <w:rPr/>
      </w:pPr>
      <w:r>
        <w:rPr>
          <w:rFonts w:ascii="Amiri" w:hAnsi="Amiri" w:eastAsia="Amiri" w:cs="Amiri"/>
          <w:color w:val="111111"/>
          <w:sz w:val="28"/>
          <w:sz w:val="28"/>
          <w:szCs w:val="28"/>
          <w:rtl w:val="true"/>
          <w:lang w:bidi="ar-SA"/>
        </w:rPr>
        <w:t xml:space="preserve">و لا المسوخات و مولود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 ليس على مذهبنا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عرق المجنب ممّا لايحلّ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عرق الجلاّل جلاّل الإبل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في شرح المفاتيح للفاضل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روحه في المعاد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مستند القائلين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على حسب ما عرفت، بل الشيخ في الخلاف احتجّ على ذلك بالإجماع و طريقة الاحتياط والأخبار، من دون تعرّض لذكرها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الاحتياط أنّ شغل الذمّة اليقينيّ يستدعي البراءة</w:t>
      </w:r>
    </w:p>
    <w:p>
      <w:pPr>
        <w:pStyle w:val="BookText"/>
        <w:rPr/>
      </w:pPr>
      <w:r>
        <w:rPr>
          <w:rFonts w:ascii="Amiri" w:hAnsi="Amiri" w:eastAsia="Amiri" w:cs="Amiri"/>
          <w:color w:val="111111"/>
          <w:sz w:val="28"/>
          <w:sz w:val="28"/>
          <w:szCs w:val="28"/>
          <w:rtl w:val="true"/>
          <w:lang w:bidi="ar-SA"/>
        </w:rPr>
        <w:t xml:space="preserve">اليقينيّة، ولا تحصل في العبادات إلاّ بالاجتناب، لكونها توقيفيّة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فعبارة الفقه الرضويّ المنجبرة بها و بالشهرة العظيمة لو لم نقل بالإجماع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القائلين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الأصل يعدل عنه بالدليل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رياض المسائل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الأشهر بين قدماء الطائفة في عرق الجنب من الحرام مطلقًا حين الجنابة كان أم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خصّ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النجاسة، بل </w:t>
      </w:r>
    </w:p>
    <w:p>
      <w:pPr>
        <w:pStyle w:val="BookText"/>
        <w:rPr/>
      </w:pPr>
      <w:r>
        <w:rPr>
          <w:rFonts w:ascii="Amiri" w:hAnsi="Amiri" w:eastAsia="Amiri" w:cs="Amiri"/>
          <w:color w:val="111111"/>
          <w:sz w:val="28"/>
          <w:sz w:val="28"/>
          <w:szCs w:val="28"/>
          <w:rtl w:val="true"/>
          <w:lang w:bidi="ar-SA"/>
        </w:rPr>
        <w:t>عدّه في الأمالي من دين الإماميّة، و صرّح بالإجماع في الخلاف شيخ</w:t>
      </w:r>
    </w:p>
    <w:p>
      <w:pPr>
        <w:pStyle w:val="BookText"/>
        <w:rPr/>
      </w:pPr>
      <w:r>
        <w:rPr>
          <w:rFonts w:ascii="Amiri" w:hAnsi="Amiri" w:eastAsia="Amiri" w:cs="Amiri"/>
          <w:color w:val="111111"/>
          <w:sz w:val="28"/>
          <w:sz w:val="28"/>
          <w:szCs w:val="28"/>
          <w:rtl w:val="true"/>
          <w:lang w:bidi="ar-SA"/>
        </w:rPr>
        <w:t xml:space="preserve">الطائفة، و هو الظاهر من عبارة ابن زهرة، و نحوها عبارة سلاّر، إلاّ أنّ اختيار </w:t>
      </w:r>
      <w:r>
        <w:rPr>
          <w:rStyle w:val="FootnoteAnchor"/>
          <w:rtl w:val="true"/>
        </w:rPr>
        <w:footnoteReference w:id="129"/>
      </w:r>
      <w:r>
        <w:rPr>
          <w:rFonts w:ascii="Amiri" w:hAnsi="Amiri" w:eastAsia="Amiri" w:cs="Amiri"/>
          <w:color w:val="111111"/>
          <w:sz w:val="28"/>
          <w:sz w:val="28"/>
          <w:szCs w:val="28"/>
          <w:rtl w:val="true"/>
          <w:lang w:bidi="ar-SA"/>
        </w:rPr>
        <w:t xml:space="preserve">الطهارة بعد الحكاية بلا فاصلة تعيّن </w:t>
      </w:r>
      <w:r>
        <w:rPr>
          <w:rStyle w:val="FootnoteAnchor"/>
          <w:rtl w:val="true"/>
        </w:rPr>
        <w:footnoteReference w:id="130"/>
      </w:r>
      <w:r>
        <w:rPr>
          <w:rFonts w:ascii="Amiri" w:hAnsi="Amiri" w:eastAsia="Amiri" w:cs="Amiri"/>
          <w:color w:val="111111"/>
          <w:sz w:val="28"/>
          <w:sz w:val="28"/>
          <w:szCs w:val="28"/>
          <w:rtl w:val="true"/>
          <w:lang w:bidi="ar-SA"/>
        </w:rPr>
        <w:t xml:space="preserve">إرادته منها الشهرة العظيمة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مختصره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عرق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الفعل، بل مطلقًا إذا كان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الحرام، و عرق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الجلاّلة، ولعاب المسوخ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ذرق 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 والأرنب </w:t>
      </w:r>
      <w:r>
        <w:rPr>
          <w:rStyle w:val="FootnoteAnchor"/>
          <w:rtl w:val="true"/>
        </w:rPr>
        <w:footnoteReference w:id="134"/>
      </w:r>
      <w:r>
        <w:rPr>
          <w:rFonts w:ascii="Amiri" w:hAnsi="Amiri" w:eastAsia="Amiri" w:cs="Amiri"/>
          <w:color w:val="111111"/>
          <w:sz w:val="28"/>
          <w:sz w:val="28"/>
          <w:szCs w:val="28"/>
          <w:rtl w:val="true"/>
          <w:lang w:bidi="ar-SA"/>
        </w:rPr>
        <w:t xml:space="preserve">، والفأرة، والوزغة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الطهارة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الأوّلين، فالنجاسة أظهر، وفاقًا لأكثر القدماء، بل ظاهر عبارة ابن زهرة الإجماع، كما صرّح به في الأوّل في الخلاف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غنائم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نجاسة عرق الجنب من الحرام، فعن جماعة من القدماء النجاسة، و عن سلاّر و ابن إدريس و عامّة المتأخّرين الطهارة، والأوّل أقوى، للإجماع المنقول في الخلاف حيث استند في الخلاف بإجماع الفرقة والأخبار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الوط‌ء الحرام لذاته في أحد المأتيين من الإنسان لأيّ الصنفين مع الموت والحياة، و من أيّ الصنفين كان، أو الحيوان، أو مطلقًا، فيعمّ وط‌ء الحيض والنفاس والصوم المعيّن للواطئ أو الموطوء و بعد الظهار قبل المسوّغ، و قبل البلوغ و في الإحرام، و في الإفضاء، والنذر، و جميع الوط‌ء الممنوع عنه لمرض أو غيره، أو الموطوء المحرّم </w:t>
      </w:r>
      <w:r>
        <w:rPr>
          <w:rStyle w:val="FootnoteAnchor"/>
          <w:rtl w:val="true"/>
        </w:rPr>
        <w:footnoteReference w:id="137"/>
      </w:r>
      <w:r>
        <w:rPr>
          <w:rFonts w:ascii="Amiri" w:hAnsi="Amiri" w:eastAsia="Amiri" w:cs="Amiri"/>
          <w:color w:val="111111"/>
          <w:sz w:val="28"/>
          <w:sz w:val="28"/>
          <w:szCs w:val="28"/>
          <w:rtl w:val="true"/>
          <w:lang w:bidi="ar-SA"/>
        </w:rPr>
        <w:t xml:space="preserve">، فلا يكون داخلاً تحت العامّ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والخنثى فاعلاً أو مفعولاً مشكلاً، أو لا في وجه، و جاهل الحكم يجري عليه حكم الحرام ؛ و في الإمناء الحرام لذاته، كالاستمناء بغير محلّلاته، أو مطلقًا، فيعمّ الاستمناء بهنّ في الصيام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الاقتصار </w:t>
      </w:r>
    </w:p>
    <w:p>
      <w:pPr>
        <w:pStyle w:val="BookText"/>
        <w:rPr/>
      </w:pPr>
      <w:r>
        <w:rPr>
          <w:rFonts w:ascii="Amiri" w:hAnsi="Amiri" w:eastAsia="Amiri" w:cs="Amiri"/>
          <w:color w:val="111111"/>
          <w:sz w:val="28"/>
          <w:sz w:val="28"/>
          <w:szCs w:val="28"/>
          <w:rtl w:val="true"/>
          <w:lang w:bidi="ar-SA"/>
        </w:rPr>
        <w:t xml:space="preserve">على الذاتيّ في المقامين أوفق في البين، انتهى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ما فيه من الغموض والخفاء الداعي لكشف الجواب عن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إمّا من الوط‌ء، أو من الإنزال ؛ و على التقديرين إمّا من الحرام،</w:t>
      </w:r>
    </w:p>
    <w:p>
      <w:pPr>
        <w:pStyle w:val="BookText"/>
        <w:rPr/>
      </w:pPr>
      <w:r>
        <w:rPr>
          <w:rFonts w:ascii="Amiri" w:hAnsi="Amiri" w:eastAsia="Amiri" w:cs="Amiri"/>
          <w:color w:val="111111"/>
          <w:sz w:val="28"/>
          <w:sz w:val="28"/>
          <w:szCs w:val="28"/>
          <w:rtl w:val="true"/>
          <w:lang w:bidi="ar-SA"/>
        </w:rPr>
        <w:t xml:space="preserve">أو لا ؛ و على الحرمة إمّا حرمته ذاتيّ، أو عرضيّ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في جميع الشقوق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الوط‌ء الحرام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والظرف </w:t>
      </w:r>
      <w:r>
        <w:rPr>
          <w:rStyle w:val="FootnoteAnchor"/>
          <w:rtl w:val="true"/>
        </w:rPr>
        <w:footnoteReference w:id="139"/>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أحد المأتيين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بالوط‌ء ؛ والمراد بالمأتيين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الثامن من أقسام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من</w:t>
      </w:r>
    </w:p>
    <w:p>
      <w:pPr>
        <w:pStyle w:val="BookText"/>
        <w:rPr/>
      </w:pPr>
      <w:r>
        <w:rPr>
          <w:rFonts w:ascii="Amiri" w:hAnsi="Amiri" w:eastAsia="Amiri" w:cs="Amiri"/>
          <w:color w:val="111111"/>
          <w:sz w:val="28"/>
          <w:sz w:val="28"/>
          <w:szCs w:val="28"/>
          <w:rtl w:val="true"/>
          <w:lang w:bidi="ar-SA"/>
        </w:rPr>
        <w:t xml:space="preserve">الوط‌ء الحرام في القبل، أو في الدبر، للذكور أو للإناث، و في حال حياة المفعول أو بعد مماته، كان هذا العمل من الذكور أو الإناث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الذكور فظاهر، وأمّا من الإناث كما أمرت غلامها بالاستلقاء، فأدخلت ذكره في قبلها أو دبرها، لكن لا يخفى ما فيه، إذ الوط‌ء لا يسند إلاّ إلى الذكور،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الرجل المرأة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وطئت المرأة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وطِئْتُ الشيءَ بِرجْلي وَطْأً، و وَطِى‌ءَ الرجُلُ امْرَأَتَه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جميعًا </w:t>
      </w:r>
      <w:r>
        <w:rPr>
          <w:rStyle w:val="FootnoteAnchor"/>
          <w:rtl w:val="true"/>
        </w:rPr>
        <w:footnoteReference w:id="140"/>
      </w:r>
      <w:bookmarkStart w:id="63" w:name="pg8074_124608"/>
    </w:p>
    <w:p>
      <w:pPr>
        <w:pStyle w:val="BookText"/>
        <w:rPr/>
      </w:pPr>
      <w:bookmarkEnd w:id="63"/>
      <w:r>
        <w:rPr>
          <w:rFonts w:ascii="Amiri" w:hAnsi="Amiri" w:eastAsia="Amiri" w:cs="Amiri"/>
          <w:color w:val="111111"/>
          <w:sz w:val="28"/>
          <w:sz w:val="28"/>
          <w:szCs w:val="28"/>
          <w:rtl w:val="true"/>
          <w:lang w:bidi="ar-SA"/>
        </w:rPr>
        <w:t xml:space="preserve">سقَطَتِ الواوُ من يَطَأُ، كما سَقَطَتْ من يَسَعُ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داسه ؛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المأتيين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النجاسات عرق الجنب من الوط‌ء الحرام لذاته في ذكر الإنسان و إناثه، و كذا في ذكر الحيوان و إناثه،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للتنويع، لا </w:t>
      </w:r>
      <w:r>
        <w:rPr>
          <w:rStyle w:val="FootnoteAnchor"/>
          <w:rtl w:val="true"/>
        </w:rPr>
        <w:footnoteReference w:id="143"/>
      </w:r>
      <w:r>
        <w:rPr>
          <w:rFonts w:ascii="Amiri" w:hAnsi="Amiri" w:eastAsia="Amiri" w:cs="Amiri"/>
          <w:color w:val="111111"/>
          <w:sz w:val="28"/>
          <w:sz w:val="28"/>
          <w:szCs w:val="28"/>
          <w:rtl w:val="true"/>
          <w:lang w:bidi="ar-SA"/>
        </w:rPr>
        <w:t xml:space="preserve">للترديد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7777320_1051229030"/>
      <w:bookmarkStart w:id="65" w:name="_Toc22"/>
      <w:bookmarkEnd w:id="64"/>
      <w:r>
        <w:rPr>
          <w:rtl w:val="true"/>
        </w:rPr>
        <w:t>القائلون بنجاسة عرق الجنب من الحرام</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بنجاسة عرق الجنب من الحرام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فالقول بعدم جواز الصلاة مع عرق الجنب من الحرام و نجاسته مختار كتاب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المشتبه الحال، والفقيه، والمجالس، والمقنع، والهداية، والمقنعة، والنهاية، والخلاف، والمبسوط، والتهذيب، والمهذّب لابن البرّاج، و شرحه على جمل السيّد، والغنية، و شرح المفاتيح للفاضل الأستاد، و رياض المسائل و مختصره، و غنائم الأيّام، و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المعالم عن ابن الجنيد </w:t>
      </w:r>
      <w:r>
        <w:rPr>
          <w:rFonts w:eastAsia="Amiri" w:cs="Amiri" w:ascii="Amiri" w:hAnsi="Amiri"/>
          <w:color w:val="111111"/>
          <w:sz w:val="28"/>
          <w:szCs w:val="28"/>
          <w:rtl w:val="true"/>
          <w:lang w:bidi="ar-SA"/>
        </w:rPr>
        <w:t xml:space="preserve">. </w:t>
      </w:r>
      <w:bookmarkStart w:id="66" w:name="pg8074_124609"/>
    </w:p>
    <w:p>
      <w:pPr>
        <w:pStyle w:val="Heading2"/>
        <w:numPr>
          <w:ilvl w:val="1"/>
          <w:numId w:val="1"/>
        </w:numPr>
        <w:rPr/>
      </w:pPr>
      <w:bookmarkStart w:id="67" w:name="__RefHeading___Toc7777322_1051229030"/>
      <w:bookmarkStart w:id="68" w:name="_Toc23"/>
      <w:bookmarkEnd w:id="66"/>
      <w:bookmarkEnd w:id="67"/>
      <w:r>
        <w:rPr>
          <w:rtl w:val="true"/>
        </w:rPr>
        <w:t>مستند القائلين بالنجاسة</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القائلين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مستندهم في ذلك وجوه </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7777324_1051229030"/>
      <w:bookmarkStart w:id="70" w:name="_Toc24"/>
      <w:bookmarkEnd w:id="69"/>
      <w:r>
        <w:rPr>
          <w:rtl w:val="true"/>
        </w:rPr>
        <w:t xml:space="preserve">[ </w:t>
      </w:r>
      <w:r>
        <w:rPr>
          <w:rtl w:val="true"/>
        </w:rPr>
        <w:t xml:space="preserve">الوجه الأوّل </w:t>
      </w:r>
      <w:r>
        <w:rPr>
          <w:rtl w:val="true"/>
        </w:rPr>
        <w:t xml:space="preserve">: </w:t>
      </w:r>
      <w:r>
        <w:rPr>
          <w:rtl w:val="true"/>
        </w:rPr>
        <w:t xml:space="preserve">الإجماعات </w:t>
      </w:r>
      <w:r>
        <w:rPr>
          <w:rtl w:val="true"/>
        </w:rPr>
        <w:t>]</w:t>
      </w:r>
      <w:bookmarkEnd w:id="7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المنقولة في المجالس، والخلاف، والمراسم، والغنية ؛ و قد أوردنا عباراتهم، فليلاحظ </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7777326_1051229030"/>
      <w:bookmarkStart w:id="72" w:name="_Toc25"/>
      <w:bookmarkEnd w:id="71"/>
      <w:r>
        <w:rPr>
          <w:rtl w:val="true"/>
        </w:rPr>
        <w:t xml:space="preserve">[ </w:t>
      </w:r>
      <w:r>
        <w:rPr>
          <w:rtl w:val="true"/>
        </w:rPr>
        <w:t xml:space="preserve">الوجه الثاني </w:t>
      </w:r>
      <w:r>
        <w:rPr>
          <w:rtl w:val="true"/>
        </w:rPr>
        <w:t xml:space="preserve">: </w:t>
      </w:r>
      <w:r>
        <w:rPr>
          <w:rtl w:val="true"/>
        </w:rPr>
        <w:t xml:space="preserve">الأخبار </w:t>
      </w:r>
      <w:r>
        <w:rPr>
          <w:rtl w:val="true"/>
        </w:rPr>
        <w:t>]</w:t>
      </w:r>
      <w:bookmarkEnd w:id="72"/>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7777328_1051229030"/>
      <w:bookmarkStart w:id="74" w:name="_Toc26"/>
      <w:bookmarkEnd w:id="73"/>
      <w:r>
        <w:rPr>
          <w:rtl w:val="true"/>
        </w:rPr>
        <w:t xml:space="preserve">[ </w:t>
      </w:r>
      <w:r>
        <w:rPr>
          <w:rtl w:val="true"/>
        </w:rPr>
        <w:t xml:space="preserve">الوجه الثالث </w:t>
      </w:r>
      <w:r>
        <w:rPr>
          <w:rtl w:val="true"/>
        </w:rPr>
        <w:t xml:space="preserve">: </w:t>
      </w:r>
      <w:r>
        <w:rPr>
          <w:rtl w:val="true"/>
        </w:rPr>
        <w:t xml:space="preserve">الاحتياط </w:t>
      </w:r>
      <w:r>
        <w:rPr>
          <w:rtl w:val="true"/>
        </w:rPr>
        <w:t>]</w:t>
      </w:r>
      <w:bookmarkEnd w:id="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bookmarkStart w:id="75" w:name="pg8074_124610"/>
    </w:p>
    <w:p>
      <w:pPr>
        <w:pStyle w:val="Heading2"/>
        <w:numPr>
          <w:ilvl w:val="1"/>
          <w:numId w:val="1"/>
        </w:numPr>
        <w:rPr/>
      </w:pPr>
      <w:bookmarkStart w:id="76" w:name="__RefHeading___Toc7777330_1051229030"/>
      <w:bookmarkStart w:id="77" w:name="_Toc27"/>
      <w:bookmarkEnd w:id="75"/>
      <w:bookmarkEnd w:id="76"/>
      <w:r>
        <w:rPr>
          <w:rtl w:val="true"/>
        </w:rPr>
        <w:t>الجواب عن مستند القائلين بالنجاسة</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مستند القائلين بالنجاسة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7777332_1051229030"/>
      <w:bookmarkStart w:id="79" w:name="_Toc28"/>
      <w:bookmarkEnd w:id="78"/>
      <w:r>
        <w:rPr>
          <w:rtl w:val="true"/>
        </w:rPr>
        <w:t>الجواب عن الإجماعات</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الإجماعات المنقولة</w:t>
      </w:r>
    </w:p>
    <w:p>
      <w:pPr>
        <w:pStyle w:val="BookText"/>
        <w:rPr/>
      </w:pPr>
      <w:r>
        <w:rPr>
          <w:rFonts w:ascii="Amiri" w:hAnsi="Amiri" w:eastAsia="Amiri" w:cs="Amiri"/>
          <w:color w:val="111111"/>
          <w:sz w:val="28"/>
          <w:sz w:val="28"/>
          <w:szCs w:val="28"/>
          <w:rtl w:val="true"/>
          <w:lang w:bidi="ar-SA"/>
        </w:rPr>
        <w:t xml:space="preserve">في المجالس والخلاف والمراسم والغنية </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7777334_1051229030"/>
      <w:bookmarkStart w:id="81" w:name="_Toc29"/>
      <w:bookmarkEnd w:id="80"/>
      <w:r>
        <w:rPr>
          <w:rtl w:val="true"/>
        </w:rPr>
        <w:t>الجواب عن إجماع المجالس</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إجماع المجالس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أمّا عن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إجماع المجالس فيتوقّف على ذكر</w:t>
      </w:r>
    </w:p>
    <w:p>
      <w:pPr>
        <w:pStyle w:val="BookText"/>
        <w:rPr/>
      </w:pPr>
      <w:r>
        <w:rPr>
          <w:rFonts w:ascii="Amiri" w:hAnsi="Amiri" w:eastAsia="Amiri" w:cs="Amiri"/>
          <w:color w:val="111111"/>
          <w:sz w:val="28"/>
          <w:sz w:val="28"/>
          <w:szCs w:val="28"/>
          <w:rtl w:val="true"/>
          <w:lang w:bidi="ar-SA"/>
        </w:rPr>
        <w:t xml:space="preserve">عبارته،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سأله المشايخ أن يملي عليهم دين الإماميّة على الإيجاز والاختصار،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الإماميّة هو الإقرار بتوحيد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التشبيه عنه و تنزيهه عمّا لا يليق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عرق الجنب في ثوبه و كانت الجنابة من حلال، فحلال الصلاة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الثوب، وإن كانت من حرام فحرام الصلاة في الثوب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82" w:name="pg8074_124611"/>
    </w:p>
    <w:p>
      <w:pPr>
        <w:pStyle w:val="BookText"/>
        <w:rPr/>
      </w:pPr>
      <w:bookmarkEnd w:id="82"/>
      <w:r>
        <w:rPr>
          <w:rFonts w:ascii="Amiri" w:hAnsi="Amiri" w:eastAsia="Amiri" w:cs="Amiri"/>
          <w:color w:val="111111"/>
          <w:sz w:val="28"/>
          <w:sz w:val="28"/>
          <w:szCs w:val="28"/>
          <w:rtl w:val="true"/>
          <w:lang w:bidi="ar-SA"/>
        </w:rPr>
        <w:t xml:space="preserve">إذا سمعت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يدلّ عليه الكلام المذكور أنّ شيخنا الصدوق اعتقد أنّ الثابت في دين الإماميّة في عرق الجنب من الحرام حرمة الصلاة فيه، وأمّا كون ذلك ممّا أطبق عليه علماء الإماميّة فلا ؛ و هذا كما يشير كلّ مجتهد إلى ما أفتى به في المسائل الخلافيّة أنّ الثابت في دين الإماميّة عندي ذلك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عليه الكلام المذكور كونه معتقدًا بأنّ الثابت في دين</w:t>
      </w:r>
    </w:p>
    <w:p>
      <w:pPr>
        <w:pStyle w:val="BookText"/>
        <w:rPr/>
      </w:pPr>
      <w:r>
        <w:rPr>
          <w:rFonts w:ascii="Amiri" w:hAnsi="Amiri" w:eastAsia="Amiri" w:cs="Amiri"/>
          <w:color w:val="111111"/>
          <w:sz w:val="28"/>
          <w:sz w:val="28"/>
          <w:szCs w:val="28"/>
          <w:rtl w:val="true"/>
          <w:lang w:bidi="ar-SA"/>
        </w:rPr>
        <w:t>الإماميّة ذلك، و أمّا أنّه ممّا أطبق عليه علماء الإماميّة فكلاّ، فدقّق النظر حتّى</w:t>
      </w:r>
    </w:p>
    <w:p>
      <w:pPr>
        <w:pStyle w:val="BookText"/>
        <w:rPr/>
      </w:pPr>
      <w:r>
        <w:rPr>
          <w:rFonts w:ascii="Amiri" w:hAnsi="Amiri" w:eastAsia="Amiri" w:cs="Amiri"/>
          <w:color w:val="111111"/>
          <w:sz w:val="28"/>
          <w:sz w:val="28"/>
          <w:szCs w:val="28"/>
          <w:rtl w:val="true"/>
          <w:lang w:bidi="ar-SA"/>
        </w:rPr>
        <w:t xml:space="preserve">يتّضح لك حقيقة الحال </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7777336_1051229030"/>
      <w:bookmarkStart w:id="84" w:name="_Toc30"/>
      <w:bookmarkEnd w:id="83"/>
      <w:r>
        <w:rPr>
          <w:rtl w:val="true"/>
        </w:rPr>
        <w:t>الجواب عن إجماع الخلاف</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إجماع الخلاف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عن إجماع الخلاف فيتوقّف على ذكر كلامه في المبسوط المتأخّر عنه،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في المبسوط عبارتين، إحداهما في الطهارة،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الجنابة من حرام وجب غسل ما عرق فيه على ما رواه بعض أصحابنا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في الصلاة،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الصلاة في ثوب الحائض ما لم يعلم فيه نجاسة، و كذلك في ثوب الجنب، فإن عرق فيه و كانت الجنابة عن حرام روى أصحابنا أنّه </w:t>
      </w:r>
    </w:p>
    <w:p>
      <w:pPr>
        <w:pStyle w:val="BookText"/>
        <w:rPr/>
      </w:pPr>
      <w:r>
        <w:rPr>
          <w:rFonts w:ascii="Amiri" w:hAnsi="Amiri" w:eastAsia="Amiri" w:cs="Amiri"/>
          <w:color w:val="111111"/>
          <w:sz w:val="28"/>
          <w:sz w:val="28"/>
          <w:szCs w:val="28"/>
          <w:rtl w:val="true"/>
          <w:lang w:bidi="ar-SA"/>
        </w:rPr>
        <w:t xml:space="preserve">لايجوز </w:t>
      </w:r>
      <w:r>
        <w:rPr>
          <w:rStyle w:val="FootnoteAnchor"/>
          <w:rtl w:val="true"/>
        </w:rPr>
        <w:footnoteReference w:id="147"/>
      </w:r>
      <w:r>
        <w:rPr>
          <w:rFonts w:ascii="Amiri" w:hAnsi="Amiri" w:eastAsia="Amiri" w:cs="Amiri"/>
          <w:color w:val="111111"/>
          <w:sz w:val="28"/>
          <w:sz w:val="28"/>
          <w:szCs w:val="28"/>
          <w:rtl w:val="true"/>
          <w:lang w:bidi="ar-SA"/>
        </w:rPr>
        <w:t xml:space="preserve">الصلاة فيه، فإن </w:t>
      </w:r>
      <w:r>
        <w:rPr>
          <w:rStyle w:val="FootnoteAnchor"/>
          <w:rtl w:val="true"/>
        </w:rPr>
        <w:footnoteReference w:id="148"/>
      </w:r>
      <w:r>
        <w:rPr>
          <w:rFonts w:ascii="Amiri" w:hAnsi="Amiri" w:eastAsia="Amiri" w:cs="Amiri"/>
          <w:color w:val="111111"/>
          <w:sz w:val="28"/>
          <w:sz w:val="28"/>
          <w:szCs w:val="28"/>
          <w:rtl w:val="true"/>
          <w:lang w:bidi="ar-SA"/>
        </w:rPr>
        <w:t>كان من حلال لم يكن به بأس، و يقوي</w:t>
      </w:r>
    </w:p>
    <w:p>
      <w:pPr>
        <w:pStyle w:val="BookText"/>
        <w:rPr/>
      </w:pPr>
      <w:r>
        <w:rPr>
          <w:rFonts w:ascii="Amiri" w:hAnsi="Amiri" w:eastAsia="Amiri" w:cs="Amiri"/>
          <w:color w:val="111111"/>
          <w:sz w:val="28"/>
          <w:sz w:val="28"/>
          <w:szCs w:val="28"/>
          <w:rtl w:val="true"/>
          <w:lang w:bidi="ar-SA"/>
        </w:rPr>
        <w:t xml:space="preserve">في نفسي أنّ ذلك تغليظ في الكراهة </w:t>
      </w:r>
      <w:r>
        <w:rPr>
          <w:rStyle w:val="FootnoteAnchor"/>
          <w:rtl w:val="true"/>
        </w:rPr>
        <w:footnoteReference w:id="149"/>
      </w:r>
      <w:r>
        <w:rPr>
          <w:rFonts w:ascii="Amiri" w:hAnsi="Amiri" w:eastAsia="Amiri" w:cs="Amiri"/>
          <w:color w:val="111111"/>
          <w:sz w:val="28"/>
          <w:sz w:val="28"/>
          <w:szCs w:val="28"/>
          <w:rtl w:val="true"/>
          <w:lang w:bidi="ar-SA"/>
        </w:rPr>
        <w:t xml:space="preserve">دون فساد الصلاة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نقول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من الأصحاب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الصدوقان و شيخنا المفيد، فعلى هذا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يقوي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أنّ مرادهم ممّا حكاه عنهم من عدم جواز الصلاة شدّةُ الكراهة، فعلى هذا يكون دعوى الإجماع في الخلاف على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لا ننكره، فالمنكر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يدّع عليه الإجماع ؛ و ما يدّعي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الصلاة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بمنكرٍ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الإغماض عن ذلك و تسلم </w:t>
      </w:r>
      <w:r>
        <w:rPr>
          <w:rStyle w:val="FootnoteAnchor"/>
          <w:rtl w:val="true"/>
        </w:rPr>
        <w:footnoteReference w:id="152"/>
      </w:r>
      <w:r>
        <w:rPr>
          <w:rFonts w:ascii="Amiri" w:hAnsi="Amiri" w:eastAsia="Amiri" w:cs="Amiri"/>
          <w:color w:val="111111"/>
          <w:sz w:val="28"/>
          <w:sz w:val="28"/>
          <w:szCs w:val="28"/>
          <w:rtl w:val="true"/>
          <w:lang w:bidi="ar-SA"/>
        </w:rPr>
        <w:t xml:space="preserve">حمل كلام الخلاف على ظاهره من كون دعوى الإجماع فيه على حرمة الصلاة مع عرق الجنب من الحرام، لايمكن التعويل على هذا الإجماع، لرجوعه عن القول بالحرمة إلى القول بالجواز مع الكراهة في المبسوط المتأخّر عنه كما علمت </w:t>
      </w:r>
      <w:r>
        <w:rPr>
          <w:rFonts w:eastAsia="Amiri" w:cs="Amiri" w:ascii="Amiri" w:hAnsi="Amiri"/>
          <w:color w:val="111111"/>
          <w:sz w:val="28"/>
          <w:szCs w:val="28"/>
          <w:rtl w:val="true"/>
          <w:lang w:bidi="ar-SA"/>
        </w:rPr>
        <w:t xml:space="preserve">. </w:t>
      </w:r>
      <w:bookmarkStart w:id="85" w:name="pg8074_124613"/>
    </w:p>
    <w:p>
      <w:pPr>
        <w:pStyle w:val="BookText"/>
        <w:rPr/>
      </w:pPr>
      <w:bookmarkEnd w:id="85"/>
      <w:r>
        <w:rPr>
          <w:rFonts w:ascii="Amiri" w:hAnsi="Amiri" w:eastAsia="Amiri" w:cs="Amiri"/>
          <w:color w:val="111111"/>
          <w:sz w:val="28"/>
          <w:sz w:val="28"/>
          <w:szCs w:val="28"/>
          <w:rtl w:val="true"/>
          <w:lang w:bidi="ar-SA"/>
        </w:rPr>
        <w:t>و من المعلوم أنّه بعد اعتراف مدّعي الإجماع على بطلان إدّعائه، لايمكن</w:t>
      </w:r>
    </w:p>
    <w:p>
      <w:pPr>
        <w:pStyle w:val="BookText"/>
        <w:rPr/>
      </w:pPr>
      <w:r>
        <w:rPr>
          <w:rFonts w:ascii="Amiri" w:hAnsi="Amiri" w:eastAsia="Amiri" w:cs="Amiri"/>
          <w:color w:val="111111"/>
          <w:sz w:val="28"/>
          <w:sz w:val="28"/>
          <w:szCs w:val="28"/>
          <w:rtl w:val="true"/>
          <w:lang w:bidi="ar-SA"/>
        </w:rPr>
        <w:t xml:space="preserve">لغيره الوثوق والتعويل عليه </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7777338_1051229030"/>
      <w:bookmarkStart w:id="87" w:name="_Toc31"/>
      <w:bookmarkEnd w:id="86"/>
      <w:r>
        <w:rPr>
          <w:rtl w:val="true"/>
        </w:rPr>
        <w:t>الجواب عن إجماع المراسم والغنية</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إجماع المراسم والغنية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إجماع المراسم والغنية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كلامهما دعوى الإجماع، بل</w:t>
      </w:r>
    </w:p>
    <w:p>
      <w:pPr>
        <w:pStyle w:val="BookText"/>
        <w:rPr/>
      </w:pPr>
      <w:r>
        <w:rPr>
          <w:rFonts w:ascii="IRNazanin" w:hAnsi="IRNazanin" w:eastAsia="IRNazanin"/>
          <w:color w:val="111111"/>
          <w:sz w:val="28"/>
          <w:sz w:val="28"/>
          <w:szCs w:val="28"/>
          <w:rtl w:val="true"/>
          <w:lang w:bidi="fa-IR"/>
        </w:rPr>
        <w:t xml:space="preserve">نسبته إلى الأصحاب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أصحابنا بالنجاسات عرق الإبل الجلاّلة و عرق الجنب إذا</w:t>
      </w:r>
    </w:p>
    <w:p>
      <w:pPr>
        <w:pStyle w:val="BookText"/>
        <w:rPr/>
      </w:pPr>
      <w:r>
        <w:rPr>
          <w:rFonts w:ascii="IRNazanin" w:hAnsi="IRNazanin" w:eastAsia="IRNazanin"/>
          <w:color w:val="111111"/>
          <w:sz w:val="28"/>
          <w:sz w:val="28"/>
          <w:szCs w:val="28"/>
          <w:rtl w:val="true"/>
          <w:lang w:bidi="fa-IR"/>
        </w:rPr>
        <w:t xml:space="preserve">أجنب من الحرام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غسل الثياب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الدجاج و عرق جلاّل الإبل و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عرق الجنب من الحرام، فأصحابنا يوجبون إزالته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الاشتباه و جمود على الظاهر، للقطع بعدم إلحاق كلّ علماء الشيعة ذلك بالنجاسات، إذ الإلحاق المذكور وإن يتوهّم من شيخنا المفيد </w:t>
      </w:r>
    </w:p>
    <w:p>
      <w:pPr>
        <w:pStyle w:val="BookText"/>
        <w:rPr/>
      </w:pPr>
      <w:r>
        <w:rPr>
          <w:rFonts w:ascii="Amiri" w:hAnsi="Amiri" w:eastAsia="Amiri" w:cs="Amiri"/>
          <w:color w:val="111111"/>
          <w:sz w:val="28"/>
          <w:sz w:val="28"/>
          <w:szCs w:val="28"/>
          <w:rtl w:val="true"/>
          <w:lang w:bidi="ar-SA"/>
        </w:rPr>
        <w:t xml:space="preserve">في المقنعة، لكن بعد رجوعه عن النجاسة إلى القول بالطهارة فلا يمكن التعويل على ما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شيخنا المفيد رجع عمّا ذكره في المقنعة في رسالته إلى ولده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شيخنا يحيى بن سعيد في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شيخ الطائفة إلحاق</w:t>
      </w:r>
    </w:p>
    <w:p>
      <w:pPr>
        <w:pStyle w:val="BookText"/>
        <w:rPr/>
      </w:pPr>
      <w:r>
        <w:rPr>
          <w:rFonts w:ascii="Amiri" w:hAnsi="Amiri" w:eastAsia="Amiri" w:cs="Amiri"/>
          <w:color w:val="111111"/>
          <w:sz w:val="28"/>
          <w:sz w:val="28"/>
          <w:szCs w:val="28"/>
          <w:rtl w:val="true"/>
          <w:lang w:bidi="ar-SA"/>
        </w:rPr>
        <w:t xml:space="preserve">عرق الجنب من الحرام بالنجاسة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إليه ذهب المفيد و رجع عنه في الرسالة إلى ولده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علمت رجوع شيخ الطائفة عمّا ذكره في النهاية والخلاف إلى خلافه في المبسوط، فلا يصحّ الحكم بإلحاق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يمكن أن يمنع دلالة عبارة المقنعة على وجوب الغسل وإن يوهم ذلك في بادي الرأي، فها أنا أوردناها ثانيًا للاطّلاع على حقيقة الحال،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بعرق الحائض والجنب، و لا يجب غسل الثوب منه إلاّ أن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w:t>
      </w:r>
      <w:r>
        <w:rPr>
          <w:rStyle w:val="FootnoteAnchor"/>
          <w:rtl w:val="true"/>
        </w:rPr>
        <w:footnoteReference w:id="158"/>
      </w:r>
      <w:r>
        <w:rPr>
          <w:rFonts w:ascii="Amiri" w:hAnsi="Amiri" w:eastAsia="Amiri" w:cs="Amiri"/>
          <w:color w:val="111111"/>
          <w:sz w:val="28"/>
          <w:sz w:val="28"/>
          <w:szCs w:val="28"/>
          <w:rtl w:val="true"/>
          <w:lang w:bidi="ar-SA"/>
        </w:rPr>
        <w:t xml:space="preserve">الجنابة من حرام، فيغسل ما أصابه من عرق صاحبها من جسد </w:t>
      </w:r>
    </w:p>
    <w:p>
      <w:pPr>
        <w:pStyle w:val="BookText"/>
        <w:rPr/>
      </w:pPr>
      <w:r>
        <w:rPr>
          <w:rFonts w:ascii="Amiri" w:hAnsi="Amiri" w:eastAsia="Amiri" w:cs="Amiri"/>
          <w:color w:val="111111"/>
          <w:sz w:val="28"/>
          <w:sz w:val="28"/>
          <w:szCs w:val="28"/>
          <w:rtl w:val="true"/>
          <w:lang w:bidi="ar-SA"/>
        </w:rPr>
        <w:t xml:space="preserve">و ثوب، و يعمل في الطهارة بالاحتياط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التقييد بالاحتياط دليلٌ على عدم اللزوم، و لنعم ما عبّره شيخ الطائفة في مقام الاستدلال عليه في التهذيب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من حرام، فإنّه يغسل منها الثوب احتياطًا، فهو ما أخبرني به الشيخ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آخره ؛ فعلى هذا لا يمكن نسبة القول بنجاسة عرق الجنب من الحرام، و لا القول بوجوب غسله، إلى شيخنا المفيد، كما لا يخفى على المتأمّل الدقيق، فعلى هذا لا يصحّ نسبته بإلحاق عرق الجنب من الحرام بالنجاسات إلى الأصحاب، كما لايخفى على اُولي التأمّل والألباب، و كذا نسبة وجوب الإزالة إليهم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الاحتمال الّذي ذكرناه عند التكلّم في عبارة المبسوط فظاهر، إذ بناءً عليه كلّ الأصحاب قائلون بالطهارة مع الكراهة الشديدة ؛ و أمّا على غيره فلما علمت من مصير شيخنا المفيد و شيخ الطائفة إلى الطهارة، و هما من أجلّة الأصحاب و أعيانهم، فلا يصحّ النسبة إلى جميع الأصحاب </w:t>
      </w:r>
      <w:r>
        <w:rPr>
          <w:rFonts w:eastAsia="Amiri" w:cs="Amiri" w:ascii="Amiri" w:hAnsi="Amiri"/>
          <w:color w:val="111111"/>
          <w:sz w:val="28"/>
          <w:szCs w:val="28"/>
          <w:rtl w:val="true"/>
          <w:lang w:bidi="ar-SA"/>
        </w:rPr>
        <w:t xml:space="preserve">. </w:t>
      </w:r>
      <w:bookmarkStart w:id="88" w:name="pg8074_124616"/>
    </w:p>
    <w:p>
      <w:pPr>
        <w:pStyle w:val="BookText"/>
        <w:rPr/>
      </w:pPr>
      <w:bookmarkEnd w:id="88"/>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لا يخفى ما في عبارة المراسم من المسامحة،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غسل الثياب من ذرق الدجاج، و عرق الإبل الجلاّلة، و عرق الجنب من الحرام، فأصحابنا يوجبون إزالته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فأصحابنا يوجبونه، فلو أسقط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سالمًا عن المسامحة بأن يقول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ذرق الدجاج، و عرق الإبل الجلاّلة، و عرق الجنب من حرام، فأصحابنا يوجبون إزالته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7777340_1051229030"/>
      <w:bookmarkStart w:id="90" w:name="_Toc32"/>
      <w:bookmarkEnd w:id="89"/>
      <w:r>
        <w:rPr>
          <w:rtl w:val="true"/>
        </w:rPr>
        <w:t>الجواب عن الأخبار</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عن الأخبار الّتي ذكر أنّه ذكرها في كتابي الأخبار،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w:t>
      </w:r>
    </w:p>
    <w:p>
      <w:pPr>
        <w:pStyle w:val="BookText"/>
        <w:rPr/>
      </w:pPr>
      <w:r>
        <w:rPr>
          <w:rFonts w:ascii="Amiri" w:hAnsi="Amiri" w:eastAsia="Amiri" w:cs="Amiri"/>
          <w:color w:val="111111"/>
          <w:sz w:val="28"/>
          <w:sz w:val="28"/>
          <w:szCs w:val="28"/>
          <w:rtl w:val="true"/>
          <w:lang w:bidi="ar-SA"/>
        </w:rPr>
        <w:t xml:space="preserve">تمسّك به في التهذيب هو صحيحة الحلبي حيث 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يدلّ على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من حرام، فإنّه يغسل منها </w:t>
      </w:r>
    </w:p>
    <w:p>
      <w:pPr>
        <w:pStyle w:val="BookText"/>
        <w:rPr/>
      </w:pPr>
      <w:r>
        <w:rPr>
          <w:rFonts w:ascii="IRNazanin" w:hAnsi="IRNazanin" w:eastAsia="IRNazanin"/>
          <w:color w:val="111111"/>
          <w:sz w:val="28"/>
          <w:sz w:val="28"/>
          <w:szCs w:val="28"/>
          <w:rtl w:val="true"/>
          <w:lang w:bidi="fa-IR"/>
        </w:rPr>
        <w:t xml:space="preserve">الثوب </w:t>
      </w:r>
      <w:r>
        <w:rPr>
          <w:rStyle w:val="FootnoteAnchor"/>
          <w:rtl w:val="true"/>
        </w:rPr>
        <w:footnoteReference w:id="165"/>
      </w:r>
      <w:r>
        <w:rPr>
          <w:rFonts w:ascii="Amiri" w:hAnsi="Amiri" w:eastAsia="Amiri" w:cs="Amiri"/>
          <w:color w:val="111111"/>
          <w:sz w:val="28"/>
          <w:sz w:val="28"/>
          <w:szCs w:val="28"/>
          <w:rtl w:val="true"/>
          <w:lang w:bidi="ar-SA"/>
        </w:rPr>
        <w:t xml:space="preserve">احتياطًا، فهو ما أخبرني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أبيه، عن سعد بن عبداللّه، عن أحمد بن محمّد، عن الحسن بن محبوب، عن أبان بن عثمان، 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أجنب في ثوبه وليس معه ثوب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فإذا </w:t>
      </w:r>
      <w:r>
        <w:rPr>
          <w:rStyle w:val="FootnoteAnchor"/>
          <w:rtl w:val="true"/>
        </w:rPr>
        <w:footnoteReference w:id="166"/>
      </w:r>
      <w:r>
        <w:rPr>
          <w:rFonts w:ascii="IRNazanin" w:hAnsi="IRNazanin" w:eastAsia="IRNazanin"/>
          <w:color w:val="111111"/>
          <w:sz w:val="28"/>
          <w:sz w:val="28"/>
          <w:szCs w:val="28"/>
          <w:rtl w:val="true"/>
          <w:lang w:bidi="fa-IR"/>
        </w:rPr>
        <w:t xml:space="preserve">وجد الماء غسله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أن يكون المراد بهذا الخبر إلاّ مَن عرق في الثوب من جنابة إذا كانت من حرام، لأنّا قد بيّنا أنّ نفس الجنابة لا يتعدّي </w:t>
      </w:r>
      <w:r>
        <w:rPr>
          <w:rStyle w:val="FootnoteAnchor"/>
          <w:rtl w:val="true"/>
        </w:rPr>
        <w:footnoteReference w:id="168"/>
      </w:r>
      <w:r>
        <w:rPr>
          <w:rFonts w:ascii="Amiri" w:hAnsi="Amiri" w:eastAsia="Amiri" w:cs="Amiri"/>
          <w:color w:val="111111"/>
          <w:sz w:val="28"/>
          <w:sz w:val="28"/>
          <w:szCs w:val="28"/>
          <w:rtl w:val="true"/>
          <w:lang w:bidi="ar-SA"/>
        </w:rPr>
        <w:t xml:space="preserve">إلى الثوب، و ذكرنا أيضًا أنّ عرق الجنب لا ينجّس الثوب، فلم يبق معنى يحمل عليه الخبر إلاّ عرق الجنابة من حرام، فحملناه عليه، على أنّه يحتمل أن يكون المعنى فيه أن يكون أصاب الثوب نجاسة، فحينئذٍ يصلّي فيه و يعيد على ما بيّناه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هذا الاستدلال يؤكّد الاحتمال الّذي ذكرناه في عبارة المبسوط بأن يكون مراده من حرمة الصلاة في الخلاف كراهة الصلاة، لوضوح أنّه </w:t>
      </w:r>
    </w:p>
    <w:p>
      <w:pPr>
        <w:pStyle w:val="BookText"/>
        <w:rPr/>
      </w:pPr>
      <w:r>
        <w:rPr>
          <w:rFonts w:ascii="Amiri" w:hAnsi="Amiri" w:eastAsia="Amiri" w:cs="Amiri"/>
          <w:color w:val="111111"/>
          <w:sz w:val="28"/>
          <w:sz w:val="28"/>
          <w:szCs w:val="28"/>
          <w:rtl w:val="true"/>
          <w:lang w:bidi="ar-SA"/>
        </w:rPr>
        <w:t xml:space="preserve">جعل ما ذكره في الخلاف مدلولاً عليه بالأخبار الّتي ذكرها في الكتابين ؛ والمفروض أنّه تمسّك بما ذكره في التهذيب في إثبات غسل الثوب من عرق الجنب من الحرام احتياطًا، فيكون ذلك قرينة لحمل الحرام في الخلاف على الكراهة المغلظة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ما في هذا الاستدلال من الضعف، لوضوح أنّ الظاهر من السؤال</w:t>
      </w:r>
    </w:p>
    <w:p>
      <w:pPr>
        <w:pStyle w:val="BookText"/>
        <w:rPr/>
      </w:pPr>
      <w:r>
        <w:rPr>
          <w:rFonts w:ascii="Amiri" w:hAnsi="Amiri" w:eastAsia="Amiri" w:cs="Amiri"/>
          <w:color w:val="111111"/>
          <w:sz w:val="28"/>
          <w:sz w:val="28"/>
          <w:szCs w:val="28"/>
          <w:rtl w:val="true"/>
          <w:lang w:bidi="ar-SA"/>
        </w:rPr>
        <w:t xml:space="preserve">رجل أجنب في ثوبه وصول النجاسة في الثوب بالاحتلام، و قد اعتقد أنّه مع التمكّن من الثوب الآخر لا يجوز له الصلاة فيه، واشتبه عليه الأمر فيما لم يتمكّن من غيره، و سوّغ عليه‌السلام له الصلاة في ذلك الثوب حينئذٍ فيما لم يتمكّن من غسله، وأوجب عليه الغسل حال التمكّن منه، فعلى هذا لا دخل للحديث في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الظاهر من الحديث، كما اعترف به في الاستبصار، وإن جعله في التهذيب تأويلاً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يحتمل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أصاب الثوب نجاسة من المني، فحينئذٍ يصلّي فيه إذا لم يجد غيره و لا يمكنه نزعه، و كان عليه الإعادة على ما بيّناه فيما مضى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المعنى هو الّذي يتعيّن حمل الحديث عليه، فلا يمكن التمسّك به في </w:t>
      </w:r>
    </w:p>
    <w:p>
      <w:pPr>
        <w:pStyle w:val="BookText"/>
        <w:rPr/>
      </w:pPr>
      <w:r>
        <w:rPr>
          <w:rFonts w:ascii="Amiri" w:hAnsi="Amiri" w:eastAsia="Amiri" w:cs="Amiri"/>
          <w:color w:val="111111"/>
          <w:sz w:val="28"/>
          <w:sz w:val="28"/>
          <w:szCs w:val="28"/>
          <w:rtl w:val="true"/>
          <w:lang w:bidi="ar-SA"/>
        </w:rPr>
        <w:t xml:space="preserve">محلّ الكلام، كالصريح المرويّ في الاستبصار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الثوب يجنب فيه الرجل و يعرق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أحبّ أن أنام فيه، و إن كان الشتاء فلا بأس ما لم يعرق فيه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الثوب يجنب فيه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سبب</w:t>
      </w:r>
    </w:p>
    <w:p>
      <w:pPr>
        <w:pStyle w:val="BookText"/>
        <w:rPr/>
      </w:pPr>
      <w:r>
        <w:rPr>
          <w:rFonts w:ascii="Amiri" w:hAnsi="Amiri" w:eastAsia="Amiri" w:cs="Amiri"/>
          <w:color w:val="111111"/>
          <w:sz w:val="28"/>
          <w:sz w:val="28"/>
          <w:szCs w:val="28"/>
          <w:rtl w:val="true"/>
          <w:lang w:bidi="ar-SA"/>
        </w:rPr>
        <w:t xml:space="preserve">الجنابة إلى الثوب، فالسؤال عن عرق الجنب في هذه الحالة لاحتمال ملاقاته للنجس في الثوب، فلا دخل له فيما نحن أيضًا، سيّما بعد الالتفات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فلا أحبّ أن أنام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 فما ذكره شيخ الطائفة في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يمكن أن يكون محمولاً على أنّه إذا كانت الجنابة من حرام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فلا 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في باب الحمّام من الكافي، عن الحسين بن محمّد و محمّد بن يحيى، عن عليّ بن محمّد بن سعيد </w:t>
      </w:r>
      <w:r>
        <w:rPr>
          <w:rStyle w:val="FootnoteAnchor"/>
          <w:rtl w:val="true"/>
        </w:rPr>
        <w:footnoteReference w:id="173"/>
      </w:r>
      <w:r>
        <w:rPr>
          <w:rFonts w:ascii="Amiri" w:hAnsi="Amiri" w:eastAsia="Amiri" w:cs="Amiri"/>
          <w:color w:val="111111"/>
          <w:sz w:val="28"/>
          <w:sz w:val="28"/>
          <w:szCs w:val="28"/>
          <w:rtl w:val="true"/>
          <w:lang w:bidi="ar-SA"/>
        </w:rPr>
        <w:t xml:space="preserve">، عن محمّد بن سالم، عن موسى بن عبداللّه بن موسي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جعفر، عن أبي الحسن الرضا عليه‌السلامقال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الحمّام خزفة، فحكّ بها جسده، فأصابه البرص، فلا يلومنّ إلاّ نفسه، ومن اغتسل من الماء الّذي قد اغتسل فيه، فأصابه الجذام، فلا يلومنّ إلاّ نفسه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w:t>
      </w:r>
    </w:p>
    <w:p>
      <w:pPr>
        <w:pStyle w:val="BookText"/>
        <w:rPr/>
      </w:pPr>
      <w:r>
        <w:rPr>
          <w:rFonts w:ascii="Amiri" w:hAnsi="Amiri" w:eastAsia="Amiri" w:cs="Amiri"/>
          <w:color w:val="111111"/>
          <w:sz w:val="28"/>
          <w:sz w:val="28"/>
          <w:szCs w:val="28"/>
          <w:rtl w:val="true"/>
          <w:lang w:bidi="ar-SA"/>
        </w:rPr>
        <w:t xml:space="preserve">شفاءً من العين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يغتسل فيه الجنب من الحرام والزاني والناصب الّذي هو شرّهما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الباب المذكور عن أحمد بن محمّد، عن عليّ بن الحكم، عن رجلٍ من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جماعة من بني هاشم، فسلّمت عليهم في بيتٍ مظلم،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أبي الحسن عليه‌السلام، فإنّه في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 جلست بين يديه،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ألقاك منذ حين لأسألك عن أشياء،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w:t>
      </w:r>
      <w:r>
        <w:rPr>
          <w:rStyle w:val="FootnoteAnchor"/>
          <w:rtl w:val="true"/>
        </w:rPr>
        <w:footnoteReference w:id="175"/>
      </w:r>
      <w:r>
        <w:rPr>
          <w:rFonts w:ascii="Amiri" w:hAnsi="Amiri" w:eastAsia="Amiri" w:cs="Amiri"/>
          <w:color w:val="111111"/>
          <w:sz w:val="28"/>
          <w:sz w:val="28"/>
          <w:szCs w:val="28"/>
          <w:rtl w:val="true"/>
          <w:lang w:bidi="ar-SA"/>
        </w:rPr>
        <w:t xml:space="preserve">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 الحمّام إلاّ بمئزر، و غضّ بصرك، و لا تغتسل من غسالة ماء الحمّام، فإنّه يغتسل فيه من الزنا، و يغتسل فيه ولد الزنا والناصب لنا أهل البيت، و هو شرّهم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تمسّك بهما شيخنا الشهيد في الذكرى </w:t>
      </w:r>
      <w:r>
        <w:rPr>
          <w:rStyle w:val="FootnoteAnchor"/>
          <w:rtl w:val="true"/>
        </w:rPr>
        <w:footnoteReference w:id="177"/>
      </w:r>
      <w:r>
        <w:rPr>
          <w:rFonts w:ascii="Amiri" w:hAnsi="Amiri" w:eastAsia="Amiri" w:cs="Amiri"/>
          <w:color w:val="111111"/>
          <w:sz w:val="28"/>
          <w:sz w:val="28"/>
          <w:szCs w:val="28"/>
          <w:rtl w:val="true"/>
          <w:lang w:bidi="ar-SA"/>
        </w:rPr>
        <w:t xml:space="preserve">، و وافقه على ذلك في المعالم وكشف اللثام و شرح المفاتيح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قسم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كشف اللثام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مصابيح الظلام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لكنّ الوجه فيه 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مقتضاه </w:t>
      </w:r>
      <w:r>
        <w:rPr>
          <w:rStyle w:val="FootnoteAnchor"/>
          <w:rtl w:val="true"/>
        </w:rPr>
        <w:footnoteReference w:id="179"/>
      </w:r>
      <w:r>
        <w:rPr>
          <w:rFonts w:ascii="Amiri" w:hAnsi="Amiri" w:eastAsia="Amiri" w:cs="Amiri"/>
          <w:color w:val="111111"/>
          <w:sz w:val="28"/>
          <w:sz w:val="28"/>
          <w:szCs w:val="28"/>
          <w:rtl w:val="true"/>
          <w:lang w:bidi="ar-SA"/>
        </w:rPr>
        <w:t xml:space="preserve">مرجوحيّة الاغتسال من الماء الّذي اغتسل فيه إذا كان قليلاً، و لمّا طرق سمعه أنّ الماءَ الّذي اغتسل شفاءٌ لإصابة العين أو لوجع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استكشف عن حقيقة الحال،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يغتسل فيه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كان كذلك لا يترتّب عليه الثمرة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 أنّ أصل اغتسال الجنب من الحرام مانعٌ من ترتّب الثمرة</w:t>
      </w:r>
    </w:p>
    <w:p>
      <w:pPr>
        <w:pStyle w:val="BookText"/>
        <w:rPr/>
      </w:pPr>
      <w:r>
        <w:rPr>
          <w:rFonts w:ascii="Amiri" w:hAnsi="Amiri" w:eastAsia="Amiri" w:cs="Amiri"/>
          <w:color w:val="111111"/>
          <w:sz w:val="28"/>
          <w:sz w:val="28"/>
          <w:szCs w:val="28"/>
          <w:rtl w:val="true"/>
          <w:lang w:bidi="ar-SA"/>
        </w:rPr>
        <w:t xml:space="preserve">المذكورة، سواء كان فيه عرق أم لا ؛ و أين </w:t>
      </w:r>
      <w:r>
        <w:rPr>
          <w:rStyle w:val="FootnoteAnchor"/>
          <w:rtl w:val="true"/>
        </w:rPr>
        <w:footnoteReference w:id="180"/>
      </w:r>
      <w:r>
        <w:rPr>
          <w:rFonts w:ascii="Amiri" w:hAnsi="Amiri" w:eastAsia="Amiri" w:cs="Amiri"/>
          <w:color w:val="111111"/>
          <w:sz w:val="28"/>
          <w:sz w:val="28"/>
          <w:szCs w:val="28"/>
          <w:rtl w:val="true"/>
          <w:lang w:bidi="ar-SA"/>
        </w:rPr>
        <w:t>ذلك من الدلالة على نجاسة 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به في هذا المقام 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زانٍ جنبٌ من الحرام، و لا عكس، فعلى هذا ذكر الزاني بعد الجنب من الحرام من باب ذكر الخاصّ بعد العامّ، لشدّة الاهتمام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أيضًا، إذ مدلول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من غسالة الحمّام، فإنّه يغتسل فيه من الزنا و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الاغتسال من غسالة الحمّام </w:t>
      </w:r>
    </w:p>
    <w:p>
      <w:pPr>
        <w:pStyle w:val="BookText"/>
        <w:rPr/>
      </w:pPr>
      <w:r>
        <w:rPr>
          <w:rFonts w:ascii="Amiri" w:hAnsi="Amiri" w:eastAsia="Amiri" w:cs="Amiri"/>
          <w:color w:val="111111"/>
          <w:sz w:val="28"/>
          <w:sz w:val="28"/>
          <w:szCs w:val="28"/>
          <w:rtl w:val="true"/>
          <w:lang w:bidi="ar-SA"/>
        </w:rPr>
        <w:t xml:space="preserve">بعلّة كونه ممّا اغتسل فيه من الزنا من حيث إنّه ممّا اغتسل فيه من الزنا، كما في قرينه </w:t>
      </w:r>
      <w:r>
        <w:rPr>
          <w:rStyle w:val="FootnoteAnchor"/>
          <w:rtl w:val="true"/>
        </w:rPr>
        <w:footnoteReference w:id="181"/>
      </w:r>
      <w:r>
        <w:rPr>
          <w:rFonts w:ascii="Amiri" w:hAnsi="Amiri" w:eastAsia="Amiri" w:cs="Amiri"/>
          <w:color w:val="111111"/>
          <w:sz w:val="28"/>
          <w:sz w:val="28"/>
          <w:szCs w:val="28"/>
          <w:rtl w:val="true"/>
          <w:lang w:bidi="ar-SA"/>
        </w:rPr>
        <w:t xml:space="preserve">من ولد الزنا والناصب، فكما لا التفات فيهما إلى عرقهما، فكذا في الزنا، فالتمسّك به في نجاسة عرق الجنب من الحرام غير سديد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التمسّك في المقام بما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همام باسناده إلى إدريس بن زياد الكفرثوثي </w:t>
      </w:r>
      <w:r>
        <w:rPr>
          <w:rStyle w:val="FootnoteAnchor"/>
          <w:rtl w:val="true"/>
        </w:rPr>
        <w:footnoteReference w:id="182"/>
      </w:r>
      <w:r>
        <w:rPr>
          <w:rFonts w:ascii="Amiri" w:hAnsi="Amiri" w:eastAsia="Amiri" w:cs="Amiri"/>
          <w:color w:val="111111"/>
          <w:sz w:val="28"/>
          <w:sz w:val="28"/>
          <w:szCs w:val="28"/>
          <w:rtl w:val="true"/>
          <w:lang w:bidi="ar-SA"/>
        </w:rPr>
        <w:t xml:space="preserve">أنّه كان يقول بالوقف، فدخل سرّ من رأى في عهد أبي الحسن عليه‌السلام، و أراد أن يسأله عن الثوب الّذي يعرق فيه الجنب، أيصلّى فيه ؟ فبينا </w:t>
      </w:r>
      <w:r>
        <w:rPr>
          <w:rStyle w:val="FootnoteAnchor"/>
          <w:rtl w:val="true"/>
        </w:rPr>
        <w:footnoteReference w:id="183"/>
      </w:r>
      <w:r>
        <w:rPr>
          <w:rFonts w:ascii="Amiri" w:hAnsi="Amiri" w:eastAsia="Amiri" w:cs="Amiri"/>
          <w:color w:val="111111"/>
          <w:sz w:val="28"/>
          <w:sz w:val="28"/>
          <w:szCs w:val="28"/>
          <w:rtl w:val="true"/>
          <w:lang w:bidi="ar-SA"/>
        </w:rPr>
        <w:t xml:space="preserve">هو قائم في طاق باب لانتظاره عليه‌السلام، حرّكه أبوالحسن عليه‌السلام بمقرعة،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حلال فصلّ فيه، و إن كان من حرام فلا تصلّ فيه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المناقب لابن شهر آشوب من كتاب المعتمد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العسكر و أنا شاكّ في الإمامة، فرأيت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السلطان قد خرج إلى الصيد في يوم من الربيع، إلاّ أنّه صائف والناس عليهم ثياب الصيف و على أبي الحسن لبابيد </w:t>
      </w:r>
      <w:r>
        <w:rPr>
          <w:rStyle w:val="FootnoteAnchor"/>
          <w:rtl w:val="true"/>
        </w:rPr>
        <w:footnoteReference w:id="185"/>
      </w:r>
      <w:r>
        <w:rPr>
          <w:rFonts w:ascii="IRNazanin" w:hAnsi="IRNazanin" w:eastAsia="IRNazanin"/>
          <w:color w:val="111111"/>
          <w:sz w:val="28"/>
          <w:sz w:val="28"/>
          <w:szCs w:val="28"/>
          <w:rtl w:val="true"/>
          <w:lang w:bidi="fa-IR"/>
        </w:rPr>
        <w:t xml:space="preserve">، و على فرسه تجفاف </w:t>
      </w:r>
    </w:p>
    <w:p>
      <w:pPr>
        <w:pStyle w:val="BookText"/>
        <w:rPr/>
      </w:pPr>
      <w:r>
        <w:rPr>
          <w:rFonts w:ascii="Amiri" w:hAnsi="Amiri" w:eastAsia="Amiri" w:cs="Amiri"/>
          <w:color w:val="111111"/>
          <w:sz w:val="28"/>
          <w:sz w:val="28"/>
          <w:szCs w:val="28"/>
          <w:rtl w:val="true"/>
          <w:lang w:bidi="ar-SA"/>
        </w:rPr>
        <w:t xml:space="preserve">لبود، و قد عقد ذنب الفرس، والناس يتعجّبون منه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w:t>
      </w:r>
    </w:p>
    <w:p>
      <w:pPr>
        <w:pStyle w:val="BookText"/>
        <w:rPr/>
      </w:pPr>
      <w:r>
        <w:rPr>
          <w:rFonts w:ascii="Amiri" w:hAnsi="Amiri" w:eastAsia="Amiri" w:cs="Amiri"/>
          <w:color w:val="111111"/>
          <w:sz w:val="28"/>
          <w:sz w:val="28"/>
          <w:szCs w:val="28"/>
          <w:rtl w:val="true"/>
          <w:lang w:bidi="ar-SA"/>
        </w:rPr>
        <w:t>إلى هذا المدني و ما قد فعل بنفسه ؟</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إمامًا ما فعل هذا، فلمّا خرج الناس إلى</w:t>
      </w:r>
    </w:p>
    <w:p>
      <w:pPr>
        <w:pStyle w:val="BookText"/>
        <w:rPr/>
      </w:pPr>
      <w:r>
        <w:rPr>
          <w:rFonts w:ascii="Amiri" w:hAnsi="Amiri" w:eastAsia="Amiri" w:cs="Amiri"/>
          <w:color w:val="111111"/>
          <w:sz w:val="28"/>
          <w:sz w:val="28"/>
          <w:szCs w:val="28"/>
          <w:rtl w:val="true"/>
          <w:lang w:bidi="ar-SA"/>
        </w:rPr>
        <w:t xml:space="preserve">الصحراء لم يلبثوا أن ارتفعت سحابة عظيمة هطلت، فلم يبق أحد إلاّ ابتل حتّى غرق بالمطر، و عاد عليه‌السلام و هو سالم عن </w:t>
      </w:r>
      <w:r>
        <w:rPr>
          <w:rStyle w:val="FootnoteAnchor"/>
          <w:rtl w:val="true"/>
        </w:rPr>
        <w:footnoteReference w:id="186"/>
      </w:r>
      <w:r>
        <w:rPr>
          <w:rFonts w:ascii="Amiri" w:hAnsi="Amiri" w:eastAsia="Amiri" w:cs="Amiri"/>
          <w:color w:val="111111"/>
          <w:sz w:val="28"/>
          <w:sz w:val="28"/>
          <w:szCs w:val="28"/>
          <w:rtl w:val="true"/>
          <w:lang w:bidi="ar-SA"/>
        </w:rPr>
        <w:t xml:space="preserve">جميعه،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يكون هو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أسأله عن الجنب إذا عرق في الثوب،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كشف وجهه فهو الإمام، فلمّا قرب منّي كشف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عرق الجنب في الثوب و جنابته من حرام لا يجوز الصلاة فيه، وإن كانت جنابته من حلال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نفسي بعد ذلك شبهة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دلالتهما </w:t>
      </w:r>
      <w:r>
        <w:rPr>
          <w:rStyle w:val="FootnoteAnchor"/>
          <w:rtl w:val="true"/>
        </w:rPr>
        <w:footnoteReference w:id="188"/>
      </w:r>
      <w:r>
        <w:rPr>
          <w:rFonts w:ascii="Amiri" w:hAnsi="Amiri" w:eastAsia="Amiri" w:cs="Amiri"/>
          <w:color w:val="111111"/>
          <w:sz w:val="28"/>
          <w:sz w:val="28"/>
          <w:szCs w:val="28"/>
          <w:rtl w:val="true"/>
          <w:lang w:bidi="ar-SA"/>
        </w:rPr>
        <w:t xml:space="preserve">على عدم جواز الصلاة في الثوب الّذي فيه عرق من جنابة الحرام وإن كانت مسلّمة، لكن عدم معلوميّة السند يقدح في الركون إليه، سيّما في مقابلة الشهرة المستفيضة، بل المحقّقة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المدلول عليه عدم جواز الصلاة في ذلك الثوب، و أين ذلك من </w:t>
      </w:r>
    </w:p>
    <w:p>
      <w:pPr>
        <w:pStyle w:val="BookText"/>
        <w:rPr/>
      </w:pPr>
      <w:r>
        <w:rPr>
          <w:rFonts w:ascii="Amiri" w:hAnsi="Amiri" w:eastAsia="Amiri" w:cs="Amiri"/>
          <w:color w:val="111111"/>
          <w:sz w:val="28"/>
          <w:sz w:val="28"/>
          <w:szCs w:val="28"/>
          <w:rtl w:val="true"/>
          <w:lang w:bidi="ar-SA"/>
        </w:rPr>
        <w:t>الدلالة على النجاسة، كما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انتفاء الفارق يمكن القدح فيها، لأنّ شيخنا الصدوق قد تصدّى لبيان المسألة في أربعة من كتبه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والفقيه، والمقنع، والهداية ؛ و في كلٍّ</w:t>
      </w:r>
    </w:p>
    <w:p>
      <w:pPr>
        <w:pStyle w:val="BookText"/>
        <w:rPr/>
      </w:pPr>
      <w:r>
        <w:rPr>
          <w:rFonts w:ascii="Amiri" w:hAnsi="Amiri" w:eastAsia="Amiri" w:cs="Amiri"/>
          <w:color w:val="111111"/>
          <w:sz w:val="28"/>
          <w:sz w:val="28"/>
          <w:szCs w:val="28"/>
          <w:rtl w:val="true"/>
          <w:lang w:bidi="ar-SA"/>
        </w:rPr>
        <w:t xml:space="preserve">منها صرّح بحرمة </w:t>
      </w:r>
      <w:r>
        <w:rPr>
          <w:rStyle w:val="FootnoteAnchor"/>
          <w:rtl w:val="true"/>
        </w:rPr>
        <w:footnoteReference w:id="190"/>
      </w:r>
      <w:r>
        <w:rPr>
          <w:rFonts w:ascii="Amiri" w:hAnsi="Amiri" w:eastAsia="Amiri" w:cs="Amiri"/>
          <w:color w:val="111111"/>
          <w:sz w:val="28"/>
          <w:sz w:val="28"/>
          <w:szCs w:val="28"/>
          <w:rtl w:val="true"/>
          <w:lang w:bidi="ar-SA"/>
        </w:rPr>
        <w:t>الصلاة فيه، و لم يتعرّض لذكر النجاسة في شيء منها، فلو كان معتقدًا للنجاسة كان التعبير بها أولى، لوضوح أنّ منصب الفقيه بيان ما استفاده و ما</w:t>
      </w:r>
    </w:p>
    <w:p>
      <w:pPr>
        <w:pStyle w:val="BookText"/>
        <w:rPr/>
      </w:pPr>
      <w:r>
        <w:rPr>
          <w:rFonts w:ascii="Amiri" w:hAnsi="Amiri" w:eastAsia="Amiri" w:cs="Amiri"/>
          <w:color w:val="111111"/>
          <w:sz w:val="28"/>
          <w:sz w:val="28"/>
          <w:szCs w:val="28"/>
          <w:rtl w:val="true"/>
          <w:lang w:bidi="ar-SA"/>
        </w:rPr>
        <w:t xml:space="preserve">حصله من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التعبير بالنجاسة في شيء منها يرشد إلى أنّه ليس المقصود النجاسة،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بما ذكره محض رعاية النصّ، فلمّا كان القدر المتيقّن</w:t>
      </w:r>
    </w:p>
    <w:p>
      <w:pPr>
        <w:pStyle w:val="BookText"/>
        <w:rPr/>
      </w:pPr>
      <w:r>
        <w:rPr>
          <w:rFonts w:ascii="Amiri" w:hAnsi="Amiri" w:eastAsia="Amiri" w:cs="Amiri"/>
          <w:color w:val="111111"/>
          <w:sz w:val="28"/>
          <w:sz w:val="28"/>
          <w:szCs w:val="28"/>
          <w:rtl w:val="true"/>
          <w:lang w:bidi="ar-SA"/>
        </w:rPr>
        <w:t xml:space="preserve">الحرمة عبّر بذلك و سكت عن ذكر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ممّا بيّناه أنّ القائل بالنجاسة غيرُ معلوم من قدماء الأصحاب، عدا الفاضل ابن البرّاج في المهذّب و شرحه على جمل السيّد ؛ و لعلّه الظاهر من عبارة الكتاب المشتبه الحال المشتهر في هذا الأوان بفقه الرضا، لجعله عدم جواز الصلاة مغيّا </w:t>
      </w:r>
      <w:r>
        <w:rPr>
          <w:rStyle w:val="FootnoteAnchor"/>
          <w:rtl w:val="true"/>
        </w:rPr>
        <w:footnoteReference w:id="191"/>
      </w:r>
      <w:r>
        <w:rPr>
          <w:rFonts w:ascii="IRNazanin" w:hAnsi="IRNazanin" w:eastAsia="IRNazanin"/>
          <w:color w:val="111111"/>
          <w:sz w:val="28"/>
          <w:sz w:val="28"/>
          <w:szCs w:val="28"/>
          <w:rtl w:val="true"/>
          <w:lang w:bidi="fa-IR"/>
        </w:rPr>
        <w:t xml:space="preserve">لعدم الغسل،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كانت حرامًا فلا يجوز الصلاة فيه حتّى يغسل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المحكيّ في المعالم عن ابن الجنيد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عرق الحائض لا ينجس الثوب، و كذلك عرق الجنب من الحلال، وإن </w:t>
      </w:r>
      <w:r>
        <w:rPr>
          <w:rStyle w:val="FootnoteAnchor"/>
          <w:rtl w:val="true"/>
        </w:rPr>
        <w:footnoteReference w:id="193"/>
      </w:r>
      <w:r>
        <w:rPr>
          <w:rFonts w:ascii="Amiri" w:hAnsi="Amiri" w:eastAsia="Amiri" w:cs="Amiri"/>
          <w:color w:val="111111"/>
          <w:sz w:val="28"/>
          <w:sz w:val="28"/>
          <w:szCs w:val="28"/>
          <w:rtl w:val="true"/>
          <w:lang w:bidi="ar-SA"/>
        </w:rPr>
        <w:t xml:space="preserve">كان أجنب من حرام يغسل </w:t>
      </w:r>
      <w:r>
        <w:rPr>
          <w:rStyle w:val="FootnoteAnchor"/>
          <w:rtl w:val="true"/>
        </w:rPr>
        <w:footnoteReference w:id="194"/>
      </w:r>
      <w:r>
        <w:rPr>
          <w:rFonts w:ascii="IRNazanin" w:hAnsi="IRNazanin" w:eastAsia="IRNazanin"/>
          <w:color w:val="111111"/>
          <w:sz w:val="28"/>
          <w:sz w:val="28"/>
          <w:szCs w:val="28"/>
          <w:rtl w:val="true"/>
          <w:lang w:bidi="fa-IR"/>
        </w:rPr>
        <w:t xml:space="preserve">الثوب منه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الأمر بغسل الثوب من عرق الجنب من الحرام يقتضي وجوبه،</w:t>
      </w:r>
    </w:p>
    <w:p>
      <w:pPr>
        <w:pStyle w:val="BookText"/>
        <w:rPr/>
      </w:pPr>
      <w:r>
        <w:rPr>
          <w:rFonts w:ascii="Amiri" w:hAnsi="Amiri" w:eastAsia="Amiri" w:cs="Amiri"/>
          <w:color w:val="111111"/>
          <w:sz w:val="28"/>
          <w:sz w:val="28"/>
          <w:szCs w:val="28"/>
          <w:rtl w:val="true"/>
          <w:lang w:bidi="ar-SA"/>
        </w:rPr>
        <w:t xml:space="preserve">و ذلك ظاهرٌ في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لم ننكر ظهور الكلام المذكور في ذلك، لكن ليس المتّبع قول المعالم وإن كان من الأعيان، بل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في الأدلّة الشرعيّة ما يمكن التمسّك في وجوب غسل العرق</w:t>
      </w:r>
    </w:p>
    <w:p>
      <w:pPr>
        <w:pStyle w:val="BookText"/>
        <w:rPr/>
      </w:pPr>
      <w:r>
        <w:rPr>
          <w:rFonts w:ascii="Amiri" w:hAnsi="Amiri" w:eastAsia="Amiri" w:cs="Amiri"/>
          <w:color w:val="111111"/>
          <w:sz w:val="28"/>
          <w:sz w:val="28"/>
          <w:szCs w:val="28"/>
          <w:rtl w:val="true"/>
          <w:lang w:bidi="ar-SA"/>
        </w:rPr>
        <w:t xml:space="preserve">المذكور، كما ظهر ممّا فصّلناه فيما سلف،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على عدم جواز الصلاة في الثوب الّذي أصابه عرق الجنب من الحرام ؛ و معلومٌ أنّ ذلك لا يجب إلقاؤه، فإذا أريد رفع أثره لابدّ من غسله، و 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يغسل الثوب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العرق لو كان نجسًا لا يتفاوت </w:t>
      </w:r>
      <w:r>
        <w:rPr>
          <w:rStyle w:val="FootnoteAnchor"/>
          <w:rtl w:val="true"/>
        </w:rPr>
        <w:footnoteReference w:id="196"/>
      </w:r>
      <w:r>
        <w:rPr>
          <w:rFonts w:ascii="Amiri" w:hAnsi="Amiri" w:eastAsia="Amiri" w:cs="Amiri"/>
          <w:color w:val="111111"/>
          <w:sz w:val="28"/>
          <w:sz w:val="28"/>
          <w:szCs w:val="28"/>
          <w:rtl w:val="true"/>
          <w:lang w:bidi="ar-SA"/>
        </w:rPr>
        <w:t xml:space="preserve">الحال فيه بين كونه في البدن أو الثوب، فكما لا يجوز الصلاة في الثوب الّذي أصابه حتّى يغسل لم يجز </w:t>
      </w:r>
      <w:r>
        <w:rPr>
          <w:rStyle w:val="FootnoteAnchor"/>
          <w:rtl w:val="true"/>
        </w:rPr>
        <w:footnoteReference w:id="197"/>
      </w:r>
      <w:r>
        <w:rPr>
          <w:rFonts w:ascii="Amiri" w:hAnsi="Amiri" w:eastAsia="Amiri" w:cs="Amiri"/>
          <w:color w:val="111111"/>
          <w:sz w:val="28"/>
          <w:sz w:val="28"/>
          <w:szCs w:val="28"/>
          <w:rtl w:val="true"/>
          <w:lang w:bidi="ar-SA"/>
        </w:rPr>
        <w:t xml:space="preserve">حتّى يغسل البدن، لخروج العرق منه، و منه يتعدّي إلى الثوب، فما </w:t>
      </w:r>
    </w:p>
    <w:p>
      <w:pPr>
        <w:pStyle w:val="BookText"/>
        <w:rPr/>
      </w:pPr>
      <w:r>
        <w:rPr>
          <w:rFonts w:ascii="Amiri" w:hAnsi="Amiri" w:eastAsia="Amiri" w:cs="Amiri"/>
          <w:color w:val="111111"/>
          <w:sz w:val="28"/>
          <w:sz w:val="28"/>
          <w:szCs w:val="28"/>
          <w:rtl w:val="true"/>
          <w:lang w:bidi="ar-SA"/>
        </w:rPr>
        <w:t xml:space="preserve">الداعي لذكر الثوب في السؤال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عرق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المناسب في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عرق هو السؤال عن العرق في البدن، ثمّ عن الثوب الّذي أصابه العرق، كما لا يخفى </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8074_124628"/>
      <w:bookmarkStart w:id="92" w:name="pg8074_124628"/>
      <w:bookmarkEnd w:id="92"/>
    </w:p>
    <w:p>
      <w:pPr>
        <w:pStyle w:val="Heading2"/>
        <w:numPr>
          <w:ilvl w:val="1"/>
          <w:numId w:val="1"/>
        </w:numPr>
        <w:rPr/>
      </w:pPr>
      <w:bookmarkStart w:id="93" w:name="pg8074_124628"/>
      <w:bookmarkStart w:id="94" w:name="__RefHeading___Toc7777342_1051229030"/>
      <w:bookmarkStart w:id="95" w:name="_Toc33"/>
      <w:bookmarkEnd w:id="93"/>
      <w:bookmarkEnd w:id="94"/>
      <w:r>
        <w:rPr>
          <w:rtl w:val="true"/>
        </w:rPr>
        <w:t>إيراد الاشتباهات الصادرة في المسألة من العلماء</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الاشتباهات الصادرة في المسألة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ينبغي التنبيه عليه في المقام إيراد الاشتباهات الصادرة في هذه المسألة من العلماء الأعلام </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7777344_1051229030"/>
      <w:bookmarkStart w:id="97" w:name="_Toc34"/>
      <w:bookmarkEnd w:id="96"/>
      <w:r>
        <w:rPr>
          <w:rtl w:val="true"/>
        </w:rPr>
        <w:t>الاشتباه الّذي صدر من شيخ الطائفة</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شيخ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شيخ الطائفة في المبسوط،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الجنابة من حرام وجب غسل ما عرق فيه على ما رواه بعض أصحابنا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الرواية الدالّة على لزوم غسل ما أصابه العرق من الجنب من الحرام غير موجودة ؛ والظاهر أنّ مراده من الرواية هو صحيحة الحلبي المرويّة في الفقيه والتهذيب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أجنب في ثوبه و ليس معه </w:t>
      </w:r>
    </w:p>
    <w:p>
      <w:pPr>
        <w:pStyle w:val="BookText"/>
        <w:rPr/>
      </w:pPr>
      <w:r>
        <w:rPr>
          <w:rFonts w:ascii="Amiri" w:hAnsi="Amiri" w:eastAsia="Amiri" w:cs="Amiri"/>
          <w:color w:val="111111"/>
          <w:sz w:val="28"/>
          <w:sz w:val="28"/>
          <w:szCs w:val="28"/>
          <w:rtl w:val="true"/>
          <w:lang w:bidi="ar-SA"/>
        </w:rPr>
        <w:t xml:space="preserve">ثوب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فيه فإذا وجد الماء </w:t>
      </w:r>
      <w:r>
        <w:rPr>
          <w:rStyle w:val="FootnoteAnchor"/>
          <w:rtl w:val="true"/>
        </w:rPr>
        <w:footnoteReference w:id="199"/>
      </w:r>
      <w:r>
        <w:rPr>
          <w:rFonts w:ascii="IRNazanin" w:hAnsi="IRNazanin" w:eastAsia="IRNazanin"/>
          <w:color w:val="111111"/>
          <w:sz w:val="28"/>
          <w:sz w:val="28"/>
          <w:szCs w:val="28"/>
          <w:rtl w:val="true"/>
          <w:lang w:bidi="fa-IR"/>
        </w:rPr>
        <w:t xml:space="preserve">غسله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علمت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أجنب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إصابة المني بثوبه، كما اعترف به في الاستبصار </w:t>
      </w:r>
      <w:r>
        <w:rPr>
          <w:rStyle w:val="FootnoteAnchor"/>
          <w:rtl w:val="true"/>
        </w:rPr>
        <w:footnoteReference w:id="201"/>
      </w:r>
      <w:r>
        <w:rPr>
          <w:rFonts w:ascii="Amiri" w:hAnsi="Amiri" w:eastAsia="Amiri" w:cs="Amiri"/>
          <w:color w:val="111111"/>
          <w:sz w:val="28"/>
          <w:sz w:val="28"/>
          <w:szCs w:val="28"/>
          <w:rtl w:val="true"/>
          <w:lang w:bidi="ar-SA"/>
        </w:rPr>
        <w:t xml:space="preserve">على ما نبّهنا عليه، فالاستناد إليه فيما ذكره 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مراده الرواية المذكورة في الذكرى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يكذّبه كلامه في الخلاف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والأخبار الّتي ذكرناها في الكتابين المقدّم</w:t>
      </w:r>
    </w:p>
    <w:p>
      <w:pPr>
        <w:pStyle w:val="BookText"/>
        <w:rPr/>
      </w:pPr>
      <w:r>
        <w:rPr>
          <w:rFonts w:ascii="Amiri" w:hAnsi="Amiri" w:eastAsia="Amiri" w:cs="Amiri"/>
          <w:color w:val="111111"/>
          <w:sz w:val="28"/>
          <w:sz w:val="28"/>
          <w:szCs w:val="28"/>
          <w:rtl w:val="true"/>
          <w:lang w:bidi="ar-SA"/>
        </w:rPr>
        <w:t xml:space="preserve">ذكرهما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المرويّة في الذكرى غير مرويّة في الكتابين، بل لم أجدها في غير الذكرى، و لذا ترى العلاّمة المجلسيّ و شيخنا الحرّ العامليّ والفاضل المعتمد الشهير بالهنديّ و غيرهم رووها عن الذكرى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98" w:name="pg8074_124630"/>
    </w:p>
    <w:p>
      <w:pPr>
        <w:pStyle w:val="BookText"/>
        <w:rPr/>
      </w:pPr>
      <w:bookmarkEnd w:id="98"/>
      <w:r>
        <w:rPr>
          <w:rFonts w:ascii="Amiri" w:hAnsi="Amiri" w:eastAsia="Amiri" w:cs="Amiri"/>
          <w:color w:val="111111"/>
          <w:sz w:val="28"/>
          <w:sz w:val="28"/>
          <w:szCs w:val="28"/>
          <w:rtl w:val="true"/>
          <w:lang w:bidi="ar-SA"/>
        </w:rPr>
        <w:t>مضافًا إلى أنّ غاية ما يظهر منها عدم جواز الصلاة مع عرق الجنب من الحرام ؛ و أين ذلك من وجوب غسل ما أصابه العرق من جنابة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إشارةً إلى ما ذكره شيخنا المفيد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غسل الثوب منه إلاّ أن يكون </w:t>
      </w:r>
      <w:r>
        <w:rPr>
          <w:rStyle w:val="FootnoteAnchor"/>
          <w:rtl w:val="true"/>
        </w:rPr>
        <w:footnoteReference w:id="205"/>
      </w:r>
      <w:r>
        <w:rPr>
          <w:rFonts w:ascii="Amiri" w:hAnsi="Amiri" w:eastAsia="Amiri" w:cs="Amiri"/>
          <w:color w:val="111111"/>
          <w:sz w:val="28"/>
          <w:sz w:val="28"/>
          <w:szCs w:val="28"/>
          <w:rtl w:val="true"/>
          <w:lang w:bidi="ar-SA"/>
        </w:rPr>
        <w:t xml:space="preserve">الجنابة من حرام، فيغسل ما أصابه من عرق صاحبها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سلف، لكن يبعّده لفظ الرواية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رواه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الرواية ظاهرٌ في الحديث، لا فتوى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المصرّح به في آخر عبارة المقنعة أنّ ذلك على وجه الاحتياط، فيأباه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غسل ما عرق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7777346_1051229030"/>
      <w:bookmarkStart w:id="100" w:name="_Toc35"/>
      <w:bookmarkEnd w:id="99"/>
      <w:r>
        <w:rPr>
          <w:rtl w:val="true"/>
        </w:rPr>
        <w:t>الاشتباه الّذي صدر من ابن زهرة</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ابن زهرة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ابن زهرة حيث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ألحق </w:t>
      </w:r>
      <w:r>
        <w:rPr>
          <w:rStyle w:val="FootnoteAnchor"/>
          <w:rtl w:val="true"/>
        </w:rPr>
        <w:footnoteReference w:id="207"/>
      </w:r>
      <w:r>
        <w:rPr>
          <w:rFonts w:ascii="IRNazanin" w:hAnsi="IRNazanin" w:eastAsia="IRNazanin"/>
          <w:color w:val="111111"/>
          <w:sz w:val="28"/>
          <w:sz w:val="28"/>
          <w:szCs w:val="28"/>
          <w:rtl w:val="true"/>
          <w:lang w:bidi="fa-IR"/>
        </w:rPr>
        <w:t xml:space="preserve">أصحابنا بالنجاسات عرق الجنب إذا أجنب من الحرام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الحكم يخالف للواقع، فإنّ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في الأمالي والفقيه والهداية والمقنع نقلاً عن والده بحرمة الصلاة معه ؛ و معلومٌ أنّه غير مستلزمٍ للنجاسة، كما في أجزاء غير مأكول اللحم، فإنّ حرمة الصلاة معها مسلّمة مع انتفاء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التحريم في الكتب الأربعة المذكورة والإعراض عن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جميعها يرشد إلى أنّ مراده ليس النجاسة، و إن كان التعبير بالنجاسة أولى كما لا يخفى، فلا يصحّ أن ينسب إليه أنّه ألحق عرق الجنب من الحرام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شيخنا المفيد، فإنّ صدر كلامه في المقنعة و إن أوهم وجوب غسله، لكن تعبيره بالاحتياط في الآخر يرشد إلى خلافه، مضافًا إلى ما علمت من ابن إدريس و يحيى بن سعيد من رجوعه إلى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شيخنا الطوسيّ، فلما علمت من أنّه صرّح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الخلاف المتأخّر عن كتابي الحديث والنهاية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الظاهر منه في التهذيب أيضًا، لما بيّنا فيما سلف من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يدلّ على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من حرام، فإنّه يغسل منها الثوب </w:t>
      </w:r>
      <w:r>
        <w:rPr>
          <w:rStyle w:val="FootnoteAnchor"/>
          <w:rtl w:val="true"/>
        </w:rPr>
        <w:footnoteReference w:id="211"/>
      </w:r>
      <w:r>
        <w:rPr>
          <w:rFonts w:ascii="Amiri" w:hAnsi="Amiri" w:eastAsia="Amiri" w:cs="Amiri"/>
          <w:color w:val="111111"/>
          <w:sz w:val="28"/>
          <w:sz w:val="28"/>
          <w:szCs w:val="28"/>
          <w:rtl w:val="true"/>
          <w:lang w:bidi="ar-SA"/>
        </w:rPr>
        <w:t xml:space="preserve">احتياطًا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سلف، لوضوح أنّ المدلول عليه بهذا الكلام أنّ الغسل من عرق الجنب من الحرام إنّما هو من باب الندب والاحتياط، لا من باب الحتم والإلزام ؛ و هو وإن كان في مقام التعبير عمّا اشتمل عليه عبارة المقنعة، لكنّ الظاهر منه أنّه على وجه الإذعان والاعتراف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في الخلاف عند تدقيق النظر ذلك، وإن عبّر بالتحريم، لأنّه جعل دليله الأخبار الّتي ذكرها في التهذيب والاستبصار ؛ والّذي يظهر منه في الكتابين أنّ مراده من الأخبار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 صحيحةُ أبي بصير، و قد استدلّ في التهذيب بالأوّل لغسل </w:t>
      </w:r>
      <w:r>
        <w:rPr>
          <w:rStyle w:val="FootnoteAnchor"/>
          <w:rtl w:val="true"/>
        </w:rPr>
        <w:footnoteReference w:id="213"/>
      </w:r>
      <w:r>
        <w:rPr>
          <w:rFonts w:ascii="Amiri" w:hAnsi="Amiri" w:eastAsia="Amiri" w:cs="Amiri"/>
          <w:color w:val="111111"/>
          <w:sz w:val="28"/>
          <w:sz w:val="28"/>
          <w:szCs w:val="28"/>
          <w:rtl w:val="true"/>
          <w:lang w:bidi="ar-SA"/>
        </w:rPr>
        <w:t xml:space="preserve">الثوب من عرق الجنب من الحرام احتياطًا كما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الاستبصار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الحسين بن سعيد، عن النصر، عن عاصم بن حميد،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الثوب يجنب فيه الرجل و يعرق </w:t>
      </w:r>
    </w:p>
    <w:p>
      <w:pPr>
        <w:pStyle w:val="BookText"/>
        <w:rPr/>
      </w:pPr>
      <w:r>
        <w:rPr>
          <w:rFonts w:ascii="Amiri" w:hAnsi="Amiri" w:eastAsia="Amiri" w:cs="Amiri"/>
          <w:color w:val="111111"/>
          <w:sz w:val="28"/>
          <w:sz w:val="28"/>
          <w:szCs w:val="28"/>
          <w:rtl w:val="true"/>
          <w:lang w:bidi="ar-SA"/>
        </w:rPr>
        <w:t xml:space="preserve">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أحبّ أن أنام فيه، وإن كان الشتاء فلا بأس ما لم يعرق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هذا الخبر ضربٌ من الكراهة </w:t>
      </w:r>
      <w:r>
        <w:rPr>
          <w:rStyle w:val="FootnoteAnchor"/>
          <w:rtl w:val="true"/>
        </w:rPr>
        <w:footnoteReference w:id="214"/>
      </w:r>
      <w:r>
        <w:rPr>
          <w:rFonts w:ascii="IRNazanin" w:hAnsi="IRNazanin" w:eastAsia="IRNazanin"/>
          <w:color w:val="111111"/>
          <w:sz w:val="28"/>
          <w:sz w:val="28"/>
          <w:szCs w:val="28"/>
          <w:rtl w:val="true"/>
          <w:lang w:bidi="fa-IR"/>
        </w:rPr>
        <w:t xml:space="preserve">، و هو </w:t>
      </w:r>
      <w:r>
        <w:rPr>
          <w:rStyle w:val="FootnoteAnchor"/>
          <w:rtl w:val="true"/>
        </w:rPr>
        <w:footnoteReference w:id="215"/>
      </w:r>
      <w:r>
        <w:rPr>
          <w:rFonts w:ascii="Amiri" w:hAnsi="Amiri" w:eastAsia="Amiri" w:cs="Amiri"/>
          <w:color w:val="111111"/>
          <w:sz w:val="28"/>
          <w:sz w:val="28"/>
          <w:szCs w:val="28"/>
          <w:rtl w:val="true"/>
          <w:lang w:bidi="ar-SA"/>
        </w:rPr>
        <w:t xml:space="preserve">صريح فيه ؛ و يمكن أن يكون محمولاً على أنّه إذا كانت الجنابة من حرام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مرويّ في التهذيب في باب 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الثياب من النجاسات من الزيادات </w:t>
      </w:r>
      <w:r>
        <w:rPr>
          <w:rStyle w:val="FootnoteAnchor"/>
          <w:rtl w:val="true"/>
        </w:rPr>
        <w:footnoteReference w:id="218"/>
      </w:r>
      <w:r>
        <w:rPr>
          <w:rFonts w:ascii="Amiri" w:hAnsi="Amiri" w:eastAsia="Amiri" w:cs="Amiri"/>
          <w:color w:val="111111"/>
          <w:sz w:val="28"/>
          <w:sz w:val="28"/>
          <w:szCs w:val="28"/>
          <w:rtl w:val="true"/>
          <w:lang w:bidi="ar-SA"/>
        </w:rPr>
        <w:t xml:space="preserve">؛ و معلومٌ أنّ حمل الجنب فيه على الجنب من الحرام لا يوجب التغيير في الدلالة، فمع الحمل عليه يبقى الصراحة في الكراهة على حاله، فمقتضاه رجحان الاجتناب عن عرق الجنب من الحرام و كراهة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الكتابين دليلٌ على إرادة الكراهة من الحرمة في الخلاف،</w:t>
      </w:r>
    </w:p>
    <w:p>
      <w:pPr>
        <w:pStyle w:val="BookText"/>
        <w:rPr/>
      </w:pPr>
      <w:r>
        <w:rPr>
          <w:rFonts w:ascii="Amiri" w:hAnsi="Amiri" w:eastAsia="Amiri" w:cs="Amiri"/>
          <w:color w:val="111111"/>
          <w:sz w:val="28"/>
          <w:sz w:val="28"/>
          <w:szCs w:val="28"/>
          <w:rtl w:val="true"/>
          <w:lang w:bidi="ar-SA"/>
        </w:rPr>
        <w:t xml:space="preserve">فلا يكون شيخ الطائفة ممّن يقول بحرمة الصلاة مع العرق من الجنب من الحرام، فضلاً عن القول بنجاسته، فلا يصحّ القول بأنّ الأصحاب ألحقوا عرق الجنب من الحرام بالنجاسات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الصريح بالنجاسة لم أجده عدا ما علمت من القاضي ابن </w:t>
      </w:r>
      <w:bookmarkStart w:id="101" w:name="pg8074_124634"/>
    </w:p>
    <w:p>
      <w:pPr>
        <w:pStyle w:val="BookText"/>
        <w:rPr/>
      </w:pPr>
      <w:bookmarkEnd w:id="101"/>
      <w:r>
        <w:rPr>
          <w:rFonts w:ascii="Amiri" w:hAnsi="Amiri" w:eastAsia="Amiri" w:cs="Amiri"/>
          <w:color w:val="111111"/>
          <w:sz w:val="28"/>
          <w:sz w:val="28"/>
          <w:szCs w:val="28"/>
          <w:rtl w:val="true"/>
          <w:lang w:bidi="ar-SA"/>
        </w:rPr>
        <w:t>البرّاج، لكنّ الظاهر أنّ الداعي له عليه الجمود على ما يتوهّم من عبارة الخلاف وغيرها ممّا أوردناه ؛ والمظنون أنّه لو أعطى التأمّل حقّه و لاحظ ذلك مع ما نبّهنا</w:t>
      </w:r>
    </w:p>
    <w:p>
      <w:pPr>
        <w:pStyle w:val="BookText"/>
        <w:rPr/>
      </w:pPr>
      <w:r>
        <w:rPr>
          <w:rFonts w:ascii="Amiri" w:hAnsi="Amiri" w:eastAsia="Amiri" w:cs="Amiri"/>
          <w:color w:val="111111"/>
          <w:sz w:val="28"/>
          <w:sz w:val="28"/>
          <w:szCs w:val="28"/>
          <w:rtl w:val="true"/>
          <w:lang w:bidi="ar-SA"/>
        </w:rPr>
        <w:t xml:space="preserve">عليه لم يخطر بباله احتمال النجاسة، فضلاً عن الفتوى بذلك </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7777348_1051229030"/>
      <w:bookmarkStart w:id="103" w:name="_Toc36"/>
      <w:bookmarkEnd w:id="102"/>
      <w:r>
        <w:rPr>
          <w:rtl w:val="true"/>
        </w:rPr>
        <w:t>الاشتباه الّذي صدر من صاحب المراسم</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صاحب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من صاحب المراسم من نسبة وجوب إزالة عرق الجنب من الحرام إلى أصحابنا، فإنّ القول بوجوب إزالته غير ظاهر في أصحابنا، فكيف يمكن نسبة ذلك إلى 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كلام شيخنا المفيد في المقنعة، فقد علمت أنّ صدره وإن كان موهمًا لذلك، لكنّ التصريح بالاحتياط في آخره دليلٌ على عدم إرادة الظاهر من الصدر، فلا وجه للتمسّك بظاهر الصدر بعد نصب القرينة في الذيل على خلافه، لاسيّما بعد ما علمت من تصريح ابن إدريس و يحيى بن سعيد برجوعه </w:t>
      </w:r>
      <w:r>
        <w:rPr>
          <w:rStyle w:val="FootnoteAnchor"/>
          <w:rtl w:val="true"/>
        </w:rPr>
        <w:footnoteReference w:id="219"/>
      </w:r>
      <w:r>
        <w:rPr>
          <w:rFonts w:ascii="Amiri" w:hAnsi="Amiri" w:eastAsia="Amiri" w:cs="Amiri"/>
          <w:color w:val="111111"/>
          <w:sz w:val="28"/>
          <w:sz w:val="28"/>
          <w:szCs w:val="28"/>
          <w:rtl w:val="true"/>
          <w:lang w:bidi="ar-SA"/>
        </w:rPr>
        <w:t xml:space="preserve">إلى القول بالطهارة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إن كان صحيحًا، لكن يبقى المؤاخذة في التعبير بالرجوع، فإنّ ذلك إنّما يكون إذا كان معتقدًا للنجاسة قبله، والتصريح بالاحتياط في آخر الكلام يأبى عن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القول بوجوب الغسل و إن كان مدلولاً عليه بعبارة شيخ الطائفة في النهاية </w:t>
      </w:r>
      <w:r>
        <w:rPr>
          <w:rStyle w:val="FootnoteAnchor"/>
          <w:rtl w:val="true"/>
        </w:rPr>
        <w:footnoteReference w:id="220"/>
      </w:r>
      <w:r>
        <w:rPr>
          <w:rFonts w:ascii="Amiri" w:hAnsi="Amiri" w:eastAsia="Amiri" w:cs="Amiri"/>
          <w:color w:val="111111"/>
          <w:sz w:val="28"/>
          <w:sz w:val="28"/>
          <w:szCs w:val="28"/>
          <w:rtl w:val="true"/>
          <w:lang w:bidi="ar-SA"/>
        </w:rPr>
        <w:t xml:space="preserve">، لكن لا تعويل عليه بعد عدوله عنه في المبسوط المتأخّر عنه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المحكيّ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صاحب المعالم عنه كما علمت ممّا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يوهن النسبة المذكورة تركُ الحكاية عنه في كتب الأصحاب، سيّما في المختلف والذكرى و كشف اللثام،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الّذي حكاه عنه في المعالم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الحائض لا ينجّس الثوب، و كذلك عرق الجنب من حلال، فإن كان أجنب من حرام غسل الثوب منه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الوجه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الحائض في الأغلب لا تنفكّ عن النجاسة، كان ذلك موهمًا لإصابة عرقها بالنجاسة، فيكون منجّسًا، و لذا نبّه على خلافه، فلو كان مراده نجاسة عرق الجنب من الحرام عبّر بما يقتضي سوق الكلام، فيقول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إذا كانت جنابته من حرام نجّس الثوب، كما لا يخفى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فالإعراض والعدول عمّا يقتضي السوق إلى ما عبّر به يرشد إلى أنّه ليس مراده نجاسة ذلك العرق، فالغسل المدلول عليه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مقصوده هو الحتم </w:t>
      </w:r>
      <w:bookmarkStart w:id="104" w:name="pg8074_124636"/>
    </w:p>
    <w:p>
      <w:pPr>
        <w:pStyle w:val="BookText"/>
        <w:rPr/>
      </w:pPr>
      <w:bookmarkEnd w:id="104"/>
      <w:r>
        <w:rPr>
          <w:rFonts w:ascii="Amiri" w:hAnsi="Amiri" w:eastAsia="Amiri" w:cs="Amiri"/>
          <w:color w:val="111111"/>
          <w:sz w:val="28"/>
          <w:sz w:val="28"/>
          <w:szCs w:val="28"/>
          <w:rtl w:val="true"/>
          <w:lang w:bidi="ar-SA"/>
        </w:rPr>
        <w:t xml:space="preserve">واللزوم،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أوجب إزالة عرق الجنب من الحرام و غسله ؛ واحتمال التعبّد متوقّفٌ على وجود المقتضي، و قد عرفت عدم معلوميّته ؛ و على فرض تسليمه لا يكون ذلك موجبًا لنسبة وجوب الإزالة إلى الجمع المضاف المفيد للعموم،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كتاب المشتبه الحال، فاستفادة اللزوم فيه و إن كان أظهر، لكن</w:t>
      </w:r>
    </w:p>
    <w:p>
      <w:pPr>
        <w:pStyle w:val="BookText"/>
        <w:rPr/>
      </w:pPr>
      <w:r>
        <w:rPr>
          <w:rFonts w:ascii="Amiri" w:hAnsi="Amiri" w:eastAsia="Amiri" w:cs="Amiri"/>
          <w:color w:val="111111"/>
          <w:sz w:val="28"/>
          <w:sz w:val="28"/>
          <w:szCs w:val="28"/>
          <w:rtl w:val="true"/>
          <w:lang w:bidi="ar-SA"/>
        </w:rPr>
        <w:t xml:space="preserve">لايكفي لتصحيح العبارة المذكورة، بل يمكن ادّعاء القطع بعدم كون منظوره الكتاب المذكور، فنسبة وجوب إزالة عرق الجنب من الحرام إلى أصحابنا اشتباه </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7777350_1051229030"/>
      <w:bookmarkStart w:id="106" w:name="_Toc37"/>
      <w:bookmarkEnd w:id="105"/>
      <w:r>
        <w:rPr>
          <w:rtl w:val="true"/>
        </w:rPr>
        <w:t>الاشتباه الّذي صدر من الشيخ يحيى بن سعيد</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الشيخ يحيى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لشيخنا </w:t>
      </w:r>
      <w:r>
        <w:rPr>
          <w:rStyle w:val="FootnoteAnchor"/>
          <w:rtl w:val="true"/>
        </w:rPr>
        <w:footnoteReference w:id="223"/>
      </w:r>
      <w:r>
        <w:rPr>
          <w:rFonts w:ascii="Amiri" w:hAnsi="Amiri" w:eastAsia="Amiri" w:cs="Amiri"/>
          <w:color w:val="111111"/>
          <w:sz w:val="28"/>
          <w:sz w:val="28"/>
          <w:szCs w:val="28"/>
          <w:rtl w:val="true"/>
          <w:lang w:bidi="ar-SA"/>
        </w:rPr>
        <w:t xml:space="preserve">يحيى بن سعيد في النزهة،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الشيخ أبو جعفر بذلك عرق الجنابة من الحرام، و إليه ذهب</w:t>
      </w:r>
    </w:p>
    <w:p>
      <w:pPr>
        <w:pStyle w:val="BookText"/>
        <w:rPr/>
      </w:pPr>
      <w:r>
        <w:rPr>
          <w:rFonts w:ascii="Amiri" w:hAnsi="Amiri" w:eastAsia="Amiri" w:cs="Amiri"/>
          <w:color w:val="111111"/>
          <w:sz w:val="28"/>
          <w:sz w:val="28"/>
          <w:szCs w:val="28"/>
          <w:rtl w:val="true"/>
          <w:lang w:bidi="ar-SA"/>
        </w:rPr>
        <w:t xml:space="preserve">المفيد و رجع عنه في الرسالة إلى ولده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أبرزنا من أنّ شيخ الطائفة لم يقل بنجاسة العرق المفروض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ألحقه بالنجاسات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المدلول عليه بكلامه وجوب الإزالة، لكنّه لا تعويل عليه عند عدوله </w:t>
      </w:r>
      <w:bookmarkStart w:id="107" w:name="pg8074_124637"/>
    </w:p>
    <w:p>
      <w:pPr>
        <w:pStyle w:val="BookText"/>
        <w:rPr/>
      </w:pPr>
      <w:bookmarkEnd w:id="107"/>
      <w:r>
        <w:rPr>
          <w:rFonts w:ascii="Amiri" w:hAnsi="Amiri" w:eastAsia="Amiri" w:cs="Amiri"/>
          <w:color w:val="111111"/>
          <w:sz w:val="28"/>
          <w:sz w:val="28"/>
          <w:szCs w:val="28"/>
          <w:rtl w:val="true"/>
          <w:lang w:bidi="ar-SA"/>
        </w:rPr>
        <w:t xml:space="preserve">عنه في المبسوط المتأخّر عنه، كما فصّلنا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شيخنا المفيد، فقد تبيّن الحال فيه </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7777352_1051229030"/>
      <w:bookmarkStart w:id="109" w:name="_Toc38"/>
      <w:bookmarkEnd w:id="108"/>
      <w:r>
        <w:rPr>
          <w:rtl w:val="true"/>
        </w:rPr>
        <w:t>الاشتباه الّذي صدر من صاحب كشف الرموز</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صاحب كشف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لصاحب كشف الرموز، حيث نسب القول بنجاسة عرق الجنب من الحرام إلى الشيخين، لما فصّلنا من أنّ شيخنا المفيد لم يقل بذلك و إن أوهم ذلك صدر كلامه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التسليم قد علمت رجوعه عنه، فلا يليق النسبة إليه ما هو أذعن بخلافه ؛ و كذا الحال شيخنا الطوسي </w:t>
      </w:r>
      <w:r>
        <w:rPr>
          <w:rStyle w:val="FootnoteAnchor"/>
          <w:rtl w:val="true"/>
        </w:rPr>
        <w:footnoteReference w:id="225"/>
      </w:r>
      <w:r>
        <w:rPr>
          <w:rFonts w:ascii="Amiri" w:hAnsi="Amiri" w:eastAsia="Amiri" w:cs="Amiri"/>
          <w:color w:val="111111"/>
          <w:sz w:val="28"/>
          <w:sz w:val="28"/>
          <w:szCs w:val="28"/>
          <w:rtl w:val="true"/>
          <w:lang w:bidi="ar-SA"/>
        </w:rPr>
        <w:t xml:space="preserve">، كما أبرزناه فيما سلف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7777354_1051229030"/>
      <w:bookmarkStart w:id="111" w:name="_Toc39"/>
      <w:bookmarkEnd w:id="110"/>
      <w:r>
        <w:rPr>
          <w:rtl w:val="true"/>
        </w:rPr>
        <w:t>الاشتباه الّذي صدر صاحب التنقيح والمهذّب</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صاحب التنقيح والمهذّب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صاحب التنقيح والمهذّب، قال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بنجاسته الشيخان و ابن بابويه و ابن البّراج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 xml:space="preserve">: </w:t>
      </w:r>
      <w:bookmarkStart w:id="112" w:name="pg8074_124638"/>
    </w:p>
    <w:p>
      <w:pPr>
        <w:pStyle w:val="BookText"/>
        <w:rPr/>
      </w:pPr>
      <w:bookmarkEnd w:id="112"/>
      <w:r>
        <w:rPr>
          <w:rFonts w:ascii="Amiri" w:hAnsi="Amiri" w:eastAsia="Amiri" w:cs="Amiri"/>
          <w:color w:val="111111"/>
          <w:sz w:val="28"/>
          <w:sz w:val="28"/>
          <w:szCs w:val="28"/>
          <w:rtl w:val="true"/>
          <w:lang w:bidi="ar-SA"/>
        </w:rPr>
        <w:t xml:space="preserve">و فيه قولان،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 هو مذهب الشيخين، و به قال الصدوق</w:t>
      </w:r>
    </w:p>
    <w:p>
      <w:pPr>
        <w:pStyle w:val="BookText"/>
        <w:rPr/>
      </w:pPr>
      <w:r>
        <w:rPr>
          <w:rFonts w:ascii="Amiri" w:hAnsi="Amiri" w:eastAsia="Amiri" w:cs="Amiri"/>
          <w:color w:val="111111"/>
          <w:sz w:val="28"/>
          <w:sz w:val="28"/>
          <w:szCs w:val="28"/>
          <w:rtl w:val="true"/>
          <w:lang w:bidi="ar-SA"/>
        </w:rPr>
        <w:t xml:space="preserve">والقاضي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الحال فيهما ممّا سلف </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7777356_1051229030"/>
      <w:bookmarkStart w:id="114" w:name="_Toc40"/>
      <w:bookmarkEnd w:id="113"/>
      <w:r>
        <w:rPr>
          <w:rtl w:val="true"/>
        </w:rPr>
        <w:t>الاشتباه الّذي صدر من صاحب المدارك</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صاحب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صاحب المدارك،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الأصحاب في حكمه، فذهب الشيخان و أتباعهما وابن بابويه إلى نجاسته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الشيخان وابن بابويه، فقد اتّضح الحال فيهم ممّا أسلفناه، فلا حاجة إلى الإعادة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أتباع الشيخين، فالقدر المسلّم منهم هو القاضي ابن البرّاج، وأمّا غيره فلم يتبيّن لي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ابن زهرة عزى إلحاقه بالنجاسات إلى الأصحاب، وقد علمت الحال في ذلك </w:t>
      </w:r>
      <w:r>
        <w:rPr>
          <w:rFonts w:eastAsia="Amiri" w:cs="Amiri" w:ascii="Amiri" w:hAnsi="Amiri"/>
          <w:color w:val="111111"/>
          <w:sz w:val="28"/>
          <w:szCs w:val="28"/>
          <w:rtl w:val="true"/>
          <w:lang w:bidi="ar-SA"/>
        </w:rPr>
        <w:t xml:space="preserve">. </w:t>
      </w:r>
      <w:bookmarkStart w:id="115" w:name="pg8074_124639"/>
    </w:p>
    <w:p>
      <w:pPr>
        <w:pStyle w:val="Heading2"/>
        <w:numPr>
          <w:ilvl w:val="1"/>
          <w:numId w:val="1"/>
        </w:numPr>
        <w:rPr/>
      </w:pPr>
      <w:bookmarkStart w:id="116" w:name="__RefHeading___Toc7777358_1051229030"/>
      <w:bookmarkStart w:id="117" w:name="_Toc41"/>
      <w:bookmarkEnd w:id="115"/>
      <w:bookmarkEnd w:id="116"/>
      <w:r>
        <w:rPr>
          <w:rtl w:val="true"/>
        </w:rPr>
        <w:t xml:space="preserve">الاشتباه الّذي صدر من الأستاد </w:t>
      </w:r>
      <w:r>
        <w:rPr>
          <w:rtl w:val="true"/>
        </w:rPr>
        <w:t xml:space="preserve">: </w:t>
      </w:r>
      <w:r>
        <w:rPr>
          <w:rtl w:val="true"/>
        </w:rPr>
        <w:t>الوحيد البهبهانيّ قدس‌سره</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الّذي صدر من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من المحقّق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روحه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على المفاتيح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الشيخ في الخلاف الإجماع على نجاسته، و كذا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أصحابنا ألحقوا بالنجاسات عرق الجنب من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سلاّر فنسب إلى أصحابنا لكن خالفهم </w:t>
      </w:r>
      <w:r>
        <w:rPr>
          <w:rStyle w:val="FootnoteAnchor"/>
          <w:rtl w:val="true"/>
        </w:rPr>
        <w:footnoteReference w:id="229"/>
      </w:r>
      <w:r>
        <w:rPr>
          <w:rFonts w:ascii="Amiri" w:hAnsi="Amiri" w:eastAsia="Amiri" w:cs="Amiri"/>
          <w:color w:val="111111"/>
          <w:sz w:val="28"/>
          <w:sz w:val="28"/>
          <w:szCs w:val="28"/>
          <w:rtl w:val="true"/>
          <w:lang w:bidi="ar-SA"/>
        </w:rPr>
        <w:t xml:space="preserve">، والمفيد في المقنعة صرّح بوجوب غسل الثوب والجسد منه ؛ و كذلك الشيخ في الخلاف والنهاية و غيرهما، بل عرفت أنّه ادّعى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أيضًا صرّح بوجوب غسل الثوب منه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تعالى مرقده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مستند القائلين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على حسب ما عرفت،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الشيخ في الخلاف احتجّ على ذلك بالإجماع و طريقة الاحتياط </w:t>
      </w:r>
    </w:p>
    <w:p>
      <w:pPr>
        <w:pStyle w:val="BookText"/>
        <w:rPr/>
      </w:pPr>
      <w:r>
        <w:rPr>
          <w:rFonts w:ascii="Amiri" w:hAnsi="Amiri" w:eastAsia="Amiri" w:cs="Amiri"/>
          <w:color w:val="111111"/>
          <w:sz w:val="28"/>
          <w:sz w:val="28"/>
          <w:szCs w:val="28"/>
          <w:rtl w:val="true"/>
          <w:lang w:bidi="ar-SA"/>
        </w:rPr>
        <w:t xml:space="preserve">والأخبار، من دون تعرّض لذكرها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من الاحتياط أنّ شغل الذمّة اليقينيّ يستدعي البراءة</w:t>
      </w:r>
    </w:p>
    <w:p>
      <w:pPr>
        <w:pStyle w:val="BookText"/>
        <w:rPr/>
      </w:pPr>
      <w:r>
        <w:rPr>
          <w:rFonts w:ascii="Amiri" w:hAnsi="Amiri" w:eastAsia="Amiri" w:cs="Amiri"/>
          <w:color w:val="111111"/>
          <w:sz w:val="28"/>
          <w:sz w:val="28"/>
          <w:szCs w:val="28"/>
          <w:rtl w:val="true"/>
          <w:lang w:bidi="ar-SA"/>
        </w:rPr>
        <w:t xml:space="preserve">اليقينيّة، و لا تحصل في العبادات إلاّ بالاجتناب، لكونها توقيفيّة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فعبارة الفقه الرضويّ </w:t>
      </w:r>
      <w:r>
        <w:rPr>
          <w:rStyle w:val="FootnoteAnchor"/>
          <w:rtl w:val="true"/>
        </w:rPr>
        <w:footnoteReference w:id="231"/>
      </w:r>
      <w:r>
        <w:rPr>
          <w:rFonts w:ascii="Amiri" w:hAnsi="Amiri" w:eastAsia="Amiri" w:cs="Amiri"/>
          <w:color w:val="111111"/>
          <w:sz w:val="28"/>
          <w:sz w:val="28"/>
          <w:szCs w:val="28"/>
          <w:rtl w:val="true"/>
          <w:lang w:bidi="ar-SA"/>
        </w:rPr>
        <w:t xml:space="preserve">المنجبرة بها و بالشهرة العظيمة لو لم نقل بالإجماع، و رواية محمّد بن همام بسنده إلى إدريس بن زياد الكفرثوثي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بالوقف، فدخل سرّ من رأى في عهد أبي الحسن عليه‌السلام و أراد أن يسأله عن الثوب الّذي يعرق فيه الجنب أيصلّي فيه ؟ فبينا هو قائم في طاق باب لانتظاره عليه‌السلام، حرّكه أبوالحسن عليه‌السلام</w:t>
      </w:r>
    </w:p>
    <w:p>
      <w:pPr>
        <w:pStyle w:val="BookText"/>
        <w:rPr/>
      </w:pPr>
      <w:r>
        <w:rPr>
          <w:rFonts w:ascii="Amiri" w:hAnsi="Amiri" w:eastAsia="Amiri" w:cs="Amiri"/>
          <w:color w:val="111111"/>
          <w:sz w:val="28"/>
          <w:sz w:val="28"/>
          <w:szCs w:val="28"/>
          <w:rtl w:val="true"/>
          <w:lang w:bidi="ar-SA"/>
        </w:rPr>
        <w:t xml:space="preserve">بمقرعة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حلالٍ فصلّ فيه، وإن كان من حرامٍ فلا تصلّ فيه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من الروايات المعلومة المذكورة في كتب أصول الدين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إمامة الأئمّة عليهم‌السلام، و بها أثبتوا إمامة أبي الحسن عليه‌السلام، ذكروها في الكتب المذكورة على غاية الاعتماد و نهاية الاعتداد، بل على سبيل حصول العلم ؛ فلاحظ الكتب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و كشف الغمّة، و غيرهما، مع انجبارها بالإجماعات المنقولة، والفقه الرضويّ، والشهرة </w:t>
      </w:r>
      <w:bookmarkStart w:id="118" w:name="pg8074_124641"/>
    </w:p>
    <w:p>
      <w:pPr>
        <w:pStyle w:val="BookText"/>
        <w:rPr/>
      </w:pPr>
      <w:bookmarkEnd w:id="118"/>
      <w:r>
        <w:rPr>
          <w:rFonts w:ascii="Amiri" w:hAnsi="Amiri" w:eastAsia="Amiri" w:cs="Amiri"/>
          <w:color w:val="111111"/>
          <w:sz w:val="28"/>
          <w:sz w:val="28"/>
          <w:szCs w:val="28"/>
          <w:rtl w:val="true"/>
          <w:lang w:bidi="ar-SA"/>
        </w:rPr>
        <w:t xml:space="preserve">العظيمة بين المتقدّمين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في جنّة الخلد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والخدشة فيه من وجوه </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7777360_1051229030"/>
      <w:bookmarkStart w:id="120" w:name="_Toc42"/>
      <w:bookmarkEnd w:id="119"/>
      <w:r>
        <w:rPr>
          <w:rtl w:val="true"/>
        </w:rPr>
        <w:t>الوجه الأوّل من وجوه الإشكال في كلام الأستاد</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من وجوه الإشكال في كلام الأستاد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شيخ الطائفة ادّعى الإجماع في الخلاف على نجاسته، فإنّك قد علمت ممّا فصّلناه فيما سلف أنّ دعوى الإجماع في الخلاف ليست على النجاسة، بل على حرمة الصلاة فيه، بل 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كراهة الصلاة فيه كراهة 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المطلب وإن نبّهنا عليه فيما سلف، لكنّا أعدنا الكلام فيه تأكيدًا للمطلب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عرق الجنب إذا كانت الجنابة من الحرام حرم </w:t>
      </w:r>
      <w:r>
        <w:rPr>
          <w:rStyle w:val="FootnoteAnchor"/>
          <w:rtl w:val="true"/>
        </w:rPr>
        <w:footnoteReference w:id="235"/>
      </w:r>
      <w:r>
        <w:rPr>
          <w:rFonts w:ascii="Amiri" w:hAnsi="Amiri" w:eastAsia="Amiri" w:cs="Amiri"/>
          <w:color w:val="111111"/>
          <w:sz w:val="28"/>
          <w:sz w:val="28"/>
          <w:szCs w:val="28"/>
          <w:rtl w:val="true"/>
          <w:lang w:bidi="ar-SA"/>
        </w:rPr>
        <w:t xml:space="preserve">الصلاة فيه، وإن كانت من حلال فلا بأس بالصلاة فيه، و أجاز الفقهاء كلّهم ذلك ولم يفصّلوا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 طريقة الاحتياط، والأخبار الّتي ذكرناها في الكتابين المقدّم ذكرهما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 أنّ دعوى الإجماع فيه على حرمة الصلاة في عرق الجنب من الحرام،</w:t>
      </w:r>
    </w:p>
    <w:p>
      <w:pPr>
        <w:pStyle w:val="BookText"/>
        <w:rPr/>
      </w:pPr>
      <w:r>
        <w:rPr>
          <w:rFonts w:ascii="Amiri" w:hAnsi="Amiri" w:eastAsia="Amiri" w:cs="Amiri"/>
          <w:color w:val="111111"/>
          <w:sz w:val="28"/>
          <w:sz w:val="28"/>
          <w:szCs w:val="28"/>
          <w:rtl w:val="true"/>
          <w:lang w:bidi="ar-SA"/>
        </w:rPr>
        <w:t xml:space="preserve">لا على نجاسته ؛ والنجاسة وإن كانت مستلزمة لحرمة الصلاة، لكن حرمة الصلاة في شيء لا يستلزم أن يكون نجسًا، لاجتماعها معها مرّة وافتراقها عنها أخرى، كما في أجزاء غير مأكول اللحم من طاهر العين،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الإجماع في الخلاف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العبارة وإن كان موهمًا لكون دعوى الإجماع على حرمة الصلاة، لكن بعد انضمام هذا الكلام إلى بعض كلماته الأخر لايبعد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على كراهة الصلاة مع هذا العرق كراهة 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في هذا المرام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ممّا </w:t>
      </w:r>
      <w:r>
        <w:rPr>
          <w:rStyle w:val="FootnoteAnchor"/>
          <w:rtl w:val="true"/>
        </w:rPr>
        <w:footnoteReference w:id="237"/>
      </w:r>
      <w:r>
        <w:rPr>
          <w:rFonts w:ascii="Amiri" w:hAnsi="Amiri" w:eastAsia="Amiri" w:cs="Amiri"/>
          <w:color w:val="111111"/>
          <w:sz w:val="28"/>
          <w:sz w:val="28"/>
          <w:szCs w:val="28"/>
          <w:rtl w:val="true"/>
          <w:lang w:bidi="ar-SA"/>
        </w:rPr>
        <w:t xml:space="preserve">أوردناه في أوائل المبحث أنّ شيخ الطائفة قال في مباحث الصلاة من المبسوط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الصلاة في ثوب الحائض ما لم يعلم فيه نجاسة، و كذلك في ثوب الجنب، فإن عرق فيه و كانت الجنابة من </w:t>
      </w:r>
      <w:r>
        <w:rPr>
          <w:rStyle w:val="FootnoteAnchor"/>
          <w:rtl w:val="true"/>
        </w:rPr>
        <w:footnoteReference w:id="238"/>
      </w:r>
      <w:r>
        <w:rPr>
          <w:rFonts w:ascii="Amiri" w:hAnsi="Amiri" w:eastAsia="Amiri" w:cs="Amiri"/>
          <w:color w:val="111111"/>
          <w:sz w:val="28"/>
          <w:sz w:val="28"/>
          <w:szCs w:val="28"/>
          <w:rtl w:val="true"/>
          <w:lang w:bidi="ar-SA"/>
        </w:rPr>
        <w:t xml:space="preserve">حرام روى أصحابنا أنّه لايجوز </w:t>
      </w:r>
      <w:r>
        <w:rPr>
          <w:rStyle w:val="FootnoteAnchor"/>
          <w:rtl w:val="true"/>
        </w:rPr>
        <w:footnoteReference w:id="239"/>
      </w:r>
      <w:r>
        <w:rPr>
          <w:rFonts w:ascii="Amiri" w:hAnsi="Amiri" w:eastAsia="Amiri" w:cs="Amiri"/>
          <w:color w:val="111111"/>
          <w:sz w:val="28"/>
          <w:sz w:val="28"/>
          <w:szCs w:val="28"/>
          <w:rtl w:val="true"/>
          <w:lang w:bidi="ar-SA"/>
        </w:rPr>
        <w:t xml:space="preserve">الصلاة فيه، و إن كان من حلال لم يكن به بأس، و يقوى في نفسي أنّ ذلك تغليظ في الكراهة </w:t>
      </w:r>
      <w:r>
        <w:rPr>
          <w:rStyle w:val="FootnoteAnchor"/>
          <w:rtl w:val="true"/>
        </w:rPr>
        <w:footnoteReference w:id="240"/>
      </w:r>
      <w:r>
        <w:rPr>
          <w:rFonts w:ascii="Amiri" w:hAnsi="Amiri" w:eastAsia="Amiri" w:cs="Amiri"/>
          <w:color w:val="111111"/>
          <w:sz w:val="28"/>
          <w:sz w:val="28"/>
          <w:szCs w:val="28"/>
          <w:rtl w:val="true"/>
          <w:lang w:bidi="ar-SA"/>
        </w:rPr>
        <w:t xml:space="preserve">دون فساد الصلاة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انتهى كلام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ذكره الصدوقان، الولد في المجالس والفقيه والهداية و في المقنع، لكن حكايةً عن والده، فلاحظ ما أوردناه عنها في أوّل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الرواية على المعنى المذكور و إن كان بعيدًا، لكن لمّا لم يوجد في رواية الأصحاب ما ذكره، لابدّ من حمله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إدريس بن زياد يكفي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حمل كلام المبسوط على ذلك،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ذكر الرواية في التهذيب والاستبصار، بل و لا في شيء من كتبه، فكيف يكون مستنده في الحكم المذكور مع أنّه لم يورده في شيء من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يصدق عليه أنّه ممّا رواه أصحابنا، فحمله على ما ذكرناه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الطائفة قد أخبر بأنّ المراد من عدم جواز الصلاة مع عرق الجنب من الحرام كراهةُ الصلاة معه كراهة مغلظة، فحينئذٍ يكون دعوى الإجماع في الخلاف على ذلك،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في الخلاف على حرمة الصلاة معه، فضلاً عن النجاسة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الإغماض و تسليم إجماع الخلاف على حرمة الصلاة معه، أو </w:t>
      </w:r>
      <w:bookmarkStart w:id="121" w:name="pg8074_124644"/>
    </w:p>
    <w:p>
      <w:pPr>
        <w:pStyle w:val="BookText"/>
        <w:rPr/>
      </w:pPr>
      <w:bookmarkEnd w:id="121"/>
      <w:r>
        <w:rPr>
          <w:rFonts w:ascii="Amiri" w:hAnsi="Amiri" w:eastAsia="Amiri" w:cs="Amiri"/>
          <w:color w:val="111111"/>
          <w:sz w:val="28"/>
          <w:sz w:val="28"/>
          <w:szCs w:val="28"/>
          <w:rtl w:val="true"/>
          <w:lang w:bidi="ar-SA"/>
        </w:rPr>
        <w:t xml:space="preserve">على نجاسته،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التفات إليه بعد عدوله و رجوعه إلى الحكم بالكراهة في المبسوط المتأخّر عن الخلاف، فلا يمكن التمسّك بما في الخلاف لا في النجاسة ولا في الحرمة، كما لا يخفى </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7777362_1051229030"/>
      <w:bookmarkStart w:id="123" w:name="_Toc43"/>
      <w:bookmarkEnd w:id="122"/>
      <w:r>
        <w:rPr>
          <w:rtl w:val="true"/>
        </w:rPr>
        <w:t>الوجه الثاني من وجوه الإشكال في كلام الأستاد</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من وجوه الإشكال في كلام الأستاد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شيخنا المفيد في المقنعة من أنّه صرّح بوجوب غسل الثوب والجسد معه </w:t>
      </w:r>
      <w:r>
        <w:rPr>
          <w:rStyle w:val="FootnoteAnchor"/>
          <w:rtl w:val="true"/>
        </w:rPr>
        <w:footnoteReference w:id="242"/>
      </w:r>
      <w:r>
        <w:rPr>
          <w:rFonts w:ascii="Amiri" w:hAnsi="Amiri" w:eastAsia="Amiri" w:cs="Amiri"/>
          <w:color w:val="111111"/>
          <w:sz w:val="28"/>
          <w:sz w:val="28"/>
          <w:szCs w:val="28"/>
          <w:rtl w:val="true"/>
          <w:lang w:bidi="ar-SA"/>
        </w:rPr>
        <w:t xml:space="preserve">؛ و كذلك الشيخ في الخلاف و النهاية، فإنّه أيضًا مخالفٌ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المقنعة، فلما نبّهنا عليه فيما سلف من أنّ صدر كلامه وإن أوهم وجود غسل الثوب والجسد، لكن تعبيره بالاحتياط في الآخر يرشد إلى خلافه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بعرق الحائض و الجنب، و لا يجب غسل الثوب منه إلاّ أن يكون </w:t>
      </w:r>
      <w:r>
        <w:rPr>
          <w:rStyle w:val="FootnoteAnchor"/>
          <w:rtl w:val="true"/>
        </w:rPr>
        <w:footnoteReference w:id="243"/>
      </w:r>
      <w:r>
        <w:rPr>
          <w:rFonts w:ascii="Amiri" w:hAnsi="Amiri" w:eastAsia="Amiri" w:cs="Amiri"/>
          <w:color w:val="111111"/>
          <w:sz w:val="28"/>
          <w:sz w:val="28"/>
          <w:szCs w:val="28"/>
          <w:rtl w:val="true"/>
          <w:lang w:bidi="ar-SA"/>
        </w:rPr>
        <w:t xml:space="preserve">الجنابة من حرام، فيغسل ما أصابه من عرق صاحبها من جسد و ثوب، و يعمل في الطهارة بالاحتياط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جزى اللّه تعالى شيخ الطائفة، فإنّه تفطّن بذلك، فعبّر بما يطابق الواقع، قال في مقام الاستدلال لما في التهذيب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يدلّ على أنّ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من حرام، فإنّه يغسل منها الثوب </w:t>
      </w:r>
      <w:r>
        <w:rPr>
          <w:rStyle w:val="FootnoteAnchor"/>
          <w:rtl w:val="true"/>
        </w:rPr>
        <w:footnoteReference w:id="246"/>
      </w:r>
      <w:r>
        <w:rPr>
          <w:rFonts w:ascii="Amiri" w:hAnsi="Amiri" w:eastAsia="Amiri" w:cs="Amiri"/>
          <w:color w:val="111111"/>
          <w:sz w:val="28"/>
          <w:sz w:val="28"/>
          <w:szCs w:val="28"/>
          <w:rtl w:val="true"/>
          <w:lang w:bidi="ar-SA"/>
        </w:rPr>
        <w:t xml:space="preserve">احتياطًا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في كشف اللثام احتمالاً،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كلامه الاحتياط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حمله الشيخ، فالنسبة إليه بأنّه صرّح بوجوب غسل الثوب والجسد،</w:t>
      </w:r>
    </w:p>
    <w:p>
      <w:pPr>
        <w:pStyle w:val="BookText"/>
        <w:rPr/>
      </w:pPr>
      <w:r>
        <w:rPr>
          <w:rFonts w:ascii="Amiri" w:hAnsi="Amiri" w:eastAsia="Amiri" w:cs="Amiri"/>
          <w:color w:val="111111"/>
          <w:sz w:val="28"/>
          <w:sz w:val="28"/>
          <w:szCs w:val="28"/>
          <w:rtl w:val="true"/>
          <w:lang w:bidi="ar-SA"/>
        </w:rPr>
        <w:t xml:space="preserve">لايخفى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الخلاف، فإنّ الأمر فيه أظهر، فإنّه لم يتعرّض للغسل أصلاً، فلاحظ عبارته السالفة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النهاية </w:t>
      </w:r>
      <w:r>
        <w:rPr>
          <w:rStyle w:val="FootnoteAnchor"/>
          <w:rtl w:val="true"/>
        </w:rPr>
        <w:footnoteReference w:id="250"/>
      </w:r>
      <w:r>
        <w:rPr>
          <w:rFonts w:ascii="Amiri" w:hAnsi="Amiri" w:eastAsia="Amiri" w:cs="Amiri"/>
          <w:color w:val="111111"/>
          <w:sz w:val="28"/>
          <w:sz w:val="28"/>
          <w:szCs w:val="28"/>
          <w:rtl w:val="true"/>
          <w:lang w:bidi="ar-SA"/>
        </w:rPr>
        <w:t xml:space="preserve">، فهو أيضًا وإن لم يكن فيه تصريح بوجوب الغسل، لكنّه ظاهرٌ فيه، إلاّ أنّك قد علمت الجواب عنه من أنّ هذا الظهور لا اعتناء به بعد التصريح في المبسوط المتأخّر عنه بالكراهة </w:t>
      </w:r>
      <w:r>
        <w:rPr>
          <w:rFonts w:eastAsia="Amiri" w:cs="Amiri" w:ascii="Amiri" w:hAnsi="Amiri"/>
          <w:color w:val="111111"/>
          <w:sz w:val="28"/>
          <w:szCs w:val="28"/>
          <w:rtl w:val="true"/>
          <w:lang w:bidi="ar-SA"/>
        </w:rPr>
        <w:t xml:space="preserve">. </w:t>
      </w:r>
      <w:bookmarkStart w:id="124" w:name="pg8074_124646"/>
    </w:p>
    <w:p>
      <w:pPr>
        <w:pStyle w:val="Heading2"/>
        <w:numPr>
          <w:ilvl w:val="1"/>
          <w:numId w:val="1"/>
        </w:numPr>
        <w:rPr/>
      </w:pPr>
      <w:bookmarkStart w:id="125" w:name="__RefHeading___Toc7777364_1051229030"/>
      <w:bookmarkStart w:id="126" w:name="_Toc44"/>
      <w:bookmarkEnd w:id="124"/>
      <w:bookmarkEnd w:id="125"/>
      <w:r>
        <w:rPr>
          <w:rtl w:val="true"/>
        </w:rPr>
        <w:t>الوجه الثالث من وجوه الإشكال في كلام الأستاد</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من وجوه الإشكال في كلام الأستاد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مستند القائلين بالنجاسة</w:t>
      </w:r>
    </w:p>
    <w:p>
      <w:pPr>
        <w:pStyle w:val="BookText"/>
        <w:rPr/>
      </w:pPr>
      <w:r>
        <w:rPr>
          <w:rFonts w:ascii="Amiri" w:hAnsi="Amiri" w:eastAsia="Amiri" w:cs="Amiri"/>
          <w:color w:val="111111"/>
          <w:sz w:val="28"/>
          <w:sz w:val="28"/>
          <w:szCs w:val="28"/>
          <w:rtl w:val="true"/>
          <w:lang w:bidi="ar-SA"/>
        </w:rPr>
        <w:t xml:space="preserve">الإجماعات المنقولة، فإنّ الظاهر أنّ المراد من الإجماعات ما في الخلاف والأمالي والغنية والمراسم، أحسنها إجماع الخلاف، و قد علمت ممّا أبرزنا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الغنية والمراسم، لوضوح أنّه ليس فيهما لفظ الإجماع، بل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ألحق أصحابنا بالنجاسات عرق الإبل الجلاّلة، و عرق الجنب إذا</w:t>
      </w:r>
    </w:p>
    <w:p>
      <w:pPr>
        <w:pStyle w:val="BookText"/>
        <w:rPr/>
      </w:pPr>
      <w:r>
        <w:rPr>
          <w:rFonts w:ascii="IRNazanin" w:hAnsi="IRNazanin" w:eastAsia="IRNazanin"/>
          <w:color w:val="111111"/>
          <w:sz w:val="28"/>
          <w:sz w:val="28"/>
          <w:szCs w:val="28"/>
          <w:rtl w:val="true"/>
          <w:lang w:bidi="fa-IR"/>
        </w:rPr>
        <w:t xml:space="preserve">أجنب من الحرام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علمت ممّا فصّلناه أنّ القائل الصريح </w:t>
      </w:r>
      <w:r>
        <w:rPr>
          <w:rStyle w:val="FootnoteAnchor"/>
          <w:rtl w:val="true"/>
        </w:rPr>
        <w:footnoteReference w:id="252"/>
      </w:r>
      <w:r>
        <w:rPr>
          <w:rFonts w:ascii="Amiri" w:hAnsi="Amiri" w:eastAsia="Amiri" w:cs="Amiri"/>
          <w:color w:val="111111"/>
          <w:sz w:val="28"/>
          <w:sz w:val="28"/>
          <w:szCs w:val="28"/>
          <w:rtl w:val="true"/>
          <w:lang w:bidi="ar-SA"/>
        </w:rPr>
        <w:t>بالنجاسة غير معلوم، عدا القاضي</w:t>
      </w:r>
    </w:p>
    <w:p>
      <w:pPr>
        <w:pStyle w:val="BookText"/>
        <w:rPr/>
      </w:pPr>
      <w:r>
        <w:rPr>
          <w:rFonts w:ascii="Amiri" w:hAnsi="Amiri" w:eastAsia="Amiri" w:cs="Amiri"/>
          <w:color w:val="111111"/>
          <w:sz w:val="28"/>
          <w:sz w:val="28"/>
          <w:szCs w:val="28"/>
          <w:rtl w:val="true"/>
          <w:lang w:bidi="ar-SA"/>
        </w:rPr>
        <w:t xml:space="preserve">ابن البرّاج، فالقول بأنّ الأصحاب ألحقوا عرق الجنب من الحرام بالنجاسات اشتباهٌ نشأ من ملاحظة كلام الشيخ في الخلاف و غيره من دون تعمّق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w:t>
      </w:r>
      <w:r>
        <w:rPr>
          <w:rStyle w:val="FootnoteAnchor"/>
          <w:rtl w:val="true"/>
        </w:rPr>
        <w:footnoteReference w:id="253"/>
      </w:r>
      <w:r>
        <w:rPr>
          <w:rFonts w:ascii="Amiri" w:hAnsi="Amiri" w:eastAsia="Amiri" w:cs="Amiri"/>
          <w:color w:val="111111"/>
          <w:sz w:val="28"/>
          <w:sz w:val="28"/>
          <w:szCs w:val="28"/>
          <w:rtl w:val="true"/>
          <w:lang w:bidi="ar-SA"/>
        </w:rPr>
        <w:t xml:space="preserve">كلام المراسم، فلاحظ ما بيّناه في بيان حالهما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عبارة الأمالي،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المجلس الثالث والتسعين </w:t>
      </w:r>
    </w:p>
    <w:p>
      <w:pPr>
        <w:pStyle w:val="BookText"/>
        <w:rPr/>
      </w:pPr>
      <w:r>
        <w:rPr>
          <w:rFonts w:ascii="Amiri" w:hAnsi="Amiri" w:eastAsia="Amiri" w:cs="Amiri"/>
          <w:color w:val="111111"/>
          <w:sz w:val="28"/>
          <w:sz w:val="28"/>
          <w:szCs w:val="28"/>
          <w:rtl w:val="true"/>
          <w:lang w:bidi="ar-SA"/>
        </w:rPr>
        <w:t xml:space="preserve">الموضوع للإملاء على المشايخ و أهل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دين الإماميّة على الإيجاز والاختصار، فقال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الإماميّة هو الإقرار بتوحيد اللّه تعالى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عرق الجنب في ثوبه و كانت الجنابة من حلال، فحلال الصلاة في</w:t>
      </w:r>
    </w:p>
    <w:p>
      <w:pPr>
        <w:pStyle w:val="BookText"/>
        <w:rPr/>
      </w:pPr>
      <w:r>
        <w:rPr>
          <w:rFonts w:ascii="Amiri" w:hAnsi="Amiri" w:eastAsia="Amiri" w:cs="Amiri"/>
          <w:color w:val="111111"/>
          <w:sz w:val="28"/>
          <w:sz w:val="28"/>
          <w:szCs w:val="28"/>
          <w:rtl w:val="true"/>
          <w:lang w:bidi="ar-SA"/>
        </w:rPr>
        <w:t xml:space="preserve">الثوب، و إن كانت من حرام فحرام الصلاة في الثوب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الإجماع من هذا الكلام غير ظاهرة، إذ غاية ما يستفاد منه أنّ صاحب هذا الكلام يعتقد أنّ الثابت في دين الإماميّة ذلك، سواء كان ذلك محلّ إجماع بينهم، أو لا ؛ فلو فرض المسألة خلافيّة، و كلّ مَن رجّح أحد طرفي الخلاف يعتقد أنّه الثابت في دين الإماميّة،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 إلى ذلك أنّ من جملة المسائل المذكورة في ذلك المجلس وجوبُ الجهر في البسملة عند افتتاح الفاتحة والسورة، و كذا وجوب قراءة الجمعة والمنافقين في صلاة الظهر يوم الجمعة، و حصر موجب سجدتي السهو في ثلاثة أو في أربعة، 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w:t>
      </w:r>
      <w:r>
        <w:rPr>
          <w:rStyle w:val="FootnoteAnchor"/>
          <w:rtl w:val="true"/>
        </w:rPr>
        <w:footnoteReference w:id="255"/>
      </w:r>
      <w:r>
        <w:rPr>
          <w:rFonts w:ascii="Amiri" w:hAnsi="Amiri" w:eastAsia="Amiri" w:cs="Amiri"/>
          <w:color w:val="111111"/>
          <w:sz w:val="28"/>
          <w:sz w:val="28"/>
          <w:szCs w:val="28"/>
          <w:rtl w:val="true"/>
          <w:lang w:bidi="ar-SA"/>
        </w:rPr>
        <w:t xml:space="preserve">سجدتا السهو على المصلّي إلاّ إذا قام في حال قعوده </w:t>
      </w:r>
      <w:r>
        <w:rPr>
          <w:rStyle w:val="FootnoteAnchor"/>
          <w:rtl w:val="true"/>
        </w:rPr>
        <w:footnoteReference w:id="256"/>
      </w:r>
      <w:r>
        <w:rPr>
          <w:rFonts w:ascii="IRNazanin" w:hAnsi="IRNazanin" w:eastAsia="IRNazanin"/>
          <w:color w:val="111111"/>
          <w:sz w:val="28"/>
          <w:sz w:val="28"/>
          <w:szCs w:val="28"/>
          <w:rtl w:val="true"/>
          <w:lang w:bidi="fa-IR"/>
        </w:rPr>
        <w:t xml:space="preserve">، </w:t>
      </w:r>
      <w:bookmarkStart w:id="127" w:name="pg8074_124648"/>
    </w:p>
    <w:p>
      <w:pPr>
        <w:pStyle w:val="BookText"/>
        <w:rPr/>
      </w:pPr>
      <w:bookmarkEnd w:id="127"/>
      <w:r>
        <w:rPr>
          <w:rFonts w:ascii="Amiri" w:hAnsi="Amiri" w:eastAsia="Amiri" w:cs="Amiri"/>
          <w:color w:val="111111"/>
          <w:sz w:val="28"/>
          <w:sz w:val="28"/>
          <w:szCs w:val="28"/>
          <w:rtl w:val="true"/>
          <w:lang w:bidi="ar-SA"/>
        </w:rPr>
        <w:t xml:space="preserve">أو قعد في حال قيامه </w:t>
      </w:r>
      <w:r>
        <w:rPr>
          <w:rStyle w:val="FootnoteAnchor"/>
          <w:rtl w:val="true"/>
        </w:rPr>
        <w:footnoteReference w:id="257"/>
      </w:r>
      <w:r>
        <w:rPr>
          <w:rFonts w:ascii="Amiri" w:hAnsi="Amiri" w:eastAsia="Amiri" w:cs="Amiri"/>
          <w:color w:val="111111"/>
          <w:sz w:val="28"/>
          <w:sz w:val="28"/>
          <w:szCs w:val="28"/>
          <w:rtl w:val="true"/>
          <w:lang w:bidi="ar-SA"/>
        </w:rPr>
        <w:t xml:space="preserve">، أو ترك التشهّد، أو لم يدر زاد في صلاته أو </w:t>
      </w:r>
      <w:r>
        <w:rPr>
          <w:rStyle w:val="FootnoteAnchor"/>
          <w:rtl w:val="true"/>
        </w:rPr>
        <w:footnoteReference w:id="258"/>
      </w:r>
      <w:r>
        <w:rPr>
          <w:rFonts w:ascii="IRNazanin" w:hAnsi="IRNazanin" w:eastAsia="IRNazanin"/>
          <w:color w:val="111111"/>
          <w:sz w:val="28"/>
          <w:sz w:val="28"/>
          <w:szCs w:val="28"/>
          <w:rtl w:val="true"/>
          <w:lang w:bidi="fa-IR"/>
        </w:rPr>
        <w:t xml:space="preserve">نقص منها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ترك السجدة مع أنّ الشهرة العظيمة بل يمكن دعوى الإجماع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أنّ المراد بيان ما اعتقده أنّه الثابت في دين الإماميّة، سواء كان محلّ وفاقهم،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الإغماض عنه قد علمت أنّ المدلول عليه بذلك الكلام عدم جواز الصلاة في الثوب الّذي فيه عرق الجنب من الحرام، و هو غير مستلزم للنجاسة كما علمت، فالتمسّك به لإثبات النجاسة غيرُ سديد، لا سيّما بعد ما علمت من كلام شيخ الطائفة في المبسوط من حمله على الكراهة المغلظة على الاحتمال الظاهر </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7777366_1051229030"/>
      <w:bookmarkStart w:id="129" w:name="_Toc45"/>
      <w:bookmarkEnd w:id="128"/>
      <w:r>
        <w:rPr>
          <w:rtl w:val="true"/>
        </w:rPr>
        <w:t>الوجه الرابع من وجوه الإشكال في كلام الأستاد</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من وجوه الإشكال في كلام الأستاد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الأخبار فعبارة الفقه الرضويّ المنجبرة بها و بالشهرة العظيمة لو </w:t>
      </w:r>
      <w:bookmarkStart w:id="130" w:name="pg8074_124649"/>
    </w:p>
    <w:p>
      <w:pPr>
        <w:pStyle w:val="BookText"/>
        <w:rPr/>
      </w:pPr>
      <w:bookmarkEnd w:id="130"/>
      <w:r>
        <w:rPr>
          <w:rFonts w:ascii="Amiri" w:hAnsi="Amiri" w:eastAsia="Amiri" w:cs="Amiri"/>
          <w:color w:val="111111"/>
          <w:sz w:val="28"/>
          <w:sz w:val="28"/>
          <w:szCs w:val="28"/>
          <w:rtl w:val="true"/>
          <w:lang w:bidi="ar-SA"/>
        </w:rPr>
        <w:t>لم نقل بالإجماع، و رواية محمّد بن همام بسنده إلى إدريس بن زياد</w:t>
      </w:r>
    </w:p>
    <w:p>
      <w:pPr>
        <w:pStyle w:val="BookText"/>
        <w:rPr/>
      </w:pPr>
      <w:r>
        <w:rPr>
          <w:rFonts w:ascii="Amiri" w:hAnsi="Amiri" w:eastAsia="Amiri" w:cs="Amiri"/>
          <w:color w:val="111111"/>
          <w:sz w:val="28"/>
          <w:sz w:val="28"/>
          <w:szCs w:val="28"/>
          <w:rtl w:val="true"/>
          <w:lang w:bidi="ar-SA"/>
        </w:rPr>
        <w:t xml:space="preserve">الكفرثوثي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سوق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منه بيان الأخبار الّتي أشير إليها في عبارة الخلاف،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يخفى ما فيه، إذ عبارة الخلاف صريحةٌ في أنّ المقصود الأخبار</w:t>
      </w:r>
    </w:p>
    <w:p>
      <w:pPr>
        <w:pStyle w:val="BookText"/>
        <w:rPr/>
      </w:pPr>
      <w:r>
        <w:rPr>
          <w:rFonts w:ascii="Amiri" w:hAnsi="Amiri" w:eastAsia="Amiri" w:cs="Amiri"/>
          <w:color w:val="111111"/>
          <w:sz w:val="28"/>
          <w:sz w:val="28"/>
          <w:szCs w:val="28"/>
          <w:rtl w:val="true"/>
          <w:lang w:bidi="ar-SA"/>
        </w:rPr>
        <w:t xml:space="preserve">المرويّة في التهذيب والاستبصار،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الّتي ذكرناها في الكتابين المقدّم ذكرهما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الفقه الرضويّ و رواية محمّد بن همام المرويّة في الذكرى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المنجبرة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بالإجماعات و بالشهرة، قد علمت ما في هذه الدعوى من كونها مخالفة للواقع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7777368_1051229030"/>
      <w:bookmarkStart w:id="132" w:name="_Toc46"/>
      <w:bookmarkEnd w:id="131"/>
      <w:r>
        <w:rPr>
          <w:rtl w:val="true"/>
        </w:rPr>
        <w:t>الوجه الخامس من وجوه الإشكال في كلام الأستاد</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الخامس من وجوه الإشكال في كلام الأستاد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تقوية الرواية المذكورة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الرواية من الروايات المعلومة المذكورة في كتب أصول الدين وإثبات إمامة الأئمّة عليهم‌السلام، و بها أثبتوا إمامة أبي الحسن عليه‌السلام، ذكروها في الكتب المذكورة على غاية الاعتماد و نهاية الاعتداد،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سبيل حصول العلم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فلاحظ الكتب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المفيد، و كشف الغمّة، و غيرهما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هذه الدعوى من عدم مطابقتها للواقع، لعدم مذكوريّة الرواية المذكورة لا في إرشاد المفيد، و لا في كشف الغمّة، بل و لا في إعلام الورى، ولا في الخرائج، بل الظاهر أنّها غير مذكورة إلاّ في الذكرى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ترى أنّ شيخنا الحرّ العامليّ والعلاّمة السميّ المجلسيّ والفاضل الهنديّ و غيرهم حكاها عن الذكرى </w:t>
      </w:r>
      <w:r>
        <w:rPr>
          <w:rStyle w:val="FootnoteAnchor"/>
          <w:rtl w:val="true"/>
        </w:rPr>
        <w:footnoteReference w:id="265"/>
      </w:r>
      <w:r>
        <w:rPr>
          <w:rFonts w:ascii="Amiri" w:hAnsi="Amiri" w:eastAsia="Amiri" w:cs="Amiri"/>
          <w:color w:val="111111"/>
          <w:sz w:val="28"/>
          <w:sz w:val="28"/>
          <w:szCs w:val="28"/>
          <w:rtl w:val="true"/>
          <w:lang w:bidi="ar-SA"/>
        </w:rPr>
        <w:t xml:space="preserve">، بل لم يتمسّك بها في البحار في مبحث إمامة مولانا أبي الحسن عليه‌السلام، مع تمسّكه بما رواه عن المعتمد في الأصول ممّا حكيناه </w:t>
      </w:r>
    </w:p>
    <w:p>
      <w:pPr>
        <w:pStyle w:val="BookText"/>
        <w:rPr/>
      </w:pPr>
      <w:r>
        <w:rPr>
          <w:rFonts w:ascii="Amiri" w:hAnsi="Amiri" w:eastAsia="Amiri" w:cs="Amiri"/>
          <w:color w:val="111111"/>
          <w:sz w:val="28"/>
          <w:sz w:val="28"/>
          <w:szCs w:val="28"/>
          <w:rtl w:val="true"/>
          <w:lang w:bidi="ar-SA"/>
        </w:rPr>
        <w:t xml:space="preserve">عنه فيما سلف، و إيرادهما في مباحث الطهارة عند التكلّم عن طهارة عرق الجنب من الحرام و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يرشد إلى عدم تمسّكهم بتلك الرواية في مبحث الإمامة، وإلاّ لتمسّك بها في البحار أيضًا ؛ و لمّا وصل إلى كتاب الطهارة رأى العلماء متمسّكين بها ذكرها هناك، فهو قرينةٌ ظاهرةٌ على عدم تمسّكهم بها في مباحث الإمامة، كما لا يخفى على ذي دُرْبَة و فطانة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شيخنا الإمام المسعوديّ تمسّك بما يقرب منها في كتاب إثبات الوصيّة</w:t>
      </w:r>
    </w:p>
    <w:p>
      <w:pPr>
        <w:pStyle w:val="BookText"/>
        <w:rPr/>
      </w:pPr>
      <w:r>
        <w:rPr>
          <w:rFonts w:ascii="Amiri" w:hAnsi="Amiri" w:eastAsia="Amiri" w:cs="Amiri"/>
          <w:color w:val="111111"/>
          <w:sz w:val="28"/>
          <w:sz w:val="28"/>
          <w:szCs w:val="28"/>
          <w:rtl w:val="true"/>
          <w:lang w:bidi="ar-SA"/>
        </w:rPr>
        <w:t xml:space="preserve">راويًا عن الراوي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التكلّم في إمامة مولانا أبي الحسن الثالث عليه‌السلام، فلا بأس بإيراده في المقام،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أحمد بن محمّد بن مابندار </w:t>
      </w:r>
      <w:r>
        <w:rPr>
          <w:rStyle w:val="FootnoteAnchor"/>
          <w:rtl w:val="true"/>
        </w:rPr>
        <w:footnoteReference w:id="266"/>
      </w:r>
      <w:r>
        <w:rPr>
          <w:rFonts w:ascii="Amiri" w:hAnsi="Amiri" w:eastAsia="Amiri" w:cs="Amiri"/>
          <w:color w:val="111111"/>
          <w:sz w:val="28"/>
          <w:sz w:val="28"/>
          <w:szCs w:val="28"/>
          <w:rtl w:val="true"/>
          <w:lang w:bidi="ar-SA"/>
        </w:rPr>
        <w:t xml:space="preserve">الكاتب الإسكافي،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w:t>
      </w:r>
    </w:p>
    <w:p>
      <w:pPr>
        <w:pStyle w:val="BookText"/>
        <w:rPr/>
      </w:pPr>
      <w:r>
        <w:rPr>
          <w:rFonts w:ascii="Amiri" w:hAnsi="Amiri" w:eastAsia="Amiri" w:cs="Amiri"/>
          <w:color w:val="111111"/>
          <w:sz w:val="28"/>
          <w:sz w:val="28"/>
          <w:szCs w:val="28"/>
          <w:rtl w:val="true"/>
          <w:lang w:bidi="ar-SA"/>
        </w:rPr>
        <w:t xml:space="preserve">ديار ربيعة و ديار مُضَر، فخرجت و أقمت بنصيبين و قلّدت عمّالي، وأنفذتهم إلى نواحي أعمالي، و تقدّمت أن يحمل إليّ كلّ واحدٍ منهم كلّ مَن يجده في عمله ممّن له مذهب، فكان يردّ عليّ في اليوم الواحد والاثنان والجماعة منهم، فأسمع منهم، و أعامل كلّ واحدٍ بما يستحقّه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267"/>
      </w:r>
      <w:r>
        <w:rPr>
          <w:rFonts w:ascii="Amiri" w:hAnsi="Amiri" w:eastAsia="Amiri" w:cs="Amiri"/>
          <w:color w:val="111111"/>
          <w:sz w:val="28"/>
          <w:sz w:val="28"/>
          <w:szCs w:val="28"/>
          <w:rtl w:val="true"/>
          <w:lang w:bidi="ar-SA"/>
        </w:rPr>
        <w:t xml:space="preserve">ذات يوم جالسٌ إذ ورد كتاب عاملٍ بِكَفَرْثُوث </w:t>
      </w:r>
      <w:r>
        <w:rPr>
          <w:rStyle w:val="FootnoteAnchor"/>
          <w:rtl w:val="true"/>
        </w:rPr>
        <w:footnoteReference w:id="268"/>
      </w:r>
      <w:r>
        <w:rPr>
          <w:rFonts w:ascii="Amiri" w:hAnsi="Amiri" w:eastAsia="Amiri" w:cs="Amiri"/>
          <w:color w:val="111111"/>
          <w:sz w:val="28"/>
          <w:sz w:val="28"/>
          <w:szCs w:val="28"/>
          <w:rtl w:val="true"/>
          <w:lang w:bidi="ar-SA"/>
        </w:rPr>
        <w:t xml:space="preserve">، يذكر أنّه </w:t>
      </w:r>
    </w:p>
    <w:p>
      <w:pPr>
        <w:pStyle w:val="BookText"/>
        <w:rPr/>
      </w:pPr>
      <w:r>
        <w:rPr>
          <w:rFonts w:ascii="Amiri" w:hAnsi="Amiri" w:eastAsia="Amiri" w:cs="Amiri"/>
          <w:color w:val="111111"/>
          <w:sz w:val="28"/>
          <w:sz w:val="28"/>
          <w:szCs w:val="28"/>
          <w:rtl w:val="true"/>
          <w:lang w:bidi="ar-SA"/>
        </w:rPr>
        <w:t xml:space="preserve">وجّه </w:t>
      </w:r>
      <w:r>
        <w:rPr>
          <w:rStyle w:val="FootnoteAnchor"/>
          <w:rtl w:val="true"/>
        </w:rPr>
        <w:footnoteReference w:id="269"/>
      </w:r>
      <w:r>
        <w:rPr>
          <w:rFonts w:ascii="Amiri" w:hAnsi="Amiri" w:eastAsia="Amiri" w:cs="Amiri"/>
          <w:color w:val="111111"/>
          <w:sz w:val="28"/>
          <w:sz w:val="28"/>
          <w:szCs w:val="28"/>
          <w:rtl w:val="true"/>
          <w:lang w:bidi="ar-SA"/>
        </w:rPr>
        <w:t xml:space="preserve">إليّ برجلٍ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زياد، فدعوت به، فرأيته وَسِيمًا قَسِيمًا قبلته نفسي، ثمّ ناجيته فرأيته ممطورًا، و رأيته من المعرفة بالفقه والأحاديث على ما أعجبني، فدعوته إلى القول بإمامة الاثني عشر، فأبى وأنكر عليّ ذلك، و خاصمني فيه، و سألته بعد مُقَامِه عندي أيّامًا أن يهب لي زَورَةً إلى سرّ مَن رأى، لينظر إلى أبي الحسن عليه‌السلام و ينصرف،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أقضي حقّك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بعد أن حملته، فأبطأ عنّي و تأخّر كتابه، ثمّ إنّه قدم فدخل إليّ، فأوّل ما رآني أسبل عينيه بالبكاء، فلمّا رأيته باكيًا لم أتمالك حتّى بكيت، فدنا منّى و قبّل يدي و رجلي،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الناس مِنّةً عليّ </w:t>
      </w:r>
      <w:r>
        <w:rPr>
          <w:rStyle w:val="FootnoteAnchor"/>
          <w:rtl w:val="true"/>
        </w:rPr>
        <w:footnoteReference w:id="270"/>
      </w:r>
      <w:r>
        <w:rPr>
          <w:rFonts w:ascii="Amiri" w:hAnsi="Amiri" w:eastAsia="Amiri" w:cs="Amiri"/>
          <w:color w:val="111111"/>
          <w:sz w:val="28"/>
          <w:sz w:val="28"/>
          <w:szCs w:val="28"/>
          <w:rtl w:val="true"/>
          <w:lang w:bidi="ar-SA"/>
        </w:rPr>
        <w:t xml:space="preserve">نجّيتني من النار و أدخلتني الجنّة، و 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عندك و عزمي إذا لقيت سيّدى أبا الحسن عليه‌السلام أن أسأله عن </w:t>
      </w:r>
      <w:r>
        <w:rPr>
          <w:rStyle w:val="FootnoteAnchor"/>
          <w:rtl w:val="true"/>
        </w:rPr>
        <w:footnoteReference w:id="271"/>
      </w:r>
      <w:r>
        <w:rPr>
          <w:rFonts w:ascii="Amiri" w:hAnsi="Amiri" w:eastAsia="Amiri" w:cs="Amiri"/>
          <w:color w:val="111111"/>
          <w:sz w:val="28"/>
          <w:sz w:val="28"/>
          <w:szCs w:val="28"/>
          <w:rtl w:val="true"/>
          <w:lang w:bidi="ar-SA"/>
        </w:rPr>
        <w:t>مسائل، وكان فيما أعددته أن أسأله عن عرق الجنب هل يجوز الصلاة في القميص الّذي أعرق فيه و أنا جنب، أم لا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فصرت إلى سرّ مَن رأى، فلم أصل إليه، و أبطأ عن </w:t>
      </w:r>
      <w:r>
        <w:rPr>
          <w:rStyle w:val="FootnoteAnchor"/>
          <w:rtl w:val="true"/>
        </w:rPr>
        <w:footnoteReference w:id="272"/>
      </w:r>
      <w:r>
        <w:rPr>
          <w:rFonts w:ascii="Amiri" w:hAnsi="Amiri" w:eastAsia="Amiri" w:cs="Amiri"/>
          <w:color w:val="111111"/>
          <w:sz w:val="28"/>
          <w:sz w:val="28"/>
          <w:szCs w:val="28"/>
          <w:rtl w:val="true"/>
          <w:lang w:bidi="ar-SA"/>
        </w:rPr>
        <w:t xml:space="preserve">الركوب لِعِلّةٍ كانت به، ثمّ سمعت الناس يتحدّثون بأنّه يركب، فبادرت ففاتني و دخل دار </w:t>
      </w:r>
    </w:p>
    <w:p>
      <w:pPr>
        <w:pStyle w:val="BookText"/>
        <w:rPr/>
      </w:pPr>
      <w:r>
        <w:rPr>
          <w:rFonts w:ascii="Amiri" w:hAnsi="Amiri" w:eastAsia="Amiri" w:cs="Amiri"/>
          <w:color w:val="111111"/>
          <w:sz w:val="28"/>
          <w:sz w:val="28"/>
          <w:szCs w:val="28"/>
          <w:rtl w:val="true"/>
          <w:lang w:bidi="ar-SA"/>
        </w:rPr>
        <w:t xml:space="preserve">السلطان، فجلست في الشارع و عزمت أن لا أبرح أو ينصرف، واشتدّ الحرّ عليّ، فعدلت إلى باب دارٍ فيه، فجلست أرقُبُه و نَعَست، فحملتني عيني، فلم أنتبه إلاّ بِمِقْرَعَة </w:t>
      </w:r>
      <w:r>
        <w:rPr>
          <w:rStyle w:val="FootnoteAnchor"/>
          <w:rtl w:val="true"/>
        </w:rPr>
        <w:footnoteReference w:id="273"/>
      </w:r>
      <w:r>
        <w:rPr>
          <w:rFonts w:ascii="Amiri" w:hAnsi="Amiri" w:eastAsia="Amiri" w:cs="Amiri"/>
          <w:color w:val="111111"/>
          <w:sz w:val="28"/>
          <w:sz w:val="28"/>
          <w:szCs w:val="28"/>
          <w:rtl w:val="true"/>
          <w:lang w:bidi="ar-SA"/>
        </w:rPr>
        <w:t xml:space="preserve">قد وضعت على كَتِفي، ففتحت عيني فإذا هو مولاي أبو الحسن عليه‌السلام واقفٌ على دابّته، فوثب </w:t>
      </w:r>
      <w:r>
        <w:rPr>
          <w:rStyle w:val="FootnoteAnchor"/>
          <w:rtl w:val="true"/>
        </w:rPr>
        <w:footnoteReference w:id="274"/>
      </w:r>
      <w:r>
        <w:rPr>
          <w:rFonts w:ascii="IRNazanin" w:hAnsi="IRNazanin" w:eastAsia="IRNazanin"/>
          <w:color w:val="111111"/>
          <w:sz w:val="28"/>
          <w:sz w:val="28"/>
          <w:szCs w:val="28"/>
          <w:rtl w:val="true"/>
          <w:lang w:bidi="fa-IR"/>
        </w:rPr>
        <w:t xml:space="preserve">فقال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إدريس، أما آنَ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Style w:val="FootnoteAnchor"/>
          <w:rtl w:val="true"/>
        </w:rPr>
        <w:footnoteReference w:id="276"/>
      </w:r>
      <w:r>
        <w:rPr>
          <w:rFonts w:ascii="Amiri" w:hAnsi="Amiri" w:eastAsia="Amiri" w:cs="Amiri"/>
          <w:color w:val="111111"/>
          <w:sz w:val="28"/>
          <w:sz w:val="28"/>
          <w:szCs w:val="28"/>
          <w:rtl w:val="true"/>
          <w:lang w:bidi="ar-SA"/>
        </w:rPr>
        <w:t xml:space="preserve">من حلالٍ فحلال، و إن كان من حرامٍ فحرام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به و سلّمت لأمره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 xml:space="preserve">الّذي يظهر من القاموس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الضاد، 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 كزُفَر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صرّح في مجمع البحرين أنّه بفتح الميم،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منسوبةٌ إلى مُضَر بن نِزَار بن مَعَدّ بن عدنان </w:t>
      </w:r>
      <w:r>
        <w:rPr>
          <w:rStyle w:val="FootnoteAnchor"/>
          <w:rtl w:val="true"/>
        </w:rPr>
        <w:footnoteReference w:id="27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قبيلةٌ منسوبةٌ إلى رَبِيعة أخي مُضَر المذكور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في الصحاح والقاموس و غيرهما أنّه يقال 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الحمراء،</w:t>
      </w:r>
    </w:p>
    <w:p>
      <w:pPr>
        <w:pStyle w:val="BookText"/>
        <w:rPr/>
      </w:pPr>
      <w:r>
        <w:rPr>
          <w:rFonts w:ascii="Amiri" w:hAnsi="Amiri" w:eastAsia="Amiri" w:cs="Amiri"/>
          <w:color w:val="111111"/>
          <w:sz w:val="28"/>
          <w:sz w:val="28"/>
          <w:szCs w:val="28"/>
          <w:rtl w:val="true"/>
          <w:lang w:bidi="ar-SA"/>
        </w:rPr>
        <w:t xml:space="preserve">و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الفرس، لأنّهما أخوان لمّا اقتسما الميراث أعطي مضر الذهب، و هو يؤنّث </w:t>
      </w:r>
      <w:r>
        <w:rPr>
          <w:rStyle w:val="FootnoteAnchor"/>
          <w:rtl w:val="true"/>
        </w:rPr>
        <w:footnoteReference w:id="281"/>
      </w:r>
      <w:r>
        <w:rPr>
          <w:rFonts w:ascii="Amiri" w:hAnsi="Amiri" w:eastAsia="Amiri" w:cs="Amiri"/>
          <w:color w:val="111111"/>
          <w:sz w:val="28"/>
          <w:sz w:val="28"/>
          <w:szCs w:val="28"/>
          <w:rtl w:val="true"/>
          <w:lang w:bidi="ar-SA"/>
        </w:rPr>
        <w:t xml:space="preserve">، و أعطي ربيعة الفرس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أقمت بنصيبين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الصحاح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و فيه للعرب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يجعله اسمًا واحدًا ويلزمه الإعراب، كما يلزم الأسماء المفردة الّتي لا تنصرف، فنقول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نصيبين، و مررت بنصيبين، و رأيت نصيبين، والنسبة إليها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يجريه مجرى الجمع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نصيبون، و مررت بنصيبين، و رأيت نصيبين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بين يائين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بين الشام والعراق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عامل بكَفَرْثُوث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العلاّمة في إيضاح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كَفَرْثُوث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والفاء، و إسكان الراء، و ضمّ الثاء المنقّطة فوقها ثلاث نقط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في الخلاصة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خراسان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ضبطه ابن داود بالتاء المثنّاة، 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الكَفَرتُوثِي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المفتوحة والراء والتاء المثنّاة فوقها المضمومة، </w:t>
      </w:r>
    </w:p>
    <w:p>
      <w:pPr>
        <w:pStyle w:val="BookText"/>
        <w:rPr/>
      </w:pPr>
      <w:r>
        <w:rPr>
          <w:rFonts w:ascii="Amiri" w:hAnsi="Amiri" w:eastAsia="Amiri" w:cs="Amiri"/>
          <w:color w:val="111111"/>
          <w:sz w:val="28"/>
          <w:sz w:val="28"/>
          <w:szCs w:val="28"/>
          <w:rtl w:val="true"/>
          <w:lang w:bidi="ar-SA"/>
        </w:rPr>
        <w:t xml:space="preserve">والثاء المثلّثة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كفرتوثا ؛ و من أصحابنا مَن صحّفه فتوهّم أنّه بثاءين مثلّثين، والحقّ الأوّل، قرية بخراسان </w:t>
      </w:r>
      <w:r>
        <w:rPr>
          <w:rStyle w:val="FootnoteAnchor"/>
          <w:rtl w:val="true"/>
        </w:rPr>
        <w:footnoteReference w:id="29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كأنّه الظاهر من الصحاح،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تُخرِجُكُم الروم منها كَفْرًا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قرية، من قرى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تُوثا، و كفر تِعْقاب، و غير ذلك، إنّما هي قرى نسبت إلى رجال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الصحاح لا دخل له فيما نحن فيه، لوضوح أنّ</w:t>
      </w:r>
    </w:p>
    <w:p>
      <w:pPr>
        <w:pStyle w:val="BookText"/>
        <w:rPr/>
      </w:pPr>
      <w:r>
        <w:rPr>
          <w:rFonts w:ascii="Amiri" w:hAnsi="Amiri" w:eastAsia="Amiri" w:cs="Amiri"/>
          <w:color w:val="111111"/>
          <w:sz w:val="28"/>
          <w:sz w:val="28"/>
          <w:szCs w:val="28"/>
          <w:rtl w:val="true"/>
          <w:lang w:bidi="ar-SA"/>
        </w:rPr>
        <w:t xml:space="preserve">المقصود ممّا ذكره أنّ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المفتوحة والفاء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للقرية، و جعل</w:t>
      </w:r>
    </w:p>
    <w:p>
      <w:pPr>
        <w:pStyle w:val="BookText"/>
        <w:rPr/>
      </w:pPr>
      <w:r>
        <w:rPr>
          <w:rFonts w:ascii="Amiri" w:hAnsi="Amiri" w:eastAsia="Amiri" w:cs="Amiri"/>
          <w:color w:val="111111"/>
          <w:sz w:val="28"/>
          <w:sz w:val="28"/>
          <w:szCs w:val="28"/>
          <w:rtl w:val="true"/>
          <w:lang w:bidi="ar-SA"/>
        </w:rPr>
        <w:t xml:space="preserve">من ذلك ما ذكره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يخرجكم الروم منها كَفْرًا كَفْرًا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فعلى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يخرجكم الروم من الشام قرية قرية من قرى الشام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لأجل أنّ الكَفْر اسمٌ للقرية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تُوثا وكَفَرْ </w:t>
      </w:r>
    </w:p>
    <w:p>
      <w:pPr>
        <w:pStyle w:val="BookText"/>
        <w:rPr/>
      </w:pPr>
      <w:r>
        <w:rPr>
          <w:rFonts w:ascii="Amiri" w:hAnsi="Amiri" w:eastAsia="Amiri" w:cs="Amiri"/>
          <w:color w:val="111111"/>
          <w:sz w:val="28"/>
          <w:sz w:val="28"/>
          <w:szCs w:val="28"/>
          <w:rtl w:val="true"/>
          <w:lang w:bidi="ar-SA"/>
        </w:rPr>
        <w:t xml:space="preserve">تِعْقاب، 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و هما اسمان لمالك تلك القريتين،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للمالك في الأوّل،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p>
    <w:p>
      <w:pPr>
        <w:pStyle w:val="BookText"/>
        <w:rPr/>
      </w:pPr>
      <w:r>
        <w:rPr>
          <w:rFonts w:ascii="Amiri" w:hAnsi="Amiri" w:eastAsia="Amiri" w:cs="Amiri"/>
          <w:color w:val="111111"/>
          <w:sz w:val="28"/>
          <w:sz w:val="28"/>
          <w:szCs w:val="28"/>
          <w:rtl w:val="true"/>
          <w:lang w:bidi="ar-SA"/>
        </w:rPr>
        <w:t xml:space="preserve">له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زياد الكفرثوثيّ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واحد، اسمٌ للقرية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فما في الصحاح لا دخل له فيما نحن فيه، فإن كان المأخذ لابن داود ما في الصحاح، فمنشاؤه الجمود في ظاهر ما فيه من غير تأمّل في حقيقته، و إن كان غيره لم يحضرني حال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وَسيمًا قَسِيمًا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ذا فراسة و عقل،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لاَيَاتٍ لِلْمُتَوَسِّمِينَ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المتوسّم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المتفرّس المتأمّل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حسن الوجه، قال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وَسِيم،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قال في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 فلانٌ قَسِيم الوجه و مُقَسَّم الوجه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ممطورًا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كلّمته تبيّن لي أنّه كان واقفيًّا، كما هو </w:t>
      </w:r>
    </w:p>
    <w:p>
      <w:pPr>
        <w:pStyle w:val="BookText"/>
        <w:rPr/>
      </w:pPr>
      <w:r>
        <w:rPr>
          <w:rFonts w:ascii="Amiri" w:hAnsi="Amiri" w:eastAsia="Amiri" w:cs="Amiri"/>
          <w:color w:val="111111"/>
          <w:sz w:val="28"/>
          <w:sz w:val="28"/>
          <w:szCs w:val="28"/>
          <w:rtl w:val="true"/>
          <w:lang w:bidi="ar-SA"/>
        </w:rPr>
        <w:t xml:space="preserve">المصرّح به فيما رواه في الذكرى،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يقول بالوقف، فدخل سرّ من رأى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يهب لي زَورَة إلى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تنظر بمؤخّر عينها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w:t>
      </w:r>
      <w:r>
        <w:rPr>
          <w:rStyle w:val="FootnoteAnchor"/>
          <w:rtl w:val="true"/>
        </w:rPr>
        <w:footnoteReference w:id="301"/>
      </w:r>
      <w:r>
        <w:rPr>
          <w:rFonts w:ascii="Amiri" w:hAnsi="Amiri" w:eastAsia="Amiri" w:cs="Amiri"/>
          <w:color w:val="111111"/>
          <w:sz w:val="28"/>
          <w:sz w:val="28"/>
          <w:szCs w:val="28"/>
          <w:rtl w:val="true"/>
          <w:lang w:bidi="ar-SA"/>
        </w:rPr>
        <w:t xml:space="preserve">هذا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إدريس بن زياد أن يهب له ناقة ليركبها بعض أوادمه </w:t>
      </w:r>
      <w:r>
        <w:rPr>
          <w:rStyle w:val="FootnoteAnchor"/>
          <w:rtl w:val="true"/>
        </w:rPr>
        <w:footnoteReference w:id="302"/>
      </w:r>
      <w:r>
        <w:rPr>
          <w:rFonts w:ascii="Amiri" w:hAnsi="Amiri" w:eastAsia="Amiri" w:cs="Amiri"/>
          <w:color w:val="111111"/>
          <w:sz w:val="28"/>
          <w:sz w:val="28"/>
          <w:szCs w:val="28"/>
          <w:rtl w:val="true"/>
          <w:lang w:bidi="ar-SA"/>
        </w:rPr>
        <w:t xml:space="preserve">إلى سرّ مَن رأى، ليتشرّف بخدمة مولانا أبي الحسن عليه‌السلام، و يطّلع على أقواله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 ذهب من ذلك البلد إلى سرّ 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فيما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الراوي فيما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والمدّعى واحد، والظاهر سؤال واحد، فكيف يكون هذا الاختلاف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بين الكتابين، بل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يظهر أنّ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بالمعنى، فلاحظ ما فيهما حتّى </w:t>
      </w:r>
    </w:p>
    <w:p>
      <w:pPr>
        <w:pStyle w:val="BookText"/>
        <w:rPr/>
      </w:pPr>
      <w:r>
        <w:rPr>
          <w:rFonts w:ascii="Amiri" w:hAnsi="Amiri" w:eastAsia="Amiri" w:cs="Amiri"/>
          <w:color w:val="111111"/>
          <w:sz w:val="28"/>
          <w:sz w:val="28"/>
          <w:szCs w:val="28"/>
          <w:rtl w:val="true"/>
          <w:lang w:bidi="ar-SA"/>
        </w:rPr>
        <w:t xml:space="preserve">تبيّن لك الحال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الحمد والشكر والمنّة في كلّ حال </w:t>
      </w:r>
      <w:r>
        <w:rPr>
          <w:rFonts w:eastAsia="Amiri" w:cs="Amiri" w:ascii="Amiri" w:hAnsi="Amiri"/>
          <w:color w:val="111111"/>
          <w:sz w:val="28"/>
          <w:szCs w:val="28"/>
          <w:rtl w:val="true"/>
          <w:lang w:bidi="ar-SA"/>
        </w:rPr>
        <w:t xml:space="preserve">. </w:t>
      </w:r>
      <w:bookmarkStart w:id="133" w:name="pg8074_124660"/>
    </w:p>
    <w:p>
      <w:pPr>
        <w:pStyle w:val="Heading2"/>
        <w:numPr>
          <w:ilvl w:val="1"/>
          <w:numId w:val="1"/>
        </w:numPr>
        <w:rPr/>
      </w:pPr>
      <w:bookmarkStart w:id="134" w:name="__RefHeading___Toc7777370_1051229030"/>
      <w:bookmarkStart w:id="135" w:name="_Toc47"/>
      <w:bookmarkEnd w:id="133"/>
      <w:bookmarkEnd w:id="134"/>
      <w:r>
        <w:rPr>
          <w:rtl w:val="true"/>
        </w:rPr>
        <w:t>فهرس مصادر التحقيق</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عليه‌السلام، لعليّ بن الحسين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انصاريان،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الخرسان، دار الكتب الاسلاميّة،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السبق إلى معرفة الحقّ، للشيخ عليّ بن الحسن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مؤسّسة النشر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لأبي طالب محمّد بن الحسن بن يوسف المطهّر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الكرماني والاشتهاردي والبروجردي، المطبعة العلمية،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مجمع الذخائر الإسلاميّة، قم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للسيّد مصلح الدّين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مسجد السيّد، اصفهان،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لمحبّ الدين أبي فيض السيّد محمّد مرتضى الحسيني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شيري،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الشفتي، المعروف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نشر مكتبة مسجد السيّد باصفهان، مطبعة سيّد</w:t>
      </w:r>
    </w:p>
    <w:p>
      <w:pPr>
        <w:pStyle w:val="BookText"/>
        <w:rPr/>
      </w:pPr>
      <w:r>
        <w:rPr>
          <w:rFonts w:ascii="IRNazanin" w:hAnsi="IRNazanin" w:eastAsia="IRNazanin"/>
          <w:color w:val="111111"/>
          <w:sz w:val="28"/>
          <w:sz w:val="28"/>
          <w:szCs w:val="28"/>
          <w:rtl w:val="true"/>
          <w:lang w:bidi="fa-IR"/>
        </w:rPr>
        <w:t xml:space="preserve">الشهداء،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المرام في معرفة الأحكام،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الأبحاث والدراسات الإسلاميّة، قم، مطبعة مكتب الإعلام</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لجمال الدين مقداد بن عبداللّه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الحسيني الكوه كمري، نشر مكتبة آية اللّه المرعشي رحمه‌الله،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للمحقّق الثاني عليّ بن الحسين بن عبدالعالي </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 تحقيق مؤسّسة آل البيت عليهم‌السلام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للشيخ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الإيرواني، مؤسّسة النشر الإسلامي،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المتّقين في معرفة أحكام الدين، للعلاّمة محمّد تقي بن مقصود علي المجلسي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الخراساني والسيّد جواد الشهرستاني والشيخ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209337</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النجفيّة، للسيّد محمّد المهدي بحرالعلوم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نشر مؤسّسة آل البيت عليهم‌السلام لإحياء التراث،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للشيخ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لتقي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مسجد السيّد باصفهان،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لجمال الدّين أبي العبّاس أحمد بن محمّد 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في أحوال العلماء والسادات، للسيّد محمّد باقر الموسوي الچهارسوقي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اسماعيليان،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للسيّد محمّد شفيع بن علي أكبر الجاپلقي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الحجري، 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لمحمّد بن منصور بن أحمد بن إدريس العجلي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السيّد صادق الشيرازي، نشر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 العلم والعمل، للشيخ الأجلّ القاضي 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كاظم مدير شانه چى، دانشگاه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الصغير، للسيّد علي بن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نشر مكتبة آية اللّه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مكتبة آية اللّه المرعشي،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العصيريّة في أحكام الخمر و سائر المسكرات والعصير العنبيّ والتمريّ والزبيبيّ، للعلاّمة السيّد أسد اللّه بن محمّد باقر الشفتيّ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الشفتيّ، نشر عطر عترت،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لميرزا أبي القاسم الجيلاني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عبّاس تبريزيان، مركز النشر التابع لمكتب الاعلام الاسلامي،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لأبي المكارم السيّد حمزة بن عليّ بن </w:t>
      </w:r>
    </w:p>
    <w:p>
      <w:pPr>
        <w:pStyle w:val="BookText"/>
        <w:rPr/>
      </w:pPr>
      <w:r>
        <w:rPr>
          <w:rFonts w:ascii="Amiri" w:hAnsi="Amiri" w:eastAsia="Amiri" w:cs="Amiri"/>
          <w:color w:val="111111"/>
          <w:sz w:val="28"/>
          <w:sz w:val="28"/>
          <w:szCs w:val="28"/>
          <w:rtl w:val="true"/>
          <w:lang w:bidi="ar-SA"/>
        </w:rPr>
        <w:t xml:space="preserve">زهرة الحسيني، المعروف بابن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المنسوب إلى الإمام الرضا عليه‌السلام، لعليّ بن بابويه القمي رحمه‌الله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عليهم‌السلام، نشر المؤتمر العالمي للإمام الرضا عليه‌السلام،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مركزى، تهران،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العلماء، لميرزا محمّد بن سليمان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علميّه إسلاميّه، تهران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الموجز الحاوي لتحرير الفتاوي 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مفلح بن الحسن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الباقري و محمّد الحسّون، نشر مؤسّسة صاحب الأمر عليه‌السلام،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الموجز الحاوي لتحرير الفتاوي 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مفلح بن الحسن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النسخة المخطوطة في مكتبة مجلس الشورى الإسلامي بطهران،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الرموز، لزين الدين أبي عليّ الحسن بن أبي طالب اليوسفي، المعروف بالفاضل والمحقّق الآبي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علي پناه الاشتهاردي، الحاج آغا حسين</w:t>
      </w:r>
    </w:p>
    <w:p>
      <w:pPr>
        <w:pStyle w:val="BookText"/>
        <w:rPr/>
      </w:pPr>
      <w:r>
        <w:rPr>
          <w:rFonts w:ascii="Amiri" w:hAnsi="Amiri" w:eastAsia="Amiri" w:cs="Amiri"/>
          <w:color w:val="111111"/>
          <w:sz w:val="28"/>
          <w:sz w:val="28"/>
          <w:szCs w:val="28"/>
          <w:rtl w:val="true"/>
          <w:lang w:bidi="ar-SA"/>
        </w:rPr>
        <w:t xml:space="preserve">اليزدي، مؤسّسة النشر الإسلامي،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للشيخ الكبير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الإعلام الإسلاميّ، نشر دفتر تبليغات اسلامى،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للشيخ بهاء الدّين محمّد بن الحسن الاصفهاني المعروف بالفاضل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نشر مدرسة صدر المهدوي، 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بكري حياني، 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طبع دار التقريب، قاهرة،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للعلاّمة الحلّي الحسن بن يوسف بن المطهّر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للسيّد محمّد بن علي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الرسوليّ، دار الكتب الإسلاميّة، تهران،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لسلاّر بن عبدالعزيز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محسن الحسيني الأميني، نشر المعاونية الثقافية للمجمع العالمي،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للحاج الميرزا حسين المحدّث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مؤسّسة آل البيت عليهم‌السلام 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في شرح مفاتيح الشرائع، للعلاّمة المجدّد محمّد باقر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العلاّمة الوحيد البهبهاني رحمه‌الله،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المظفّريّة في شرح الرسالة الجعفريّة، للسيّد أبي طالب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مخطوطة مكتبة مجلس الشورى، المرقّمة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63173</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حسن بن زين الدّين العاملي نجل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منذر الحكيم،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لأبي جعفر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للمحقّق الحلّي نجم الدّين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ناصر مكارم ، مؤسّسة سيّد الشهداء عليه‌السلام،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للمولى محمّد محسن بن الشاه مرتضى المشهور بالفيض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مجمع الذخائر الإسلامية،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لمؤسسة الإمام الهادي عليه‌السلام،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للعلاّمة الشيخ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أساتذة النجف، المكتبة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بحرالعلوم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الدرّة النجفيّة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كتاب من لايحضره الفقيه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للقاضي ابن البرّاج أبي القاسم عبدالعزيز بن نحرير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جعفر السبحاني، نشر جامعة المدرّسين،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لأبي العبّاس أحمد بن محمّد بن فهد الحلّي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العراقي، نشر جامعة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و تنبيه الخاطر، تأليف الحسين بن محمّد بن الحسن بن نصر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مدرسة الإمام المهدي عليه‌السلام،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قدس محمّدى،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المهديّ عليه‌السلام،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36" w:name="pg8074_124674"/>
    </w:p>
    <w:p>
      <w:pPr>
        <w:pStyle w:val="Heading2"/>
        <w:numPr>
          <w:ilvl w:val="1"/>
          <w:numId w:val="1"/>
        </w:numPr>
        <w:rPr/>
      </w:pPr>
      <w:bookmarkStart w:id="137" w:name="__RefHeading___Toc7777372_1051229030"/>
      <w:bookmarkStart w:id="138" w:name="_Toc48"/>
      <w:bookmarkEnd w:id="136"/>
      <w:bookmarkEnd w:id="137"/>
      <w:r>
        <w:rPr>
          <w:rtl w:val="true"/>
        </w:rPr>
        <w:t>فهرس المطالب</w:t>
      </w:r>
      <w:bookmarkEnd w:id="138"/>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لمحةٌ من حياة المؤلّف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أساتذته و مشايخ 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الكتب و 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الكتب و الرسائل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الكتب و الرسائل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الكتب و 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الكتب و الرسائل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كلمات القائلين بنجاسة 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القائلون بنجاسة 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 القائلين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الجواب عن مستند القائلين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الجواب عن الإجماعات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الجواب عن إجماع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الجواب عن إجماع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الجواب عن إجماع المراسم والغنية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الجواب عن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إيراد الاشتباهات الصادرة في المسألة من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الاشتباه الّذي صدر من 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الاشتباه الّذي صدر من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الاشتباه الّذي صدر من صاحب المراسم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الاشتباه الّذي صدر من الشيخ 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الاشتباه الّذي صدر من صاحب كشف الرموز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الاشتباه الّذي صدر صاحب التنقيح والمهذّب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الاشتباه الّذي صدر من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الاشتباه الّذي صدر من الأستاد الوحيد البهبهانيّ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الإشكال في كلام الأستاد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أعلام الشيعة 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مزارات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انتقلنا منها إلى ديار العجم في سنة خمس ومائتين بعد الألف، وكان مولانا مولى الكلّ آقا محمّد باقر البهبهاني في الحيات، ثمّ انتقل إلى الفردوس الأعلى في سنة ستّ و مائتين بعد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السعيد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اتّفق لي في سنة مائتين و خمس عشر بعد الألف</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قدس‌سره في مناسكه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رحمه‌الله ضمن مرثيته للمترجم قدس‌سره معادن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قدس‌سرهووصف مسجده الأعظم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أبيه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تاريخ قاجار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علماى معاصرين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الكرام البررة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قدس‌سره 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كتبت في سالف الزمان رسالة في تحقيق الحال في إبراهيم بن هاشم وأغفلت فيها بعض ما ينبغي التنبيه عليه، أبرزت هذه الكلمات في ذلك المرام الرسائل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إسماعيل الواقع في صدر بعض أسانيد الكافي، 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أكثر هذه الرسائل في مجلّد واحد بتحقيق الحجّة الحاج السيّد مهدي الرجائي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قامت بطبعها مكتبة مسجد السيّد حجّة الإسلام الشفتي</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رحمه‌الله في بياضه ينظر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الكلباسي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فهرس مخطوطات مكتبة مركز إحياء التراث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 وفاته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ترجمته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عرق الجنب من الحرام طاهر، أم لا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ترجمته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جماعة من الأعاظم قديمًا بنجاسته و حرمة الصلاة فيه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قدس‌سره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الفقه المنسوب إلى الإمام الرضا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والحاصل أنّ دون تصحيح عبارات الكتاب المذكور خرط القتاد ؛ أنشدك باللّه العليّ العظيم أنّ من يعرف مرتبة مولانا و سيّدنا وإمامنا و ملاذنا في الدنيا والآخرة، هل يمكن أن يرضي بنسبة هذا الكتاب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على آبائه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ما فيه من التهافت والحزازة لا يمكن أن يوجد في كتب واحدٍ من أداني علماء 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هذا شيء عجيب صدر من جماعةٍ من علمائنا المتأخّرين من غير تأمّل واطّلاع بالترّهات الثابتة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والباعث لي في المبالغة والإصرار في إظهار شنائع هذا الكتاب، حميّة الدين المبين، والعصبيّة عن أئمّتنا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صلوات اللّه جلّ جلاله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وقوعه بيد المخالفين و غيرهم من أعادي الدين المبين مع عدم اطّلاعهم على جلالة قدره و علوّ 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يكون ذلك سببًا لفتح باب التعيير في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 وليّه الكاشف عن الأسرار والدقائق والمخبر عن الظواهر والبواطن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مقامه مطالع الأنوار في شرح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فتجوز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تجوز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فلينتشف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نشف الثوب العرق، بالكسر ؛ و نشف الحوض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ينشفه نشفًا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شربه، و تنشفه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ننشفه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 منه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الثوب منها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والكراهيّة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الجنب من الحرام حرام نجس، لا تجوز الصلاة فيه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 الشيخان وابن البرّاج بنجاسة عرق الجنب من الحرام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القَيْح 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لا يخالطها دم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المظفّريّة،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لتحرير الفتاوى،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القول به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نحكي في ذلك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قسم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المتّقين، مخطوطة مكتبة مجلس الشورى المرقّمة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الخلافيّة، للمحقّق السبزواريّ، مخطوطة مكتبة مجلس الشورى المرقّمة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منظومة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ظرف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نسلم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تقول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الثوب منها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تتعدّي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معالم الدين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فمقتضاه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أنى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قرينة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يزداد الكفرتوتي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لباذ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دلالتها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المتحقّقة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لحرمة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معينا ؛ والصواب ما أثبتناه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تجوز الصلاة فيه حتّى تغتسل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قسم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تتفاوت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تجز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ماءًا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ألحق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المتأخّر عن كتابي الحديث والنهاية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الثوب منها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بغسل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رجوعه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قسم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شيخنا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سلاّر فنسب إلى أصحابنا وجوب إزالة هذا العرق، لكن اختار هو الاستحباب كالمسألة السابقة، فيظهر منه في المسألتين أنّه ما كان يحصل له العلم من مجرّد اتّفاق أصحابنا، ولذا خالفهم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الكفرتوثيّ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الثوب منها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تجب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قعود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قَابَنْدَاذ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بِكَفَرْتُوثي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يقرع به الدابّة ؛ منه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فوثبت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العرق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مؤنّث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الكفرثوثيّ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المصدر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بالكاف المفتوحة والفاء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والراء والتاء المثنّاة فوق المضمومة والثاء المثلّثة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ليخرجنّكم الروم منها كفرًا كفرًا حتّى تلحقوا بسُنْبُك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ليخرجنّكم الروم من الشام كفرًا كفرًا حتّى يوردوكم حسمًا جُذَام حتّى يجعلوكم في طسوت من الأرض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البشر، و أصله بهمزتين، لأنّه أفعل، إلاّ أنّهم لينوا الثانية، فإذا احتجت إلى تحريكها جعلتها واوًا 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أوادم في الجمع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21248</Words>
  <Characters>78300</Characters>
  <CharactersWithSpaces>98489</CharactersWithSpaces>
  <Paragraphs>1473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2026-08-27T14:19:44Z</dcterms:created>
  <dc:creator>ghaemiyeh.com</dc:creator>
  <dc:description/>
  <dc:language>en-US</dc:language>
  <cp:lastModifiedBy/>
  <dcterms:modified xsi:type="dcterms:W3CDTF">2026-08-27T17:50:18Z</dcterms:modified>
  <cp:revision>1</cp:revision>
  <dc:subject/>
  <dc:title>رسالة فی عرق الجنب من الحرام</dc:title>
</cp:coreProperties>
</file>

<file path=docProps/custom.xml><?xml version="1.0" encoding="utf-8"?>
<Properties xmlns="http://schemas.openxmlformats.org/officeDocument/2006/custom-properties" xmlns:vt="http://schemas.openxmlformats.org/officeDocument/2006/docPropsVTypes"/>
</file>