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595.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82420_2314609296">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082422_2314609296">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082424_2314609296">
            <w:r>
              <w:rPr>
                <w:webHidden/>
                <w:rStyle w:val="IndexLink"/>
                <w:rtl w:val="true"/>
              </w:rPr>
              <w:t>کتاب البیع</w:t>
            </w:r>
            <w:r>
              <w:rPr>
                <w:rStyle w:val="IndexLink"/>
                <w:rtl w:val="true"/>
              </w:rPr>
              <w:tab/>
            </w:r>
            <w:r>
              <w:rPr>
                <w:rStyle w:val="IndexLink"/>
              </w:rPr>
              <w:t>13</w:t>
            </w:r>
          </w:hyperlink>
        </w:p>
        <w:p>
          <w:pPr>
            <w:pStyle w:val="Contents3"/>
            <w:tabs>
              <w:tab w:val="clear" w:pos="8459"/>
              <w:tab w:val="right" w:pos="9026" w:leader="dot"/>
            </w:tabs>
            <w:rPr/>
          </w:pPr>
          <w:hyperlink w:anchor="__RefHeading___Toc5082426_2314609296">
            <w:r>
              <w:rPr>
                <w:webHidden/>
                <w:rStyle w:val="IndexLink"/>
                <w:rtl w:val="true"/>
              </w:rPr>
              <w:t>[</w:t>
            </w:r>
            <w:r>
              <w:rPr>
                <w:rStyle w:val="IndexLink"/>
                <w:rtl w:val="true"/>
              </w:rPr>
              <w:t>فی معنی البیع</w:t>
            </w:r>
            <w:r>
              <w:rPr>
                <w:rStyle w:val="IndexLink"/>
                <w:rtl w:val="true"/>
              </w:rPr>
              <w:t>]</w:t>
              <w:tab/>
            </w:r>
            <w:r>
              <w:rPr>
                <w:rStyle w:val="IndexLink"/>
              </w:rPr>
              <w:t>13</w:t>
            </w:r>
          </w:hyperlink>
        </w:p>
        <w:p>
          <w:pPr>
            <w:pStyle w:val="Contents4"/>
            <w:tabs>
              <w:tab w:val="clear" w:pos="8176"/>
              <w:tab w:val="right" w:pos="9026" w:leader="dot"/>
            </w:tabs>
            <w:rPr/>
          </w:pPr>
          <w:hyperlink w:anchor="__RefHeading___Toc5082428_2314609296">
            <w:r>
              <w:rPr>
                <w:webHidden/>
                <w:rStyle w:val="IndexLink"/>
                <w:rtl w:val="true"/>
              </w:rPr>
              <w:t>[</w:t>
            </w:r>
            <w:r>
              <w:rPr>
                <w:rStyle w:val="IndexLink"/>
                <w:rtl w:val="true"/>
              </w:rPr>
              <w:t>البیع لغة</w:t>
            </w:r>
            <w:r>
              <w:rPr>
                <w:rStyle w:val="IndexLink"/>
                <w:rtl w:val="true"/>
              </w:rPr>
              <w:t>]</w:t>
              <w:tab/>
            </w:r>
            <w:r>
              <w:rPr>
                <w:rStyle w:val="IndexLink"/>
              </w:rPr>
              <w:t>13</w:t>
            </w:r>
          </w:hyperlink>
        </w:p>
        <w:p>
          <w:pPr>
            <w:pStyle w:val="Contents4"/>
            <w:tabs>
              <w:tab w:val="clear" w:pos="8176"/>
              <w:tab w:val="right" w:pos="9026" w:leader="dot"/>
            </w:tabs>
            <w:rPr/>
          </w:pPr>
          <w:hyperlink w:anchor="__RefHeading___Toc5082430_2314609296">
            <w:r>
              <w:rPr>
                <w:webHidden/>
                <w:rStyle w:val="IndexLink"/>
                <w:rtl w:val="true"/>
              </w:rPr>
              <w:t>[</w:t>
            </w:r>
            <w:r>
              <w:rPr>
                <w:rStyle w:val="IndexLink"/>
                <w:rtl w:val="true"/>
              </w:rPr>
              <w:t>تعاریف الفقهاء و المناقشة فیها</w:t>
            </w:r>
            <w:r>
              <w:rPr>
                <w:rStyle w:val="IndexLink"/>
                <w:rtl w:val="true"/>
              </w:rPr>
              <w:t>]</w:t>
              <w:tab/>
            </w:r>
            <w:r>
              <w:rPr>
                <w:rStyle w:val="IndexLink"/>
              </w:rPr>
              <w:t>16</w:t>
            </w:r>
          </w:hyperlink>
        </w:p>
        <w:p>
          <w:pPr>
            <w:pStyle w:val="Contents5"/>
            <w:tabs>
              <w:tab w:val="clear" w:pos="7892"/>
              <w:tab w:val="right" w:pos="9026" w:leader="dot"/>
            </w:tabs>
            <w:rPr/>
          </w:pPr>
          <w:hyperlink w:anchor="__RefHeading___Toc5082432_2314609296">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5082434_2314609296">
            <w:r>
              <w:rPr>
                <w:webHidden/>
                <w:rStyle w:val="IndexLink"/>
                <w:rtl w:val="true"/>
              </w:rPr>
              <w:t>فالأولی تعریفه بأنّه</w:t>
            </w:r>
            <w:r>
              <w:rPr>
                <w:rStyle w:val="IndexLink"/>
                <w:rtl w:val="true"/>
              </w:rPr>
              <w:t>:«</w:t>
            </w:r>
            <w:r>
              <w:rPr>
                <w:rStyle w:val="IndexLink"/>
                <w:rtl w:val="true"/>
              </w:rPr>
              <w:t>إنشاء تملیک عین بمال</w:t>
            </w:r>
            <w:r>
              <w:rPr>
                <w:rStyle w:val="IndexLink"/>
                <w:rtl w:val="true"/>
              </w:rPr>
              <w:t>»</w:t>
            </w:r>
            <w:r>
              <w:rPr>
                <w:rStyle w:val="IndexLink"/>
                <w:rtl w:val="true"/>
              </w:rPr>
              <w:t>،</w:t>
            </w:r>
            <w:r>
              <w:rPr>
                <w:rStyle w:val="IndexLink"/>
                <w:rtl w:val="true"/>
              </w:rPr>
              <w:tab/>
            </w:r>
            <w:r>
              <w:rPr>
                <w:rStyle w:val="IndexLink"/>
              </w:rPr>
              <w:t>17</w:t>
            </w:r>
          </w:hyperlink>
        </w:p>
        <w:p>
          <w:pPr>
            <w:pStyle w:val="Contents6"/>
            <w:tabs>
              <w:tab w:val="clear" w:pos="7609"/>
              <w:tab w:val="right" w:pos="9026" w:leader="dot"/>
            </w:tabs>
            <w:rPr/>
          </w:pPr>
          <w:hyperlink w:anchor="__RefHeading___Toc5082436_2314609296">
            <w:r>
              <w:rPr>
                <w:webHidden/>
                <w:rStyle w:val="IndexLink"/>
                <w:rtl w:val="true"/>
              </w:rPr>
              <w:t>اشاره</w:t>
            </w:r>
            <w:r>
              <w:rPr>
                <w:rStyle w:val="IndexLink"/>
                <w:rtl w:val="true"/>
              </w:rPr>
              <w:tab/>
            </w:r>
            <w:r>
              <w:rPr>
                <w:rStyle w:val="IndexLink"/>
              </w:rPr>
              <w:t>17</w:t>
            </w:r>
          </w:hyperlink>
        </w:p>
        <w:p>
          <w:pPr>
            <w:pStyle w:val="Contents6"/>
            <w:tabs>
              <w:tab w:val="clear" w:pos="7609"/>
              <w:tab w:val="right" w:pos="9026" w:leader="dot"/>
            </w:tabs>
            <w:rPr/>
          </w:pPr>
          <w:hyperlink w:anchor="__RefHeading___Toc5082438_2314609296">
            <w:r>
              <w:rPr>
                <w:webHidden/>
                <w:rStyle w:val="IndexLink"/>
                <w:rtl w:val="true"/>
              </w:rPr>
              <w:t>یبقی علیه أُمور</w:t>
            </w:r>
            <w:r>
              <w:rPr>
                <w:rStyle w:val="IndexLink"/>
                <w:rtl w:val="true"/>
              </w:rPr>
              <w:t>:</w:t>
              <w:tab/>
            </w:r>
            <w:r>
              <w:rPr>
                <w:rStyle w:val="IndexLink"/>
              </w:rPr>
              <w:t>17</w:t>
            </w:r>
          </w:hyperlink>
        </w:p>
        <w:p>
          <w:pPr>
            <w:pStyle w:val="Contents6"/>
            <w:tabs>
              <w:tab w:val="clear" w:pos="7609"/>
              <w:tab w:val="right" w:pos="9026" w:leader="dot"/>
            </w:tabs>
            <w:rPr/>
          </w:pPr>
          <w:hyperlink w:anchor="__RefHeading___Toc5082440_2314609296">
            <w:r>
              <w:rPr>
                <w:webHidden/>
                <w:rStyle w:val="IndexLink"/>
                <w:rtl w:val="true"/>
              </w:rPr>
              <w:t>منها</w:t>
            </w:r>
            <w:r>
              <w:rPr>
                <w:rStyle w:val="IndexLink"/>
                <w:rtl w:val="true"/>
              </w:rPr>
              <w:t>:</w:t>
            </w:r>
            <w:r>
              <w:rPr>
                <w:rStyle w:val="IndexLink"/>
                <w:rtl w:val="true"/>
              </w:rPr>
              <w:t>أنّه موقوف علی جواز الإیجاب بلفظ</w:t>
            </w:r>
            <w:r>
              <w:rPr>
                <w:rStyle w:val="IndexLink"/>
                <w:rtl w:val="true"/>
              </w:rPr>
              <w:t>«</w:t>
            </w:r>
            <w:r>
              <w:rPr>
                <w:rStyle w:val="IndexLink"/>
                <w:rtl w:val="true"/>
              </w:rPr>
              <w:t>ملّکت</w:t>
            </w:r>
            <w:r>
              <w:rPr>
                <w:rStyle w:val="IndexLink"/>
                <w:rtl w:val="true"/>
              </w:rPr>
              <w:t>»</w:t>
              <w:tab/>
            </w:r>
            <w:r>
              <w:rPr>
                <w:rStyle w:val="IndexLink"/>
              </w:rPr>
              <w:t>17</w:t>
            </w:r>
          </w:hyperlink>
        </w:p>
        <w:p>
          <w:pPr>
            <w:pStyle w:val="Contents6"/>
            <w:tabs>
              <w:tab w:val="clear" w:pos="7609"/>
              <w:tab w:val="right" w:pos="9026" w:leader="dot"/>
            </w:tabs>
            <w:rPr/>
          </w:pPr>
          <w:hyperlink w:anchor="__RefHeading___Toc5082442_2314609296">
            <w:r>
              <w:rPr>
                <w:webHidden/>
                <w:rStyle w:val="IndexLink"/>
                <w:rtl w:val="true"/>
              </w:rPr>
              <w:t>و منها</w:t>
            </w:r>
            <w:r>
              <w:rPr>
                <w:rStyle w:val="IndexLink"/>
                <w:rtl w:val="true"/>
              </w:rPr>
              <w:t>:</w:t>
            </w:r>
            <w:r>
              <w:rPr>
                <w:rStyle w:val="IndexLink"/>
                <w:rtl w:val="true"/>
              </w:rPr>
              <w:t>أنّه لا یشمل بیع الدین علی من هو علیه؛</w:t>
            </w:r>
            <w:r>
              <w:rPr>
                <w:rStyle w:val="IndexLink"/>
                <w:rtl w:val="true"/>
              </w:rPr>
              <w:tab/>
            </w:r>
            <w:r>
              <w:rPr>
                <w:rStyle w:val="IndexLink"/>
              </w:rPr>
              <w:t>17</w:t>
            </w:r>
          </w:hyperlink>
        </w:p>
        <w:p>
          <w:pPr>
            <w:pStyle w:val="Contents6"/>
            <w:tabs>
              <w:tab w:val="clear" w:pos="7609"/>
              <w:tab w:val="right" w:pos="9026" w:leader="dot"/>
            </w:tabs>
            <w:rPr/>
          </w:pPr>
          <w:hyperlink w:anchor="__RefHeading___Toc5082444_2314609296">
            <w:r>
              <w:rPr>
                <w:webHidden/>
                <w:rStyle w:val="IndexLink"/>
                <w:rtl w:val="true"/>
              </w:rPr>
              <w:t>و منها</w:t>
            </w:r>
            <w:r>
              <w:rPr>
                <w:rStyle w:val="IndexLink"/>
                <w:rtl w:val="true"/>
              </w:rPr>
              <w:t>:</w:t>
            </w:r>
            <w:r>
              <w:rPr>
                <w:rStyle w:val="IndexLink"/>
                <w:rtl w:val="true"/>
              </w:rPr>
              <w:t>أنّه یشمل التملیک بالمعاطاة،</w:t>
            </w:r>
            <w:r>
              <w:rPr>
                <w:rStyle w:val="IndexLink"/>
                <w:rtl w:val="true"/>
              </w:rPr>
              <w:tab/>
            </w:r>
            <w:r>
              <w:rPr>
                <w:rStyle w:val="IndexLink"/>
              </w:rPr>
              <w:t>18</w:t>
            </w:r>
          </w:hyperlink>
        </w:p>
        <w:p>
          <w:pPr>
            <w:pStyle w:val="Contents6"/>
            <w:tabs>
              <w:tab w:val="clear" w:pos="7609"/>
              <w:tab w:val="right" w:pos="9026" w:leader="dot"/>
            </w:tabs>
            <w:rPr/>
          </w:pPr>
          <w:hyperlink w:anchor="__RefHeading___Toc5082446_2314609296">
            <w:r>
              <w:rPr>
                <w:webHidden/>
                <w:rStyle w:val="IndexLink"/>
                <w:rtl w:val="true"/>
              </w:rPr>
              <w:t>و منها</w:t>
            </w:r>
            <w:r>
              <w:rPr>
                <w:rStyle w:val="IndexLink"/>
                <w:rtl w:val="true"/>
              </w:rPr>
              <w:t>:</w:t>
            </w:r>
            <w:r>
              <w:rPr>
                <w:rStyle w:val="IndexLink"/>
                <w:rtl w:val="true"/>
              </w:rPr>
              <w:t>صدقه علی الشراء؛</w:t>
            </w:r>
            <w:r>
              <w:rPr>
                <w:rStyle w:val="IndexLink"/>
                <w:rtl w:val="true"/>
              </w:rPr>
              <w:tab/>
            </w:r>
            <w:r>
              <w:rPr>
                <w:rStyle w:val="IndexLink"/>
              </w:rPr>
              <w:t>18</w:t>
            </w:r>
          </w:hyperlink>
        </w:p>
        <w:p>
          <w:pPr>
            <w:pStyle w:val="Contents6"/>
            <w:tabs>
              <w:tab w:val="clear" w:pos="7609"/>
              <w:tab w:val="right" w:pos="9026" w:leader="dot"/>
            </w:tabs>
            <w:rPr/>
          </w:pPr>
          <w:hyperlink w:anchor="__RefHeading___Toc5082448_2314609296">
            <w:r>
              <w:rPr>
                <w:webHidden/>
                <w:rStyle w:val="IndexLink"/>
                <w:rtl w:val="true"/>
              </w:rPr>
              <w:t>و منها</w:t>
            </w:r>
            <w:r>
              <w:rPr>
                <w:rStyle w:val="IndexLink"/>
                <w:rtl w:val="true"/>
              </w:rPr>
              <w:t>:</w:t>
            </w:r>
            <w:r>
              <w:rPr>
                <w:rStyle w:val="IndexLink"/>
                <w:rtl w:val="true"/>
              </w:rPr>
              <w:t>انتقاض طرده بالصلح علی العین بمالٍ،و بالهبة المعوّضة</w:t>
            </w:r>
            <w:r>
              <w:rPr>
                <w:rStyle w:val="IndexLink"/>
                <w:rtl w:val="true"/>
              </w:rPr>
              <w:t>.</w:t>
              <w:tab/>
            </w:r>
            <w:r>
              <w:rPr>
                <w:rStyle w:val="IndexLink"/>
              </w:rPr>
              <w:t>19</w:t>
            </w:r>
          </w:hyperlink>
        </w:p>
        <w:p>
          <w:pPr>
            <w:pStyle w:val="Contents6"/>
            <w:tabs>
              <w:tab w:val="clear" w:pos="7609"/>
              <w:tab w:val="right" w:pos="9026" w:leader="dot"/>
            </w:tabs>
            <w:rPr/>
          </w:pPr>
          <w:hyperlink w:anchor="__RefHeading___Toc5082450_2314609296">
            <w:r>
              <w:rPr>
                <w:webHidden/>
                <w:rStyle w:val="IndexLink"/>
                <w:rtl w:val="true"/>
              </w:rPr>
              <w:t>بقی</w:t>
            </w:r>
            <w:r>
              <w:rPr>
                <w:rStyle w:val="IndexLink"/>
                <w:rtl w:val="true"/>
              </w:rPr>
              <w:tab/>
            </w:r>
            <w:r>
              <w:rPr>
                <w:rStyle w:val="IndexLink"/>
              </w:rPr>
              <w:t>21</w:t>
            </w:r>
          </w:hyperlink>
        </w:p>
        <w:p>
          <w:pPr>
            <w:pStyle w:val="Contents4"/>
            <w:tabs>
              <w:tab w:val="clear" w:pos="8176"/>
              <w:tab w:val="right" w:pos="9026" w:leader="dot"/>
            </w:tabs>
            <w:rPr/>
          </w:pPr>
          <w:hyperlink w:anchor="__RefHeading___Toc5082452_2314609296">
            <w:r>
              <w:rPr>
                <w:webHidden/>
                <w:rStyle w:val="IndexLink"/>
                <w:rtl w:val="true"/>
              </w:rPr>
              <w:t>و یظهر من بعض من قارب عصرنا</w:t>
            </w:r>
            <w:r>
              <w:rPr>
                <w:rStyle w:val="IndexLink"/>
                <w:rtl w:val="true"/>
              </w:rPr>
              <w:tab/>
            </w:r>
            <w:r>
              <w:rPr>
                <w:rStyle w:val="IndexLink"/>
              </w:rPr>
              <w:t>22</w:t>
            </w:r>
          </w:hyperlink>
        </w:p>
        <w:p>
          <w:pPr>
            <w:pStyle w:val="Contents5"/>
            <w:tabs>
              <w:tab w:val="clear" w:pos="7892"/>
              <w:tab w:val="right" w:pos="9026" w:leader="dot"/>
            </w:tabs>
            <w:rPr/>
          </w:pPr>
          <w:hyperlink w:anchor="__RefHeading___Toc5082454_2314609296">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5082456_2314609296">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5082458_2314609296">
            <w:r>
              <w:rPr>
                <w:webHidden/>
                <w:rStyle w:val="IndexLink"/>
                <w:rtl w:val="true"/>
              </w:rPr>
              <w:t>أحدها</w:t>
            </w:r>
            <w:r>
              <w:rPr>
                <w:rStyle w:val="IndexLink"/>
                <w:rtl w:val="true"/>
              </w:rPr>
              <w:t>:</w:t>
            </w:r>
            <w:r>
              <w:rPr>
                <w:rStyle w:val="IndexLink"/>
                <w:rtl w:val="true"/>
              </w:rPr>
              <w:t>التملیک المذکور،لکن</w:t>
            </w:r>
            <w:r>
              <w:rPr>
                <w:rStyle w:val="IndexLink"/>
                <w:rtl w:val="true"/>
              </w:rPr>
              <w:tab/>
            </w:r>
            <w:r>
              <w:rPr>
                <w:rStyle w:val="IndexLink"/>
              </w:rPr>
              <w:t>22</w:t>
            </w:r>
          </w:hyperlink>
        </w:p>
        <w:p>
          <w:pPr>
            <w:pStyle w:val="Contents5"/>
            <w:tabs>
              <w:tab w:val="clear" w:pos="7892"/>
              <w:tab w:val="right" w:pos="9026" w:leader="dot"/>
            </w:tabs>
            <w:rPr/>
          </w:pPr>
          <w:hyperlink w:anchor="__RefHeading___Toc5082460_2314609296">
            <w:r>
              <w:rPr>
                <w:webHidden/>
                <w:rStyle w:val="IndexLink"/>
                <w:rtl w:val="true"/>
              </w:rPr>
              <w:t>الثانی</w:t>
            </w:r>
            <w:r>
              <w:rPr>
                <w:rStyle w:val="IndexLink"/>
                <w:rtl w:val="true"/>
              </w:rPr>
              <w:t>:</w:t>
            </w:r>
            <w:r>
              <w:rPr>
                <w:rStyle w:val="IndexLink"/>
                <w:rtl w:val="true"/>
              </w:rPr>
              <w:t>الأثر الحاصل من الإیجاب و القبول،</w:t>
            </w:r>
            <w:r>
              <w:rPr>
                <w:rStyle w:val="IndexLink"/>
                <w:rtl w:val="true"/>
              </w:rPr>
              <w:tab/>
            </w:r>
            <w:r>
              <w:rPr>
                <w:rStyle w:val="IndexLink"/>
              </w:rPr>
              <w:t>23</w:t>
            </w:r>
          </w:hyperlink>
        </w:p>
        <w:p>
          <w:pPr>
            <w:pStyle w:val="Contents5"/>
            <w:tabs>
              <w:tab w:val="clear" w:pos="7892"/>
              <w:tab w:val="right" w:pos="9026" w:leader="dot"/>
            </w:tabs>
            <w:rPr/>
          </w:pPr>
          <w:hyperlink w:anchor="__RefHeading___Toc5082462_2314609296">
            <w:r>
              <w:rPr>
                <w:webHidden/>
                <w:rStyle w:val="IndexLink"/>
                <w:rtl w:val="true"/>
              </w:rPr>
              <w:t>الثالث</w:t>
            </w:r>
            <w:r>
              <w:rPr>
                <w:rStyle w:val="IndexLink"/>
                <w:rtl w:val="true"/>
              </w:rPr>
              <w:t>:</w:t>
            </w:r>
            <w:r>
              <w:rPr>
                <w:rStyle w:val="IndexLink"/>
                <w:rtl w:val="true"/>
              </w:rPr>
              <w:t>نفس العقد المرکّب من الإیجاب و القبول،</w:t>
            </w:r>
            <w:r>
              <w:rPr>
                <w:rStyle w:val="IndexLink"/>
                <w:rtl w:val="true"/>
              </w:rPr>
              <w:tab/>
            </w:r>
            <w:r>
              <w:rPr>
                <w:rStyle w:val="IndexLink"/>
              </w:rPr>
              <w:t>23</w:t>
            </w:r>
          </w:hyperlink>
        </w:p>
        <w:p>
          <w:pPr>
            <w:pStyle w:val="Contents4"/>
            <w:tabs>
              <w:tab w:val="clear" w:pos="8176"/>
              <w:tab w:val="right" w:pos="9026" w:leader="dot"/>
            </w:tabs>
            <w:rPr/>
          </w:pPr>
          <w:hyperlink w:anchor="__RefHeading___Toc5082464_2314609296">
            <w:r>
              <w:rPr>
                <w:webHidden/>
                <w:rStyle w:val="IndexLink"/>
                <w:rtl w:val="true"/>
              </w:rPr>
              <w:t>[</w:t>
            </w:r>
            <w:r>
              <w:rPr>
                <w:rStyle w:val="IndexLink"/>
                <w:rtl w:val="true"/>
              </w:rPr>
              <w:t>المناقشة فی هذه الاستعمالات</w:t>
            </w:r>
            <w:r>
              <w:rPr>
                <w:rStyle w:val="IndexLink"/>
                <w:rtl w:val="true"/>
              </w:rPr>
              <w:t>]</w:t>
              <w:tab/>
            </w:r>
            <w:r>
              <w:rPr>
                <w:rStyle w:val="IndexLink"/>
              </w:rPr>
              <w:t>23</w:t>
            </w:r>
          </w:hyperlink>
        </w:p>
        <w:p>
          <w:pPr>
            <w:pStyle w:val="Contents3"/>
            <w:tabs>
              <w:tab w:val="clear" w:pos="8459"/>
              <w:tab w:val="right" w:pos="9026" w:leader="dot"/>
            </w:tabs>
            <w:rPr/>
          </w:pPr>
          <w:hyperlink w:anchor="__RefHeading___Toc5082466_2314609296">
            <w:r>
              <w:rPr>
                <w:webHidden/>
                <w:rStyle w:val="IndexLink"/>
                <w:rtl w:val="true"/>
              </w:rPr>
              <w:t>[</w:t>
            </w:r>
            <w:r>
              <w:rPr>
                <w:rStyle w:val="IndexLink"/>
                <w:rtl w:val="true"/>
              </w:rPr>
              <w:t>البیع و نحوه من العقود اسم للصحیح أو للأعم</w:t>
            </w:r>
            <w:r>
              <w:rPr>
                <w:rStyle w:val="IndexLink"/>
                <w:rtl w:val="true"/>
              </w:rPr>
              <w:t>]</w:t>
              <w:tab/>
            </w:r>
            <w:r>
              <w:rPr>
                <w:rStyle w:val="IndexLink"/>
              </w:rPr>
              <w:t>25</w:t>
            </w:r>
          </w:hyperlink>
        </w:p>
        <w:p>
          <w:pPr>
            <w:pStyle w:val="Contents3"/>
            <w:tabs>
              <w:tab w:val="clear" w:pos="8459"/>
              <w:tab w:val="right" w:pos="9026" w:leader="dot"/>
            </w:tabs>
            <w:rPr/>
          </w:pPr>
          <w:hyperlink w:anchor="__RefHeading___Toc5082468_2314609296">
            <w:r>
              <w:rPr>
                <w:webHidden/>
                <w:rStyle w:val="IndexLink"/>
                <w:rtl w:val="true"/>
              </w:rPr>
              <w:t>الکلام فی المعاطاة</w:t>
            </w:r>
            <w:r>
              <w:rPr>
                <w:rStyle w:val="IndexLink"/>
                <w:rtl w:val="true"/>
              </w:rPr>
              <w:tab/>
            </w:r>
            <w:r>
              <w:rPr>
                <w:rStyle w:val="IndexLink"/>
              </w:rPr>
              <w:t>28</w:t>
            </w:r>
          </w:hyperlink>
        </w:p>
        <w:p>
          <w:pPr>
            <w:pStyle w:val="Contents4"/>
            <w:tabs>
              <w:tab w:val="clear" w:pos="8176"/>
              <w:tab w:val="right" w:pos="9026" w:leader="dot"/>
            </w:tabs>
            <w:rPr/>
          </w:pPr>
          <w:hyperlink w:anchor="__RefHeading___Toc5082470_2314609296">
            <w:r>
              <w:rPr>
                <w:webHidden/>
                <w:rStyle w:val="IndexLink"/>
                <w:rtl w:val="true"/>
              </w:rPr>
              <w:t>[</w:t>
            </w:r>
            <w:r>
              <w:rPr>
                <w:rStyle w:val="IndexLink"/>
                <w:rtl w:val="true"/>
              </w:rPr>
              <w:t>البحث فی حقیقة المعاطاة صورها</w:t>
            </w:r>
            <w:r>
              <w:rPr>
                <w:rStyle w:val="IndexLink"/>
                <w:rtl w:val="true"/>
              </w:rPr>
              <w:t>]</w:t>
              <w:tab/>
            </w:r>
            <w:r>
              <w:rPr>
                <w:rStyle w:val="IndexLink"/>
              </w:rPr>
              <w:t>28</w:t>
            </w:r>
          </w:hyperlink>
        </w:p>
        <w:p>
          <w:pPr>
            <w:pStyle w:val="Contents4"/>
            <w:tabs>
              <w:tab w:val="clear" w:pos="8176"/>
              <w:tab w:val="right" w:pos="9026" w:leader="dot"/>
            </w:tabs>
            <w:rPr/>
          </w:pPr>
          <w:hyperlink w:anchor="__RefHeading___Toc5082472_2314609296">
            <w:r>
              <w:rPr>
                <w:webHidden/>
                <w:rStyle w:val="IndexLink"/>
                <w:rtl w:val="true"/>
              </w:rPr>
              <w:t>[</w:t>
            </w:r>
            <w:r>
              <w:rPr>
                <w:rStyle w:val="IndexLink"/>
                <w:rtl w:val="true"/>
              </w:rPr>
              <w:t>حکم المعاطاة و أقوال العلماء فی ذلک</w:t>
            </w:r>
            <w:r>
              <w:rPr>
                <w:rStyle w:val="IndexLink"/>
                <w:rtl w:val="true"/>
              </w:rPr>
              <w:t>]</w:t>
              <w:tab/>
            </w:r>
            <w:r>
              <w:rPr>
                <w:rStyle w:val="IndexLink"/>
              </w:rPr>
              <w:t>29</w:t>
            </w:r>
          </w:hyperlink>
        </w:p>
        <w:p>
          <w:pPr>
            <w:pStyle w:val="Contents4"/>
            <w:tabs>
              <w:tab w:val="clear" w:pos="8176"/>
              <w:tab w:val="right" w:pos="9026" w:leader="dot"/>
            </w:tabs>
            <w:rPr/>
          </w:pPr>
          <w:hyperlink w:anchor="__RefHeading___Toc5082474_2314609296">
            <w:r>
              <w:rPr>
                <w:webHidden/>
                <w:rStyle w:val="IndexLink"/>
                <w:rtl w:val="true"/>
              </w:rPr>
              <w:t>فالأقوال فی المعاطاة</w:t>
            </w:r>
            <w:r>
              <w:rPr>
                <w:rStyle w:val="IndexLink"/>
                <w:rtl w:val="true"/>
              </w:rPr>
              <w:t>-</w:t>
            </w:r>
            <w:r>
              <w:rPr>
                <w:rStyle w:val="IndexLink"/>
                <w:rtl w:val="true"/>
              </w:rPr>
              <w:t>علی ما یساعده ظواهر کلماتهم</w:t>
            </w:r>
            <w:r>
              <w:rPr>
                <w:rStyle w:val="IndexLink"/>
                <w:rtl w:val="true"/>
              </w:rPr>
              <w:t>-</w:t>
            </w:r>
            <w:r>
              <w:rPr>
                <w:rStyle w:val="IndexLink"/>
                <w:rtl w:val="true"/>
              </w:rPr>
              <w:t>ستّة</w:t>
            </w:r>
            <w:r>
              <w:rPr>
                <w:rStyle w:val="IndexLink"/>
                <w:rtl w:val="true"/>
              </w:rPr>
              <w:t>:</w:t>
              <w:tab/>
            </w:r>
            <w:r>
              <w:rPr>
                <w:rStyle w:val="IndexLink"/>
              </w:rPr>
              <w:t>42</w:t>
            </w:r>
          </w:hyperlink>
        </w:p>
        <w:p>
          <w:pPr>
            <w:pStyle w:val="Contents5"/>
            <w:tabs>
              <w:tab w:val="clear" w:pos="7892"/>
              <w:tab w:val="right" w:pos="9026" w:leader="dot"/>
            </w:tabs>
            <w:rPr/>
          </w:pPr>
          <w:hyperlink w:anchor="__RefHeading___Toc5082476_2314609296">
            <w:r>
              <w:rPr>
                <w:webHidden/>
                <w:rStyle w:val="IndexLink"/>
                <w:rtl w:val="true"/>
              </w:rPr>
              <w:t>اللزوم مطلقاً،</w:t>
            </w:r>
            <w:r>
              <w:rPr>
                <w:rStyle w:val="IndexLink"/>
                <w:rtl w:val="true"/>
              </w:rPr>
              <w:tab/>
            </w:r>
            <w:r>
              <w:rPr>
                <w:rStyle w:val="IndexLink"/>
              </w:rPr>
              <w:t>42</w:t>
            </w:r>
          </w:hyperlink>
        </w:p>
        <w:p>
          <w:pPr>
            <w:pStyle w:val="Contents5"/>
            <w:tabs>
              <w:tab w:val="clear" w:pos="7892"/>
              <w:tab w:val="right" w:pos="9026" w:leader="dot"/>
            </w:tabs>
            <w:rPr/>
          </w:pPr>
          <w:hyperlink w:anchor="__RefHeading___Toc5082478_2314609296">
            <w:r>
              <w:rPr>
                <w:webHidden/>
                <w:rStyle w:val="IndexLink"/>
                <w:rtl w:val="true"/>
              </w:rPr>
              <w:t>و اللزوم بشرط کون الدالّ علی التراضی أو المعاملة لفظاً،</w:t>
            </w:r>
            <w:r>
              <w:rPr>
                <w:rStyle w:val="IndexLink"/>
                <w:rtl w:val="true"/>
              </w:rPr>
              <w:tab/>
            </w:r>
            <w:r>
              <w:rPr>
                <w:rStyle w:val="IndexLink"/>
              </w:rPr>
              <w:t>42</w:t>
            </w:r>
          </w:hyperlink>
        </w:p>
        <w:p>
          <w:pPr>
            <w:pStyle w:val="Contents5"/>
            <w:tabs>
              <w:tab w:val="clear" w:pos="7892"/>
              <w:tab w:val="right" w:pos="9026" w:leader="dot"/>
            </w:tabs>
            <w:rPr/>
          </w:pPr>
          <w:hyperlink w:anchor="__RefHeading___Toc5082480_2314609296">
            <w:r>
              <w:rPr>
                <w:webHidden/>
                <w:rStyle w:val="IndexLink"/>
                <w:rtl w:val="true"/>
              </w:rPr>
              <w:t>و الملک الغیر اللازم،</w:t>
            </w:r>
            <w:r>
              <w:rPr>
                <w:rStyle w:val="IndexLink"/>
                <w:rtl w:val="true"/>
              </w:rPr>
              <w:tab/>
            </w:r>
            <w:r>
              <w:rPr>
                <w:rStyle w:val="IndexLink"/>
              </w:rPr>
              <w:t>43</w:t>
            </w:r>
          </w:hyperlink>
        </w:p>
        <w:p>
          <w:pPr>
            <w:pStyle w:val="Contents5"/>
            <w:tabs>
              <w:tab w:val="clear" w:pos="7892"/>
              <w:tab w:val="right" w:pos="9026" w:leader="dot"/>
            </w:tabs>
            <w:rPr/>
          </w:pPr>
          <w:hyperlink w:anchor="__RefHeading___Toc5082482_2314609296">
            <w:r>
              <w:rPr>
                <w:webHidden/>
                <w:rStyle w:val="IndexLink"/>
                <w:rtl w:val="true"/>
              </w:rPr>
              <w:t>و عدم الملک مع إباحة جمیع التصرّفات حتی المتوقّفة علی الملک،</w:t>
            </w:r>
            <w:r>
              <w:rPr>
                <w:rStyle w:val="IndexLink"/>
                <w:rtl w:val="true"/>
              </w:rPr>
              <w:tab/>
            </w:r>
            <w:r>
              <w:rPr>
                <w:rStyle w:val="IndexLink"/>
              </w:rPr>
              <w:t>43</w:t>
            </w:r>
          </w:hyperlink>
        </w:p>
        <w:p>
          <w:pPr>
            <w:pStyle w:val="Contents5"/>
            <w:tabs>
              <w:tab w:val="clear" w:pos="7892"/>
              <w:tab w:val="right" w:pos="9026" w:leader="dot"/>
            </w:tabs>
            <w:rPr/>
          </w:pPr>
          <w:hyperlink w:anchor="__RefHeading___Toc5082484_2314609296">
            <w:r>
              <w:rPr>
                <w:webHidden/>
                <w:rStyle w:val="IndexLink"/>
                <w:rtl w:val="true"/>
              </w:rPr>
              <w:t>و إباحة ما لا یتوقّف علی الملک،</w:t>
            </w:r>
            <w:r>
              <w:rPr>
                <w:rStyle w:val="IndexLink"/>
                <w:rtl w:val="true"/>
              </w:rPr>
              <w:tab/>
            </w:r>
            <w:r>
              <w:rPr>
                <w:rStyle w:val="IndexLink"/>
              </w:rPr>
              <w:t>43</w:t>
            </w:r>
          </w:hyperlink>
        </w:p>
        <w:p>
          <w:pPr>
            <w:pStyle w:val="Contents4"/>
            <w:tabs>
              <w:tab w:val="clear" w:pos="8176"/>
              <w:tab w:val="right" w:pos="9026" w:leader="dot"/>
            </w:tabs>
            <w:rPr/>
          </w:pPr>
          <w:hyperlink w:anchor="__RefHeading___Toc5082486_2314609296">
            <w:r>
              <w:rPr>
                <w:webHidden/>
                <w:rStyle w:val="IndexLink"/>
                <w:rtl w:val="true"/>
              </w:rPr>
              <w:t>و المشهور بین علمائنا</w:t>
            </w:r>
            <w:r>
              <w:rPr>
                <w:rStyle w:val="IndexLink"/>
                <w:rtl w:val="true"/>
              </w:rPr>
              <w:t>:</w:t>
            </w:r>
            <w:r>
              <w:rPr>
                <w:rStyle w:val="IndexLink"/>
                <w:rtl w:val="true"/>
              </w:rPr>
              <w:t>عدم ثبوت الملک بالمعاطاة</w:t>
            </w:r>
            <w:r>
              <w:rPr>
                <w:rStyle w:val="IndexLink"/>
                <w:rtl w:val="true"/>
              </w:rPr>
              <w:tab/>
            </w:r>
            <w:r>
              <w:rPr>
                <w:rStyle w:val="IndexLink"/>
              </w:rPr>
              <w:t>43</w:t>
            </w:r>
          </w:hyperlink>
        </w:p>
        <w:p>
          <w:pPr>
            <w:pStyle w:val="Contents4"/>
            <w:tabs>
              <w:tab w:val="clear" w:pos="8176"/>
              <w:tab w:val="right" w:pos="9026" w:leader="dot"/>
            </w:tabs>
            <w:rPr/>
          </w:pPr>
          <w:hyperlink w:anchor="__RefHeading___Toc5082488_2314609296">
            <w:r>
              <w:rPr>
                <w:webHidden/>
                <w:rStyle w:val="IndexLink"/>
                <w:rtl w:val="true"/>
              </w:rPr>
              <w:t>[</w:t>
            </w:r>
            <w:r>
              <w:rPr>
                <w:rStyle w:val="IndexLink"/>
                <w:rtl w:val="true"/>
              </w:rPr>
              <w:t>الأقوی حصول الملک</w:t>
            </w:r>
            <w:r>
              <w:rPr>
                <w:rStyle w:val="IndexLink"/>
                <w:rtl w:val="true"/>
              </w:rPr>
              <w:t>]</w:t>
              <w:tab/>
            </w:r>
            <w:r>
              <w:rPr>
                <w:rStyle w:val="IndexLink"/>
              </w:rPr>
              <w:t>44</w:t>
            </w:r>
          </w:hyperlink>
        </w:p>
        <w:p>
          <w:pPr>
            <w:pStyle w:val="Contents5"/>
            <w:tabs>
              <w:tab w:val="clear" w:pos="7892"/>
              <w:tab w:val="right" w:pos="9026" w:leader="dot"/>
            </w:tabs>
            <w:rPr/>
          </w:pPr>
          <w:hyperlink w:anchor="__RefHeading___Toc5082490_2314609296">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5082492_2314609296">
            <w:r>
              <w:rPr>
                <w:webHidden/>
                <w:rStyle w:val="IndexLink"/>
                <w:rtl w:val="true"/>
              </w:rPr>
              <w:t>[</w:t>
            </w:r>
            <w:r>
              <w:rPr>
                <w:rStyle w:val="IndexLink"/>
                <w:rtl w:val="true"/>
              </w:rPr>
              <w:t>الاستدلال بالسیرة</w:t>
            </w:r>
            <w:r>
              <w:rPr>
                <w:rStyle w:val="IndexLink"/>
                <w:rtl w:val="true"/>
              </w:rPr>
              <w:t>]</w:t>
              <w:tab/>
            </w:r>
            <w:r>
              <w:rPr>
                <w:rStyle w:val="IndexLink"/>
              </w:rPr>
              <w:t>45</w:t>
            </w:r>
          </w:hyperlink>
        </w:p>
        <w:p>
          <w:pPr>
            <w:pStyle w:val="Contents5"/>
            <w:tabs>
              <w:tab w:val="clear" w:pos="7892"/>
              <w:tab w:val="right" w:pos="9026" w:leader="dot"/>
            </w:tabs>
            <w:rPr/>
          </w:pPr>
          <w:hyperlink w:anchor="__RefHeading___Toc5082494_2314609296">
            <w:r>
              <w:rPr>
                <w:webHidden/>
                <w:rStyle w:val="IndexLink"/>
                <w:rtl w:val="true"/>
              </w:rPr>
              <w:t>[</w:t>
            </w:r>
            <w:r>
              <w:rPr>
                <w:rStyle w:val="IndexLink"/>
                <w:rtl w:val="true"/>
              </w:rPr>
              <w:t>الاستدلال بآیة أحل الله البیع</w:t>
            </w:r>
            <w:r>
              <w:rPr>
                <w:rStyle w:val="IndexLink"/>
                <w:rtl w:val="true"/>
              </w:rPr>
              <w:t>]</w:t>
              <w:tab/>
            </w:r>
            <w:r>
              <w:rPr>
                <w:rStyle w:val="IndexLink"/>
              </w:rPr>
              <w:t>45</w:t>
            </w:r>
          </w:hyperlink>
        </w:p>
        <w:p>
          <w:pPr>
            <w:pStyle w:val="Contents5"/>
            <w:tabs>
              <w:tab w:val="clear" w:pos="7892"/>
              <w:tab w:val="right" w:pos="9026" w:leader="dot"/>
            </w:tabs>
            <w:rPr/>
          </w:pPr>
          <w:hyperlink w:anchor="__RefHeading___Toc5082496_2314609296">
            <w:r>
              <w:rPr>
                <w:webHidden/>
                <w:rStyle w:val="IndexLink"/>
                <w:rtl w:val="true"/>
              </w:rPr>
              <w:t>[</w:t>
            </w:r>
            <w:r>
              <w:rPr>
                <w:rStyle w:val="IndexLink"/>
                <w:rtl w:val="true"/>
              </w:rPr>
              <w:t>الاستدلال بآیة التجارة</w:t>
            </w:r>
            <w:r>
              <w:rPr>
                <w:rStyle w:val="IndexLink"/>
                <w:rtl w:val="true"/>
              </w:rPr>
              <w:t>]</w:t>
              <w:tab/>
            </w:r>
            <w:r>
              <w:rPr>
                <w:rStyle w:val="IndexLink"/>
              </w:rPr>
              <w:t>46</w:t>
            </w:r>
          </w:hyperlink>
        </w:p>
        <w:p>
          <w:pPr>
            <w:pStyle w:val="Contents5"/>
            <w:tabs>
              <w:tab w:val="clear" w:pos="7892"/>
              <w:tab w:val="right" w:pos="9026" w:leader="dot"/>
            </w:tabs>
            <w:rPr/>
          </w:pPr>
          <w:hyperlink w:anchor="__RefHeading___Toc5082498_2314609296">
            <w:r>
              <w:rPr>
                <w:webHidden/>
                <w:rStyle w:val="IndexLink"/>
                <w:rtl w:val="true"/>
              </w:rPr>
              <w:t>[</w:t>
            </w:r>
            <w:r>
              <w:rPr>
                <w:rStyle w:val="IndexLink"/>
                <w:rtl w:val="true"/>
              </w:rPr>
              <w:t>الاستدلال بحدیث السلطنة و المناقشة فیه</w:t>
            </w:r>
            <w:r>
              <w:rPr>
                <w:rStyle w:val="IndexLink"/>
                <w:rtl w:val="true"/>
              </w:rPr>
              <w:t>]</w:t>
              <w:tab/>
            </w:r>
            <w:r>
              <w:rPr>
                <w:rStyle w:val="IndexLink"/>
              </w:rPr>
              <w:t>46</w:t>
            </w:r>
          </w:hyperlink>
        </w:p>
        <w:p>
          <w:pPr>
            <w:pStyle w:val="Contents5"/>
            <w:tabs>
              <w:tab w:val="clear" w:pos="7892"/>
              <w:tab w:val="right" w:pos="9026" w:leader="dot"/>
            </w:tabs>
            <w:rPr/>
          </w:pPr>
          <w:hyperlink w:anchor="__RefHeading___Toc5082500_2314609296">
            <w:r>
              <w:rPr>
                <w:webHidden/>
                <w:rStyle w:val="IndexLink"/>
                <w:rtl w:val="true"/>
              </w:rPr>
              <w:t>[</w:t>
            </w:r>
            <w:r>
              <w:rPr>
                <w:rStyle w:val="IndexLink"/>
                <w:rtl w:val="true"/>
              </w:rPr>
              <w:t>المناقشة فی دلالة الآیتین</w:t>
            </w:r>
            <w:r>
              <w:rPr>
                <w:rStyle w:val="IndexLink"/>
                <w:rtl w:val="true"/>
              </w:rPr>
              <w:t>]</w:t>
              <w:tab/>
            </w:r>
            <w:r>
              <w:rPr>
                <w:rStyle w:val="IndexLink"/>
              </w:rPr>
              <w:t>47</w:t>
            </w:r>
          </w:hyperlink>
        </w:p>
        <w:p>
          <w:pPr>
            <w:pStyle w:val="Contents5"/>
            <w:tabs>
              <w:tab w:val="clear" w:pos="7892"/>
              <w:tab w:val="right" w:pos="9026" w:leader="dot"/>
            </w:tabs>
            <w:rPr/>
          </w:pPr>
          <w:hyperlink w:anchor="__RefHeading___Toc5082502_2314609296">
            <w:r>
              <w:rPr>
                <w:webHidden/>
                <w:rStyle w:val="IndexLink"/>
                <w:rtl w:val="true"/>
              </w:rPr>
              <w:t>[</w:t>
            </w:r>
            <w:r>
              <w:rPr>
                <w:rStyle w:val="IndexLink"/>
                <w:rtl w:val="true"/>
              </w:rPr>
              <w:t>المناقشة فی دلالة السیرة</w:t>
            </w:r>
            <w:r>
              <w:rPr>
                <w:rStyle w:val="IndexLink"/>
                <w:rtl w:val="true"/>
              </w:rPr>
              <w:t>]</w:t>
              <w:tab/>
            </w:r>
            <w:r>
              <w:rPr>
                <w:rStyle w:val="IndexLink"/>
              </w:rPr>
              <w:t>47</w:t>
            </w:r>
          </w:hyperlink>
        </w:p>
        <w:p>
          <w:pPr>
            <w:pStyle w:val="Contents5"/>
            <w:tabs>
              <w:tab w:val="clear" w:pos="7892"/>
              <w:tab w:val="right" w:pos="9026" w:leader="dot"/>
            </w:tabs>
            <w:rPr/>
          </w:pPr>
          <w:hyperlink w:anchor="__RefHeading___Toc5082504_2314609296">
            <w:r>
              <w:rPr>
                <w:webHidden/>
                <w:rStyle w:val="IndexLink"/>
                <w:rtl w:val="true"/>
              </w:rPr>
              <w:t>[</w:t>
            </w:r>
            <w:r>
              <w:rPr>
                <w:rStyle w:val="IndexLink"/>
                <w:rtl w:val="true"/>
              </w:rPr>
              <w:t>الأولی فی الاستدلال علی المختار</w:t>
            </w:r>
            <w:r>
              <w:rPr>
                <w:rStyle w:val="IndexLink"/>
                <w:rtl w:val="true"/>
              </w:rPr>
              <w:t>]</w:t>
              <w:tab/>
            </w:r>
            <w:r>
              <w:rPr>
                <w:rStyle w:val="IndexLink"/>
              </w:rPr>
              <w:t>48</w:t>
            </w:r>
          </w:hyperlink>
        </w:p>
        <w:p>
          <w:pPr>
            <w:pStyle w:val="Contents6"/>
            <w:tabs>
              <w:tab w:val="clear" w:pos="7609"/>
              <w:tab w:val="right" w:pos="9026" w:leader="dot"/>
            </w:tabs>
            <w:rPr/>
          </w:pPr>
          <w:hyperlink w:anchor="__RefHeading___Toc5082506_2314609296">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5082508_2314609296">
            <w:r>
              <w:rPr>
                <w:webHidden/>
                <w:rStyle w:val="IndexLink"/>
                <w:rtl w:val="true"/>
              </w:rPr>
              <w:t>[</w:t>
            </w:r>
            <w:r>
              <w:rPr>
                <w:rStyle w:val="IndexLink"/>
                <w:rtl w:val="true"/>
              </w:rPr>
              <w:t>دعوی کاشف الغطاء أن القول بالإباحة یستلزم تأسیس قواعد جدیدة</w:t>
            </w:r>
            <w:r>
              <w:rPr>
                <w:rStyle w:val="IndexLink"/>
                <w:rtl w:val="true"/>
              </w:rPr>
              <w:t>]</w:t>
              <w:tab/>
            </w:r>
            <w:r>
              <w:rPr>
                <w:rStyle w:val="IndexLink"/>
              </w:rPr>
              <w:t>48</w:t>
            </w:r>
          </w:hyperlink>
        </w:p>
        <w:p>
          <w:pPr>
            <w:pStyle w:val="Contents6"/>
            <w:tabs>
              <w:tab w:val="clear" w:pos="7609"/>
              <w:tab w:val="right" w:pos="9026" w:leader="dot"/>
            </w:tabs>
            <w:rPr/>
          </w:pPr>
          <w:hyperlink w:anchor="__RefHeading___Toc5082510_2314609296">
            <w:r>
              <w:rPr>
                <w:webHidden/>
                <w:rStyle w:val="IndexLink"/>
                <w:rtl w:val="true"/>
              </w:rPr>
              <w:t>[</w:t>
            </w:r>
            <w:r>
              <w:rPr>
                <w:rStyle w:val="IndexLink"/>
                <w:rtl w:val="true"/>
              </w:rPr>
              <w:t>المناقشة فیما ادعاه کاشف الغطاء</w:t>
            </w:r>
            <w:r>
              <w:rPr>
                <w:rStyle w:val="IndexLink"/>
                <w:rtl w:val="true"/>
              </w:rPr>
              <w:t>]</w:t>
              <w:tab/>
            </w:r>
            <w:r>
              <w:rPr>
                <w:rStyle w:val="IndexLink"/>
              </w:rPr>
              <w:t>51</w:t>
            </w:r>
          </w:hyperlink>
        </w:p>
        <w:p>
          <w:pPr>
            <w:pStyle w:val="Contents4"/>
            <w:tabs>
              <w:tab w:val="clear" w:pos="8176"/>
              <w:tab w:val="right" w:pos="9026" w:leader="dot"/>
            </w:tabs>
            <w:rPr/>
          </w:pPr>
          <w:hyperlink w:anchor="__RefHeading___Toc5082512_2314609296">
            <w:r>
              <w:rPr>
                <w:webHidden/>
                <w:rStyle w:val="IndexLink"/>
                <w:rtl w:val="true"/>
              </w:rPr>
              <w:t>[</w:t>
            </w:r>
            <w:r>
              <w:rPr>
                <w:rStyle w:val="IndexLink"/>
                <w:rtl w:val="true"/>
              </w:rPr>
              <w:t>هل المعاطاة لازمة أم جائزة</w:t>
            </w:r>
            <w:r>
              <w:rPr>
                <w:rStyle w:val="IndexLink"/>
                <w:rtl w:val="true"/>
              </w:rPr>
              <w:t>]</w:t>
              <w:tab/>
            </w:r>
            <w:r>
              <w:rPr>
                <w:rStyle w:val="IndexLink"/>
              </w:rPr>
              <w:t>56</w:t>
            </w:r>
          </w:hyperlink>
        </w:p>
        <w:p>
          <w:pPr>
            <w:pStyle w:val="Contents5"/>
            <w:tabs>
              <w:tab w:val="clear" w:pos="7892"/>
              <w:tab w:val="right" w:pos="9026" w:leader="dot"/>
            </w:tabs>
            <w:rPr/>
          </w:pPr>
          <w:hyperlink w:anchor="__RefHeading___Toc5082514_2314609296">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5082516_2314609296">
            <w:r>
              <w:rPr>
                <w:webHidden/>
                <w:rStyle w:val="IndexLink"/>
                <w:rtl w:val="true"/>
              </w:rPr>
              <w:t>[</w:t>
            </w:r>
            <w:r>
              <w:rPr>
                <w:rStyle w:val="IndexLink"/>
                <w:rtl w:val="true"/>
              </w:rPr>
              <w:t>مقتضی القاعدة اللزوم</w:t>
            </w:r>
            <w:r>
              <w:rPr>
                <w:rStyle w:val="IndexLink"/>
                <w:rtl w:val="true"/>
              </w:rPr>
              <w:t>]</w:t>
              <w:tab/>
            </w:r>
            <w:r>
              <w:rPr>
                <w:rStyle w:val="IndexLink"/>
              </w:rPr>
              <w:t>56</w:t>
            </w:r>
          </w:hyperlink>
        </w:p>
        <w:p>
          <w:pPr>
            <w:pStyle w:val="Contents6"/>
            <w:tabs>
              <w:tab w:val="clear" w:pos="7609"/>
              <w:tab w:val="right" w:pos="9026" w:leader="dot"/>
            </w:tabs>
            <w:rPr/>
          </w:pPr>
          <w:hyperlink w:anchor="__RefHeading___Toc5082518_2314609296">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5082520_2314609296">
            <w:r>
              <w:rPr>
                <w:webHidden/>
                <w:rStyle w:val="IndexLink"/>
                <w:rtl w:val="true"/>
              </w:rPr>
              <w:t>[</w:t>
            </w:r>
            <w:r>
              <w:rPr>
                <w:rStyle w:val="IndexLink"/>
                <w:rtl w:val="true"/>
              </w:rPr>
              <w:t>ما یدل علی اللزوم من الکتاب و السنة</w:t>
            </w:r>
            <w:r>
              <w:rPr>
                <w:rStyle w:val="IndexLink"/>
                <w:rtl w:val="true"/>
              </w:rPr>
              <w:t>]</w:t>
              <w:tab/>
            </w:r>
            <w:r>
              <w:rPr>
                <w:rStyle w:val="IndexLink"/>
              </w:rPr>
              <w:t>58</w:t>
            </w:r>
          </w:hyperlink>
        </w:p>
        <w:p>
          <w:pPr>
            <w:pStyle w:val="Contents5"/>
            <w:tabs>
              <w:tab w:val="clear" w:pos="7892"/>
              <w:tab w:val="right" w:pos="9026" w:leader="dot"/>
            </w:tabs>
            <w:rPr/>
          </w:pPr>
          <w:hyperlink w:anchor="__RefHeading___Toc5082522_2314609296">
            <w:r>
              <w:rPr>
                <w:webHidden/>
                <w:rStyle w:val="IndexLink"/>
                <w:rtl w:val="true"/>
              </w:rPr>
              <w:t>[</w:t>
            </w:r>
            <w:r>
              <w:rPr>
                <w:rStyle w:val="IndexLink"/>
                <w:rtl w:val="true"/>
              </w:rPr>
              <w:t>الاستدلال بما یدل علی لزوم خصوص البیع</w:t>
            </w:r>
            <w:r>
              <w:rPr>
                <w:rStyle w:val="IndexLink"/>
                <w:rtl w:val="true"/>
              </w:rPr>
              <w:t>]</w:t>
              <w:tab/>
            </w:r>
            <w:r>
              <w:rPr>
                <w:rStyle w:val="IndexLink"/>
              </w:rPr>
              <w:t>60</w:t>
            </w:r>
          </w:hyperlink>
        </w:p>
        <w:p>
          <w:pPr>
            <w:pStyle w:val="Contents5"/>
            <w:tabs>
              <w:tab w:val="clear" w:pos="7892"/>
              <w:tab w:val="right" w:pos="9026" w:leader="dot"/>
            </w:tabs>
            <w:rPr/>
          </w:pPr>
          <w:hyperlink w:anchor="__RefHeading___Toc5082524_2314609296">
            <w:r>
              <w:rPr>
                <w:webHidden/>
                <w:rStyle w:val="IndexLink"/>
                <w:rtl w:val="true"/>
              </w:rPr>
              <w:t>[</w:t>
            </w:r>
            <w:r>
              <w:rPr>
                <w:rStyle w:val="IndexLink"/>
                <w:rtl w:val="true"/>
              </w:rPr>
              <w:t>قیام الإجماع علی عدم لزوم المعاطاة</w:t>
            </w:r>
            <w:r>
              <w:rPr>
                <w:rStyle w:val="IndexLink"/>
                <w:rtl w:val="true"/>
              </w:rPr>
              <w:t>]</w:t>
              <w:tab/>
            </w:r>
            <w:r>
              <w:rPr>
                <w:rStyle w:val="IndexLink"/>
              </w:rPr>
              <w:t>61</w:t>
            </w:r>
          </w:hyperlink>
        </w:p>
        <w:p>
          <w:pPr>
            <w:pStyle w:val="Contents6"/>
            <w:tabs>
              <w:tab w:val="clear" w:pos="7609"/>
              <w:tab w:val="right" w:pos="9026" w:leader="dot"/>
            </w:tabs>
            <w:rPr/>
          </w:pPr>
          <w:hyperlink w:anchor="__RefHeading___Toc5082526_2314609296">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5082528_2314609296">
            <w:r>
              <w:rPr>
                <w:webHidden/>
                <w:rStyle w:val="IndexLink"/>
                <w:rtl w:val="true"/>
              </w:rPr>
              <w:t>[</w:t>
            </w:r>
            <w:r>
              <w:rPr>
                <w:rStyle w:val="IndexLink"/>
                <w:rtl w:val="true"/>
              </w:rPr>
              <w:t>التشکیک فی انعقاد الإجماع</w:t>
            </w:r>
            <w:r>
              <w:rPr>
                <w:rStyle w:val="IndexLink"/>
                <w:rtl w:val="true"/>
              </w:rPr>
              <w:t>]</w:t>
              <w:tab/>
            </w:r>
            <w:r>
              <w:rPr>
                <w:rStyle w:val="IndexLink"/>
              </w:rPr>
              <w:t>62</w:t>
            </w:r>
          </w:hyperlink>
        </w:p>
        <w:p>
          <w:pPr>
            <w:pStyle w:val="Contents6"/>
            <w:tabs>
              <w:tab w:val="clear" w:pos="7609"/>
              <w:tab w:val="right" w:pos="9026" w:leader="dot"/>
            </w:tabs>
            <w:rPr/>
          </w:pPr>
          <w:hyperlink w:anchor="__RefHeading___Toc5082530_2314609296">
            <w:r>
              <w:rPr>
                <w:webHidden/>
                <w:rStyle w:val="IndexLink"/>
                <w:rtl w:val="true"/>
              </w:rPr>
              <w:t>[</w:t>
            </w:r>
            <w:r>
              <w:rPr>
                <w:rStyle w:val="IndexLink"/>
                <w:rtl w:val="true"/>
              </w:rPr>
              <w:t>عدم کشف هذا الإجماع عن رأی المعصوم علی فرض حصوله</w:t>
            </w:r>
            <w:r>
              <w:rPr>
                <w:rStyle w:val="IndexLink"/>
                <w:rtl w:val="true"/>
              </w:rPr>
              <w:t>]</w:t>
              <w:tab/>
            </w:r>
            <w:r>
              <w:rPr>
                <w:rStyle w:val="IndexLink"/>
              </w:rPr>
              <w:t>63</w:t>
            </w:r>
          </w:hyperlink>
        </w:p>
        <w:p>
          <w:pPr>
            <w:pStyle w:val="Contents5"/>
            <w:tabs>
              <w:tab w:val="clear" w:pos="7892"/>
              <w:tab w:val="right" w:pos="9026" w:leader="dot"/>
            </w:tabs>
            <w:rPr/>
          </w:pPr>
          <w:hyperlink w:anchor="__RefHeading___Toc5082532_2314609296">
            <w:r>
              <w:rPr>
                <w:webHidden/>
                <w:rStyle w:val="IndexLink"/>
                <w:rtl w:val="true"/>
              </w:rPr>
              <w:t>[</w:t>
            </w:r>
            <w:r>
              <w:rPr>
                <w:rStyle w:val="IndexLink"/>
                <w:rtl w:val="true"/>
              </w:rPr>
              <w:t>ما یدل علی عدم لزوم المعاطاة</w:t>
            </w:r>
            <w:r>
              <w:rPr>
                <w:rStyle w:val="IndexLink"/>
                <w:rtl w:val="true"/>
              </w:rPr>
              <w:t>]</w:t>
              <w:tab/>
            </w:r>
            <w:r>
              <w:rPr>
                <w:rStyle w:val="IndexLink"/>
              </w:rPr>
              <w:t>64</w:t>
            </w:r>
          </w:hyperlink>
        </w:p>
        <w:p>
          <w:pPr>
            <w:pStyle w:val="Contents6"/>
            <w:tabs>
              <w:tab w:val="clear" w:pos="7609"/>
              <w:tab w:val="right" w:pos="9026" w:leader="dot"/>
            </w:tabs>
            <w:rPr/>
          </w:pPr>
          <w:hyperlink w:anchor="__RefHeading___Toc5082534_2314609296">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5082536_2314609296">
            <w:r>
              <w:rPr>
                <w:webHidden/>
                <w:rStyle w:val="IndexLink"/>
                <w:rtl w:val="true"/>
              </w:rPr>
              <w:t>بقی الکلام فی الخبر الذی تُمُسِّک به فی باب المعاطاة،تارةً علی عدم إفادة المعاطاة إباحة التصرّف،و أُخری علی عدم إفادتها اللزوم؛</w:t>
            </w:r>
            <w:r>
              <w:rPr>
                <w:rStyle w:val="IndexLink"/>
                <w:rtl w:val="true"/>
              </w:rPr>
              <w:tab/>
            </w:r>
            <w:r>
              <w:rPr>
                <w:rStyle w:val="IndexLink"/>
              </w:rPr>
              <w:t>65</w:t>
            </w:r>
          </w:hyperlink>
        </w:p>
        <w:p>
          <w:pPr>
            <w:pStyle w:val="Contents6"/>
            <w:tabs>
              <w:tab w:val="clear" w:pos="7609"/>
              <w:tab w:val="right" w:pos="9026" w:leader="dot"/>
            </w:tabs>
            <w:rPr/>
          </w:pPr>
          <w:hyperlink w:anchor="__RefHeading___Toc5082538_2314609296">
            <w:r>
              <w:rPr>
                <w:webHidden/>
                <w:rStyle w:val="IndexLink"/>
                <w:rtl w:val="true"/>
              </w:rPr>
              <w:t>و نقول</w:t>
            </w:r>
            <w:r>
              <w:rPr>
                <w:rStyle w:val="IndexLink"/>
                <w:rtl w:val="true"/>
              </w:rPr>
              <w:t>:</w:t>
            </w:r>
            <w:r>
              <w:rPr>
                <w:rStyle w:val="IndexLink"/>
                <w:rtl w:val="true"/>
              </w:rPr>
              <w:t>إنّ هذه الفقرة</w:t>
            </w:r>
            <w:r>
              <w:rPr>
                <w:rStyle w:val="IndexLink"/>
                <w:rtl w:val="true"/>
              </w:rPr>
              <w:t>-</w:t>
            </w:r>
            <w:r>
              <w:rPr>
                <w:rStyle w:val="IndexLink"/>
                <w:rtl w:val="true"/>
              </w:rPr>
              <w:t>مع قطع النظر عن صدر الروایة</w:t>
            </w:r>
            <w:r>
              <w:rPr>
                <w:rStyle w:val="IndexLink"/>
                <w:rtl w:val="true"/>
              </w:rPr>
              <w:t>-</w:t>
            </w:r>
            <w:r>
              <w:rPr>
                <w:rStyle w:val="IndexLink"/>
                <w:rtl w:val="true"/>
              </w:rPr>
              <w:t>تحتمل وجوهاً</w:t>
            </w:r>
            <w:r>
              <w:rPr>
                <w:rStyle w:val="IndexLink"/>
                <w:rtl w:val="true"/>
              </w:rPr>
              <w:t>:</w:t>
              <w:tab/>
            </w:r>
            <w:r>
              <w:rPr>
                <w:rStyle w:val="IndexLink"/>
              </w:rPr>
              <w:t>66</w:t>
            </w:r>
          </w:hyperlink>
        </w:p>
        <w:p>
          <w:pPr>
            <w:pStyle w:val="Contents6"/>
            <w:tabs>
              <w:tab w:val="clear" w:pos="7609"/>
              <w:tab w:val="right" w:pos="9026" w:leader="dot"/>
            </w:tabs>
            <w:rPr/>
          </w:pPr>
          <w:hyperlink w:anchor="__RefHeading___Toc5082540_2314609296">
            <w:r>
              <w:rPr>
                <w:webHidden/>
                <w:rStyle w:val="IndexLink"/>
                <w:rtl w:val="true"/>
              </w:rPr>
              <w:t>الأوّل</w:t>
            </w:r>
            <w:r>
              <w:rPr>
                <w:rStyle w:val="IndexLink"/>
                <w:rtl w:val="true"/>
              </w:rPr>
              <w:t>:</w:t>
              <w:tab/>
            </w:r>
            <w:r>
              <w:rPr>
                <w:rStyle w:val="IndexLink"/>
              </w:rPr>
              <w:t>66</w:t>
            </w:r>
          </w:hyperlink>
        </w:p>
        <w:p>
          <w:pPr>
            <w:pStyle w:val="Contents6"/>
            <w:tabs>
              <w:tab w:val="clear" w:pos="7609"/>
              <w:tab w:val="right" w:pos="9026" w:leader="dot"/>
            </w:tabs>
            <w:rPr/>
          </w:pPr>
          <w:hyperlink w:anchor="__RefHeading___Toc5082542_2314609296">
            <w:r>
              <w:rPr>
                <w:webHidden/>
                <w:rStyle w:val="IndexLink"/>
                <w:rtl w:val="true"/>
              </w:rPr>
              <w:t>الثانی</w:t>
            </w:r>
            <w:r>
              <w:rPr>
                <w:rStyle w:val="IndexLink"/>
                <w:rtl w:val="true"/>
              </w:rPr>
              <w:t>:</w:t>
              <w:tab/>
            </w:r>
            <w:r>
              <w:rPr>
                <w:rStyle w:val="IndexLink"/>
              </w:rPr>
              <w:t>66</w:t>
            </w:r>
          </w:hyperlink>
        </w:p>
        <w:p>
          <w:pPr>
            <w:pStyle w:val="Contents6"/>
            <w:tabs>
              <w:tab w:val="clear" w:pos="7609"/>
              <w:tab w:val="right" w:pos="9026" w:leader="dot"/>
            </w:tabs>
            <w:rPr/>
          </w:pPr>
          <w:hyperlink w:anchor="__RefHeading___Toc5082544_2314609296">
            <w:r>
              <w:rPr>
                <w:webHidden/>
                <w:rStyle w:val="IndexLink"/>
                <w:rtl w:val="true"/>
              </w:rPr>
              <w:t>الثالث</w:t>
            </w:r>
            <w:r>
              <w:rPr>
                <w:rStyle w:val="IndexLink"/>
                <w:rtl w:val="true"/>
              </w:rPr>
              <w:t>:</w:t>
              <w:tab/>
            </w:r>
            <w:r>
              <w:rPr>
                <w:rStyle w:val="IndexLink"/>
              </w:rPr>
              <w:t>68</w:t>
            </w:r>
          </w:hyperlink>
        </w:p>
        <w:p>
          <w:pPr>
            <w:pStyle w:val="Contents6"/>
            <w:tabs>
              <w:tab w:val="clear" w:pos="7609"/>
              <w:tab w:val="right" w:pos="9026" w:leader="dot"/>
            </w:tabs>
            <w:rPr/>
          </w:pPr>
          <w:hyperlink w:anchor="__RefHeading___Toc5082546_2314609296">
            <w:r>
              <w:rPr>
                <w:webHidden/>
                <w:rStyle w:val="IndexLink"/>
                <w:rtl w:val="true"/>
              </w:rPr>
              <w:t>الرابع</w:t>
            </w:r>
            <w:r>
              <w:rPr>
                <w:rStyle w:val="IndexLink"/>
                <w:rtl w:val="true"/>
              </w:rPr>
              <w:t>:</w:t>
              <w:tab/>
            </w:r>
            <w:r>
              <w:rPr>
                <w:rStyle w:val="IndexLink"/>
              </w:rPr>
              <w:t>68</w:t>
            </w:r>
          </w:hyperlink>
        </w:p>
        <w:p>
          <w:pPr>
            <w:pStyle w:val="Contents4"/>
            <w:tabs>
              <w:tab w:val="clear" w:pos="8176"/>
              <w:tab w:val="right" w:pos="9026" w:leader="dot"/>
            </w:tabs>
            <w:rPr/>
          </w:pPr>
          <w:hyperlink w:anchor="__RefHeading___Toc5082548_2314609296">
            <w:r>
              <w:rPr>
                <w:webHidden/>
                <w:rStyle w:val="IndexLink"/>
                <w:rtl w:val="true"/>
              </w:rPr>
              <w:t>و ینبغی التنبیه علی أُمور</w:t>
            </w:r>
            <w:r>
              <w:rPr>
                <w:rStyle w:val="IndexLink"/>
                <w:rtl w:val="true"/>
              </w:rPr>
              <w:t>:</w:t>
              <w:tab/>
            </w:r>
            <w:r>
              <w:rPr>
                <w:rStyle w:val="IndexLink"/>
              </w:rPr>
              <w:t>71</w:t>
            </w:r>
          </w:hyperlink>
        </w:p>
        <w:p>
          <w:pPr>
            <w:pStyle w:val="Contents5"/>
            <w:tabs>
              <w:tab w:val="clear" w:pos="7892"/>
              <w:tab w:val="right" w:pos="9026" w:leader="dot"/>
            </w:tabs>
            <w:rPr/>
          </w:pPr>
          <w:hyperlink w:anchor="__RefHeading___Toc5082550_2314609296">
            <w:r>
              <w:rPr>
                <w:webHidden/>
                <w:rStyle w:val="IndexLink"/>
                <w:rtl w:val="true"/>
              </w:rPr>
              <w:t>الأوّل الظاهر</w:t>
            </w:r>
            <w:r>
              <w:rPr>
                <w:rStyle w:val="IndexLink"/>
                <w:rtl w:val="true"/>
              </w:rPr>
              <w:tab/>
            </w:r>
            <w:r>
              <w:rPr>
                <w:rStyle w:val="IndexLink"/>
              </w:rPr>
              <w:t>71</w:t>
            </w:r>
          </w:hyperlink>
        </w:p>
        <w:p>
          <w:pPr>
            <w:pStyle w:val="Contents5"/>
            <w:tabs>
              <w:tab w:val="clear" w:pos="7892"/>
              <w:tab w:val="right" w:pos="9026" w:leader="dot"/>
            </w:tabs>
            <w:rPr/>
          </w:pPr>
          <w:hyperlink w:anchor="__RefHeading___Toc5082552_2314609296">
            <w:r>
              <w:rPr>
                <w:webHidden/>
                <w:rStyle w:val="IndexLink"/>
                <w:rtl w:val="true"/>
              </w:rPr>
              <w:t>الأمر الثانی إنّ المتیقّن من مورد المعاطاة</w:t>
            </w:r>
            <w:r>
              <w:rPr>
                <w:rStyle w:val="IndexLink"/>
                <w:rtl w:val="true"/>
              </w:rPr>
              <w:t>:</w:t>
            </w:r>
            <w:r>
              <w:rPr>
                <w:rStyle w:val="IndexLink"/>
                <w:rtl w:val="true"/>
              </w:rPr>
              <w:t>هو حصول التعاطی فعلاً من الطرفین،</w:t>
            </w:r>
            <w:r>
              <w:rPr>
                <w:rStyle w:val="IndexLink"/>
                <w:rtl w:val="true"/>
              </w:rPr>
              <w:tab/>
            </w:r>
            <w:r>
              <w:rPr>
                <w:rStyle w:val="IndexLink"/>
              </w:rPr>
              <w:t>79</w:t>
            </w:r>
          </w:hyperlink>
        </w:p>
        <w:p>
          <w:pPr>
            <w:pStyle w:val="Contents5"/>
            <w:tabs>
              <w:tab w:val="clear" w:pos="7892"/>
              <w:tab w:val="right" w:pos="9026" w:leader="dot"/>
            </w:tabs>
            <w:rPr/>
          </w:pPr>
          <w:hyperlink w:anchor="__RefHeading___Toc5082554_2314609296">
            <w:r>
              <w:rPr>
                <w:webHidden/>
                <w:rStyle w:val="IndexLink"/>
                <w:rtl w:val="true"/>
              </w:rPr>
              <w:t>الأمر</w:t>
            </w:r>
            <w:r>
              <w:rPr>
                <w:rStyle w:val="IndexLink"/>
                <w:rtl w:val="true"/>
              </w:rPr>
              <w:tab/>
            </w:r>
            <w:r>
              <w:rPr>
                <w:rStyle w:val="IndexLink"/>
              </w:rPr>
              <w:t>82</w:t>
            </w:r>
          </w:hyperlink>
        </w:p>
        <w:p>
          <w:pPr>
            <w:pStyle w:val="Contents5"/>
            <w:tabs>
              <w:tab w:val="clear" w:pos="7892"/>
              <w:tab w:val="right" w:pos="9026" w:leader="dot"/>
            </w:tabs>
            <w:rPr/>
          </w:pPr>
          <w:hyperlink w:anchor="__RefHeading___Toc5082556_2314609296">
            <w:r>
              <w:rPr>
                <w:webHidden/>
                <w:rStyle w:val="IndexLink"/>
                <w:rtl w:val="true"/>
              </w:rPr>
              <w:t>الأمر</w:t>
            </w:r>
            <w:r>
              <w:rPr>
                <w:rStyle w:val="IndexLink"/>
                <w:rtl w:val="true"/>
              </w:rPr>
              <w:tab/>
            </w:r>
            <w:r>
              <w:rPr>
                <w:rStyle w:val="IndexLink"/>
              </w:rPr>
              <w:t>85</w:t>
            </w:r>
          </w:hyperlink>
        </w:p>
        <w:p>
          <w:pPr>
            <w:pStyle w:val="Contents6"/>
            <w:tabs>
              <w:tab w:val="clear" w:pos="7609"/>
              <w:tab w:val="right" w:pos="9026" w:leader="dot"/>
            </w:tabs>
            <w:rPr/>
          </w:pPr>
          <w:hyperlink w:anchor="__RefHeading___Toc5082558_2314609296">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5082560_2314609296">
            <w:r>
              <w:rPr>
                <w:webHidden/>
                <w:rStyle w:val="IndexLink"/>
                <w:rtl w:val="true"/>
              </w:rPr>
              <w:t>أحدها</w:t>
            </w:r>
            <w:r>
              <w:rPr>
                <w:rStyle w:val="IndexLink"/>
                <w:rtl w:val="true"/>
              </w:rPr>
              <w:t xml:space="preserve">: </w:t>
            </w:r>
            <w:r>
              <w:rPr>
                <w:rStyle w:val="IndexLink"/>
                <w:rtl w:val="true"/>
              </w:rPr>
              <w:t>أن یقصد کلٌّ منهما تملیک ماله بمال الآخر،</w:t>
            </w:r>
            <w:r>
              <w:rPr>
                <w:rStyle w:val="IndexLink"/>
                <w:rtl w:val="true"/>
              </w:rPr>
              <w:tab/>
            </w:r>
            <w:r>
              <w:rPr>
                <w:rStyle w:val="IndexLink"/>
              </w:rPr>
              <w:t>85</w:t>
            </w:r>
          </w:hyperlink>
        </w:p>
        <w:p>
          <w:pPr>
            <w:pStyle w:val="Contents6"/>
            <w:tabs>
              <w:tab w:val="clear" w:pos="7609"/>
              <w:tab w:val="right" w:pos="9026" w:leader="dot"/>
            </w:tabs>
            <w:rPr/>
          </w:pPr>
          <w:hyperlink w:anchor="__RefHeading___Toc5082562_2314609296">
            <w:r>
              <w:rPr>
                <w:webHidden/>
                <w:rStyle w:val="IndexLink"/>
                <w:rtl w:val="true"/>
              </w:rPr>
              <w:t>ثانیها</w:t>
            </w:r>
            <w:r>
              <w:rPr>
                <w:rStyle w:val="IndexLink"/>
                <w:rtl w:val="true"/>
              </w:rPr>
              <w:tab/>
            </w:r>
            <w:r>
              <w:rPr>
                <w:rStyle w:val="IndexLink"/>
              </w:rPr>
              <w:t>86</w:t>
            </w:r>
          </w:hyperlink>
        </w:p>
        <w:p>
          <w:pPr>
            <w:pStyle w:val="Contents6"/>
            <w:tabs>
              <w:tab w:val="clear" w:pos="7609"/>
              <w:tab w:val="right" w:pos="9026" w:leader="dot"/>
            </w:tabs>
            <w:rPr/>
          </w:pPr>
          <w:hyperlink w:anchor="__RefHeading___Toc5082564_2314609296">
            <w:r>
              <w:rPr>
                <w:webHidden/>
                <w:rStyle w:val="IndexLink"/>
                <w:rtl w:val="true"/>
              </w:rPr>
              <w:t>ثالثها</w:t>
            </w:r>
            <w:r>
              <w:rPr>
                <w:rStyle w:val="IndexLink"/>
                <w:rtl w:val="true"/>
              </w:rPr>
              <w:t xml:space="preserve">: </w:t>
            </w:r>
            <w:r>
              <w:rPr>
                <w:rStyle w:val="IndexLink"/>
                <w:rtl w:val="true"/>
              </w:rPr>
              <w:t>أن یقصد الأوّل إباحة ماله بعوض،</w:t>
            </w:r>
            <w:r>
              <w:rPr>
                <w:rStyle w:val="IndexLink"/>
                <w:rtl w:val="true"/>
              </w:rPr>
              <w:tab/>
            </w:r>
            <w:r>
              <w:rPr>
                <w:rStyle w:val="IndexLink"/>
              </w:rPr>
              <w:t>87</w:t>
            </w:r>
          </w:hyperlink>
        </w:p>
        <w:p>
          <w:pPr>
            <w:pStyle w:val="Contents6"/>
            <w:tabs>
              <w:tab w:val="clear" w:pos="7609"/>
              <w:tab w:val="right" w:pos="9026" w:leader="dot"/>
            </w:tabs>
            <w:rPr/>
          </w:pPr>
          <w:hyperlink w:anchor="__RefHeading___Toc5082566_2314609296">
            <w:r>
              <w:rPr>
                <w:webHidden/>
                <w:rStyle w:val="IndexLink"/>
                <w:rtl w:val="true"/>
              </w:rPr>
              <w:t>رابعها</w:t>
            </w:r>
            <w:r>
              <w:rPr>
                <w:rStyle w:val="IndexLink"/>
                <w:rtl w:val="true"/>
              </w:rPr>
              <w:t xml:space="preserve">: </w:t>
            </w:r>
            <w:r>
              <w:rPr>
                <w:rStyle w:val="IndexLink"/>
                <w:rtl w:val="true"/>
              </w:rPr>
              <w:t>أن یقصد کلّ منهما الإباحة بإزاء إباحة الآخر</w:t>
            </w:r>
            <w:r>
              <w:rPr>
                <w:rStyle w:val="IndexLink"/>
                <w:rtl w:val="true"/>
              </w:rPr>
              <w:tab/>
            </w:r>
            <w:r>
              <w:rPr>
                <w:rStyle w:val="IndexLink"/>
              </w:rPr>
              <w:t>87</w:t>
            </w:r>
          </w:hyperlink>
        </w:p>
        <w:p>
          <w:pPr>
            <w:pStyle w:val="Contents5"/>
            <w:tabs>
              <w:tab w:val="clear" w:pos="7892"/>
              <w:tab w:val="right" w:pos="9026" w:leader="dot"/>
            </w:tabs>
            <w:rPr/>
          </w:pPr>
          <w:hyperlink w:anchor="__RefHeading___Toc5082568_2314609296">
            <w:r>
              <w:rPr>
                <w:webHidden/>
                <w:rStyle w:val="IndexLink"/>
                <w:rtl w:val="true"/>
              </w:rPr>
              <w:t>الأمر</w:t>
            </w:r>
            <w:r>
              <w:rPr>
                <w:rStyle w:val="IndexLink"/>
                <w:rtl w:val="true"/>
              </w:rPr>
              <w:tab/>
            </w:r>
            <w:r>
              <w:rPr>
                <w:rStyle w:val="IndexLink"/>
              </w:rPr>
              <w:t>96</w:t>
            </w:r>
          </w:hyperlink>
        </w:p>
        <w:p>
          <w:pPr>
            <w:pStyle w:val="Contents5"/>
            <w:tabs>
              <w:tab w:val="clear" w:pos="7892"/>
              <w:tab w:val="right" w:pos="9026" w:leader="dot"/>
            </w:tabs>
            <w:rPr/>
          </w:pPr>
          <w:hyperlink w:anchor="__RefHeading___Toc5082570_2314609296">
            <w:r>
              <w:rPr>
                <w:webHidden/>
                <w:rStyle w:val="IndexLink"/>
                <w:rtl w:val="true"/>
              </w:rPr>
              <w:t>الأمر السادس فی ملزمات المعاطاة علی کلٍّ من القول بالملک و القول بالإباحة</w:t>
            </w:r>
            <w:r>
              <w:rPr>
                <w:rStyle w:val="IndexLink"/>
                <w:rtl w:val="true"/>
              </w:rPr>
              <w:tab/>
            </w:r>
            <w:r>
              <w:rPr>
                <w:rStyle w:val="IndexLink"/>
              </w:rPr>
              <w:t>101</w:t>
            </w:r>
          </w:hyperlink>
        </w:p>
        <w:p>
          <w:pPr>
            <w:pStyle w:val="Contents5"/>
            <w:tabs>
              <w:tab w:val="clear" w:pos="7892"/>
              <w:tab w:val="right" w:pos="9026" w:leader="dot"/>
            </w:tabs>
            <w:rPr/>
          </w:pPr>
          <w:hyperlink w:anchor="__RefHeading___Toc5082572_2314609296">
            <w:r>
              <w:rPr>
                <w:webHidden/>
                <w:rStyle w:val="IndexLink"/>
                <w:rtl w:val="true"/>
              </w:rPr>
              <w:t>الأمر</w:t>
            </w:r>
            <w:r>
              <w:rPr>
                <w:rStyle w:val="IndexLink"/>
                <w:rtl w:val="true"/>
              </w:rPr>
              <w:tab/>
            </w:r>
            <w:r>
              <w:rPr>
                <w:rStyle w:val="IndexLink"/>
              </w:rPr>
              <w:t>108</w:t>
            </w:r>
          </w:hyperlink>
        </w:p>
        <w:p>
          <w:pPr>
            <w:pStyle w:val="Contents5"/>
            <w:tabs>
              <w:tab w:val="clear" w:pos="7892"/>
              <w:tab w:val="right" w:pos="9026" w:leader="dot"/>
            </w:tabs>
            <w:rPr/>
          </w:pPr>
          <w:hyperlink w:anchor="__RefHeading___Toc5082574_2314609296">
            <w:r>
              <w:rPr>
                <w:webHidden/>
                <w:rStyle w:val="IndexLink"/>
                <w:rtl w:val="true"/>
              </w:rPr>
              <w:t>الأمر</w:t>
            </w:r>
            <w:r>
              <w:rPr>
                <w:rStyle w:val="IndexLink"/>
                <w:rtl w:val="true"/>
              </w:rPr>
              <w:tab/>
            </w:r>
            <w:r>
              <w:rPr>
                <w:rStyle w:val="IndexLink"/>
              </w:rPr>
              <w:t>111</w:t>
            </w:r>
          </w:hyperlink>
        </w:p>
        <w:p>
          <w:pPr>
            <w:pStyle w:val="Contents3"/>
            <w:tabs>
              <w:tab w:val="clear" w:pos="8459"/>
              <w:tab w:val="right" w:pos="9026" w:leader="dot"/>
            </w:tabs>
            <w:rPr/>
          </w:pPr>
          <w:hyperlink w:anchor="__RefHeading___Toc5082576_2314609296">
            <w:r>
              <w:rPr>
                <w:webHidden/>
                <w:rStyle w:val="IndexLink"/>
                <w:rtl w:val="true"/>
              </w:rPr>
              <w:t>مقدّمة فی خصوص ألفاظ عقد البیع</w:t>
            </w:r>
            <w:r>
              <w:rPr>
                <w:rStyle w:val="IndexLink"/>
                <w:rtl w:val="true"/>
              </w:rPr>
              <w:tab/>
            </w:r>
            <w:r>
              <w:rPr>
                <w:rStyle w:val="IndexLink"/>
              </w:rPr>
              <w:t>121</w:t>
            </w:r>
          </w:hyperlink>
        </w:p>
        <w:p>
          <w:pPr>
            <w:pStyle w:val="Contents4"/>
            <w:tabs>
              <w:tab w:val="clear" w:pos="8176"/>
              <w:tab w:val="right" w:pos="9026" w:leader="dot"/>
            </w:tabs>
            <w:rPr/>
          </w:pPr>
          <w:hyperlink w:anchor="__RefHeading___Toc5082578_2314609296">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5082580_2314609296">
            <w:r>
              <w:rPr>
                <w:webHidden/>
                <w:rStyle w:val="IndexLink"/>
                <w:rtl w:val="true"/>
              </w:rPr>
              <w:t>[</w:t>
            </w:r>
            <w:r>
              <w:rPr>
                <w:rStyle w:val="IndexLink"/>
                <w:rtl w:val="true"/>
              </w:rPr>
              <w:t>اعتبار اللفظ فی العقود و کفایة الإشارة أو الکتابة مع العجز عن التلفظ</w:t>
            </w:r>
            <w:r>
              <w:rPr>
                <w:rStyle w:val="IndexLink"/>
                <w:rtl w:val="true"/>
              </w:rPr>
              <w:t>]</w:t>
              <w:tab/>
            </w:r>
            <w:r>
              <w:rPr>
                <w:rStyle w:val="IndexLink"/>
              </w:rPr>
              <w:t>121</w:t>
            </w:r>
          </w:hyperlink>
        </w:p>
        <w:p>
          <w:pPr>
            <w:pStyle w:val="Contents4"/>
            <w:tabs>
              <w:tab w:val="clear" w:pos="8176"/>
              <w:tab w:val="right" w:pos="9026" w:leader="dot"/>
            </w:tabs>
            <w:rPr/>
          </w:pPr>
          <w:hyperlink w:anchor="__RefHeading___Toc5082582_2314609296">
            <w:r>
              <w:rPr>
                <w:webHidden/>
                <w:rStyle w:val="IndexLink"/>
                <w:rtl w:val="true"/>
              </w:rPr>
              <w:t>ثمّ الکلام فی الخصوصیات المعتبرة فی اللفظ</w:t>
            </w:r>
            <w:r>
              <w:rPr>
                <w:rStyle w:val="IndexLink"/>
                <w:rtl w:val="true"/>
              </w:rPr>
              <w:t>:</w:t>
              <w:tab/>
            </w:r>
            <w:r>
              <w:rPr>
                <w:rStyle w:val="IndexLink"/>
              </w:rPr>
              <w:t>122</w:t>
            </w:r>
          </w:hyperlink>
        </w:p>
        <w:p>
          <w:pPr>
            <w:pStyle w:val="Contents5"/>
            <w:tabs>
              <w:tab w:val="clear" w:pos="7892"/>
              <w:tab w:val="right" w:pos="9026" w:leader="dot"/>
            </w:tabs>
            <w:rPr/>
          </w:pPr>
          <w:hyperlink w:anchor="__RefHeading___Toc5082584_2314609296">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5082586_2314609296">
            <w:r>
              <w:rPr>
                <w:webHidden/>
                <w:rStyle w:val="IndexLink"/>
                <w:rtl w:val="true"/>
              </w:rPr>
              <w:t>[</w:t>
            </w:r>
            <w:r>
              <w:rPr>
                <w:rStyle w:val="IndexLink"/>
                <w:rtl w:val="true"/>
              </w:rPr>
              <w:t>المشهور عدم جواز الإنشاء بالألفاظ الکنائیة و المجازیة</w:t>
            </w:r>
            <w:r>
              <w:rPr>
                <w:rStyle w:val="IndexLink"/>
                <w:rtl w:val="true"/>
              </w:rPr>
              <w:t>]</w:t>
              <w:tab/>
            </w:r>
            <w:r>
              <w:rPr>
                <w:rStyle w:val="IndexLink"/>
              </w:rPr>
              <w:t>123</w:t>
            </w:r>
          </w:hyperlink>
        </w:p>
        <w:p>
          <w:pPr>
            <w:pStyle w:val="Contents5"/>
            <w:tabs>
              <w:tab w:val="clear" w:pos="7892"/>
              <w:tab w:val="right" w:pos="9026" w:leader="dot"/>
            </w:tabs>
            <w:rPr/>
          </w:pPr>
          <w:hyperlink w:anchor="__RefHeading___Toc5082588_2314609296">
            <w:r>
              <w:rPr>
                <w:webHidden/>
                <w:rStyle w:val="IndexLink"/>
                <w:rtl w:val="true"/>
              </w:rPr>
              <w:t>[</w:t>
            </w:r>
            <w:r>
              <w:rPr>
                <w:rStyle w:val="IndexLink"/>
                <w:rtl w:val="true"/>
              </w:rPr>
              <w:t>الظاهر جواز الإنشاء بکل لفظ له ظهور عرفی فی المعنی المقصود</w:t>
            </w:r>
            <w:r>
              <w:rPr>
                <w:rStyle w:val="IndexLink"/>
                <w:rtl w:val="true"/>
              </w:rPr>
              <w:t>]</w:t>
              <w:tab/>
            </w:r>
            <w:r>
              <w:rPr>
                <w:rStyle w:val="IndexLink"/>
              </w:rPr>
              <w:t>124</w:t>
            </w:r>
          </w:hyperlink>
        </w:p>
        <w:p>
          <w:pPr>
            <w:pStyle w:val="Contents5"/>
            <w:tabs>
              <w:tab w:val="clear" w:pos="7892"/>
              <w:tab w:val="right" w:pos="9026" w:leader="dot"/>
            </w:tabs>
            <w:rPr/>
          </w:pPr>
          <w:hyperlink w:anchor="__RefHeading___Toc5082590_2314609296">
            <w:r>
              <w:rPr>
                <w:webHidden/>
                <w:rStyle w:val="IndexLink"/>
                <w:rtl w:val="true"/>
              </w:rPr>
              <w:t>[</w:t>
            </w:r>
            <w:r>
              <w:rPr>
                <w:rStyle w:val="IndexLink"/>
                <w:rtl w:val="true"/>
              </w:rPr>
              <w:t>ظهور کلمات الفقهاء فی وقوع البیع بکل لفظ یدل علیه</w:t>
            </w:r>
            <w:r>
              <w:rPr>
                <w:rStyle w:val="IndexLink"/>
                <w:rtl w:val="true"/>
              </w:rPr>
              <w:t>]</w:t>
              <w:tab/>
            </w:r>
            <w:r>
              <w:rPr>
                <w:rStyle w:val="IndexLink"/>
              </w:rPr>
              <w:t>125</w:t>
            </w:r>
          </w:hyperlink>
        </w:p>
        <w:p>
          <w:pPr>
            <w:pStyle w:val="Contents5"/>
            <w:tabs>
              <w:tab w:val="clear" w:pos="7892"/>
              <w:tab w:val="right" w:pos="9026" w:leader="dot"/>
            </w:tabs>
            <w:rPr/>
          </w:pPr>
          <w:hyperlink w:anchor="__RefHeading___Toc5082592_2314609296">
            <w:r>
              <w:rPr>
                <w:webHidden/>
                <w:rStyle w:val="IndexLink"/>
                <w:rtl w:val="true"/>
              </w:rPr>
              <w:t>[</w:t>
            </w:r>
            <w:r>
              <w:rPr>
                <w:rStyle w:val="IndexLink"/>
                <w:rtl w:val="true"/>
              </w:rPr>
              <w:t>ظهور کلمات الفقهاء فی وقوع غیر البیع بکل لفظ یدل علیه أیضا</w:t>
            </w:r>
            <w:r>
              <w:rPr>
                <w:rStyle w:val="IndexLink"/>
                <w:rtl w:val="true"/>
              </w:rPr>
              <w:t>]</w:t>
              <w:tab/>
            </w:r>
            <w:r>
              <w:rPr>
                <w:rStyle w:val="IndexLink"/>
              </w:rPr>
              <w:t>127</w:t>
            </w:r>
          </w:hyperlink>
        </w:p>
        <w:p>
          <w:pPr>
            <w:pStyle w:val="Contents5"/>
            <w:tabs>
              <w:tab w:val="clear" w:pos="7892"/>
              <w:tab w:val="right" w:pos="9026" w:leader="dot"/>
            </w:tabs>
            <w:rPr/>
          </w:pPr>
          <w:hyperlink w:anchor="__RefHeading___Toc5082594_2314609296">
            <w:r>
              <w:rPr>
                <w:webHidden/>
                <w:rStyle w:val="IndexLink"/>
                <w:rtl w:val="true"/>
              </w:rPr>
              <w:t>[</w:t>
            </w:r>
            <w:r>
              <w:rPr>
                <w:rStyle w:val="IndexLink"/>
                <w:rtl w:val="true"/>
              </w:rPr>
              <w:t>دعوی أن العقود أسباب شرعیة توقیفیة</w:t>
            </w:r>
            <w:r>
              <w:rPr>
                <w:rStyle w:val="IndexLink"/>
                <w:rtl w:val="true"/>
              </w:rPr>
              <w:t>]</w:t>
              <w:tab/>
            </w:r>
            <w:r>
              <w:rPr>
                <w:rStyle w:val="IndexLink"/>
              </w:rPr>
              <w:t>131</w:t>
            </w:r>
          </w:hyperlink>
        </w:p>
        <w:p>
          <w:pPr>
            <w:pStyle w:val="Contents4"/>
            <w:tabs>
              <w:tab w:val="clear" w:pos="8176"/>
              <w:tab w:val="right" w:pos="9026" w:leader="dot"/>
            </w:tabs>
            <w:rPr/>
          </w:pPr>
          <w:hyperlink w:anchor="__RefHeading___Toc5082596_2314609296">
            <w:r>
              <w:rPr>
                <w:webHidden/>
                <w:rStyle w:val="IndexLink"/>
                <w:rtl w:val="true"/>
              </w:rPr>
              <w:t>إذا عرفت هذا،فلنذکر ألفاظ الإیجاب و القبول</w:t>
            </w:r>
            <w:r>
              <w:rPr>
                <w:rStyle w:val="IndexLink"/>
                <w:rtl w:val="true"/>
              </w:rPr>
              <w:t>:</w:t>
              <w:tab/>
            </w:r>
            <w:r>
              <w:rPr>
                <w:rStyle w:val="IndexLink"/>
              </w:rPr>
              <w:t>134</w:t>
            </w:r>
          </w:hyperlink>
        </w:p>
        <w:p>
          <w:pPr>
            <w:pStyle w:val="Contents5"/>
            <w:tabs>
              <w:tab w:val="clear" w:pos="7892"/>
              <w:tab w:val="right" w:pos="9026" w:leader="dot"/>
            </w:tabs>
            <w:rPr/>
          </w:pPr>
          <w:hyperlink w:anchor="__RefHeading___Toc5082598_2314609296">
            <w:r>
              <w:rPr>
                <w:webHidden/>
                <w:rStyle w:val="IndexLink"/>
                <w:rtl w:val="true"/>
              </w:rPr>
              <w:t>[</w:t>
            </w:r>
            <w:r>
              <w:rPr>
                <w:rStyle w:val="IndexLink"/>
                <w:rtl w:val="true"/>
              </w:rPr>
              <w:t>أما الإیجاب</w:t>
            </w:r>
            <w:r>
              <w:rPr>
                <w:rStyle w:val="IndexLink"/>
                <w:rtl w:val="true"/>
              </w:rPr>
              <w:t>]</w:t>
              <w:tab/>
            </w:r>
            <w:r>
              <w:rPr>
                <w:rStyle w:val="IndexLink"/>
              </w:rPr>
              <w:t>134</w:t>
            </w:r>
          </w:hyperlink>
        </w:p>
        <w:p>
          <w:pPr>
            <w:pStyle w:val="Contents6"/>
            <w:tabs>
              <w:tab w:val="clear" w:pos="7609"/>
              <w:tab w:val="right" w:pos="9026" w:leader="dot"/>
            </w:tabs>
            <w:rPr/>
          </w:pPr>
          <w:hyperlink w:anchor="__RefHeading___Toc5082600_2314609296">
            <w:r>
              <w:rPr>
                <w:webHidden/>
                <w:rStyle w:val="IndexLink"/>
                <w:rtl w:val="true"/>
              </w:rPr>
              <w:t>منها</w:t>
            </w:r>
            <w:r>
              <w:rPr>
                <w:rStyle w:val="IndexLink"/>
                <w:rtl w:val="true"/>
              </w:rPr>
              <w:t>:</w:t>
            </w:r>
            <w:r>
              <w:rPr>
                <w:rStyle w:val="IndexLink"/>
                <w:rtl w:val="true"/>
              </w:rPr>
              <w:t>لفظ</w:t>
            </w:r>
            <w:r>
              <w:rPr>
                <w:rStyle w:val="IndexLink"/>
                <w:rtl w:val="true"/>
              </w:rPr>
              <w:t>«</w:t>
            </w:r>
            <w:r>
              <w:rPr>
                <w:rStyle w:val="IndexLink"/>
                <w:rtl w:val="true"/>
              </w:rPr>
              <w:t>بعت</w:t>
            </w:r>
            <w:r>
              <w:rPr>
                <w:rStyle w:val="IndexLink"/>
                <w:rtl w:val="true"/>
              </w:rPr>
              <w:t>»</w:t>
            </w:r>
            <w:r>
              <w:rPr>
                <w:rStyle w:val="IndexLink"/>
                <w:rtl w:val="true"/>
              </w:rPr>
              <w:t>فی الإیجاب،</w:t>
            </w:r>
            <w:r>
              <w:rPr>
                <w:rStyle w:val="IndexLink"/>
                <w:rtl w:val="true"/>
              </w:rPr>
              <w:tab/>
            </w:r>
            <w:r>
              <w:rPr>
                <w:rStyle w:val="IndexLink"/>
              </w:rPr>
              <w:t>134</w:t>
            </w:r>
          </w:hyperlink>
        </w:p>
        <w:p>
          <w:pPr>
            <w:pStyle w:val="Contents6"/>
            <w:tabs>
              <w:tab w:val="clear" w:pos="7609"/>
              <w:tab w:val="right" w:pos="9026" w:leader="dot"/>
            </w:tabs>
            <w:rPr/>
          </w:pPr>
          <w:hyperlink w:anchor="__RefHeading___Toc5082602_2314609296">
            <w:r>
              <w:rPr>
                <w:webHidden/>
                <w:rStyle w:val="IndexLink"/>
                <w:rtl w:val="true"/>
              </w:rPr>
              <w:t>و منها</w:t>
            </w:r>
            <w:r>
              <w:rPr>
                <w:rStyle w:val="IndexLink"/>
                <w:rtl w:val="true"/>
              </w:rPr>
              <w:tab/>
            </w:r>
            <w:r>
              <w:rPr>
                <w:rStyle w:val="IndexLink"/>
              </w:rPr>
              <w:t>134</w:t>
            </w:r>
          </w:hyperlink>
        </w:p>
        <w:p>
          <w:pPr>
            <w:pStyle w:val="Contents6"/>
            <w:tabs>
              <w:tab w:val="clear" w:pos="7609"/>
              <w:tab w:val="right" w:pos="9026" w:leader="dot"/>
            </w:tabs>
            <w:rPr/>
          </w:pPr>
          <w:hyperlink w:anchor="__RefHeading___Toc5082604_2314609296">
            <w:r>
              <w:rPr>
                <w:webHidden/>
                <w:rStyle w:val="IndexLink"/>
                <w:rtl w:val="true"/>
              </w:rPr>
              <w:t>و منها</w:t>
            </w:r>
            <w:r>
              <w:rPr>
                <w:rStyle w:val="IndexLink"/>
                <w:rtl w:val="true"/>
              </w:rPr>
              <w:t>:</w:t>
            </w:r>
            <w:r>
              <w:rPr>
                <w:rStyle w:val="IndexLink"/>
                <w:rtl w:val="true"/>
              </w:rPr>
              <w:t>لفظ</w:t>
            </w:r>
            <w:r>
              <w:rPr>
                <w:rStyle w:val="IndexLink"/>
                <w:rtl w:val="true"/>
              </w:rPr>
              <w:t>«</w:t>
            </w:r>
            <w:r>
              <w:rPr>
                <w:rStyle w:val="IndexLink"/>
                <w:rtl w:val="true"/>
              </w:rPr>
              <w:t>ملّکت</w:t>
            </w:r>
            <w:r>
              <w:rPr>
                <w:rStyle w:val="IndexLink"/>
                <w:rtl w:val="true"/>
              </w:rPr>
              <w:t>»-</w:t>
            </w:r>
            <w:r>
              <w:rPr>
                <w:rStyle w:val="IndexLink"/>
                <w:rtl w:val="true"/>
              </w:rPr>
              <w:t>بالتشدید</w:t>
            </w:r>
            <w:r>
              <w:rPr>
                <w:rStyle w:val="IndexLink"/>
                <w:rtl w:val="true"/>
              </w:rPr>
              <w:t>-</w:t>
              <w:tab/>
            </w:r>
            <w:r>
              <w:rPr>
                <w:rStyle w:val="IndexLink"/>
              </w:rPr>
              <w:t>135</w:t>
            </w:r>
          </w:hyperlink>
        </w:p>
        <w:p>
          <w:pPr>
            <w:pStyle w:val="Contents6"/>
            <w:tabs>
              <w:tab w:val="clear" w:pos="7609"/>
              <w:tab w:val="right" w:pos="9026" w:leader="dot"/>
            </w:tabs>
            <w:rPr/>
          </w:pPr>
          <w:hyperlink w:anchor="__RefHeading___Toc5082606_2314609296">
            <w:r>
              <w:rPr>
                <w:webHidden/>
                <w:rStyle w:val="IndexLink"/>
                <w:rtl w:val="true"/>
              </w:rPr>
              <w:t>و أمّا الإیجاب ب</w:t>
            </w:r>
            <w:r>
              <w:rPr>
                <w:rStyle w:val="IndexLink"/>
                <w:rtl w:val="true"/>
              </w:rPr>
              <w:t>«</w:t>
            </w:r>
            <w:r>
              <w:rPr>
                <w:rStyle w:val="IndexLink"/>
                <w:rtl w:val="true"/>
              </w:rPr>
              <w:t>اشتریت</w:t>
            </w:r>
            <w:r>
              <w:rPr>
                <w:rStyle w:val="IndexLink"/>
                <w:rtl w:val="true"/>
              </w:rPr>
              <w:t>»</w:t>
            </w:r>
            <w:r>
              <w:rPr>
                <w:rStyle w:val="IndexLink"/>
                <w:rtl w:val="true"/>
              </w:rPr>
              <w:t>،</w:t>
            </w:r>
            <w:r>
              <w:rPr>
                <w:rStyle w:val="IndexLink"/>
                <w:rtl w:val="true"/>
              </w:rPr>
              <w:tab/>
            </w:r>
            <w:r>
              <w:rPr>
                <w:rStyle w:val="IndexLink"/>
              </w:rPr>
              <w:t>136</w:t>
            </w:r>
          </w:hyperlink>
        </w:p>
        <w:p>
          <w:pPr>
            <w:pStyle w:val="Contents5"/>
            <w:tabs>
              <w:tab w:val="clear" w:pos="7892"/>
              <w:tab w:val="right" w:pos="9026" w:leader="dot"/>
            </w:tabs>
            <w:rPr/>
          </w:pPr>
          <w:hyperlink w:anchor="__RefHeading___Toc5082608_2314609296">
            <w:r>
              <w:rPr>
                <w:webHidden/>
                <w:rStyle w:val="IndexLink"/>
                <w:rtl w:val="true"/>
              </w:rPr>
              <w:t>و أمّا القبول،</w:t>
            </w:r>
            <w:r>
              <w:rPr>
                <w:rStyle w:val="IndexLink"/>
                <w:rtl w:val="true"/>
              </w:rPr>
              <w:tab/>
            </w:r>
            <w:r>
              <w:rPr>
                <w:rStyle w:val="IndexLink"/>
              </w:rPr>
              <w:t>137</w:t>
            </w:r>
          </w:hyperlink>
        </w:p>
        <w:p>
          <w:pPr>
            <w:pStyle w:val="Contents6"/>
            <w:tabs>
              <w:tab w:val="clear" w:pos="7609"/>
              <w:tab w:val="right" w:pos="9026" w:leader="dot"/>
            </w:tabs>
            <w:rPr/>
          </w:pPr>
          <w:hyperlink w:anchor="__RefHeading___Toc5082610_2314609296">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5082612_2314609296">
            <w:r>
              <w:rPr>
                <w:webHidden/>
                <w:rStyle w:val="IndexLink"/>
                <w:rtl w:val="true"/>
              </w:rPr>
              <w:t>«</w:t>
            </w:r>
            <w:r>
              <w:rPr>
                <w:rStyle w:val="IndexLink"/>
                <w:rtl w:val="true"/>
              </w:rPr>
              <w:t>فرع</w:t>
            </w:r>
            <w:r>
              <w:rPr>
                <w:rStyle w:val="IndexLink"/>
                <w:rtl w:val="true"/>
              </w:rPr>
              <w:t>»</w:t>
              <w:tab/>
            </w:r>
            <w:r>
              <w:rPr>
                <w:rStyle w:val="IndexLink"/>
              </w:rPr>
              <w:t>138</w:t>
            </w:r>
          </w:hyperlink>
        </w:p>
        <w:p>
          <w:pPr>
            <w:pStyle w:val="Contents4"/>
            <w:tabs>
              <w:tab w:val="clear" w:pos="8176"/>
              <w:tab w:val="right" w:pos="9026" w:leader="dot"/>
            </w:tabs>
            <w:rPr/>
          </w:pPr>
          <w:hyperlink w:anchor="__RefHeading___Toc5082614_2314609296">
            <w:r>
              <w:rPr>
                <w:webHidden/>
                <w:rStyle w:val="IndexLink"/>
                <w:rtl w:val="true"/>
              </w:rPr>
              <w:t xml:space="preserve">مسألة </w:t>
            </w:r>
            <w:r>
              <w:rPr>
                <w:rStyle w:val="IndexLink"/>
                <w:rtl w:val="true"/>
              </w:rPr>
              <w:t>[</w:t>
            </w:r>
            <w:r>
              <w:rPr>
                <w:rStyle w:val="IndexLink"/>
                <w:rtl w:val="true"/>
              </w:rPr>
              <w:t>فی اشتراط العربیة</w:t>
            </w:r>
            <w:r>
              <w:rPr>
                <w:rStyle w:val="IndexLink"/>
                <w:rtl w:val="true"/>
              </w:rPr>
              <w:t>]</w:t>
              <w:tab/>
            </w:r>
            <w:r>
              <w:rPr>
                <w:rStyle w:val="IndexLink"/>
              </w:rPr>
              <w:t>139</w:t>
            </w:r>
          </w:hyperlink>
        </w:p>
        <w:p>
          <w:pPr>
            <w:pStyle w:val="Contents4"/>
            <w:tabs>
              <w:tab w:val="clear" w:pos="8176"/>
              <w:tab w:val="right" w:pos="9026" w:leader="dot"/>
            </w:tabs>
            <w:rPr/>
          </w:pPr>
          <w:hyperlink w:anchor="__RefHeading___Toc5082616_2314609296">
            <w:r>
              <w:rPr>
                <w:webHidden/>
                <w:rStyle w:val="IndexLink"/>
                <w:rtl w:val="true"/>
              </w:rPr>
              <w:t xml:space="preserve">مسألة </w:t>
            </w:r>
            <w:r>
              <w:rPr>
                <w:rStyle w:val="IndexLink"/>
                <w:rtl w:val="true"/>
              </w:rPr>
              <w:t>[</w:t>
            </w:r>
            <w:r>
              <w:rPr>
                <w:rStyle w:val="IndexLink"/>
                <w:rtl w:val="true"/>
              </w:rPr>
              <w:t>اشتراط الماضویة</w:t>
            </w:r>
            <w:r>
              <w:rPr>
                <w:rStyle w:val="IndexLink"/>
                <w:rtl w:val="true"/>
              </w:rPr>
              <w:t>]</w:t>
              <w:tab/>
            </w:r>
            <w:r>
              <w:rPr>
                <w:rStyle w:val="IndexLink"/>
              </w:rPr>
              <w:t>142</w:t>
            </w:r>
          </w:hyperlink>
        </w:p>
        <w:p>
          <w:pPr>
            <w:pStyle w:val="Contents4"/>
            <w:tabs>
              <w:tab w:val="clear" w:pos="8176"/>
              <w:tab w:val="right" w:pos="9026" w:leader="dot"/>
            </w:tabs>
            <w:rPr/>
          </w:pPr>
          <w:hyperlink w:anchor="__RefHeading___Toc5082618_2314609296">
            <w:r>
              <w:rPr>
                <w:webHidden/>
                <w:rStyle w:val="IndexLink"/>
                <w:rtl w:val="true"/>
              </w:rPr>
              <w:t>مسألة فی شرطیة الترتیب بین الإیجاب و القبول</w:t>
            </w:r>
            <w:r>
              <w:rPr>
                <w:rStyle w:val="IndexLink"/>
                <w:rtl w:val="true"/>
              </w:rPr>
              <w:tab/>
            </w:r>
            <w:r>
              <w:rPr>
                <w:rStyle w:val="IndexLink"/>
              </w:rPr>
              <w:t>144</w:t>
            </w:r>
          </w:hyperlink>
        </w:p>
        <w:p>
          <w:pPr>
            <w:pStyle w:val="Contents4"/>
            <w:tabs>
              <w:tab w:val="clear" w:pos="8176"/>
              <w:tab w:val="right" w:pos="9026" w:leader="dot"/>
            </w:tabs>
            <w:rPr/>
          </w:pPr>
          <w:hyperlink w:anchor="__RefHeading___Toc5082620_2314609296">
            <w:r>
              <w:rPr>
                <w:webHidden/>
                <w:rStyle w:val="IndexLink"/>
                <w:rtl w:val="true"/>
              </w:rPr>
              <w:t>و من جملة شروط العقد</w:t>
            </w:r>
            <w:r>
              <w:rPr>
                <w:rStyle w:val="IndexLink"/>
                <w:rtl w:val="true"/>
              </w:rPr>
              <w:t>:</w:t>
              <w:tab/>
            </w:r>
            <w:r>
              <w:rPr>
                <w:rStyle w:val="IndexLink"/>
              </w:rPr>
              <w:t>161</w:t>
            </w:r>
          </w:hyperlink>
        </w:p>
        <w:p>
          <w:pPr>
            <w:pStyle w:val="Contents4"/>
            <w:tabs>
              <w:tab w:val="clear" w:pos="8176"/>
              <w:tab w:val="right" w:pos="9026" w:leader="dot"/>
            </w:tabs>
            <w:rPr/>
          </w:pPr>
          <w:hyperlink w:anchor="__RefHeading___Toc5082622_2314609296">
            <w:r>
              <w:rPr>
                <w:webHidden/>
                <w:rStyle w:val="IndexLink"/>
                <w:rtl w:val="true"/>
              </w:rPr>
              <w:t>و من جملة الشرائط التی ذکرها جماعة</w:t>
            </w:r>
            <w:r>
              <w:rPr>
                <w:rStyle w:val="IndexLink"/>
                <w:rtl w:val="true"/>
              </w:rPr>
              <w:t>:</w:t>
              <w:tab/>
            </w:r>
            <w:r>
              <w:rPr>
                <w:rStyle w:val="IndexLink"/>
              </w:rPr>
              <w:t>166</w:t>
            </w:r>
          </w:hyperlink>
        </w:p>
        <w:p>
          <w:pPr>
            <w:pStyle w:val="Contents4"/>
            <w:tabs>
              <w:tab w:val="clear" w:pos="8176"/>
              <w:tab w:val="right" w:pos="9026" w:leader="dot"/>
            </w:tabs>
            <w:rPr/>
          </w:pPr>
          <w:hyperlink w:anchor="__RefHeading___Toc5082624_2314609296">
            <w:r>
              <w:rPr>
                <w:webHidden/>
                <w:rStyle w:val="IndexLink"/>
                <w:rtl w:val="true"/>
              </w:rPr>
              <w:t>و من جملة شروط العقد</w:t>
            </w:r>
            <w:r>
              <w:rPr>
                <w:rStyle w:val="IndexLink"/>
                <w:rtl w:val="true"/>
              </w:rPr>
              <w:t>:</w:t>
              <w:tab/>
            </w:r>
            <w:r>
              <w:rPr>
                <w:rStyle w:val="IndexLink"/>
              </w:rPr>
              <w:t>179</w:t>
            </w:r>
          </w:hyperlink>
        </w:p>
        <w:p>
          <w:pPr>
            <w:pStyle w:val="Contents4"/>
            <w:tabs>
              <w:tab w:val="clear" w:pos="8176"/>
              <w:tab w:val="right" w:pos="9026" w:leader="dot"/>
            </w:tabs>
            <w:rPr/>
          </w:pPr>
          <w:hyperlink w:anchor="__RefHeading___Toc5082626_2314609296">
            <w:r>
              <w:rPr>
                <w:webHidden/>
                <w:rStyle w:val="IndexLink"/>
                <w:rtl w:val="true"/>
              </w:rPr>
              <w:t>و من جملة الشروط فی العقد</w:t>
            </w:r>
            <w:r>
              <w:rPr>
                <w:rStyle w:val="IndexLink"/>
                <w:rtl w:val="true"/>
              </w:rPr>
              <w:tab/>
            </w:r>
            <w:r>
              <w:rPr>
                <w:rStyle w:val="IndexLink"/>
              </w:rPr>
              <w:t>181</w:t>
            </w:r>
          </w:hyperlink>
        </w:p>
        <w:p>
          <w:pPr>
            <w:pStyle w:val="Contents5"/>
            <w:tabs>
              <w:tab w:val="clear" w:pos="7892"/>
              <w:tab w:val="right" w:pos="9026" w:leader="dot"/>
            </w:tabs>
            <w:rPr/>
          </w:pPr>
          <w:hyperlink w:anchor="__RefHeading___Toc5082628_2314609296">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5082630_2314609296">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5082632_2314609296">
            <w:r>
              <w:rPr>
                <w:webHidden/>
                <w:rStyle w:val="IndexLink"/>
                <w:rtl w:val="true"/>
              </w:rPr>
              <w:t>«</w:t>
            </w:r>
            <w:r>
              <w:rPr>
                <w:rStyle w:val="IndexLink"/>
                <w:rtl w:val="true"/>
              </w:rPr>
              <w:t>فرع</w:t>
            </w:r>
            <w:r>
              <w:rPr>
                <w:rStyle w:val="IndexLink"/>
                <w:rtl w:val="true"/>
              </w:rPr>
              <w:t>»</w:t>
              <w:tab/>
            </w:r>
            <w:r>
              <w:rPr>
                <w:rStyle w:val="IndexLink"/>
              </w:rPr>
              <w:t>182</w:t>
            </w:r>
          </w:hyperlink>
        </w:p>
        <w:p>
          <w:pPr>
            <w:pStyle w:val="Contents4"/>
            <w:tabs>
              <w:tab w:val="clear" w:pos="8176"/>
              <w:tab w:val="right" w:pos="9026" w:leader="dot"/>
            </w:tabs>
            <w:rPr/>
          </w:pPr>
          <w:hyperlink w:anchor="__RefHeading___Toc5082634_2314609296">
            <w:r>
              <w:rPr>
                <w:webHidden/>
                <w:rStyle w:val="IndexLink"/>
                <w:rtl w:val="true"/>
              </w:rPr>
              <w:t xml:space="preserve">مسألة </w:t>
            </w:r>
            <w:r>
              <w:rPr>
                <w:rStyle w:val="IndexLink"/>
                <w:rtl w:val="true"/>
              </w:rPr>
              <w:t>[</w:t>
            </w:r>
            <w:r>
              <w:rPr>
                <w:rStyle w:val="IndexLink"/>
                <w:rtl w:val="true"/>
              </w:rPr>
              <w:t>أحکام المقبوض بالعقد الفاسد</w:t>
            </w:r>
            <w:r>
              <w:rPr>
                <w:rStyle w:val="IndexLink"/>
                <w:rtl w:val="true"/>
              </w:rPr>
              <w:t>]</w:t>
              <w:tab/>
            </w:r>
            <w:r>
              <w:rPr>
                <w:rStyle w:val="IndexLink"/>
              </w:rPr>
              <w:t>184</w:t>
            </w:r>
          </w:hyperlink>
        </w:p>
        <w:p>
          <w:pPr>
            <w:pStyle w:val="Contents5"/>
            <w:tabs>
              <w:tab w:val="clear" w:pos="7892"/>
              <w:tab w:val="right" w:pos="9026" w:leader="dot"/>
            </w:tabs>
            <w:rPr/>
          </w:pPr>
          <w:hyperlink w:anchor="__RefHeading___Toc5082636_2314609296">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5082638_2314609296">
            <w:r>
              <w:rPr>
                <w:webHidden/>
                <w:rStyle w:val="IndexLink"/>
                <w:rtl w:val="true"/>
              </w:rPr>
              <w:t>[</w:t>
            </w:r>
            <w:r>
              <w:rPr>
                <w:rStyle w:val="IndexLink"/>
                <w:rtl w:val="true"/>
              </w:rPr>
              <w:t>الأوّل</w:t>
            </w:r>
            <w:r>
              <w:rPr>
                <w:rStyle w:val="IndexLink"/>
                <w:rtl w:val="true"/>
              </w:rPr>
              <w:t>]</w:t>
              <w:tab/>
            </w:r>
            <w:r>
              <w:rPr>
                <w:rStyle w:val="IndexLink"/>
              </w:rPr>
              <w:t>184</w:t>
            </w:r>
          </w:hyperlink>
        </w:p>
        <w:p>
          <w:pPr>
            <w:pStyle w:val="Contents6"/>
            <w:tabs>
              <w:tab w:val="clear" w:pos="7609"/>
              <w:tab w:val="right" w:pos="9026" w:leader="dot"/>
            </w:tabs>
            <w:rPr/>
          </w:pPr>
          <w:hyperlink w:anchor="__RefHeading___Toc5082640_2314609296">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5082642_2314609296">
            <w:r>
              <w:rPr>
                <w:webHidden/>
                <w:rStyle w:val="IndexLink"/>
                <w:rtl w:val="true"/>
              </w:rPr>
              <w:t>[</w:t>
            </w:r>
            <w:r>
              <w:rPr>
                <w:rStyle w:val="IndexLink"/>
                <w:rtl w:val="true"/>
              </w:rPr>
              <w:t>الاستدلال علی الضمان</w:t>
            </w:r>
            <w:r>
              <w:rPr>
                <w:rStyle w:val="IndexLink"/>
                <w:rtl w:val="true"/>
              </w:rPr>
              <w:t>]</w:t>
              <w:tab/>
            </w:r>
            <w:r>
              <w:rPr>
                <w:rStyle w:val="IndexLink"/>
              </w:rPr>
              <w:t>185</w:t>
            </w:r>
          </w:hyperlink>
        </w:p>
        <w:p>
          <w:pPr>
            <w:pStyle w:val="Contents6"/>
            <w:tabs>
              <w:tab w:val="clear" w:pos="7609"/>
              <w:tab w:val="right" w:pos="9026" w:leader="dot"/>
            </w:tabs>
            <w:rPr/>
          </w:pPr>
          <w:hyperlink w:anchor="__RefHeading___Toc5082644_2314609296">
            <w:r>
              <w:rPr>
                <w:webHidden/>
                <w:rStyle w:val="IndexLink"/>
                <w:rtl w:val="true"/>
              </w:rPr>
              <w:t>[</w:t>
            </w:r>
            <w:r>
              <w:rPr>
                <w:rStyle w:val="IndexLink"/>
                <w:rtl w:val="true"/>
              </w:rPr>
              <w:t>قاعدة ما یضمن بصحیحه و عکسها</w:t>
            </w:r>
            <w:r>
              <w:rPr>
                <w:rStyle w:val="IndexLink"/>
                <w:rtl w:val="true"/>
              </w:rPr>
              <w:t>]</w:t>
              <w:tab/>
            </w:r>
            <w:r>
              <w:rPr>
                <w:rStyle w:val="IndexLink"/>
              </w:rPr>
              <w:t>186</w:t>
            </w:r>
          </w:hyperlink>
        </w:p>
        <w:p>
          <w:pPr>
            <w:pStyle w:val="Contents6"/>
            <w:tabs>
              <w:tab w:val="clear" w:pos="7609"/>
              <w:tab w:val="right" w:pos="9026" w:leader="dot"/>
            </w:tabs>
            <w:rPr/>
          </w:pPr>
          <w:hyperlink w:anchor="__RefHeading___Toc5082646_2314609296">
            <w:r>
              <w:rPr>
                <w:webHidden/>
                <w:rStyle w:val="IndexLink"/>
                <w:rtl w:val="true"/>
              </w:rPr>
              <w:t>[</w:t>
            </w:r>
            <w:r>
              <w:rPr>
                <w:rStyle w:val="IndexLink"/>
                <w:rtl w:val="true"/>
              </w:rPr>
              <w:t>البحث فی قاعدة ما یضمن بصحیحه یضمن بفاسده</w:t>
            </w:r>
            <w:r>
              <w:rPr>
                <w:rStyle w:val="IndexLink"/>
                <w:rtl w:val="true"/>
              </w:rPr>
              <w:t>]</w:t>
              <w:tab/>
            </w:r>
            <w:r>
              <w:rPr>
                <w:rStyle w:val="IndexLink"/>
              </w:rPr>
              <w:t>186</w:t>
            </w:r>
          </w:hyperlink>
        </w:p>
        <w:p>
          <w:pPr>
            <w:pStyle w:val="Contents6"/>
            <w:tabs>
              <w:tab w:val="clear" w:pos="7609"/>
              <w:tab w:val="right" w:pos="9026" w:leader="dot"/>
            </w:tabs>
            <w:rPr/>
          </w:pPr>
          <w:hyperlink w:anchor="__RefHeading___Toc5082648_2314609296">
            <w:r>
              <w:rPr>
                <w:webHidden/>
                <w:rStyle w:val="IndexLink"/>
                <w:rtl w:val="true"/>
              </w:rPr>
              <w:t>[</w:t>
            </w:r>
            <w:r>
              <w:rPr>
                <w:rStyle w:val="IndexLink"/>
                <w:rtl w:val="true"/>
              </w:rPr>
              <w:t>الکلام فی معنی القاعدة</w:t>
            </w:r>
            <w:r>
              <w:rPr>
                <w:rStyle w:val="IndexLink"/>
                <w:rtl w:val="true"/>
              </w:rPr>
              <w:t>]</w:t>
              <w:tab/>
            </w:r>
            <w:r>
              <w:rPr>
                <w:rStyle w:val="IndexLink"/>
              </w:rPr>
              <w:t>186</w:t>
            </w:r>
          </w:hyperlink>
        </w:p>
        <w:p>
          <w:pPr>
            <w:pStyle w:val="Contents6"/>
            <w:tabs>
              <w:tab w:val="clear" w:pos="7609"/>
              <w:tab w:val="right" w:pos="9026" w:leader="dot"/>
            </w:tabs>
            <w:rPr/>
          </w:pPr>
          <w:hyperlink w:anchor="__RefHeading___Toc5082650_2314609296">
            <w:r>
              <w:rPr>
                <w:webHidden/>
                <w:rStyle w:val="IndexLink"/>
                <w:rtl w:val="true"/>
              </w:rPr>
              <w:t>[</w:t>
            </w:r>
            <w:r>
              <w:rPr>
                <w:rStyle w:val="IndexLink"/>
                <w:rtl w:val="true"/>
              </w:rPr>
              <w:t>الکلام فی مدرک القاعدة</w:t>
            </w:r>
            <w:r>
              <w:rPr>
                <w:rStyle w:val="IndexLink"/>
                <w:rtl w:val="true"/>
              </w:rPr>
              <w:t>]</w:t>
              <w:tab/>
            </w:r>
            <w:r>
              <w:rPr>
                <w:rStyle w:val="IndexLink"/>
              </w:rPr>
              <w:t>192</w:t>
            </w:r>
          </w:hyperlink>
        </w:p>
        <w:p>
          <w:pPr>
            <w:pStyle w:val="Contents6"/>
            <w:tabs>
              <w:tab w:val="clear" w:pos="7609"/>
              <w:tab w:val="right" w:pos="9026" w:leader="dot"/>
            </w:tabs>
            <w:rPr/>
          </w:pPr>
          <w:hyperlink w:anchor="__RefHeading___Toc5082652_2314609296">
            <w:r>
              <w:rPr>
                <w:webHidden/>
                <w:rStyle w:val="IndexLink"/>
                <w:rtl w:val="true"/>
              </w:rPr>
              <w:t>[</w:t>
            </w:r>
            <w:r>
              <w:rPr>
                <w:rStyle w:val="IndexLink"/>
                <w:rtl w:val="true"/>
              </w:rPr>
              <w:t>الضمان فیما لا یرجع فیه نفع إلی الضامن</w:t>
            </w:r>
            <w:r>
              <w:rPr>
                <w:rStyle w:val="IndexLink"/>
                <w:rtl w:val="true"/>
              </w:rPr>
              <w:t>]</w:t>
              <w:tab/>
            </w:r>
            <w:r>
              <w:rPr>
                <w:rStyle w:val="IndexLink"/>
              </w:rPr>
              <w:t>195</w:t>
            </w:r>
          </w:hyperlink>
        </w:p>
        <w:p>
          <w:pPr>
            <w:pStyle w:val="Contents6"/>
            <w:tabs>
              <w:tab w:val="clear" w:pos="7609"/>
              <w:tab w:val="right" w:pos="9026" w:leader="dot"/>
            </w:tabs>
            <w:rPr/>
          </w:pPr>
          <w:hyperlink w:anchor="__RefHeading___Toc5082654_2314609296">
            <w:r>
              <w:rPr>
                <w:webHidden/>
                <w:rStyle w:val="IndexLink"/>
                <w:rtl w:val="true"/>
              </w:rPr>
              <w:t>و أمّا عکسها،و هو</w:t>
            </w:r>
            <w:r>
              <w:rPr>
                <w:rStyle w:val="IndexLink"/>
                <w:rtl w:val="true"/>
              </w:rPr>
              <w:t>:</w:t>
            </w:r>
            <w:r>
              <w:rPr>
                <w:rStyle w:val="IndexLink"/>
                <w:rtl w:val="true"/>
              </w:rPr>
              <w:t>أنّ ما لا یضمن بصحیحه لا یضمن بفاسده،</w:t>
            </w:r>
            <w:r>
              <w:rPr>
                <w:rStyle w:val="IndexLink"/>
                <w:rtl w:val="true"/>
              </w:rPr>
              <w:tab/>
            </w:r>
            <w:r>
              <w:rPr>
                <w:rStyle w:val="IndexLink"/>
              </w:rPr>
              <w:t>196</w:t>
            </w:r>
          </w:hyperlink>
        </w:p>
        <w:p>
          <w:pPr>
            <w:pStyle w:val="Contents6"/>
            <w:tabs>
              <w:tab w:val="clear" w:pos="7609"/>
              <w:tab w:val="right" w:pos="9026" w:leader="dot"/>
            </w:tabs>
            <w:rPr/>
          </w:pPr>
          <w:hyperlink w:anchor="__RefHeading___Toc5082656_2314609296">
            <w:r>
              <w:rPr>
                <w:webHidden/>
                <w:rStyle w:val="IndexLink"/>
                <w:rtl w:val="true"/>
              </w:rPr>
              <w:t>[</w:t>
            </w:r>
            <w:r>
              <w:rPr>
                <w:rStyle w:val="IndexLink"/>
                <w:rtl w:val="true"/>
              </w:rPr>
              <w:t>هل تضمن العین المستأجرة فاسدا؟</w:t>
            </w:r>
            <w:r>
              <w:rPr>
                <w:rStyle w:val="IndexLink"/>
                <w:rtl w:val="true"/>
              </w:rPr>
              <w:t>]</w:t>
              <w:tab/>
            </w:r>
            <w:r>
              <w:rPr>
                <w:rStyle w:val="IndexLink"/>
              </w:rPr>
              <w:t>197</w:t>
            </w:r>
          </w:hyperlink>
        </w:p>
        <w:p>
          <w:pPr>
            <w:pStyle w:val="Contents6"/>
            <w:tabs>
              <w:tab w:val="clear" w:pos="7609"/>
              <w:tab w:val="right" w:pos="9026" w:leader="dot"/>
            </w:tabs>
            <w:rPr/>
          </w:pPr>
          <w:hyperlink w:anchor="__RefHeading___Toc5082658_2314609296">
            <w:r>
              <w:rPr>
                <w:webHidden/>
                <w:rStyle w:val="IndexLink"/>
                <w:rtl w:val="true"/>
              </w:rPr>
              <w:t>[</w:t>
            </w:r>
            <w:r>
              <w:rPr>
                <w:rStyle w:val="IndexLink"/>
                <w:rtl w:val="true"/>
              </w:rPr>
              <w:t>منشأ الحکم بالضمان</w:t>
            </w:r>
            <w:r>
              <w:rPr>
                <w:rStyle w:val="IndexLink"/>
                <w:rtl w:val="true"/>
              </w:rPr>
              <w:t>]</w:t>
              <w:tab/>
            </w:r>
            <w:r>
              <w:rPr>
                <w:rStyle w:val="IndexLink"/>
              </w:rPr>
              <w:t>198</w:t>
            </w:r>
          </w:hyperlink>
        </w:p>
        <w:p>
          <w:pPr>
            <w:pStyle w:val="Contents6"/>
            <w:tabs>
              <w:tab w:val="clear" w:pos="7609"/>
              <w:tab w:val="right" w:pos="9026" w:leader="dot"/>
            </w:tabs>
            <w:rPr/>
          </w:pPr>
          <w:hyperlink w:anchor="__RefHeading___Toc5082660_2314609296">
            <w:r>
              <w:rPr>
                <w:webHidden/>
                <w:rStyle w:val="IndexLink"/>
                <w:rtl w:val="true"/>
              </w:rPr>
              <w:t>[</w:t>
            </w:r>
            <w:r>
              <w:rPr>
                <w:rStyle w:val="IndexLink"/>
                <w:rtl w:val="true"/>
              </w:rPr>
              <w:t>الأقوی عدم الضمان</w:t>
            </w:r>
            <w:r>
              <w:rPr>
                <w:rStyle w:val="IndexLink"/>
                <w:rtl w:val="true"/>
              </w:rPr>
              <w:t>]</w:t>
              <w:tab/>
            </w:r>
            <w:r>
              <w:rPr>
                <w:rStyle w:val="IndexLink"/>
              </w:rPr>
              <w:t>198</w:t>
            </w:r>
          </w:hyperlink>
        </w:p>
        <w:p>
          <w:pPr>
            <w:pStyle w:val="Contents6"/>
            <w:tabs>
              <w:tab w:val="clear" w:pos="7609"/>
              <w:tab w:val="right" w:pos="9026" w:leader="dot"/>
            </w:tabs>
            <w:rPr/>
          </w:pPr>
          <w:hyperlink w:anchor="__RefHeading___Toc5082662_2314609296">
            <w:r>
              <w:rPr>
                <w:webHidden/>
                <w:rStyle w:val="IndexLink"/>
                <w:rtl w:val="true"/>
              </w:rPr>
              <w:t>ثمّ إنّه یشکل اطّراد القاعدة فی موارد</w:t>
            </w:r>
            <w:r>
              <w:rPr>
                <w:rStyle w:val="IndexLink"/>
                <w:rtl w:val="true"/>
              </w:rPr>
              <w:t>:</w:t>
              <w:tab/>
            </w:r>
            <w:r>
              <w:rPr>
                <w:rStyle w:val="IndexLink"/>
              </w:rPr>
              <w:t>198</w:t>
            </w:r>
          </w:hyperlink>
        </w:p>
        <w:p>
          <w:pPr>
            <w:pStyle w:val="Contents6"/>
            <w:tabs>
              <w:tab w:val="clear" w:pos="7609"/>
              <w:tab w:val="right" w:pos="9026" w:leader="dot"/>
            </w:tabs>
            <w:rPr/>
          </w:pPr>
          <w:hyperlink w:anchor="__RefHeading___Toc5082664_2314609296">
            <w:r>
              <w:rPr>
                <w:webHidden/>
                <w:rStyle w:val="IndexLink"/>
                <w:rtl w:val="true"/>
              </w:rPr>
              <w:t>منها</w:t>
            </w:r>
            <w:r>
              <w:rPr>
                <w:rStyle w:val="IndexLink"/>
                <w:rtl w:val="true"/>
              </w:rPr>
              <w:t>:</w:t>
            </w:r>
            <w:r>
              <w:rPr>
                <w:rStyle w:val="IndexLink"/>
                <w:rtl w:val="true"/>
              </w:rPr>
              <w:t>الصید الذی استعاره المحرم من المحِلّ؛</w:t>
            </w:r>
            <w:r>
              <w:rPr>
                <w:rStyle w:val="IndexLink"/>
                <w:rtl w:val="true"/>
              </w:rPr>
              <w:tab/>
            </w:r>
            <w:r>
              <w:rPr>
                <w:rStyle w:val="IndexLink"/>
              </w:rPr>
              <w:t>198</w:t>
            </w:r>
          </w:hyperlink>
        </w:p>
        <w:p>
          <w:pPr>
            <w:pStyle w:val="Contents6"/>
            <w:tabs>
              <w:tab w:val="clear" w:pos="7609"/>
              <w:tab w:val="right" w:pos="9026" w:leader="dot"/>
            </w:tabs>
            <w:rPr/>
          </w:pPr>
          <w:hyperlink w:anchor="__RefHeading___Toc5082666_2314609296">
            <w:r>
              <w:rPr>
                <w:webHidden/>
                <w:rStyle w:val="IndexLink"/>
                <w:rtl w:val="true"/>
              </w:rPr>
              <w:t>[</w:t>
            </w:r>
            <w:r>
              <w:rPr>
                <w:rStyle w:val="IndexLink"/>
                <w:rtl w:val="true"/>
              </w:rPr>
              <w:t>منها المنافع غیر المستوفاة من المبیع فاسدا</w:t>
            </w:r>
            <w:r>
              <w:rPr>
                <w:rStyle w:val="IndexLink"/>
                <w:rtl w:val="true"/>
              </w:rPr>
              <w:t>]</w:t>
              <w:tab/>
            </w:r>
            <w:r>
              <w:rPr>
                <w:rStyle w:val="IndexLink"/>
              </w:rPr>
              <w:t>199</w:t>
            </w:r>
          </w:hyperlink>
        </w:p>
        <w:p>
          <w:pPr>
            <w:pStyle w:val="Contents6"/>
            <w:tabs>
              <w:tab w:val="clear" w:pos="7609"/>
              <w:tab w:val="right" w:pos="9026" w:leader="dot"/>
            </w:tabs>
            <w:rPr/>
          </w:pPr>
          <w:hyperlink w:anchor="__RefHeading___Toc5082668_2314609296">
            <w:r>
              <w:rPr>
                <w:webHidden/>
                <w:rStyle w:val="IndexLink"/>
                <w:rtl w:val="true"/>
              </w:rPr>
              <w:t>[</w:t>
            </w:r>
            <w:r>
              <w:rPr>
                <w:rStyle w:val="IndexLink"/>
                <w:rtl w:val="true"/>
              </w:rPr>
              <w:t>منها حمل المبیع فاسدا</w:t>
            </w:r>
            <w:r>
              <w:rPr>
                <w:rStyle w:val="IndexLink"/>
                <w:rtl w:val="true"/>
              </w:rPr>
              <w:t>]</w:t>
              <w:tab/>
            </w:r>
            <w:r>
              <w:rPr>
                <w:rStyle w:val="IndexLink"/>
              </w:rPr>
              <w:t>199</w:t>
            </w:r>
          </w:hyperlink>
        </w:p>
        <w:p>
          <w:pPr>
            <w:pStyle w:val="Contents6"/>
            <w:tabs>
              <w:tab w:val="clear" w:pos="7609"/>
              <w:tab w:val="right" w:pos="9026" w:leader="dot"/>
            </w:tabs>
            <w:rPr/>
          </w:pPr>
          <w:hyperlink w:anchor="__RefHeading___Toc5082670_2314609296">
            <w:r>
              <w:rPr>
                <w:webHidden/>
                <w:rStyle w:val="IndexLink"/>
                <w:rtl w:val="true"/>
              </w:rPr>
              <w:t>[</w:t>
            </w:r>
            <w:r>
              <w:rPr>
                <w:rStyle w:val="IndexLink"/>
                <w:rtl w:val="true"/>
              </w:rPr>
              <w:t>منها الشرکة الفاسدة</w:t>
            </w:r>
            <w:r>
              <w:rPr>
                <w:rStyle w:val="IndexLink"/>
                <w:rtl w:val="true"/>
              </w:rPr>
              <w:t>]</w:t>
              <w:tab/>
            </w:r>
            <w:r>
              <w:rPr>
                <w:rStyle w:val="IndexLink"/>
              </w:rPr>
              <w:t>200</w:t>
            </w:r>
          </w:hyperlink>
        </w:p>
        <w:p>
          <w:pPr>
            <w:pStyle w:val="Contents6"/>
            <w:tabs>
              <w:tab w:val="clear" w:pos="7609"/>
              <w:tab w:val="right" w:pos="9026" w:leader="dot"/>
            </w:tabs>
            <w:rPr/>
          </w:pPr>
          <w:hyperlink w:anchor="__RefHeading___Toc5082672_2314609296">
            <w:r>
              <w:rPr>
                <w:webHidden/>
                <w:rStyle w:val="IndexLink"/>
                <w:rtl w:val="true"/>
              </w:rPr>
              <w:t>[</w:t>
            </w:r>
            <w:r>
              <w:rPr>
                <w:rStyle w:val="IndexLink"/>
                <w:rtl w:val="true"/>
              </w:rPr>
              <w:t>مبنی عدم الضمان فی عکس القاعدة هی الأولویة و المناقشة فیها</w:t>
            </w:r>
            <w:r>
              <w:rPr>
                <w:rStyle w:val="IndexLink"/>
                <w:rtl w:val="true"/>
              </w:rPr>
              <w:t>]</w:t>
              <w:tab/>
            </w:r>
            <w:r>
              <w:rPr>
                <w:rStyle w:val="IndexLink"/>
              </w:rPr>
              <w:t>200</w:t>
            </w:r>
          </w:hyperlink>
        </w:p>
        <w:p>
          <w:pPr>
            <w:pStyle w:val="Contents5"/>
            <w:tabs>
              <w:tab w:val="clear" w:pos="7892"/>
              <w:tab w:val="right" w:pos="9026" w:leader="dot"/>
            </w:tabs>
            <w:rPr/>
          </w:pPr>
          <w:hyperlink w:anchor="__RefHeading___Toc5082674_2314609296">
            <w:r>
              <w:rPr>
                <w:webHidden/>
                <w:rStyle w:val="IndexLink"/>
                <w:rtl w:val="true"/>
              </w:rPr>
              <w:t>الثانی من الأُمور المتفرّعة علی عدم تملّک المقبوض بالبیع الفاسد، وجوب ردّه فوراً إلی المالک</w:t>
            </w:r>
            <w:r>
              <w:rPr>
                <w:rStyle w:val="IndexLink"/>
                <w:rtl w:val="true"/>
              </w:rPr>
              <w:t>.</w:t>
              <w:tab/>
            </w:r>
            <w:r>
              <w:rPr>
                <w:rStyle w:val="IndexLink"/>
              </w:rPr>
              <w:t>203</w:t>
            </w:r>
          </w:hyperlink>
        </w:p>
        <w:p>
          <w:pPr>
            <w:pStyle w:val="Contents5"/>
            <w:tabs>
              <w:tab w:val="clear" w:pos="7892"/>
              <w:tab w:val="right" w:pos="9026" w:leader="dot"/>
            </w:tabs>
            <w:rPr/>
          </w:pPr>
          <w:hyperlink w:anchor="__RefHeading___Toc5082676_2314609296">
            <w:r>
              <w:rPr>
                <w:webHidden/>
                <w:rStyle w:val="IndexLink"/>
                <w:rtl w:val="true"/>
              </w:rPr>
              <w:t>الثالث أنّه لو کان للعین المبتاعة منفعة استوفاها المشتری قبل الردّ،کان علیه عوضها علی المشهور،</w:t>
            </w:r>
            <w:r>
              <w:rPr>
                <w:rStyle w:val="IndexLink"/>
                <w:rtl w:val="true"/>
              </w:rPr>
              <w:tab/>
            </w:r>
            <w:r>
              <w:rPr>
                <w:rStyle w:val="IndexLink"/>
              </w:rPr>
              <w:t>205</w:t>
            </w:r>
          </w:hyperlink>
        </w:p>
        <w:p>
          <w:pPr>
            <w:pStyle w:val="Contents5"/>
            <w:tabs>
              <w:tab w:val="clear" w:pos="7892"/>
              <w:tab w:val="right" w:pos="9026" w:leader="dot"/>
            </w:tabs>
            <w:rPr/>
          </w:pPr>
          <w:hyperlink w:anchor="__RefHeading___Toc5082678_2314609296">
            <w:r>
              <w:rPr>
                <w:webHidden/>
                <w:rStyle w:val="IndexLink"/>
                <w:rtl w:val="true"/>
              </w:rPr>
              <w:t>الرابع إذا تلف المبیع،فإن کان مثلیّا وجب مثله</w:t>
            </w:r>
            <w:r>
              <w:rPr>
                <w:rStyle w:val="IndexLink"/>
                <w:rtl w:val="true"/>
              </w:rPr>
              <w:tab/>
            </w:r>
            <w:r>
              <w:rPr>
                <w:rStyle w:val="IndexLink"/>
              </w:rPr>
              <w:t>213</w:t>
            </w:r>
          </w:hyperlink>
        </w:p>
        <w:p>
          <w:pPr>
            <w:pStyle w:val="Contents5"/>
            <w:tabs>
              <w:tab w:val="clear" w:pos="7892"/>
              <w:tab w:val="right" w:pos="9026" w:leader="dot"/>
            </w:tabs>
            <w:rPr/>
          </w:pPr>
          <w:hyperlink w:anchor="__RefHeading___Toc5082680_2314609296">
            <w:r>
              <w:rPr>
                <w:webHidden/>
                <w:rStyle w:val="IndexLink"/>
                <w:rtl w:val="true"/>
              </w:rPr>
              <w:t>الخامس ذکر فی القواعد</w:t>
            </w:r>
            <w:r>
              <w:rPr>
                <w:rStyle w:val="IndexLink"/>
                <w:rtl w:val="true"/>
              </w:rPr>
              <w:t>:</w:t>
            </w:r>
            <w:r>
              <w:rPr>
                <w:rStyle w:val="IndexLink"/>
                <w:rtl w:val="true"/>
              </w:rPr>
              <w:t>أنّه لو لم یوجد المثل إلّا بأکثر من ثمن المثل، ففی وجوب الشراء تردّد</w:t>
            </w:r>
            <w:r>
              <w:rPr>
                <w:rStyle w:val="IndexLink"/>
                <w:rtl w:val="true"/>
              </w:rPr>
              <w:tab/>
            </w:r>
            <w:r>
              <w:rPr>
                <w:rStyle w:val="IndexLink"/>
              </w:rPr>
              <w:t>226</w:t>
            </w:r>
          </w:hyperlink>
        </w:p>
        <w:p>
          <w:pPr>
            <w:pStyle w:val="Contents5"/>
            <w:tabs>
              <w:tab w:val="clear" w:pos="7892"/>
              <w:tab w:val="right" w:pos="9026" w:leader="dot"/>
            </w:tabs>
            <w:rPr/>
          </w:pPr>
          <w:hyperlink w:anchor="__RefHeading___Toc5082682_2314609296">
            <w:r>
              <w:rPr>
                <w:webHidden/>
                <w:rStyle w:val="IndexLink"/>
                <w:rtl w:val="true"/>
              </w:rPr>
              <w:t>السادس لو تعذّر المثل فی المثلی،فمقتضی القاعدة وجوب دفع القیمة مع مطالبة المالک؛</w:t>
            </w:r>
            <w:r>
              <w:rPr>
                <w:rStyle w:val="IndexLink"/>
                <w:rtl w:val="true"/>
              </w:rPr>
              <w:tab/>
            </w:r>
            <w:r>
              <w:rPr>
                <w:rStyle w:val="IndexLink"/>
              </w:rPr>
              <w:t>230</w:t>
            </w:r>
          </w:hyperlink>
        </w:p>
        <w:p>
          <w:pPr>
            <w:pStyle w:val="Contents6"/>
            <w:tabs>
              <w:tab w:val="clear" w:pos="7609"/>
              <w:tab w:val="right" w:pos="9026" w:leader="dot"/>
            </w:tabs>
            <w:rPr/>
          </w:pPr>
          <w:hyperlink w:anchor="__RefHeading___Toc5082684_2314609296">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5082686_2314609296">
            <w:r>
              <w:rPr>
                <w:webHidden/>
                <w:rStyle w:val="IndexLink"/>
                <w:rtl w:val="true"/>
              </w:rPr>
              <w:t>«</w:t>
            </w:r>
            <w:r>
              <w:rPr>
                <w:rStyle w:val="IndexLink"/>
                <w:rtl w:val="true"/>
              </w:rPr>
              <w:t>فرع</w:t>
            </w:r>
            <w:r>
              <w:rPr>
                <w:rStyle w:val="IndexLink"/>
                <w:rtl w:val="true"/>
              </w:rPr>
              <w:t>» [</w:t>
            </w:r>
            <w:r>
              <w:rPr>
                <w:rStyle w:val="IndexLink"/>
                <w:rtl w:val="true"/>
              </w:rPr>
              <w:t>لو تمکن من المثل بعد دفع القیمة</w:t>
            </w:r>
            <w:r>
              <w:rPr>
                <w:rStyle w:val="IndexLink"/>
                <w:rtl w:val="true"/>
              </w:rPr>
              <w:t>]</w:t>
              <w:tab/>
            </w:r>
            <w:r>
              <w:rPr>
                <w:rStyle w:val="IndexLink"/>
              </w:rPr>
              <w:t>243</w:t>
            </w:r>
          </w:hyperlink>
        </w:p>
        <w:p>
          <w:pPr>
            <w:pStyle w:val="Contents5"/>
            <w:tabs>
              <w:tab w:val="clear" w:pos="7892"/>
              <w:tab w:val="right" w:pos="9026" w:leader="dot"/>
            </w:tabs>
            <w:rPr/>
          </w:pPr>
          <w:hyperlink w:anchor="__RefHeading___Toc5082688_2314609296">
            <w:r>
              <w:rPr>
                <w:webHidden/>
                <w:rStyle w:val="IndexLink"/>
                <w:rtl w:val="true"/>
              </w:rPr>
              <w:t>السابع لو کان التالف المبیع فاسداً قیمیّاً،فقد حکی</w:t>
            </w:r>
            <w:r>
              <w:rPr>
                <w:rStyle w:val="IndexLink"/>
                <w:rtl w:val="true"/>
              </w:rPr>
              <w:t>:</w:t>
            </w:r>
            <w:r>
              <w:rPr>
                <w:rStyle w:val="IndexLink"/>
                <w:rtl w:val="true"/>
              </w:rPr>
              <w:t>الاتّفاق علی کونه</w:t>
            </w:r>
            <w:r>
              <w:rPr>
                <w:rStyle w:val="IndexLink"/>
                <w:rtl w:val="true"/>
              </w:rPr>
              <w:tab/>
            </w:r>
            <w:r>
              <w:rPr>
                <w:rStyle w:val="IndexLink"/>
              </w:rPr>
              <w:t>244</w:t>
            </w:r>
          </w:hyperlink>
        </w:p>
        <w:p>
          <w:pPr>
            <w:pStyle w:val="Contents6"/>
            <w:tabs>
              <w:tab w:val="clear" w:pos="7609"/>
              <w:tab w:val="right" w:pos="9026" w:leader="dot"/>
            </w:tabs>
            <w:rPr/>
          </w:pPr>
          <w:hyperlink w:anchor="__RefHeading___Toc5082690_2314609296">
            <w:r>
              <w:rPr>
                <w:webHidden/>
                <w:rStyle w:val="IndexLink"/>
                <w:rtl w:val="true"/>
              </w:rPr>
              <w:t>[</w:t>
            </w:r>
            <w:r>
              <w:rPr>
                <w:rStyle w:val="IndexLink"/>
                <w:rtl w:val="true"/>
              </w:rPr>
              <w:t>ضمان القیمی بالقیمة فی المقبوض بالعقد الفاسد،و الدلیل علیه</w:t>
            </w:r>
            <w:r>
              <w:rPr>
                <w:rStyle w:val="IndexLink"/>
                <w:rtl w:val="true"/>
              </w:rPr>
              <w:t>]</w:t>
              <w:tab/>
            </w:r>
            <w:r>
              <w:rPr>
                <w:rStyle w:val="IndexLink"/>
              </w:rPr>
              <w:t>244</w:t>
            </w:r>
          </w:hyperlink>
        </w:p>
        <w:p>
          <w:pPr>
            <w:pStyle w:val="Contents6"/>
            <w:tabs>
              <w:tab w:val="clear" w:pos="7609"/>
              <w:tab w:val="right" w:pos="9026" w:leader="dot"/>
            </w:tabs>
            <w:rPr/>
          </w:pPr>
          <w:hyperlink w:anchor="__RefHeading___Toc5082692_2314609296">
            <w:r>
              <w:rPr>
                <w:webHidden/>
                <w:rStyle w:val="IndexLink"/>
                <w:rtl w:val="true"/>
              </w:rPr>
              <w:t>[</w:t>
            </w:r>
            <w:r>
              <w:rPr>
                <w:rStyle w:val="IndexLink"/>
                <w:rtl w:val="true"/>
              </w:rPr>
              <w:t>ما هو المعیار فی تعیین القیمة فی المقبوض بالعقد الفاسد؟</w:t>
            </w:r>
            <w:r>
              <w:rPr>
                <w:rStyle w:val="IndexLink"/>
                <w:rtl w:val="true"/>
              </w:rPr>
              <w:t>]</w:t>
              <w:tab/>
            </w:r>
            <w:r>
              <w:rPr>
                <w:rStyle w:val="IndexLink"/>
              </w:rPr>
              <w:t>247</w:t>
            </w:r>
          </w:hyperlink>
        </w:p>
        <w:p>
          <w:pPr>
            <w:pStyle w:val="Contents6"/>
            <w:tabs>
              <w:tab w:val="clear" w:pos="7609"/>
              <w:tab w:val="right" w:pos="9026" w:leader="dot"/>
            </w:tabs>
            <w:rPr/>
          </w:pPr>
          <w:hyperlink w:anchor="__RefHeading___Toc5082694_2314609296">
            <w:r>
              <w:rPr>
                <w:webHidden/>
                <w:rStyle w:val="IndexLink"/>
                <w:rtl w:val="true"/>
              </w:rPr>
              <w:t>[</w:t>
            </w:r>
            <w:r>
              <w:rPr>
                <w:rStyle w:val="IndexLink"/>
                <w:rtl w:val="true"/>
              </w:rPr>
              <w:t>الأصل فی ضمان التالف</w:t>
            </w:r>
            <w:r>
              <w:rPr>
                <w:rStyle w:val="IndexLink"/>
                <w:rtl w:val="true"/>
              </w:rPr>
              <w:t>:</w:t>
            </w:r>
            <w:r>
              <w:rPr>
                <w:rStyle w:val="IndexLink"/>
                <w:rtl w:val="true"/>
              </w:rPr>
              <w:t>ضمانه بقیمته یوم التلف</w:t>
            </w:r>
            <w:r>
              <w:rPr>
                <w:rStyle w:val="IndexLink"/>
                <w:rtl w:val="true"/>
              </w:rPr>
              <w:t>]</w:t>
              <w:tab/>
            </w:r>
            <w:r>
              <w:rPr>
                <w:rStyle w:val="IndexLink"/>
              </w:rPr>
              <w:t>248</w:t>
            </w:r>
          </w:hyperlink>
        </w:p>
        <w:p>
          <w:pPr>
            <w:pStyle w:val="Contents6"/>
            <w:tabs>
              <w:tab w:val="clear" w:pos="7609"/>
              <w:tab w:val="right" w:pos="9026" w:leader="dot"/>
            </w:tabs>
            <w:rPr/>
          </w:pPr>
          <w:hyperlink w:anchor="__RefHeading___Toc5082696_2314609296">
            <w:r>
              <w:rPr>
                <w:webHidden/>
                <w:rStyle w:val="IndexLink"/>
                <w:rtl w:val="true"/>
              </w:rPr>
              <w:t>[</w:t>
            </w:r>
            <w:r>
              <w:rPr>
                <w:rStyle w:val="IndexLink"/>
                <w:rtl w:val="true"/>
              </w:rPr>
              <w:t>الاستدلال بصحیحة أبی ولاد علی أن العبرة بقیمة یوم الضمان</w:t>
            </w:r>
            <w:r>
              <w:rPr>
                <w:rStyle w:val="IndexLink"/>
                <w:rtl w:val="true"/>
              </w:rPr>
              <w:t>]</w:t>
              <w:tab/>
            </w:r>
            <w:r>
              <w:rPr>
                <w:rStyle w:val="IndexLink"/>
              </w:rPr>
              <w:t>248</w:t>
            </w:r>
          </w:hyperlink>
        </w:p>
        <w:p>
          <w:pPr>
            <w:pStyle w:val="Contents6"/>
            <w:tabs>
              <w:tab w:val="clear" w:pos="7609"/>
              <w:tab w:val="right" w:pos="9026" w:leader="dot"/>
            </w:tabs>
            <w:rPr/>
          </w:pPr>
          <w:hyperlink w:anchor="__RefHeading___Toc5082698_2314609296">
            <w:r>
              <w:rPr>
                <w:webHidden/>
                <w:rStyle w:val="IndexLink"/>
                <w:rtl w:val="true"/>
              </w:rPr>
              <w:t>و محلّ الاستشهاد فیه فِقْرتان</w:t>
            </w:r>
            <w:r>
              <w:rPr>
                <w:rStyle w:val="IndexLink"/>
                <w:rtl w:val="true"/>
              </w:rPr>
              <w:t>:</w:t>
              <w:tab/>
            </w:r>
            <w:r>
              <w:rPr>
                <w:rStyle w:val="IndexLink"/>
              </w:rPr>
              <w:t>251</w:t>
            </w:r>
          </w:hyperlink>
        </w:p>
        <w:p>
          <w:pPr>
            <w:pStyle w:val="Contents6"/>
            <w:tabs>
              <w:tab w:val="clear" w:pos="7609"/>
              <w:tab w:val="right" w:pos="9026" w:leader="dot"/>
            </w:tabs>
            <w:rPr/>
          </w:pPr>
          <w:hyperlink w:anchor="__RefHeading___Toc5082700_2314609296">
            <w:r>
              <w:rPr>
                <w:webHidden/>
                <w:rStyle w:val="IndexLink"/>
                <w:rtl w:val="true"/>
              </w:rPr>
              <w:t>الاُولی</w:t>
            </w:r>
            <w:r>
              <w:rPr>
                <w:rStyle w:val="IndexLink"/>
                <w:rtl w:val="true"/>
              </w:rPr>
              <w:t>:</w:t>
            </w:r>
            <w:r>
              <w:rPr>
                <w:rStyle w:val="IndexLink"/>
                <w:rtl w:val="true"/>
              </w:rPr>
              <w:t>قوله</w:t>
            </w:r>
            <w:r>
              <w:rPr>
                <w:rStyle w:val="IndexLink"/>
                <w:rtl w:val="true"/>
              </w:rPr>
              <w:t>:«</w:t>
            </w:r>
            <w:r>
              <w:rPr>
                <w:rStyle w:val="IndexLink"/>
                <w:rtl w:val="true"/>
              </w:rPr>
              <w:t>نعم،قیمة بغل یوم خالفته</w:t>
            </w:r>
            <w:r>
              <w:rPr>
                <w:rStyle w:val="IndexLink"/>
                <w:rtl w:val="true"/>
              </w:rPr>
              <w:t>»</w:t>
            </w:r>
            <w:r>
              <w:rPr>
                <w:rStyle w:val="IndexLink"/>
                <w:rtl w:val="true"/>
              </w:rPr>
              <w:t>إلی ما بعد،</w:t>
            </w:r>
            <w:r>
              <w:rPr>
                <w:rStyle w:val="IndexLink"/>
                <w:rtl w:val="true"/>
              </w:rPr>
              <w:tab/>
            </w:r>
            <w:r>
              <w:rPr>
                <w:rStyle w:val="IndexLink"/>
              </w:rPr>
              <w:t>251</w:t>
            </w:r>
          </w:hyperlink>
        </w:p>
        <w:p>
          <w:pPr>
            <w:pStyle w:val="Contents6"/>
            <w:tabs>
              <w:tab w:val="clear" w:pos="7609"/>
              <w:tab w:val="right" w:pos="9026" w:leader="dot"/>
            </w:tabs>
            <w:rPr/>
          </w:pPr>
          <w:hyperlink w:anchor="__RefHeading___Toc5082702_2314609296">
            <w:r>
              <w:rPr>
                <w:webHidden/>
                <w:rStyle w:val="IndexLink"/>
                <w:rtl w:val="true"/>
              </w:rPr>
              <w:t>الثانیة</w:t>
            </w:r>
            <w:r>
              <w:rPr>
                <w:rStyle w:val="IndexLink"/>
                <w:rtl w:val="true"/>
              </w:rPr>
              <w:t>:</w:t>
            </w:r>
            <w:r>
              <w:rPr>
                <w:rStyle w:val="IndexLink"/>
                <w:rtl w:val="true"/>
              </w:rPr>
              <w:t>قوله</w:t>
            </w:r>
            <w:r>
              <w:rPr>
                <w:rStyle w:val="IndexLink"/>
                <w:rtl w:val="true"/>
              </w:rPr>
              <w:t>:«</w:t>
            </w:r>
            <w:r>
              <w:rPr>
                <w:rStyle w:val="IndexLink"/>
                <w:rtl w:val="true"/>
              </w:rPr>
              <w:t>أو یأتی صاحب البغل بشهود یشهدون أنّ قیمة البغل یوم اکتری کذا و کذا</w:t>
            </w:r>
            <w:r>
              <w:rPr>
                <w:rStyle w:val="IndexLink"/>
                <w:rtl w:val="true"/>
              </w:rPr>
              <w:t>»</w:t>
            </w:r>
            <w:r>
              <w:rPr>
                <w:rStyle w:val="IndexLink"/>
                <w:rtl w:val="true"/>
              </w:rPr>
              <w:t>،</w:t>
            </w:r>
            <w:r>
              <w:rPr>
                <w:rStyle w:val="IndexLink"/>
                <w:rtl w:val="true"/>
              </w:rPr>
              <w:tab/>
            </w:r>
            <w:r>
              <w:rPr>
                <w:rStyle w:val="IndexLink"/>
              </w:rPr>
              <w:t>252</w:t>
            </w:r>
          </w:hyperlink>
        </w:p>
        <w:p>
          <w:pPr>
            <w:pStyle w:val="Contents6"/>
            <w:tabs>
              <w:tab w:val="clear" w:pos="7609"/>
              <w:tab w:val="right" w:pos="9026" w:leader="dot"/>
            </w:tabs>
            <w:rPr/>
          </w:pPr>
          <w:hyperlink w:anchor="__RefHeading___Toc5082704_2314609296">
            <w:r>
              <w:rPr>
                <w:webHidden/>
                <w:rStyle w:val="IndexLink"/>
                <w:rtl w:val="true"/>
              </w:rPr>
              <w:t>[</w:t>
            </w:r>
            <w:r>
              <w:rPr>
                <w:rStyle w:val="IndexLink"/>
                <w:rtl w:val="true"/>
              </w:rPr>
              <w:t>ما یوهن الاستدلال بالصحیحة علی اعتبار قیمة یوم الضمان</w:t>
            </w:r>
            <w:r>
              <w:rPr>
                <w:rStyle w:val="IndexLink"/>
                <w:rtl w:val="true"/>
              </w:rPr>
              <w:t>]</w:t>
              <w:tab/>
            </w:r>
            <w:r>
              <w:rPr>
                <w:rStyle w:val="IndexLink"/>
              </w:rPr>
              <w:t>254</w:t>
            </w:r>
          </w:hyperlink>
        </w:p>
        <w:p>
          <w:pPr>
            <w:pStyle w:val="Contents6"/>
            <w:tabs>
              <w:tab w:val="clear" w:pos="7609"/>
              <w:tab w:val="right" w:pos="9026" w:leader="dot"/>
            </w:tabs>
            <w:rPr/>
          </w:pPr>
          <w:hyperlink w:anchor="__RefHeading___Toc5082706_2314609296">
            <w:r>
              <w:rPr>
                <w:webHidden/>
                <w:rStyle w:val="IndexLink"/>
                <w:rtl w:val="true"/>
              </w:rPr>
              <w:t>[</w:t>
            </w:r>
            <w:r>
              <w:rPr>
                <w:rStyle w:val="IndexLink"/>
                <w:rtl w:val="true"/>
              </w:rPr>
              <w:t>الاستشهاد بالصحیحة علی ضمان أعلی القیم و المناقشة فیه</w:t>
            </w:r>
            <w:r>
              <w:rPr>
                <w:rStyle w:val="IndexLink"/>
                <w:rtl w:val="true"/>
              </w:rPr>
              <w:t>]</w:t>
              <w:tab/>
            </w:r>
            <w:r>
              <w:rPr>
                <w:rStyle w:val="IndexLink"/>
              </w:rPr>
              <w:t>256</w:t>
            </w:r>
          </w:hyperlink>
        </w:p>
        <w:p>
          <w:pPr>
            <w:pStyle w:val="Contents6"/>
            <w:tabs>
              <w:tab w:val="clear" w:pos="7609"/>
              <w:tab w:val="right" w:pos="9026" w:leader="dot"/>
            </w:tabs>
            <w:rPr/>
          </w:pPr>
          <w:hyperlink w:anchor="__RefHeading___Toc5082708_2314609296">
            <w:r>
              <w:rPr>
                <w:webHidden/>
                <w:rStyle w:val="IndexLink"/>
                <w:rtl w:val="true"/>
              </w:rPr>
              <w:t>[</w:t>
            </w:r>
            <w:r>
              <w:rPr>
                <w:rStyle w:val="IndexLink"/>
                <w:rtl w:val="true"/>
              </w:rPr>
              <w:t>الاستدلال علی أعلی القیم بوجه آخر،و المناقشة فیه</w:t>
            </w:r>
            <w:r>
              <w:rPr>
                <w:rStyle w:val="IndexLink"/>
                <w:rtl w:val="true"/>
              </w:rPr>
              <w:t>]</w:t>
              <w:tab/>
            </w:r>
            <w:r>
              <w:rPr>
                <w:rStyle w:val="IndexLink"/>
              </w:rPr>
              <w:t>257</w:t>
            </w:r>
          </w:hyperlink>
        </w:p>
        <w:p>
          <w:pPr>
            <w:pStyle w:val="Contents6"/>
            <w:tabs>
              <w:tab w:val="clear" w:pos="7609"/>
              <w:tab w:val="right" w:pos="9026" w:leader="dot"/>
            </w:tabs>
            <w:rPr/>
          </w:pPr>
          <w:hyperlink w:anchor="__RefHeading___Toc5082710_2314609296">
            <w:r>
              <w:rPr>
                <w:webHidden/>
                <w:rStyle w:val="IndexLink"/>
                <w:rtl w:val="true"/>
              </w:rPr>
              <w:t>[</w:t>
            </w:r>
            <w:r>
              <w:rPr>
                <w:rStyle w:val="IndexLink"/>
                <w:rtl w:val="true"/>
              </w:rPr>
              <w:t>الاستدلال ثالث علی أعلی القیم و توجیهه</w:t>
            </w:r>
            <w:r>
              <w:rPr>
                <w:rStyle w:val="IndexLink"/>
                <w:rtl w:val="true"/>
              </w:rPr>
              <w:t>]</w:t>
              <w:tab/>
            </w:r>
            <w:r>
              <w:rPr>
                <w:rStyle w:val="IndexLink"/>
              </w:rPr>
              <w:t>259</w:t>
            </w:r>
          </w:hyperlink>
        </w:p>
        <w:p>
          <w:pPr>
            <w:pStyle w:val="Contents6"/>
            <w:tabs>
              <w:tab w:val="clear" w:pos="7609"/>
              <w:tab w:val="right" w:pos="9026" w:leader="dot"/>
            </w:tabs>
            <w:rPr/>
          </w:pPr>
          <w:hyperlink w:anchor="__RefHeading___Toc5082712_2314609296">
            <w:r>
              <w:rPr>
                <w:webHidden/>
                <w:rStyle w:val="IndexLink"/>
                <w:rtl w:val="true"/>
              </w:rPr>
              <w:t>[</w:t>
            </w:r>
            <w:r>
              <w:rPr>
                <w:rStyle w:val="IndexLink"/>
                <w:rtl w:val="true"/>
              </w:rPr>
              <w:t>المحکی عن جماعة أن الاعتبار بیوم البیع،و توجیهه</w:t>
            </w:r>
            <w:r>
              <w:rPr>
                <w:rStyle w:val="IndexLink"/>
                <w:rtl w:val="true"/>
              </w:rPr>
              <w:t>]</w:t>
              <w:tab/>
            </w:r>
            <w:r>
              <w:rPr>
                <w:rStyle w:val="IndexLink"/>
              </w:rPr>
              <w:t>259</w:t>
            </w:r>
          </w:hyperlink>
        </w:p>
        <w:p>
          <w:pPr>
            <w:pStyle w:val="Contents6"/>
            <w:tabs>
              <w:tab w:val="clear" w:pos="7609"/>
              <w:tab w:val="right" w:pos="9026" w:leader="dot"/>
            </w:tabs>
            <w:rPr/>
          </w:pPr>
          <w:hyperlink w:anchor="__RefHeading___Toc5082714_2314609296">
            <w:r>
              <w:rPr>
                <w:webHidden/>
                <w:rStyle w:val="IndexLink"/>
                <w:rtl w:val="true"/>
              </w:rPr>
              <w:t>ثمّ إنّه لا عبرة بزیادة القیمة بعد التلف علی جمیع الأقوال،</w:t>
            </w:r>
            <w:r>
              <w:rPr>
                <w:rStyle w:val="IndexLink"/>
                <w:rtl w:val="true"/>
              </w:rPr>
              <w:tab/>
            </w:r>
            <w:r>
              <w:rPr>
                <w:rStyle w:val="IndexLink"/>
              </w:rPr>
              <w:t>260</w:t>
            </w:r>
          </w:hyperlink>
        </w:p>
        <w:p>
          <w:pPr>
            <w:pStyle w:val="Contents6"/>
            <w:tabs>
              <w:tab w:val="clear" w:pos="7609"/>
              <w:tab w:val="right" w:pos="9026" w:leader="dot"/>
            </w:tabs>
            <w:rPr/>
          </w:pPr>
          <w:hyperlink w:anchor="__RefHeading___Toc5082716_2314609296">
            <w:r>
              <w:rPr>
                <w:webHidden/>
                <w:rStyle w:val="IndexLink"/>
                <w:rtl w:val="true"/>
              </w:rPr>
              <w:t>[</w:t>
            </w:r>
            <w:r>
              <w:rPr>
                <w:rStyle w:val="IndexLink"/>
                <w:rtl w:val="true"/>
              </w:rPr>
              <w:t>ارتفاع القیمة بسبب الأمکنة</w:t>
            </w:r>
            <w:r>
              <w:rPr>
                <w:rStyle w:val="IndexLink"/>
                <w:rtl w:val="true"/>
              </w:rPr>
              <w:t>]</w:t>
              <w:tab/>
            </w:r>
            <w:r>
              <w:rPr>
                <w:rStyle w:val="IndexLink"/>
              </w:rPr>
              <w:t>260</w:t>
            </w:r>
          </w:hyperlink>
        </w:p>
        <w:p>
          <w:pPr>
            <w:pStyle w:val="Contents6"/>
            <w:tabs>
              <w:tab w:val="clear" w:pos="7609"/>
              <w:tab w:val="right" w:pos="9026" w:leader="dot"/>
            </w:tabs>
            <w:rPr/>
          </w:pPr>
          <w:hyperlink w:anchor="__RefHeading___Toc5082718_2314609296">
            <w:r>
              <w:rPr>
                <w:webHidden/>
                <w:rStyle w:val="IndexLink"/>
                <w:rtl w:val="true"/>
              </w:rPr>
              <w:t>[</w:t>
            </w:r>
            <w:r>
              <w:rPr>
                <w:rStyle w:val="IndexLink"/>
                <w:rtl w:val="true"/>
              </w:rPr>
              <w:t>ارتفاع القیمة بسبب الزیادة العینیة</w:t>
            </w:r>
            <w:r>
              <w:rPr>
                <w:rStyle w:val="IndexLink"/>
                <w:rtl w:val="true"/>
              </w:rPr>
              <w:t>]</w:t>
              <w:tab/>
            </w:r>
            <w:r>
              <w:rPr>
                <w:rStyle w:val="IndexLink"/>
              </w:rPr>
              <w:t>260</w:t>
            </w:r>
          </w:hyperlink>
        </w:p>
        <w:p>
          <w:pPr>
            <w:pStyle w:val="Contents6"/>
            <w:tabs>
              <w:tab w:val="clear" w:pos="7609"/>
              <w:tab w:val="right" w:pos="9026" w:leader="dot"/>
            </w:tabs>
            <w:rPr/>
          </w:pPr>
          <w:hyperlink w:anchor="__RefHeading___Toc5082720_2314609296">
            <w:r>
              <w:rPr>
                <w:webHidden/>
                <w:rStyle w:val="IndexLink"/>
                <w:rtl w:val="true"/>
              </w:rPr>
              <w:t>[</w:t>
            </w:r>
            <w:r>
              <w:rPr>
                <w:rStyle w:val="IndexLink"/>
                <w:rtl w:val="true"/>
              </w:rPr>
              <w:t>تعذر الوصول إلی العین فی حکم التلف</w:t>
            </w:r>
            <w:r>
              <w:rPr>
                <w:rStyle w:val="IndexLink"/>
                <w:rtl w:val="true"/>
              </w:rPr>
              <w:t>]</w:t>
              <w:tab/>
            </w:r>
            <w:r>
              <w:rPr>
                <w:rStyle w:val="IndexLink"/>
              </w:rPr>
              <w:t>261</w:t>
            </w:r>
          </w:hyperlink>
        </w:p>
        <w:p>
          <w:pPr>
            <w:pStyle w:val="Contents6"/>
            <w:tabs>
              <w:tab w:val="clear" w:pos="7609"/>
              <w:tab w:val="right" w:pos="9026" w:leader="dot"/>
            </w:tabs>
            <w:rPr/>
          </w:pPr>
          <w:hyperlink w:anchor="__RefHeading___Toc5082722_2314609296">
            <w:r>
              <w:rPr>
                <w:webHidden/>
                <w:rStyle w:val="IndexLink"/>
                <w:rtl w:val="true"/>
              </w:rPr>
              <w:t>[</w:t>
            </w:r>
            <w:r>
              <w:rPr>
                <w:rStyle w:val="IndexLink"/>
                <w:rtl w:val="true"/>
              </w:rPr>
              <w:t>هل یلزم المالک بأخذ البدل؟</w:t>
            </w:r>
            <w:r>
              <w:rPr>
                <w:rStyle w:val="IndexLink"/>
                <w:rtl w:val="true"/>
              </w:rPr>
              <w:t>]</w:t>
              <w:tab/>
            </w:r>
            <w:r>
              <w:rPr>
                <w:rStyle w:val="IndexLink"/>
              </w:rPr>
              <w:t>262</w:t>
            </w:r>
          </w:hyperlink>
        </w:p>
        <w:p>
          <w:pPr>
            <w:pStyle w:val="Contents6"/>
            <w:tabs>
              <w:tab w:val="clear" w:pos="7609"/>
              <w:tab w:val="right" w:pos="9026" w:leader="dot"/>
            </w:tabs>
            <w:rPr/>
          </w:pPr>
          <w:hyperlink w:anchor="__RefHeading___Toc5082724_2314609296">
            <w:r>
              <w:rPr>
                <w:webHidden/>
                <w:rStyle w:val="IndexLink"/>
                <w:rtl w:val="true"/>
              </w:rPr>
              <w:t>ثمّ إنّ المال المبذول یملکه المالک بلا خلاف،</w:t>
            </w:r>
            <w:r>
              <w:rPr>
                <w:rStyle w:val="IndexLink"/>
                <w:rtl w:val="true"/>
              </w:rPr>
              <w:tab/>
            </w:r>
            <w:r>
              <w:rPr>
                <w:rStyle w:val="IndexLink"/>
              </w:rPr>
              <w:t>263</w:t>
            </w:r>
          </w:hyperlink>
        </w:p>
        <w:p>
          <w:pPr>
            <w:pStyle w:val="Contents6"/>
            <w:tabs>
              <w:tab w:val="clear" w:pos="7609"/>
              <w:tab w:val="right" w:pos="9026" w:leader="dot"/>
            </w:tabs>
            <w:rPr/>
          </w:pPr>
          <w:hyperlink w:anchor="__RefHeading___Toc5082726_2314609296">
            <w:r>
              <w:rPr>
                <w:webHidden/>
                <w:rStyle w:val="IndexLink"/>
                <w:rtl w:val="true"/>
              </w:rPr>
              <w:t>[</w:t>
            </w:r>
            <w:r>
              <w:rPr>
                <w:rStyle w:val="IndexLink"/>
                <w:rtl w:val="true"/>
              </w:rPr>
              <w:t>هل تنقل العین إلی الضامن بإعطاء البدل</w:t>
            </w:r>
            <w:r>
              <w:rPr>
                <w:rStyle w:val="IndexLink"/>
                <w:rtl w:val="true"/>
              </w:rPr>
              <w:t>]</w:t>
              <w:tab/>
            </w:r>
            <w:r>
              <w:rPr>
                <w:rStyle w:val="IndexLink"/>
              </w:rPr>
              <w:t>263</w:t>
            </w:r>
          </w:hyperlink>
        </w:p>
        <w:p>
          <w:pPr>
            <w:pStyle w:val="Contents6"/>
            <w:tabs>
              <w:tab w:val="clear" w:pos="7609"/>
              <w:tab w:val="right" w:pos="9026" w:leader="dot"/>
            </w:tabs>
            <w:rPr/>
          </w:pPr>
          <w:hyperlink w:anchor="__RefHeading___Toc5082728_2314609296">
            <w:r>
              <w:rPr>
                <w:webHidden/>
                <w:rStyle w:val="IndexLink"/>
                <w:rtl w:val="true"/>
              </w:rPr>
              <w:t>[</w:t>
            </w:r>
            <w:r>
              <w:rPr>
                <w:rStyle w:val="IndexLink"/>
                <w:rtl w:val="true"/>
              </w:rPr>
              <w:t>التفصیل بین فوات معظم المنافع أو بعضها</w:t>
            </w:r>
            <w:r>
              <w:rPr>
                <w:rStyle w:val="IndexLink"/>
                <w:rtl w:val="true"/>
              </w:rPr>
              <w:t>]</w:t>
              <w:tab/>
            </w:r>
            <w:r>
              <w:rPr>
                <w:rStyle w:val="IndexLink"/>
              </w:rPr>
              <w:t>265</w:t>
            </w:r>
          </w:hyperlink>
        </w:p>
        <w:p>
          <w:pPr>
            <w:pStyle w:val="Contents6"/>
            <w:tabs>
              <w:tab w:val="clear" w:pos="7609"/>
              <w:tab w:val="right" w:pos="9026" w:leader="dot"/>
            </w:tabs>
            <w:rPr/>
          </w:pPr>
          <w:hyperlink w:anchor="__RefHeading___Toc5082730_2314609296">
            <w:r>
              <w:rPr>
                <w:webHidden/>
                <w:rStyle w:val="IndexLink"/>
                <w:rtl w:val="true"/>
              </w:rPr>
              <w:t>[</w:t>
            </w:r>
            <w:r>
              <w:rPr>
                <w:rStyle w:val="IndexLink"/>
                <w:rtl w:val="true"/>
              </w:rPr>
              <w:t>خروج العین عن التقویم</w:t>
            </w:r>
            <w:r>
              <w:rPr>
                <w:rStyle w:val="IndexLink"/>
                <w:rtl w:val="true"/>
              </w:rPr>
              <w:t>]</w:t>
              <w:tab/>
            </w:r>
            <w:r>
              <w:rPr>
                <w:rStyle w:val="IndexLink"/>
              </w:rPr>
              <w:t>266</w:t>
            </w:r>
          </w:hyperlink>
        </w:p>
        <w:p>
          <w:pPr>
            <w:pStyle w:val="Contents6"/>
            <w:tabs>
              <w:tab w:val="clear" w:pos="7609"/>
              <w:tab w:val="right" w:pos="9026" w:leader="dot"/>
            </w:tabs>
            <w:rPr/>
          </w:pPr>
          <w:hyperlink w:anchor="__RefHeading___Toc5082732_2314609296">
            <w:r>
              <w:rPr>
                <w:webHidden/>
                <w:rStyle w:val="IndexLink"/>
                <w:rtl w:val="true"/>
              </w:rPr>
              <w:t>[</w:t>
            </w:r>
            <w:r>
              <w:rPr>
                <w:rStyle w:val="IndexLink"/>
                <w:rtl w:val="true"/>
              </w:rPr>
              <w:t>خروج العین عن الملکیة مع بقاء حق الأولویة</w:t>
            </w:r>
            <w:r>
              <w:rPr>
                <w:rStyle w:val="IndexLink"/>
                <w:rtl w:val="true"/>
              </w:rPr>
              <w:t>]</w:t>
              <w:tab/>
            </w:r>
            <w:r>
              <w:rPr>
                <w:rStyle w:val="IndexLink"/>
              </w:rPr>
              <w:t>269</w:t>
            </w:r>
          </w:hyperlink>
        </w:p>
        <w:p>
          <w:pPr>
            <w:pStyle w:val="Contents6"/>
            <w:tabs>
              <w:tab w:val="clear" w:pos="7609"/>
              <w:tab w:val="right" w:pos="9026" w:leader="dot"/>
            </w:tabs>
            <w:rPr/>
          </w:pPr>
          <w:hyperlink w:anchor="__RefHeading___Toc5082734_2314609296">
            <w:r>
              <w:rPr>
                <w:webHidden/>
                <w:rStyle w:val="IndexLink"/>
                <w:rtl w:val="true"/>
              </w:rPr>
              <w:t>[</w:t>
            </w:r>
            <w:r>
              <w:rPr>
                <w:rStyle w:val="IndexLink"/>
                <w:rtl w:val="true"/>
              </w:rPr>
              <w:t>حکم ارتفاع قیمة العین بعد دفع بدلها</w:t>
            </w:r>
            <w:r>
              <w:rPr>
                <w:rStyle w:val="IndexLink"/>
                <w:rtl w:val="true"/>
              </w:rPr>
              <w:t>]</w:t>
              <w:tab/>
            </w:r>
            <w:r>
              <w:rPr>
                <w:rStyle w:val="IndexLink"/>
              </w:rPr>
              <w:t>270</w:t>
            </w:r>
          </w:hyperlink>
        </w:p>
        <w:p>
          <w:pPr>
            <w:pStyle w:val="Contents6"/>
            <w:tabs>
              <w:tab w:val="clear" w:pos="7609"/>
              <w:tab w:val="right" w:pos="9026" w:leader="dot"/>
            </w:tabs>
            <w:rPr/>
          </w:pPr>
          <w:hyperlink w:anchor="__RefHeading___Toc5082736_2314609296">
            <w:r>
              <w:rPr>
                <w:webHidden/>
                <w:rStyle w:val="IndexLink"/>
                <w:rtl w:val="true"/>
              </w:rPr>
              <w:t>[</w:t>
            </w:r>
            <w:r>
              <w:rPr>
                <w:rStyle w:val="IndexLink"/>
                <w:rtl w:val="true"/>
              </w:rPr>
              <w:t>حکم ارتفاع القیمة بعد التعذر و قبل الدفع</w:t>
            </w:r>
            <w:r>
              <w:rPr>
                <w:rStyle w:val="IndexLink"/>
                <w:rtl w:val="true"/>
              </w:rPr>
              <w:t>]</w:t>
              <w:tab/>
            </w:r>
            <w:r>
              <w:rPr>
                <w:rStyle w:val="IndexLink"/>
              </w:rPr>
              <w:t>270</w:t>
            </w:r>
          </w:hyperlink>
        </w:p>
        <w:p>
          <w:pPr>
            <w:pStyle w:val="Contents6"/>
            <w:tabs>
              <w:tab w:val="clear" w:pos="7609"/>
              <w:tab w:val="right" w:pos="9026" w:leader="dot"/>
            </w:tabs>
            <w:rPr/>
          </w:pPr>
          <w:hyperlink w:anchor="__RefHeading___Toc5082738_2314609296">
            <w:r>
              <w:rPr>
                <w:webHidden/>
                <w:rStyle w:val="IndexLink"/>
                <w:rtl w:val="true"/>
              </w:rPr>
              <w:t>[</w:t>
            </w:r>
            <w:r>
              <w:rPr>
                <w:rStyle w:val="IndexLink"/>
                <w:rtl w:val="true"/>
              </w:rPr>
              <w:t>إذا ارتفع التعذر وجب رد العین</w:t>
            </w:r>
            <w:r>
              <w:rPr>
                <w:rStyle w:val="IndexLink"/>
                <w:rtl w:val="true"/>
              </w:rPr>
              <w:t>]</w:t>
              <w:tab/>
            </w:r>
            <w:r>
              <w:rPr>
                <w:rStyle w:val="IndexLink"/>
              </w:rPr>
              <w:t>271</w:t>
            </w:r>
          </w:hyperlink>
        </w:p>
        <w:p>
          <w:pPr>
            <w:pStyle w:val="Contents6"/>
            <w:tabs>
              <w:tab w:val="clear" w:pos="7609"/>
              <w:tab w:val="right" w:pos="9026" w:leader="dot"/>
            </w:tabs>
            <w:rPr/>
          </w:pPr>
          <w:hyperlink w:anchor="__RefHeading___Toc5082740_2314609296">
            <w:r>
              <w:rPr>
                <w:webHidden/>
                <w:rStyle w:val="IndexLink"/>
                <w:rtl w:val="true"/>
              </w:rPr>
              <w:t>و هل الغرامة المدفوعة تعود ملکه</w:t>
            </w:r>
            <w:r>
              <w:rPr>
                <w:rStyle w:val="IndexLink"/>
                <w:rtl w:val="true"/>
              </w:rPr>
              <w:tab/>
            </w:r>
            <w:r>
              <w:rPr>
                <w:rStyle w:val="IndexLink"/>
              </w:rPr>
              <w:t>272</w:t>
            </w:r>
          </w:hyperlink>
        </w:p>
        <w:p>
          <w:pPr>
            <w:pStyle w:val="Contents6"/>
            <w:tabs>
              <w:tab w:val="clear" w:pos="7609"/>
              <w:tab w:val="right" w:pos="9026" w:leader="dot"/>
            </w:tabs>
            <w:rPr/>
          </w:pPr>
          <w:hyperlink w:anchor="__RefHeading___Toc5082742_2314609296">
            <w:r>
              <w:rPr>
                <w:webHidden/>
                <w:rStyle w:val="IndexLink"/>
                <w:rtl w:val="true"/>
              </w:rPr>
              <w:t>[</w:t>
            </w:r>
            <w:r>
              <w:rPr>
                <w:rStyle w:val="IndexLink"/>
                <w:rtl w:val="true"/>
              </w:rPr>
              <w:t>لیس للغاصب حبس العین إلی أن یأخذ البدل</w:t>
            </w:r>
            <w:r>
              <w:rPr>
                <w:rStyle w:val="IndexLink"/>
                <w:rtl w:val="true"/>
              </w:rPr>
              <w:t>]</w:t>
              <w:tab/>
            </w:r>
            <w:r>
              <w:rPr>
                <w:rStyle w:val="IndexLink"/>
              </w:rPr>
              <w:t>273</w:t>
            </w:r>
          </w:hyperlink>
        </w:p>
        <w:p>
          <w:pPr>
            <w:pStyle w:val="Contents6"/>
            <w:tabs>
              <w:tab w:val="clear" w:pos="7609"/>
              <w:tab w:val="right" w:pos="9026" w:leader="dot"/>
            </w:tabs>
            <w:rPr/>
          </w:pPr>
          <w:hyperlink w:anchor="__RefHeading___Toc5082744_2314609296">
            <w:r>
              <w:rPr>
                <w:webHidden/>
                <w:rStyle w:val="IndexLink"/>
                <w:rtl w:val="true"/>
              </w:rPr>
              <w:t>[</w:t>
            </w:r>
            <w:r>
              <w:rPr>
                <w:rStyle w:val="IndexLink"/>
                <w:rtl w:val="true"/>
              </w:rPr>
              <w:t>لو حبس العین فتلفت</w:t>
            </w:r>
            <w:r>
              <w:rPr>
                <w:rStyle w:val="IndexLink"/>
                <w:rtl w:val="true"/>
              </w:rPr>
              <w:t>]</w:t>
              <w:tab/>
            </w:r>
            <w:r>
              <w:rPr>
                <w:rStyle w:val="IndexLink"/>
              </w:rPr>
              <w:t>274</w:t>
            </w:r>
          </w:hyperlink>
        </w:p>
        <w:p>
          <w:pPr>
            <w:pStyle w:val="Contents3"/>
            <w:tabs>
              <w:tab w:val="clear" w:pos="8459"/>
              <w:tab w:val="right" w:pos="9026" w:leader="dot"/>
            </w:tabs>
            <w:rPr/>
          </w:pPr>
          <w:hyperlink w:anchor="__RefHeading___Toc5082746_2314609296">
            <w:r>
              <w:rPr>
                <w:webHidden/>
                <w:rStyle w:val="IndexLink"/>
                <w:rtl w:val="true"/>
              </w:rPr>
              <w:t>الکلام فی شروط المتعاقدین</w:t>
            </w:r>
            <w:r>
              <w:rPr>
                <w:rStyle w:val="IndexLink"/>
                <w:rtl w:val="true"/>
              </w:rPr>
              <w:tab/>
            </w:r>
            <w:r>
              <w:rPr>
                <w:rStyle w:val="IndexLink"/>
              </w:rPr>
              <w:t>277</w:t>
            </w:r>
          </w:hyperlink>
        </w:p>
        <w:p>
          <w:pPr>
            <w:pStyle w:val="Contents4"/>
            <w:tabs>
              <w:tab w:val="clear" w:pos="8176"/>
              <w:tab w:val="right" w:pos="9026" w:leader="dot"/>
            </w:tabs>
            <w:rPr/>
          </w:pPr>
          <w:hyperlink w:anchor="__RefHeading___Toc5082748_2314609296">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5082750_2314609296">
            <w:r>
              <w:rPr>
                <w:webHidden/>
                <w:rStyle w:val="IndexLink"/>
                <w:rtl w:val="true"/>
              </w:rPr>
              <w:t xml:space="preserve">مسألة </w:t>
            </w:r>
            <w:r>
              <w:rPr>
                <w:rStyle w:val="IndexLink"/>
                <w:rtl w:val="true"/>
              </w:rPr>
              <w:t>[</w:t>
            </w:r>
            <w:r>
              <w:rPr>
                <w:rStyle w:val="IndexLink"/>
                <w:rtl w:val="true"/>
              </w:rPr>
              <w:t>من شروط المتعاقدین البلوغ</w:t>
            </w:r>
            <w:r>
              <w:rPr>
                <w:rStyle w:val="IndexLink"/>
                <w:rtl w:val="true"/>
              </w:rPr>
              <w:t>]</w:t>
              <w:tab/>
            </w:r>
            <w:r>
              <w:rPr>
                <w:rStyle w:val="IndexLink"/>
              </w:rPr>
              <w:t>278</w:t>
            </w:r>
          </w:hyperlink>
        </w:p>
        <w:p>
          <w:pPr>
            <w:pStyle w:val="Contents5"/>
            <w:tabs>
              <w:tab w:val="clear" w:pos="7892"/>
              <w:tab w:val="right" w:pos="9026" w:leader="dot"/>
            </w:tabs>
            <w:rPr/>
          </w:pPr>
          <w:hyperlink w:anchor="__RefHeading___Toc5082752_2314609296">
            <w:r>
              <w:rPr>
                <w:webHidden/>
                <w:rStyle w:val="IndexLink"/>
                <w:rtl w:val="true"/>
              </w:rPr>
              <w:t>[</w:t>
            </w:r>
            <w:r>
              <w:rPr>
                <w:rStyle w:val="IndexLink"/>
                <w:rtl w:val="true"/>
              </w:rPr>
              <w:t>فی عقد الصبی</w:t>
            </w:r>
            <w:r>
              <w:rPr>
                <w:rStyle w:val="IndexLink"/>
                <w:rtl w:val="true"/>
              </w:rPr>
              <w:t>]</w:t>
              <w:tab/>
            </w:r>
            <w:r>
              <w:rPr>
                <w:rStyle w:val="IndexLink"/>
              </w:rPr>
              <w:t>278</w:t>
            </w:r>
          </w:hyperlink>
        </w:p>
        <w:p>
          <w:pPr>
            <w:pStyle w:val="Contents6"/>
            <w:tabs>
              <w:tab w:val="clear" w:pos="7609"/>
              <w:tab w:val="right" w:pos="9026" w:leader="dot"/>
            </w:tabs>
            <w:rPr/>
          </w:pPr>
          <w:hyperlink w:anchor="__RefHeading___Toc5082754_2314609296">
            <w:r>
              <w:rPr>
                <w:webHidden/>
                <w:rStyle w:val="IndexLink"/>
                <w:rtl w:val="true"/>
              </w:rPr>
              <w:t>[</w:t>
            </w:r>
            <w:r>
              <w:rPr>
                <w:rStyle w:val="IndexLink"/>
                <w:rtl w:val="true"/>
              </w:rPr>
              <w:t>المشهور بطلان عقد الصبی</w:t>
            </w:r>
            <w:r>
              <w:rPr>
                <w:rStyle w:val="IndexLink"/>
                <w:rtl w:val="true"/>
              </w:rPr>
              <w:t>]</w:t>
              <w:tab/>
            </w:r>
            <w:r>
              <w:rPr>
                <w:rStyle w:val="IndexLink"/>
              </w:rPr>
              <w:t>278</w:t>
            </w:r>
          </w:hyperlink>
        </w:p>
        <w:p>
          <w:pPr>
            <w:pStyle w:val="Contents6"/>
            <w:tabs>
              <w:tab w:val="clear" w:pos="7609"/>
              <w:tab w:val="right" w:pos="9026" w:leader="dot"/>
            </w:tabs>
            <w:rPr/>
          </w:pPr>
          <w:hyperlink w:anchor="__RefHeading___Toc5082756_2314609296">
            <w:r>
              <w:rPr>
                <w:webHidden/>
                <w:rStyle w:val="IndexLink"/>
                <w:rtl w:val="true"/>
              </w:rPr>
              <w:t>[</w:t>
            </w:r>
            <w:r>
              <w:rPr>
                <w:rStyle w:val="IndexLink"/>
                <w:rtl w:val="true"/>
              </w:rPr>
              <w:t>الاستدلال علی البطلان بحدیث رفع القلم</w:t>
            </w:r>
            <w:r>
              <w:rPr>
                <w:rStyle w:val="IndexLink"/>
                <w:rtl w:val="true"/>
              </w:rPr>
              <w:t>]</w:t>
              <w:tab/>
            </w:r>
            <w:r>
              <w:rPr>
                <w:rStyle w:val="IndexLink"/>
              </w:rPr>
              <w:t>279</w:t>
            </w:r>
          </w:hyperlink>
        </w:p>
        <w:p>
          <w:pPr>
            <w:pStyle w:val="Contents6"/>
            <w:tabs>
              <w:tab w:val="clear" w:pos="7609"/>
              <w:tab w:val="right" w:pos="9026" w:leader="dot"/>
            </w:tabs>
            <w:rPr/>
          </w:pPr>
          <w:hyperlink w:anchor="__RefHeading___Toc5082758_2314609296">
            <w:r>
              <w:rPr>
                <w:webHidden/>
                <w:rStyle w:val="IndexLink"/>
                <w:rtl w:val="true"/>
              </w:rPr>
              <w:t>[</w:t>
            </w:r>
            <w:r>
              <w:rPr>
                <w:rStyle w:val="IndexLink"/>
                <w:rtl w:val="true"/>
              </w:rPr>
              <w:t>الاستدلال بروایات عدم جواز أمر الصبی</w:t>
            </w:r>
            <w:r>
              <w:rPr>
                <w:rStyle w:val="IndexLink"/>
                <w:rtl w:val="true"/>
              </w:rPr>
              <w:t>]</w:t>
              <w:tab/>
            </w:r>
            <w:r>
              <w:rPr>
                <w:rStyle w:val="IndexLink"/>
              </w:rPr>
              <w:t>279</w:t>
            </w:r>
          </w:hyperlink>
        </w:p>
        <w:p>
          <w:pPr>
            <w:pStyle w:val="Contents6"/>
            <w:tabs>
              <w:tab w:val="clear" w:pos="7609"/>
              <w:tab w:val="right" w:pos="9026" w:leader="dot"/>
            </w:tabs>
            <w:rPr/>
          </w:pPr>
          <w:hyperlink w:anchor="__RefHeading___Toc5082760_2314609296">
            <w:r>
              <w:rPr>
                <w:webHidden/>
                <w:rStyle w:val="IndexLink"/>
                <w:rtl w:val="true"/>
              </w:rPr>
              <w:t>[</w:t>
            </w:r>
            <w:r>
              <w:rPr>
                <w:rStyle w:val="IndexLink"/>
                <w:rtl w:val="true"/>
              </w:rPr>
              <w:t>المناقشة فی دلالة هذه الروایات</w:t>
            </w:r>
            <w:r>
              <w:rPr>
                <w:rStyle w:val="IndexLink"/>
                <w:rtl w:val="true"/>
              </w:rPr>
              <w:t>]</w:t>
              <w:tab/>
            </w:r>
            <w:r>
              <w:rPr>
                <w:rStyle w:val="IndexLink"/>
              </w:rPr>
              <w:t>280</w:t>
            </w:r>
          </w:hyperlink>
        </w:p>
        <w:p>
          <w:pPr>
            <w:pStyle w:val="Contents6"/>
            <w:tabs>
              <w:tab w:val="clear" w:pos="7609"/>
              <w:tab w:val="right" w:pos="9026" w:leader="dot"/>
            </w:tabs>
            <w:rPr/>
          </w:pPr>
          <w:hyperlink w:anchor="__RefHeading___Toc5082762_2314609296">
            <w:r>
              <w:rPr>
                <w:webHidden/>
                <w:rStyle w:val="IndexLink"/>
                <w:rtl w:val="true"/>
              </w:rPr>
              <w:t>[</w:t>
            </w:r>
            <w:r>
              <w:rPr>
                <w:rStyle w:val="IndexLink"/>
                <w:rtl w:val="true"/>
              </w:rPr>
              <w:t>الحجة فی المسألة هی الشهرة و الإجماع المحکی</w:t>
            </w:r>
            <w:r>
              <w:rPr>
                <w:rStyle w:val="IndexLink"/>
                <w:rtl w:val="true"/>
              </w:rPr>
              <w:t>]</w:t>
              <w:tab/>
            </w:r>
            <w:r>
              <w:rPr>
                <w:rStyle w:val="IndexLink"/>
              </w:rPr>
              <w:t>283</w:t>
            </w:r>
          </w:hyperlink>
        </w:p>
        <w:p>
          <w:pPr>
            <w:pStyle w:val="Contents6"/>
            <w:tabs>
              <w:tab w:val="clear" w:pos="7609"/>
              <w:tab w:val="right" w:pos="9026" w:leader="dot"/>
            </w:tabs>
            <w:rPr/>
          </w:pPr>
          <w:hyperlink w:anchor="__RefHeading___Toc5082764_2314609296">
            <w:r>
              <w:rPr>
                <w:webHidden/>
                <w:rStyle w:val="IndexLink"/>
                <w:rtl w:val="true"/>
              </w:rPr>
              <w:t>[</w:t>
            </w:r>
            <w:r>
              <w:rPr>
                <w:rStyle w:val="IndexLink"/>
                <w:rtl w:val="true"/>
              </w:rPr>
              <w:t>المناقشة فی تحقق الإجماع</w:t>
            </w:r>
            <w:r>
              <w:rPr>
                <w:rStyle w:val="IndexLink"/>
                <w:rtl w:val="true"/>
              </w:rPr>
              <w:t>]</w:t>
              <w:tab/>
            </w:r>
            <w:r>
              <w:rPr>
                <w:rStyle w:val="IndexLink"/>
              </w:rPr>
              <w:t>283</w:t>
            </w:r>
          </w:hyperlink>
        </w:p>
        <w:p>
          <w:pPr>
            <w:pStyle w:val="Contents6"/>
            <w:tabs>
              <w:tab w:val="clear" w:pos="7609"/>
              <w:tab w:val="right" w:pos="9026" w:leader="dot"/>
            </w:tabs>
            <w:rPr/>
          </w:pPr>
          <w:hyperlink w:anchor="__RefHeading___Toc5082766_2314609296">
            <w:r>
              <w:rPr>
                <w:webHidden/>
                <w:rStyle w:val="IndexLink"/>
                <w:rtl w:val="true"/>
              </w:rPr>
              <w:t>[</w:t>
            </w:r>
            <w:r>
              <w:rPr>
                <w:rStyle w:val="IndexLink"/>
                <w:rtl w:val="true"/>
              </w:rPr>
              <w:t>ما یستأنس به للبطلان</w:t>
            </w:r>
            <w:r>
              <w:rPr>
                <w:rStyle w:val="IndexLink"/>
                <w:rtl w:val="true"/>
              </w:rPr>
              <w:t>]</w:t>
              <w:tab/>
            </w:r>
            <w:r>
              <w:rPr>
                <w:rStyle w:val="IndexLink"/>
              </w:rPr>
              <w:t>284</w:t>
            </w:r>
          </w:hyperlink>
        </w:p>
        <w:p>
          <w:pPr>
            <w:pStyle w:val="Contents6"/>
            <w:tabs>
              <w:tab w:val="clear" w:pos="7609"/>
              <w:tab w:val="right" w:pos="9026" w:leader="dot"/>
            </w:tabs>
            <w:rPr/>
          </w:pPr>
          <w:hyperlink w:anchor="__RefHeading___Toc5082768_2314609296">
            <w:r>
              <w:rPr>
                <w:webHidden/>
                <w:rStyle w:val="IndexLink"/>
                <w:rtl w:val="true"/>
              </w:rPr>
              <w:t>[</w:t>
            </w:r>
            <w:r>
              <w:rPr>
                <w:rStyle w:val="IndexLink"/>
                <w:rtl w:val="true"/>
              </w:rPr>
              <w:t>استظهار البطلان من حدیث رفع القلم</w:t>
            </w:r>
            <w:r>
              <w:rPr>
                <w:rStyle w:val="IndexLink"/>
                <w:rtl w:val="true"/>
              </w:rPr>
              <w:t>]</w:t>
              <w:tab/>
            </w:r>
            <w:r>
              <w:rPr>
                <w:rStyle w:val="IndexLink"/>
              </w:rPr>
              <w:t>285</w:t>
            </w:r>
          </w:hyperlink>
        </w:p>
        <w:p>
          <w:pPr>
            <w:pStyle w:val="Contents6"/>
            <w:tabs>
              <w:tab w:val="clear" w:pos="7609"/>
              <w:tab w:val="right" w:pos="9026" w:leader="dot"/>
            </w:tabs>
            <w:rPr/>
          </w:pPr>
          <w:hyperlink w:anchor="__RefHeading___Toc5082770_2314609296">
            <w:r>
              <w:rPr>
                <w:webHidden/>
                <w:rStyle w:val="IndexLink"/>
                <w:rtl w:val="true"/>
              </w:rPr>
              <w:t>[</w:t>
            </w:r>
            <w:r>
              <w:rPr>
                <w:rStyle w:val="IndexLink"/>
                <w:rtl w:val="true"/>
              </w:rPr>
              <w:t>رأی المؤلف فی المسألة و دلیله</w:t>
            </w:r>
            <w:r>
              <w:rPr>
                <w:rStyle w:val="IndexLink"/>
                <w:rtl w:val="true"/>
              </w:rPr>
              <w:t>]</w:t>
              <w:tab/>
            </w:r>
            <w:r>
              <w:rPr>
                <w:rStyle w:val="IndexLink"/>
              </w:rPr>
              <w:t>287</w:t>
            </w:r>
          </w:hyperlink>
        </w:p>
        <w:p>
          <w:pPr>
            <w:pStyle w:val="Contents6"/>
            <w:tabs>
              <w:tab w:val="clear" w:pos="7609"/>
              <w:tab w:val="right" w:pos="9026" w:leader="dot"/>
            </w:tabs>
            <w:rPr/>
          </w:pPr>
          <w:hyperlink w:anchor="__RefHeading___Toc5082772_2314609296">
            <w:r>
              <w:rPr>
                <w:webHidden/>
                <w:rStyle w:val="IndexLink"/>
                <w:rtl w:val="true"/>
              </w:rPr>
              <w:t>[</w:t>
            </w:r>
            <w:r>
              <w:rPr>
                <w:rStyle w:val="IndexLink"/>
                <w:rtl w:val="true"/>
              </w:rPr>
              <w:t>کلام العلامة فی عدم صحة تصرفات الصبی</w:t>
            </w:r>
            <w:r>
              <w:rPr>
                <w:rStyle w:val="IndexLink"/>
                <w:rtl w:val="true"/>
              </w:rPr>
              <w:t>]</w:t>
              <w:tab/>
            </w:r>
            <w:r>
              <w:rPr>
                <w:rStyle w:val="IndexLink"/>
              </w:rPr>
              <w:t>288</w:t>
            </w:r>
          </w:hyperlink>
        </w:p>
        <w:p>
          <w:pPr>
            <w:pStyle w:val="Contents6"/>
            <w:tabs>
              <w:tab w:val="clear" w:pos="7609"/>
              <w:tab w:val="right" w:pos="9026" w:leader="dot"/>
            </w:tabs>
            <w:rPr/>
          </w:pPr>
          <w:hyperlink w:anchor="__RefHeading___Toc5082774_2314609296">
            <w:r>
              <w:rPr>
                <w:webHidden/>
                <w:rStyle w:val="IndexLink"/>
                <w:rtl w:val="true"/>
              </w:rPr>
              <w:t>[</w:t>
            </w:r>
            <w:r>
              <w:rPr>
                <w:rStyle w:val="IndexLink"/>
                <w:rtl w:val="true"/>
              </w:rPr>
              <w:t>لا فرق فی معاملة الصبی بین الأشیاء الیسیرة و الخطیرة</w:t>
            </w:r>
            <w:r>
              <w:rPr>
                <w:rStyle w:val="IndexLink"/>
                <w:rtl w:val="true"/>
              </w:rPr>
              <w:t>]</w:t>
              <w:tab/>
            </w:r>
            <w:r>
              <w:rPr>
                <w:rStyle w:val="IndexLink"/>
              </w:rPr>
              <w:t>289</w:t>
            </w:r>
          </w:hyperlink>
        </w:p>
        <w:p>
          <w:pPr>
            <w:pStyle w:val="Contents6"/>
            <w:tabs>
              <w:tab w:val="clear" w:pos="7609"/>
              <w:tab w:val="right" w:pos="9026" w:leader="dot"/>
            </w:tabs>
            <w:rPr/>
          </w:pPr>
          <w:hyperlink w:anchor="__RefHeading___Toc5082776_2314609296">
            <w:r>
              <w:rPr>
                <w:webHidden/>
                <w:rStyle w:val="IndexLink"/>
                <w:rtl w:val="true"/>
              </w:rPr>
              <w:t>[</w:t>
            </w:r>
            <w:r>
              <w:rPr>
                <w:rStyle w:val="IndexLink"/>
                <w:rtl w:val="true"/>
              </w:rPr>
              <w:t>تصحیح المعاملة لو کان الصبی بمنزلة الآلة</w:t>
            </w:r>
            <w:r>
              <w:rPr>
                <w:rStyle w:val="IndexLink"/>
                <w:rtl w:val="true"/>
              </w:rPr>
              <w:t>]</w:t>
              <w:tab/>
            </w:r>
            <w:r>
              <w:rPr>
                <w:rStyle w:val="IndexLink"/>
              </w:rPr>
              <w:t>290</w:t>
            </w:r>
          </w:hyperlink>
        </w:p>
        <w:p>
          <w:pPr>
            <w:pStyle w:val="Contents6"/>
            <w:tabs>
              <w:tab w:val="clear" w:pos="7609"/>
              <w:tab w:val="right" w:pos="9026" w:leader="dot"/>
            </w:tabs>
            <w:rPr/>
          </w:pPr>
          <w:hyperlink w:anchor="__RefHeading___Toc5082778_2314609296">
            <w:r>
              <w:rPr>
                <w:webHidden/>
                <w:rStyle w:val="IndexLink"/>
                <w:rtl w:val="true"/>
              </w:rPr>
              <w:t>[</w:t>
            </w:r>
            <w:r>
              <w:rPr>
                <w:rStyle w:val="IndexLink"/>
                <w:rtl w:val="true"/>
              </w:rPr>
              <w:t>دعوی کاشف الغطاء إفادة معاملة الصبی الإباحة لو کان مأذونا و المناقشات فیه</w:t>
            </w:r>
            <w:r>
              <w:rPr>
                <w:rStyle w:val="IndexLink"/>
                <w:rtl w:val="true"/>
              </w:rPr>
              <w:t>]</w:t>
              <w:tab/>
            </w:r>
            <w:r>
              <w:rPr>
                <w:rStyle w:val="IndexLink"/>
              </w:rPr>
              <w:t>292</w:t>
            </w:r>
          </w:hyperlink>
        </w:p>
        <w:p>
          <w:pPr>
            <w:pStyle w:val="Contents4"/>
            <w:tabs>
              <w:tab w:val="clear" w:pos="8176"/>
              <w:tab w:val="right" w:pos="9026" w:leader="dot"/>
            </w:tabs>
            <w:rPr/>
          </w:pPr>
          <w:hyperlink w:anchor="__RefHeading___Toc5082780_2314609296">
            <w:r>
              <w:rPr>
                <w:webHidden/>
                <w:rStyle w:val="IndexLink"/>
                <w:rtl w:val="true"/>
              </w:rPr>
              <w:t>مسألة و من جملة شرائط المتعاقدین</w:t>
            </w:r>
            <w:r>
              <w:rPr>
                <w:rStyle w:val="IndexLink"/>
                <w:rtl w:val="true"/>
              </w:rPr>
              <w:t>:</w:t>
            </w:r>
            <w:r>
              <w:rPr>
                <w:rStyle w:val="IndexLink"/>
                <w:rtl w:val="true"/>
              </w:rPr>
              <w:t>قصدهما لمدلول العقد الذی یتلفّظان به</w:t>
            </w:r>
            <w:r>
              <w:rPr>
                <w:rStyle w:val="IndexLink"/>
                <w:rtl w:val="true"/>
              </w:rPr>
              <w:t>.</w:t>
              <w:tab/>
            </w:r>
            <w:r>
              <w:rPr>
                <w:rStyle w:val="IndexLink"/>
              </w:rPr>
              <w:t>298</w:t>
            </w:r>
          </w:hyperlink>
        </w:p>
        <w:p>
          <w:pPr>
            <w:pStyle w:val="Contents5"/>
            <w:tabs>
              <w:tab w:val="clear" w:pos="7892"/>
              <w:tab w:val="right" w:pos="9026" w:leader="dot"/>
            </w:tabs>
            <w:rPr/>
          </w:pPr>
          <w:hyperlink w:anchor="__RefHeading___Toc5082782_2314609296">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5082784_2314609296">
            <w:r>
              <w:rPr>
                <w:webHidden/>
                <w:rStyle w:val="IndexLink"/>
                <w:rtl w:val="true"/>
              </w:rPr>
              <w:t>[</w:t>
            </w:r>
            <w:r>
              <w:rPr>
                <w:rStyle w:val="IndexLink"/>
                <w:rtl w:val="true"/>
              </w:rPr>
              <w:t>کلام صاحب المقابس فی اعتبار تعیین المالکین و المناقشات فیه</w:t>
            </w:r>
            <w:r>
              <w:rPr>
                <w:rStyle w:val="IndexLink"/>
                <w:rtl w:val="true"/>
              </w:rPr>
              <w:t>]</w:t>
              <w:tab/>
            </w:r>
            <w:r>
              <w:rPr>
                <w:rStyle w:val="IndexLink"/>
              </w:rPr>
              <w:t>299</w:t>
            </w:r>
          </w:hyperlink>
        </w:p>
        <w:p>
          <w:pPr>
            <w:pStyle w:val="Contents5"/>
            <w:tabs>
              <w:tab w:val="clear" w:pos="7892"/>
              <w:tab w:val="right" w:pos="9026" w:leader="dot"/>
            </w:tabs>
            <w:rPr/>
          </w:pPr>
          <w:hyperlink w:anchor="__RefHeading___Toc5082786_2314609296">
            <w:r>
              <w:rPr>
                <w:webHidden/>
                <w:rStyle w:val="IndexLink"/>
                <w:rtl w:val="true"/>
              </w:rPr>
              <w:t>[</w:t>
            </w:r>
            <w:r>
              <w:rPr>
                <w:rStyle w:val="IndexLink"/>
                <w:rtl w:val="true"/>
              </w:rPr>
              <w:t>هل یعتبر تعیین الموجب للمشتری و القابل للبائع؟</w:t>
            </w:r>
            <w:r>
              <w:rPr>
                <w:rStyle w:val="IndexLink"/>
                <w:rtl w:val="true"/>
              </w:rPr>
              <w:t>]</w:t>
              <w:tab/>
            </w:r>
            <w:r>
              <w:rPr>
                <w:rStyle w:val="IndexLink"/>
              </w:rPr>
              <w:t>306</w:t>
            </w:r>
          </w:hyperlink>
        </w:p>
        <w:p>
          <w:pPr>
            <w:pStyle w:val="Contents6"/>
            <w:tabs>
              <w:tab w:val="clear" w:pos="7609"/>
              <w:tab w:val="right" w:pos="9026" w:leader="dot"/>
            </w:tabs>
            <w:rPr/>
          </w:pPr>
          <w:hyperlink w:anchor="__RefHeading___Toc5082788_2314609296">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5082790_2314609296">
            <w:r>
              <w:rPr>
                <w:webHidden/>
                <w:rStyle w:val="IndexLink"/>
                <w:rtl w:val="true"/>
              </w:rPr>
              <w:t>[</w:t>
            </w:r>
            <w:r>
              <w:rPr>
                <w:rStyle w:val="IndexLink"/>
                <w:rtl w:val="true"/>
              </w:rPr>
              <w:t>مختار المؤلف و دلیله</w:t>
            </w:r>
            <w:r>
              <w:rPr>
                <w:rStyle w:val="IndexLink"/>
                <w:rtl w:val="true"/>
              </w:rPr>
              <w:t>]</w:t>
              <w:tab/>
            </w:r>
            <w:r>
              <w:rPr>
                <w:rStyle w:val="IndexLink"/>
              </w:rPr>
              <w:t>306</w:t>
            </w:r>
          </w:hyperlink>
        </w:p>
        <w:p>
          <w:pPr>
            <w:pStyle w:val="Contents5"/>
            <w:tabs>
              <w:tab w:val="clear" w:pos="7892"/>
              <w:tab w:val="right" w:pos="9026" w:leader="dot"/>
            </w:tabs>
            <w:rPr/>
          </w:pPr>
          <w:hyperlink w:anchor="__RefHeading___Toc5082792_2314609296">
            <w:r>
              <w:rPr>
                <w:webHidden/>
                <w:rStyle w:val="IndexLink"/>
                <w:rtl w:val="true"/>
              </w:rPr>
              <w:t>[</w:t>
            </w:r>
            <w:r>
              <w:rPr>
                <w:rStyle w:val="IndexLink"/>
                <w:rtl w:val="true"/>
              </w:rPr>
              <w:t>کلام العلامة فی الفرق بین البیع و شبهه و بین النکاح و المناقشة فیه</w:t>
            </w:r>
            <w:r>
              <w:rPr>
                <w:rStyle w:val="IndexLink"/>
                <w:rtl w:val="true"/>
              </w:rPr>
              <w:t>]</w:t>
              <w:tab/>
            </w:r>
            <w:r>
              <w:rPr>
                <w:rStyle w:val="IndexLink"/>
              </w:rPr>
              <w:t>307</w:t>
            </w:r>
          </w:hyperlink>
        </w:p>
        <w:p>
          <w:pPr>
            <w:pStyle w:val="Contents5"/>
            <w:tabs>
              <w:tab w:val="clear" w:pos="7892"/>
              <w:tab w:val="right" w:pos="9026" w:leader="dot"/>
            </w:tabs>
            <w:rPr/>
          </w:pPr>
          <w:hyperlink w:anchor="__RefHeading___Toc5082794_2314609296">
            <w:r>
              <w:rPr>
                <w:webHidden/>
                <w:rStyle w:val="IndexLink"/>
                <w:rtl w:val="true"/>
              </w:rPr>
              <w:t>[</w:t>
            </w:r>
            <w:r>
              <w:rPr>
                <w:rStyle w:val="IndexLink"/>
                <w:rtl w:val="true"/>
              </w:rPr>
              <w:t>الأولی فی الفرق بین النکاح و البیع</w:t>
            </w:r>
            <w:r>
              <w:rPr>
                <w:rStyle w:val="IndexLink"/>
                <w:rtl w:val="true"/>
              </w:rPr>
              <w:t>]</w:t>
              <w:tab/>
            </w:r>
            <w:r>
              <w:rPr>
                <w:rStyle w:val="IndexLink"/>
              </w:rPr>
              <w:t>308</w:t>
            </w:r>
          </w:hyperlink>
        </w:p>
        <w:p>
          <w:pPr>
            <w:pStyle w:val="Contents4"/>
            <w:tabs>
              <w:tab w:val="clear" w:pos="8176"/>
              <w:tab w:val="right" w:pos="9026" w:leader="dot"/>
            </w:tabs>
            <w:rPr/>
          </w:pPr>
          <w:hyperlink w:anchor="__RefHeading___Toc5082796_2314609296">
            <w:r>
              <w:rPr>
                <w:webHidden/>
                <w:rStyle w:val="IndexLink"/>
                <w:rtl w:val="true"/>
              </w:rPr>
              <w:t>مسألة و من شرائط المتعاقدین</w:t>
            </w:r>
            <w:r>
              <w:rPr>
                <w:rStyle w:val="IndexLink"/>
                <w:rtl w:val="true"/>
              </w:rPr>
              <w:t>:</w:t>
            </w:r>
            <w:r>
              <w:rPr>
                <w:rStyle w:val="IndexLink"/>
                <w:rtl w:val="true"/>
              </w:rPr>
              <w:t>الاختیار،</w:t>
            </w:r>
            <w:r>
              <w:rPr>
                <w:rStyle w:val="IndexLink"/>
                <w:rtl w:val="true"/>
              </w:rPr>
              <w:tab/>
            </w:r>
            <w:r>
              <w:rPr>
                <w:rStyle w:val="IndexLink"/>
              </w:rPr>
              <w:t>310</w:t>
            </w:r>
          </w:hyperlink>
        </w:p>
        <w:p>
          <w:pPr>
            <w:pStyle w:val="Contents5"/>
            <w:tabs>
              <w:tab w:val="clear" w:pos="7892"/>
              <w:tab w:val="right" w:pos="9026" w:leader="dot"/>
            </w:tabs>
            <w:rPr/>
          </w:pPr>
          <w:hyperlink w:anchor="__RefHeading___Toc5082798_2314609296">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5082800_2314609296">
            <w:r>
              <w:rPr>
                <w:webHidden/>
                <w:rStyle w:val="IndexLink"/>
                <w:rtl w:val="true"/>
              </w:rPr>
              <w:t>[</w:t>
            </w:r>
            <w:r>
              <w:rPr>
                <w:rStyle w:val="IndexLink"/>
                <w:rtl w:val="true"/>
              </w:rPr>
              <w:t>ما یدل علی اشتراط الاختیار</w:t>
            </w:r>
            <w:r>
              <w:rPr>
                <w:rStyle w:val="IndexLink"/>
                <w:rtl w:val="true"/>
              </w:rPr>
              <w:t>]</w:t>
              <w:tab/>
            </w:r>
            <w:r>
              <w:rPr>
                <w:rStyle w:val="IndexLink"/>
              </w:rPr>
              <w:t>310</w:t>
            </w:r>
          </w:hyperlink>
        </w:p>
        <w:p>
          <w:pPr>
            <w:pStyle w:val="Contents5"/>
            <w:tabs>
              <w:tab w:val="clear" w:pos="7892"/>
              <w:tab w:val="right" w:pos="9026" w:leader="dot"/>
            </w:tabs>
            <w:rPr/>
          </w:pPr>
          <w:hyperlink w:anchor="__RefHeading___Toc5082802_2314609296">
            <w:r>
              <w:rPr>
                <w:webHidden/>
                <w:rStyle w:val="IndexLink"/>
                <w:rtl w:val="true"/>
              </w:rPr>
              <w:t>[</w:t>
            </w:r>
            <w:r>
              <w:rPr>
                <w:rStyle w:val="IndexLink"/>
                <w:rtl w:val="true"/>
              </w:rPr>
              <w:t>المراد من قولهم المکره قاصد إلی اللفظ غیر قاصد إلی مدلوله</w:t>
            </w:r>
            <w:r>
              <w:rPr>
                <w:rStyle w:val="IndexLink"/>
                <w:rtl w:val="true"/>
              </w:rPr>
              <w:t>]</w:t>
              <w:tab/>
            </w:r>
            <w:r>
              <w:rPr>
                <w:rStyle w:val="IndexLink"/>
              </w:rPr>
              <w:t>311</w:t>
            </w:r>
          </w:hyperlink>
        </w:p>
        <w:p>
          <w:pPr>
            <w:pStyle w:val="Contents5"/>
            <w:tabs>
              <w:tab w:val="clear" w:pos="7892"/>
              <w:tab w:val="right" w:pos="9026" w:leader="dot"/>
            </w:tabs>
            <w:rPr/>
          </w:pPr>
          <w:hyperlink w:anchor="__RefHeading___Toc5082804_2314609296">
            <w:r>
              <w:rPr>
                <w:webHidden/>
                <w:rStyle w:val="IndexLink"/>
                <w:rtl w:val="true"/>
              </w:rPr>
              <w:t>[</w:t>
            </w:r>
            <w:r>
              <w:rPr>
                <w:rStyle w:val="IndexLink"/>
                <w:rtl w:val="true"/>
              </w:rPr>
              <w:t>حقیقة الإکراه</w:t>
            </w:r>
            <w:r>
              <w:rPr>
                <w:rStyle w:val="IndexLink"/>
                <w:rtl w:val="true"/>
              </w:rPr>
              <w:t>]</w:t>
              <w:tab/>
            </w:r>
            <w:r>
              <w:rPr>
                <w:rStyle w:val="IndexLink"/>
              </w:rPr>
              <w:t>314</w:t>
            </w:r>
          </w:hyperlink>
        </w:p>
        <w:p>
          <w:pPr>
            <w:pStyle w:val="Contents5"/>
            <w:tabs>
              <w:tab w:val="clear" w:pos="7892"/>
              <w:tab w:val="right" w:pos="9026" w:leader="dot"/>
            </w:tabs>
            <w:rPr/>
          </w:pPr>
          <w:hyperlink w:anchor="__RefHeading___Toc5082806_2314609296">
            <w:r>
              <w:rPr>
                <w:webHidden/>
                <w:rStyle w:val="IndexLink"/>
                <w:rtl w:val="true"/>
              </w:rPr>
              <w:t>[</w:t>
            </w:r>
            <w:r>
              <w:rPr>
                <w:rStyle w:val="IndexLink"/>
                <w:rtl w:val="true"/>
              </w:rPr>
              <w:t>هل یعتبر عدم إمکان التفصی عن الضرر بما لا ضرر فیه</w:t>
            </w:r>
            <w:r>
              <w:rPr>
                <w:rStyle w:val="IndexLink"/>
                <w:rtl w:val="true"/>
              </w:rPr>
              <w:t>]</w:t>
              <w:tab/>
            </w:r>
            <w:r>
              <w:rPr>
                <w:rStyle w:val="IndexLink"/>
              </w:rPr>
              <w:t>315</w:t>
            </w:r>
          </w:hyperlink>
        </w:p>
        <w:p>
          <w:pPr>
            <w:pStyle w:val="Contents6"/>
            <w:tabs>
              <w:tab w:val="clear" w:pos="7609"/>
              <w:tab w:val="right" w:pos="9026" w:leader="dot"/>
            </w:tabs>
            <w:rPr/>
          </w:pPr>
          <w:hyperlink w:anchor="__RefHeading___Toc5082808_2314609296">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5082810_2314609296">
            <w:r>
              <w:rPr>
                <w:webHidden/>
                <w:rStyle w:val="IndexLink"/>
                <w:rtl w:val="true"/>
              </w:rPr>
              <w:t>[</w:t>
            </w:r>
            <w:r>
              <w:rPr>
                <w:rStyle w:val="IndexLink"/>
                <w:rtl w:val="true"/>
              </w:rPr>
              <w:t>عدم اعتبار العجز عن التوریة</w:t>
            </w:r>
            <w:r>
              <w:rPr>
                <w:rStyle w:val="IndexLink"/>
                <w:rtl w:val="true"/>
              </w:rPr>
              <w:t>]</w:t>
              <w:tab/>
            </w:r>
            <w:r>
              <w:rPr>
                <w:rStyle w:val="IndexLink"/>
              </w:rPr>
              <w:t>316</w:t>
            </w:r>
          </w:hyperlink>
        </w:p>
        <w:p>
          <w:pPr>
            <w:pStyle w:val="Contents6"/>
            <w:tabs>
              <w:tab w:val="clear" w:pos="7609"/>
              <w:tab w:val="right" w:pos="9026" w:leader="dot"/>
            </w:tabs>
            <w:rPr/>
          </w:pPr>
          <w:hyperlink w:anchor="__RefHeading___Toc5082812_2314609296">
            <w:r>
              <w:rPr>
                <w:webHidden/>
                <w:rStyle w:val="IndexLink"/>
                <w:rtl w:val="true"/>
              </w:rPr>
              <w:t>[</w:t>
            </w:r>
            <w:r>
              <w:rPr>
                <w:rStyle w:val="IndexLink"/>
                <w:rtl w:val="true"/>
              </w:rPr>
              <w:t>هل یعتبر العجز عن التخلص بغیر التوریة</w:t>
            </w:r>
            <w:r>
              <w:rPr>
                <w:rStyle w:val="IndexLink"/>
                <w:rtl w:val="true"/>
              </w:rPr>
              <w:t>]</w:t>
              <w:tab/>
            </w:r>
            <w:r>
              <w:rPr>
                <w:rStyle w:val="IndexLink"/>
              </w:rPr>
              <w:t>316</w:t>
            </w:r>
          </w:hyperlink>
        </w:p>
        <w:p>
          <w:pPr>
            <w:pStyle w:val="Contents6"/>
            <w:tabs>
              <w:tab w:val="clear" w:pos="7609"/>
              <w:tab w:val="right" w:pos="9026" w:leader="dot"/>
            </w:tabs>
            <w:rPr/>
          </w:pPr>
          <w:hyperlink w:anchor="__RefHeading___Toc5082814_2314609296">
            <w:r>
              <w:rPr>
                <w:webHidden/>
                <w:rStyle w:val="IndexLink"/>
                <w:rtl w:val="true"/>
              </w:rPr>
              <w:t>[</w:t>
            </w:r>
            <w:r>
              <w:rPr>
                <w:rStyle w:val="IndexLink"/>
                <w:rtl w:val="true"/>
              </w:rPr>
              <w:t>اعتبار العجز عن التخلص بغیر التوریة</w:t>
            </w:r>
            <w:r>
              <w:rPr>
                <w:rStyle w:val="IndexLink"/>
                <w:rtl w:val="true"/>
              </w:rPr>
              <w:t>]</w:t>
              <w:tab/>
            </w:r>
            <w:r>
              <w:rPr>
                <w:rStyle w:val="IndexLink"/>
              </w:rPr>
              <w:t>317</w:t>
            </w:r>
          </w:hyperlink>
        </w:p>
        <w:p>
          <w:pPr>
            <w:pStyle w:val="Contents6"/>
            <w:tabs>
              <w:tab w:val="clear" w:pos="7609"/>
              <w:tab w:val="right" w:pos="9026" w:leader="dot"/>
            </w:tabs>
            <w:rPr/>
          </w:pPr>
          <w:hyperlink w:anchor="__RefHeading___Toc5082816_2314609296">
            <w:r>
              <w:rPr>
                <w:webHidden/>
                <w:rStyle w:val="IndexLink"/>
                <w:rtl w:val="true"/>
              </w:rPr>
              <w:t>[</w:t>
            </w:r>
            <w:r>
              <w:rPr>
                <w:rStyle w:val="IndexLink"/>
                <w:rtl w:val="true"/>
              </w:rPr>
              <w:t>الفرق بین إمکان التفصی بالتوریة و إمکانه بغیرها</w:t>
            </w:r>
            <w:r>
              <w:rPr>
                <w:rStyle w:val="IndexLink"/>
                <w:rtl w:val="true"/>
              </w:rPr>
              <w:t>]</w:t>
              <w:tab/>
            </w:r>
            <w:r>
              <w:rPr>
                <w:rStyle w:val="IndexLink"/>
              </w:rPr>
              <w:t>319</w:t>
            </w:r>
          </w:hyperlink>
        </w:p>
        <w:p>
          <w:pPr>
            <w:pStyle w:val="Contents5"/>
            <w:tabs>
              <w:tab w:val="clear" w:pos="7892"/>
              <w:tab w:val="right" w:pos="9026" w:leader="dot"/>
            </w:tabs>
            <w:rPr/>
          </w:pPr>
          <w:hyperlink w:anchor="__RefHeading___Toc5082818_2314609296">
            <w:r>
              <w:rPr>
                <w:webHidden/>
                <w:rStyle w:val="IndexLink"/>
                <w:rtl w:val="true"/>
              </w:rPr>
              <w:t>[</w:t>
            </w:r>
            <w:r>
              <w:rPr>
                <w:rStyle w:val="IndexLink"/>
                <w:rtl w:val="true"/>
              </w:rPr>
              <w:t>عدم اعتبار العجز فی الإکراه الرافع لأثر المعاملات</w:t>
            </w:r>
            <w:r>
              <w:rPr>
                <w:rStyle w:val="IndexLink"/>
                <w:rtl w:val="true"/>
              </w:rPr>
              <w:t>]</w:t>
              <w:tab/>
            </w:r>
            <w:r>
              <w:rPr>
                <w:rStyle w:val="IndexLink"/>
              </w:rPr>
              <w:t>320</w:t>
            </w:r>
          </w:hyperlink>
        </w:p>
        <w:p>
          <w:pPr>
            <w:pStyle w:val="Contents6"/>
            <w:tabs>
              <w:tab w:val="clear" w:pos="7609"/>
              <w:tab w:val="right" w:pos="9026" w:leader="dot"/>
            </w:tabs>
            <w:rPr/>
          </w:pPr>
          <w:hyperlink w:anchor="__RefHeading___Toc5082820_2314609296">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5082822_2314609296">
            <w:r>
              <w:rPr>
                <w:webHidden/>
                <w:rStyle w:val="IndexLink"/>
                <w:rtl w:val="true"/>
              </w:rPr>
              <w:t>[</w:t>
            </w:r>
            <w:r>
              <w:rPr>
                <w:rStyle w:val="IndexLink"/>
                <w:rtl w:val="true"/>
              </w:rPr>
              <w:t>المراد من الإکراه الرافع لأثر المعاملات</w:t>
            </w:r>
            <w:r>
              <w:rPr>
                <w:rStyle w:val="IndexLink"/>
                <w:rtl w:val="true"/>
              </w:rPr>
              <w:t>]</w:t>
              <w:tab/>
            </w:r>
            <w:r>
              <w:rPr>
                <w:rStyle w:val="IndexLink"/>
              </w:rPr>
              <w:t>320</w:t>
            </w:r>
          </w:hyperlink>
        </w:p>
        <w:p>
          <w:pPr>
            <w:pStyle w:val="Contents5"/>
            <w:tabs>
              <w:tab w:val="clear" w:pos="7892"/>
              <w:tab w:val="right" w:pos="9026" w:leader="dot"/>
            </w:tabs>
            <w:rPr/>
          </w:pPr>
          <w:hyperlink w:anchor="__RefHeading___Toc5082824_2314609296">
            <w:r>
              <w:rPr>
                <w:webHidden/>
                <w:rStyle w:val="IndexLink"/>
                <w:rtl w:val="true"/>
              </w:rPr>
              <w:t>[</w:t>
            </w:r>
            <w:r>
              <w:rPr>
                <w:rStyle w:val="IndexLink"/>
                <w:rtl w:val="true"/>
              </w:rPr>
              <w:t>الفرق بین الأحکام التکلیفیة و الأحکام الوضعیة</w:t>
            </w:r>
            <w:r>
              <w:rPr>
                <w:rStyle w:val="IndexLink"/>
                <w:rtl w:val="true"/>
              </w:rPr>
              <w:t>]</w:t>
              <w:tab/>
            </w:r>
            <w:r>
              <w:rPr>
                <w:rStyle w:val="IndexLink"/>
              </w:rPr>
              <w:t>322</w:t>
            </w:r>
          </w:hyperlink>
        </w:p>
        <w:p>
          <w:pPr>
            <w:pStyle w:val="Contents5"/>
            <w:tabs>
              <w:tab w:val="clear" w:pos="7892"/>
              <w:tab w:val="right" w:pos="9026" w:leader="dot"/>
            </w:tabs>
            <w:rPr/>
          </w:pPr>
          <w:hyperlink w:anchor="__RefHeading___Toc5082826_2314609296">
            <w:r>
              <w:rPr>
                <w:webHidden/>
                <w:rStyle w:val="IndexLink"/>
                <w:rtl w:val="true"/>
              </w:rPr>
              <w:t>[</w:t>
            </w:r>
            <w:r>
              <w:rPr>
                <w:rStyle w:val="IndexLink"/>
                <w:rtl w:val="true"/>
              </w:rPr>
              <w:t>لو أکره الشخص علی أحد الأمرین</w:t>
            </w:r>
            <w:r>
              <w:rPr>
                <w:rStyle w:val="IndexLink"/>
                <w:rtl w:val="true"/>
              </w:rPr>
              <w:t>]</w:t>
              <w:tab/>
            </w:r>
            <w:r>
              <w:rPr>
                <w:rStyle w:val="IndexLink"/>
              </w:rPr>
              <w:t>322</w:t>
            </w:r>
          </w:hyperlink>
        </w:p>
        <w:p>
          <w:pPr>
            <w:pStyle w:val="Contents5"/>
            <w:tabs>
              <w:tab w:val="clear" w:pos="7892"/>
              <w:tab w:val="right" w:pos="9026" w:leader="dot"/>
            </w:tabs>
            <w:rPr/>
          </w:pPr>
          <w:hyperlink w:anchor="__RefHeading___Toc5082828_2314609296">
            <w:r>
              <w:rPr>
                <w:webHidden/>
                <w:rStyle w:val="IndexLink"/>
                <w:rtl w:val="true"/>
              </w:rPr>
              <w:t>[</w:t>
            </w:r>
            <w:r>
              <w:rPr>
                <w:rStyle w:val="IndexLink"/>
                <w:rtl w:val="true"/>
              </w:rPr>
              <w:t>لو أکره أحد الشخصین علی فعل واحد</w:t>
            </w:r>
            <w:r>
              <w:rPr>
                <w:rStyle w:val="IndexLink"/>
                <w:rtl w:val="true"/>
              </w:rPr>
              <w:t>]</w:t>
              <w:tab/>
            </w:r>
            <w:r>
              <w:rPr>
                <w:rStyle w:val="IndexLink"/>
              </w:rPr>
              <w:t>324</w:t>
            </w:r>
          </w:hyperlink>
        </w:p>
        <w:p>
          <w:pPr>
            <w:pStyle w:val="Contents5"/>
            <w:tabs>
              <w:tab w:val="clear" w:pos="7892"/>
              <w:tab w:val="right" w:pos="9026" w:leader="dot"/>
            </w:tabs>
            <w:rPr/>
          </w:pPr>
          <w:hyperlink w:anchor="__RefHeading___Toc5082830_2314609296">
            <w:r>
              <w:rPr>
                <w:webHidden/>
                <w:rStyle w:val="IndexLink"/>
                <w:rtl w:val="true"/>
              </w:rPr>
              <w:t>[</w:t>
            </w:r>
            <w:r>
              <w:rPr>
                <w:rStyle w:val="IndexLink"/>
                <w:rtl w:val="true"/>
              </w:rPr>
              <w:t>صور تعلق الإکراه</w:t>
            </w:r>
            <w:r>
              <w:rPr>
                <w:rStyle w:val="IndexLink"/>
                <w:rtl w:val="true"/>
              </w:rPr>
              <w:t>]</w:t>
              <w:tab/>
            </w:r>
            <w:r>
              <w:rPr>
                <w:rStyle w:val="IndexLink"/>
              </w:rPr>
              <w:t>324</w:t>
            </w:r>
          </w:hyperlink>
        </w:p>
        <w:p>
          <w:pPr>
            <w:pStyle w:val="Contents5"/>
            <w:tabs>
              <w:tab w:val="clear" w:pos="7892"/>
              <w:tab w:val="right" w:pos="9026" w:leader="dot"/>
            </w:tabs>
            <w:rPr/>
          </w:pPr>
          <w:hyperlink w:anchor="__RefHeading___Toc5082832_2314609296">
            <w:r>
              <w:rPr>
                <w:webHidden/>
                <w:rStyle w:val="IndexLink"/>
                <w:rtl w:val="true"/>
              </w:rPr>
              <w:t>«</w:t>
            </w:r>
            <w:r>
              <w:rPr>
                <w:rStyle w:val="IndexLink"/>
                <w:rtl w:val="true"/>
              </w:rPr>
              <w:t>فروع</w:t>
            </w:r>
            <w:r>
              <w:rPr>
                <w:rStyle w:val="IndexLink"/>
                <w:rtl w:val="true"/>
              </w:rPr>
              <w:t>»</w:t>
              <w:tab/>
            </w:r>
            <w:r>
              <w:rPr>
                <w:rStyle w:val="IndexLink"/>
              </w:rPr>
              <w:t>327</w:t>
            </w:r>
          </w:hyperlink>
        </w:p>
        <w:p>
          <w:pPr>
            <w:pStyle w:val="Contents6"/>
            <w:tabs>
              <w:tab w:val="clear" w:pos="7609"/>
              <w:tab w:val="right" w:pos="9026" w:leader="dot"/>
            </w:tabs>
            <w:rPr/>
          </w:pPr>
          <w:hyperlink w:anchor="__RefHeading___Toc5082834_2314609296">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5082836_2314609296">
            <w:r>
              <w:rPr>
                <w:webHidden/>
                <w:rStyle w:val="IndexLink"/>
                <w:rtl w:val="true"/>
              </w:rPr>
              <w:t>[</w:t>
            </w:r>
            <w:r>
              <w:rPr>
                <w:rStyle w:val="IndexLink"/>
                <w:rtl w:val="true"/>
              </w:rPr>
              <w:t>الإکراه علی بیع عبد من عبدین</w:t>
            </w:r>
            <w:r>
              <w:rPr>
                <w:rStyle w:val="IndexLink"/>
                <w:rtl w:val="true"/>
              </w:rPr>
              <w:t>]</w:t>
              <w:tab/>
            </w:r>
            <w:r>
              <w:rPr>
                <w:rStyle w:val="IndexLink"/>
              </w:rPr>
              <w:t>327</w:t>
            </w:r>
          </w:hyperlink>
        </w:p>
        <w:p>
          <w:pPr>
            <w:pStyle w:val="Contents6"/>
            <w:tabs>
              <w:tab w:val="clear" w:pos="7609"/>
              <w:tab w:val="right" w:pos="9026" w:leader="dot"/>
            </w:tabs>
            <w:rPr/>
          </w:pPr>
          <w:hyperlink w:anchor="__RefHeading___Toc5082838_2314609296">
            <w:r>
              <w:rPr>
                <w:webHidden/>
                <w:rStyle w:val="IndexLink"/>
                <w:rtl w:val="true"/>
              </w:rPr>
              <w:t>[</w:t>
            </w:r>
            <w:r>
              <w:rPr>
                <w:rStyle w:val="IndexLink"/>
                <w:rtl w:val="true"/>
              </w:rPr>
              <w:t>الإکراه علی معین فضم غیره إلیه</w:t>
            </w:r>
            <w:r>
              <w:rPr>
                <w:rStyle w:val="IndexLink"/>
                <w:rtl w:val="true"/>
              </w:rPr>
              <w:t>]</w:t>
              <w:tab/>
            </w:r>
            <w:r>
              <w:rPr>
                <w:rStyle w:val="IndexLink"/>
              </w:rPr>
              <w:t>327</w:t>
            </w:r>
          </w:hyperlink>
        </w:p>
        <w:p>
          <w:pPr>
            <w:pStyle w:val="Contents6"/>
            <w:tabs>
              <w:tab w:val="clear" w:pos="7609"/>
              <w:tab w:val="right" w:pos="9026" w:leader="dot"/>
            </w:tabs>
            <w:rPr/>
          </w:pPr>
          <w:hyperlink w:anchor="__RefHeading___Toc5082840_2314609296">
            <w:r>
              <w:rPr>
                <w:webHidden/>
                <w:rStyle w:val="IndexLink"/>
                <w:rtl w:val="true"/>
              </w:rPr>
              <w:t>[</w:t>
            </w:r>
            <w:r>
              <w:rPr>
                <w:rStyle w:val="IndexLink"/>
                <w:rtl w:val="true"/>
              </w:rPr>
              <w:t>الإکراه علی الطلاق</w:t>
            </w:r>
            <w:r>
              <w:rPr>
                <w:rStyle w:val="IndexLink"/>
                <w:rtl w:val="true"/>
              </w:rPr>
              <w:t>]</w:t>
              <w:tab/>
            </w:r>
            <w:r>
              <w:rPr>
                <w:rStyle w:val="IndexLink"/>
              </w:rPr>
              <w:t>328</w:t>
            </w:r>
          </w:hyperlink>
        </w:p>
        <w:p>
          <w:pPr>
            <w:pStyle w:val="Contents6"/>
            <w:tabs>
              <w:tab w:val="clear" w:pos="7609"/>
              <w:tab w:val="right" w:pos="9026" w:leader="dot"/>
            </w:tabs>
            <w:rPr/>
          </w:pPr>
          <w:hyperlink w:anchor="__RefHeading___Toc5082842_2314609296">
            <w:r>
              <w:rPr>
                <w:webHidden/>
                <w:rStyle w:val="IndexLink"/>
                <w:rtl w:val="true"/>
              </w:rPr>
              <w:t>[</w:t>
            </w:r>
            <w:r>
              <w:rPr>
                <w:rStyle w:val="IndexLink"/>
                <w:rtl w:val="true"/>
              </w:rPr>
              <w:t>أقسام الإکراه علی الطلاق،و أحکامها</w:t>
            </w:r>
            <w:r>
              <w:rPr>
                <w:rStyle w:val="IndexLink"/>
                <w:rtl w:val="true"/>
              </w:rPr>
              <w:t>]</w:t>
              <w:tab/>
            </w:r>
            <w:r>
              <w:rPr>
                <w:rStyle w:val="IndexLink"/>
              </w:rPr>
              <w:t>330</w:t>
            </w:r>
          </w:hyperlink>
        </w:p>
        <w:p>
          <w:pPr>
            <w:pStyle w:val="Contents6"/>
            <w:tabs>
              <w:tab w:val="clear" w:pos="7609"/>
              <w:tab w:val="right" w:pos="9026" w:leader="dot"/>
            </w:tabs>
            <w:rPr/>
          </w:pPr>
          <w:hyperlink w:anchor="__RefHeading___Toc5082844_2314609296">
            <w:r>
              <w:rPr>
                <w:webHidden/>
                <w:rStyle w:val="IndexLink"/>
                <w:rtl w:val="true"/>
              </w:rPr>
              <w:t>[</w:t>
            </w:r>
            <w:r>
              <w:rPr>
                <w:rStyle w:val="IndexLink"/>
                <w:rtl w:val="true"/>
              </w:rPr>
              <w:t>عقد المکره لو تعقبه الرضا</w:t>
            </w:r>
            <w:r>
              <w:rPr>
                <w:rStyle w:val="IndexLink"/>
                <w:rtl w:val="true"/>
              </w:rPr>
              <w:t>]</w:t>
              <w:tab/>
            </w:r>
            <w:r>
              <w:rPr>
                <w:rStyle w:val="IndexLink"/>
              </w:rPr>
              <w:t>331</w:t>
            </w:r>
          </w:hyperlink>
        </w:p>
        <w:p>
          <w:pPr>
            <w:pStyle w:val="Contents6"/>
            <w:tabs>
              <w:tab w:val="clear" w:pos="7609"/>
              <w:tab w:val="right" w:pos="9026" w:leader="dot"/>
            </w:tabs>
            <w:rPr/>
          </w:pPr>
          <w:hyperlink w:anchor="__RefHeading___Toc5082846_2314609296">
            <w:r>
              <w:rPr>
                <w:webHidden/>
                <w:rStyle w:val="IndexLink"/>
                <w:rtl w:val="true"/>
              </w:rPr>
              <w:t>بقی الکلام فی أنّ الرضا المتأخّر ناقلٌ أو کاشف؟</w:t>
            </w:r>
            <w:r>
              <w:rPr>
                <w:rStyle w:val="IndexLink"/>
                <w:rtl w:val="true"/>
              </w:rPr>
              <w:tab/>
            </w:r>
            <w:r>
              <w:rPr>
                <w:rStyle w:val="IndexLink"/>
              </w:rPr>
              <w:t>338</w:t>
            </w:r>
          </w:hyperlink>
        </w:p>
        <w:p>
          <w:pPr>
            <w:pStyle w:val="Contents4"/>
            <w:tabs>
              <w:tab w:val="clear" w:pos="8176"/>
              <w:tab w:val="right" w:pos="9026" w:leader="dot"/>
            </w:tabs>
            <w:rPr/>
          </w:pPr>
          <w:hyperlink w:anchor="__RefHeading___Toc5082848_2314609296">
            <w:r>
              <w:rPr>
                <w:webHidden/>
                <w:rStyle w:val="IndexLink"/>
                <w:rtl w:val="true"/>
              </w:rPr>
              <w:t>مسألة و من شروط المتعاقدین</w:t>
            </w:r>
            <w:r>
              <w:rPr>
                <w:rStyle w:val="IndexLink"/>
                <w:rtl w:val="true"/>
              </w:rPr>
              <w:t>:</w:t>
            </w:r>
            <w:r>
              <w:rPr>
                <w:rStyle w:val="IndexLink"/>
                <w:rtl w:val="true"/>
              </w:rPr>
              <w:t>إذن السیّد لو کان العاقد عبداً،</w:t>
            </w:r>
            <w:r>
              <w:rPr>
                <w:rStyle w:val="IndexLink"/>
                <w:rtl w:val="true"/>
              </w:rPr>
              <w:tab/>
            </w:r>
            <w:r>
              <w:rPr>
                <w:rStyle w:val="IndexLink"/>
              </w:rPr>
              <w:t>340</w:t>
            </w:r>
          </w:hyperlink>
        </w:p>
        <w:p>
          <w:pPr>
            <w:pStyle w:val="Contents5"/>
            <w:tabs>
              <w:tab w:val="clear" w:pos="7892"/>
              <w:tab w:val="right" w:pos="9026" w:leader="dot"/>
            </w:tabs>
            <w:rPr/>
          </w:pPr>
          <w:hyperlink w:anchor="__RefHeading___Toc5082850_2314609296">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5082852_2314609296">
            <w:r>
              <w:rPr>
                <w:webHidden/>
                <w:rStyle w:val="IndexLink"/>
                <w:rtl w:val="true"/>
              </w:rPr>
              <w:t>[</w:t>
            </w:r>
            <w:r>
              <w:rPr>
                <w:rStyle w:val="IndexLink"/>
                <w:rtl w:val="true"/>
              </w:rPr>
              <w:t>هل ینفذ إنشاء العبد إذا لحقته إجازة السید؟</w:t>
            </w:r>
            <w:r>
              <w:rPr>
                <w:rStyle w:val="IndexLink"/>
                <w:rtl w:val="true"/>
              </w:rPr>
              <w:t>]</w:t>
              <w:tab/>
            </w:r>
            <w:r>
              <w:rPr>
                <w:rStyle w:val="IndexLink"/>
              </w:rPr>
              <w:t>341</w:t>
            </w:r>
          </w:hyperlink>
        </w:p>
        <w:p>
          <w:pPr>
            <w:pStyle w:val="Contents5"/>
            <w:tabs>
              <w:tab w:val="clear" w:pos="7892"/>
              <w:tab w:val="right" w:pos="9026" w:leader="dot"/>
            </w:tabs>
            <w:rPr/>
          </w:pPr>
          <w:hyperlink w:anchor="__RefHeading___Toc5082854_2314609296">
            <w:r>
              <w:rPr>
                <w:webHidden/>
                <w:rStyle w:val="IndexLink"/>
                <w:rtl w:val="true"/>
              </w:rPr>
              <w:t>«</w:t>
            </w:r>
            <w:r>
              <w:rPr>
                <w:rStyle w:val="IndexLink"/>
                <w:rtl w:val="true"/>
              </w:rPr>
              <w:t>فرع</w:t>
            </w:r>
            <w:r>
              <w:rPr>
                <w:rStyle w:val="IndexLink"/>
                <w:rtl w:val="true"/>
              </w:rPr>
              <w:t xml:space="preserve">» </w:t>
            </w:r>
            <w:r>
              <w:rPr>
                <w:rStyle w:val="IndexLink"/>
                <w:rtl w:val="true"/>
              </w:rPr>
              <w:t>لو أمر العبدَ آمرٌ أن یشتری نفسه من مولاه فباعه مولاه صحّ و لزم؛</w:t>
            </w:r>
            <w:r>
              <w:rPr>
                <w:rStyle w:val="IndexLink"/>
                <w:rtl w:val="true"/>
              </w:rPr>
              <w:tab/>
            </w:r>
            <w:r>
              <w:rPr>
                <w:rStyle w:val="IndexLink"/>
              </w:rPr>
              <w:t>345</w:t>
            </w:r>
          </w:hyperlink>
        </w:p>
        <w:p>
          <w:pPr>
            <w:pStyle w:val="Contents4"/>
            <w:tabs>
              <w:tab w:val="clear" w:pos="8176"/>
              <w:tab w:val="right" w:pos="9026" w:leader="dot"/>
            </w:tabs>
            <w:rPr/>
          </w:pPr>
          <w:hyperlink w:anchor="__RefHeading___Toc5082856_2314609296">
            <w:r>
              <w:rPr>
                <w:webHidden/>
                <w:rStyle w:val="IndexLink"/>
                <w:rtl w:val="true"/>
              </w:rPr>
              <w:t>مسألة و من شروط المتعاقدین</w:t>
            </w:r>
            <w:r>
              <w:rPr>
                <w:rStyle w:val="IndexLink"/>
                <w:rtl w:val="true"/>
              </w:rPr>
              <w:t>:</w:t>
            </w:r>
            <w:r>
              <w:rPr>
                <w:rStyle w:val="IndexLink"/>
                <w:rtl w:val="true"/>
              </w:rPr>
              <w:t>أن یکونا مالِکَین أو مأذونَین من المالک أو الشارع</w:t>
            </w:r>
            <w:r>
              <w:rPr>
                <w:rStyle w:val="IndexLink"/>
                <w:rtl w:val="true"/>
              </w:rPr>
              <w:t>.</w:t>
              <w:tab/>
            </w:r>
            <w:r>
              <w:rPr>
                <w:rStyle w:val="IndexLink"/>
              </w:rPr>
              <w:t>348</w:t>
            </w:r>
          </w:hyperlink>
        </w:p>
        <w:p>
          <w:pPr>
            <w:pStyle w:val="Contents5"/>
            <w:tabs>
              <w:tab w:val="clear" w:pos="7892"/>
              <w:tab w:val="right" w:pos="9026" w:leader="dot"/>
            </w:tabs>
            <w:rPr/>
          </w:pPr>
          <w:hyperlink w:anchor="__RefHeading___Toc5082858_2314609296">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5082860_2314609296">
            <w:r>
              <w:rPr>
                <w:webHidden/>
                <w:rStyle w:val="IndexLink"/>
                <w:rtl w:val="true"/>
              </w:rPr>
              <w:t>[</w:t>
            </w:r>
            <w:r>
              <w:rPr>
                <w:rStyle w:val="IndexLink"/>
                <w:rtl w:val="true"/>
              </w:rPr>
              <w:t>الکلام فی عقد الفضولی</w:t>
            </w:r>
            <w:r>
              <w:rPr>
                <w:rStyle w:val="IndexLink"/>
                <w:rtl w:val="true"/>
              </w:rPr>
              <w:t>]</w:t>
              <w:tab/>
            </w:r>
            <w:r>
              <w:rPr>
                <w:rStyle w:val="IndexLink"/>
              </w:rPr>
              <w:t>348</w:t>
            </w:r>
          </w:hyperlink>
        </w:p>
        <w:p>
          <w:pPr>
            <w:pStyle w:val="Contents6"/>
            <w:tabs>
              <w:tab w:val="clear" w:pos="7609"/>
              <w:tab w:val="right" w:pos="9026" w:leader="dot"/>
            </w:tabs>
            <w:rPr/>
          </w:pPr>
          <w:hyperlink w:anchor="__RefHeading___Toc5082862_2314609296">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5082864_2314609296">
            <w:r>
              <w:rPr>
                <w:webHidden/>
                <w:rStyle w:val="IndexLink"/>
                <w:rtl w:val="true"/>
              </w:rPr>
              <w:t>اختلف الأصحاب و غیرهم فی بیع الفضولی</w:t>
            </w:r>
            <w:r>
              <w:rPr>
                <w:rStyle w:val="IndexLink"/>
                <w:rtl w:val="true"/>
              </w:rPr>
              <w:tab/>
            </w:r>
            <w:r>
              <w:rPr>
                <w:rStyle w:val="IndexLink"/>
              </w:rPr>
              <w:t>348</w:t>
            </w:r>
          </w:hyperlink>
        </w:p>
        <w:p>
          <w:pPr>
            <w:pStyle w:val="Contents6"/>
            <w:tabs>
              <w:tab w:val="clear" w:pos="7609"/>
              <w:tab w:val="right" w:pos="9026" w:leader="dot"/>
            </w:tabs>
            <w:rPr/>
          </w:pPr>
          <w:hyperlink w:anchor="__RefHeading___Toc5082866_2314609296">
            <w:r>
              <w:rPr>
                <w:webHidden/>
                <w:rStyle w:val="IndexLink"/>
                <w:rtl w:val="true"/>
              </w:rPr>
              <w:t>[</w:t>
            </w:r>
            <w:r>
              <w:rPr>
                <w:rStyle w:val="IndexLink"/>
                <w:rtl w:val="true"/>
              </w:rPr>
              <w:t>صور بیع الفضولی</w:t>
            </w:r>
            <w:r>
              <w:rPr>
                <w:rStyle w:val="IndexLink"/>
                <w:rtl w:val="true"/>
              </w:rPr>
              <w:t>]</w:t>
              <w:tab/>
            </w:r>
            <w:r>
              <w:rPr>
                <w:rStyle w:val="IndexLink"/>
              </w:rPr>
              <w:t>351</w:t>
            </w:r>
          </w:hyperlink>
        </w:p>
        <w:p>
          <w:pPr>
            <w:pStyle w:val="Contents6"/>
            <w:tabs>
              <w:tab w:val="clear" w:pos="7609"/>
              <w:tab w:val="right" w:pos="9026" w:leader="dot"/>
            </w:tabs>
            <w:rPr/>
          </w:pPr>
          <w:hyperlink w:anchor="__RefHeading___Toc5082868_2314609296">
            <w:r>
              <w:rPr>
                <w:webHidden/>
                <w:rStyle w:val="IndexLink"/>
                <w:rtl w:val="true"/>
              </w:rPr>
              <w:t>الاُولی أن یبیع للمالک مع عدم سبق منعٍ من المالک،</w:t>
            </w:r>
            <w:r>
              <w:rPr>
                <w:rStyle w:val="IndexLink"/>
                <w:rtl w:val="true"/>
              </w:rPr>
              <w:tab/>
            </w:r>
            <w:r>
              <w:rPr>
                <w:rStyle w:val="IndexLink"/>
              </w:rPr>
              <w:t>352</w:t>
            </w:r>
          </w:hyperlink>
        </w:p>
        <w:p>
          <w:pPr>
            <w:pStyle w:val="Contents6"/>
            <w:tabs>
              <w:tab w:val="clear" w:pos="7609"/>
              <w:tab w:val="right" w:pos="9026" w:leader="dot"/>
            </w:tabs>
            <w:rPr/>
          </w:pPr>
          <w:hyperlink w:anchor="__RefHeading___Toc5082870_2314609296">
            <w:r>
              <w:rPr>
                <w:webHidden/>
                <w:rStyle w:val="IndexLink"/>
                <w:rtl w:val="true"/>
              </w:rPr>
              <w:t>و المشهور</w:t>
            </w:r>
            <w:r>
              <w:rPr>
                <w:rStyle w:val="IndexLink"/>
                <w:rtl w:val="true"/>
              </w:rPr>
              <w:t>:</w:t>
            </w:r>
            <w:r>
              <w:rPr>
                <w:rStyle w:val="IndexLink"/>
                <w:rtl w:val="true"/>
              </w:rPr>
              <w:t>الصحّة</w:t>
            </w:r>
            <w:r>
              <w:rPr>
                <w:rStyle w:val="IndexLink"/>
                <w:rtl w:val="true"/>
              </w:rPr>
              <w:tab/>
            </w:r>
            <w:r>
              <w:rPr>
                <w:rStyle w:val="IndexLink"/>
              </w:rPr>
              <w:t>352</w:t>
            </w:r>
          </w:hyperlink>
        </w:p>
        <w:p>
          <w:pPr>
            <w:pStyle w:val="Contents6"/>
            <w:tabs>
              <w:tab w:val="clear" w:pos="7609"/>
              <w:tab w:val="right" w:pos="9026" w:leader="dot"/>
            </w:tabs>
            <w:rPr/>
          </w:pPr>
          <w:hyperlink w:anchor="__RefHeading___Toc5082872_2314609296">
            <w:r>
              <w:rPr>
                <w:webHidden/>
                <w:rStyle w:val="IndexLink"/>
                <w:rtl w:val="true"/>
              </w:rPr>
              <w:t>و قد اشتهر الاستدلال علیه بقضیّة عروة البارقی</w:t>
            </w:r>
            <w:r>
              <w:rPr>
                <w:rStyle w:val="IndexLink"/>
                <w:rtl w:val="true"/>
              </w:rPr>
              <w:tab/>
            </w:r>
            <w:r>
              <w:rPr>
                <w:rStyle w:val="IndexLink"/>
              </w:rPr>
              <w:t>354</w:t>
            </w:r>
          </w:hyperlink>
        </w:p>
        <w:p>
          <w:pPr>
            <w:pStyle w:val="Contents6"/>
            <w:tabs>
              <w:tab w:val="clear" w:pos="7609"/>
              <w:tab w:val="right" w:pos="9026" w:leader="dot"/>
            </w:tabs>
            <w:rPr/>
          </w:pPr>
          <w:hyperlink w:anchor="__RefHeading___Toc5082874_2314609296">
            <w:r>
              <w:rPr>
                <w:webHidden/>
                <w:rStyle w:val="IndexLink"/>
                <w:rtl w:val="true"/>
              </w:rPr>
              <w:t>[</w:t>
            </w:r>
            <w:r>
              <w:rPr>
                <w:rStyle w:val="IndexLink"/>
                <w:rtl w:val="true"/>
              </w:rPr>
              <w:t>المناقشة فی الاستدلال بقضیة عروة البارقی</w:t>
            </w:r>
            <w:r>
              <w:rPr>
                <w:rStyle w:val="IndexLink"/>
                <w:rtl w:val="true"/>
              </w:rPr>
              <w:t>]</w:t>
              <w:tab/>
            </w:r>
            <w:r>
              <w:rPr>
                <w:rStyle w:val="IndexLink"/>
              </w:rPr>
              <w:t>354</w:t>
            </w:r>
          </w:hyperlink>
        </w:p>
        <w:p>
          <w:pPr>
            <w:pStyle w:val="Contents6"/>
            <w:tabs>
              <w:tab w:val="clear" w:pos="7609"/>
              <w:tab w:val="right" w:pos="9026" w:leader="dot"/>
            </w:tabs>
            <w:rPr/>
          </w:pPr>
          <w:hyperlink w:anchor="__RefHeading___Toc5082876_2314609296">
            <w:r>
              <w:rPr>
                <w:webHidden/>
                <w:rStyle w:val="IndexLink"/>
                <w:rtl w:val="true"/>
              </w:rPr>
              <w:t>[</w:t>
            </w:r>
            <w:r>
              <w:rPr>
                <w:rStyle w:val="IndexLink"/>
                <w:rtl w:val="true"/>
              </w:rPr>
              <w:t>الاستدلال للصحة بصحیحة محمد بن قیس</w:t>
            </w:r>
            <w:r>
              <w:rPr>
                <w:rStyle w:val="IndexLink"/>
                <w:rtl w:val="true"/>
              </w:rPr>
              <w:t>]</w:t>
              <w:tab/>
            </w:r>
            <w:r>
              <w:rPr>
                <w:rStyle w:val="IndexLink"/>
              </w:rPr>
              <w:t>356</w:t>
            </w:r>
          </w:hyperlink>
        </w:p>
        <w:p>
          <w:pPr>
            <w:pStyle w:val="Contents6"/>
            <w:tabs>
              <w:tab w:val="clear" w:pos="7609"/>
              <w:tab w:val="right" w:pos="9026" w:leader="dot"/>
            </w:tabs>
            <w:rPr/>
          </w:pPr>
          <w:hyperlink w:anchor="__RefHeading___Toc5082878_2314609296">
            <w:r>
              <w:rPr>
                <w:webHidden/>
                <w:rStyle w:val="IndexLink"/>
                <w:rtl w:val="true"/>
              </w:rPr>
              <w:t>[</w:t>
            </w:r>
            <w:r>
              <w:rPr>
                <w:rStyle w:val="IndexLink"/>
                <w:rtl w:val="true"/>
              </w:rPr>
              <w:t>المناقشة فی الاستدلال بصحیحة محمد بن قیس</w:t>
            </w:r>
            <w:r>
              <w:rPr>
                <w:rStyle w:val="IndexLink"/>
                <w:rtl w:val="true"/>
              </w:rPr>
              <w:t>]</w:t>
              <w:tab/>
            </w:r>
            <w:r>
              <w:rPr>
                <w:rStyle w:val="IndexLink"/>
              </w:rPr>
              <w:t>357</w:t>
            </w:r>
          </w:hyperlink>
        </w:p>
        <w:p>
          <w:pPr>
            <w:pStyle w:val="Contents6"/>
            <w:tabs>
              <w:tab w:val="clear" w:pos="7609"/>
              <w:tab w:val="right" w:pos="9026" w:leader="dot"/>
            </w:tabs>
            <w:rPr/>
          </w:pPr>
          <w:hyperlink w:anchor="__RefHeading___Toc5082880_2314609296">
            <w:r>
              <w:rPr>
                <w:webHidden/>
                <w:rStyle w:val="IndexLink"/>
                <w:rtl w:val="true"/>
              </w:rPr>
              <w:t>[</w:t>
            </w:r>
            <w:r>
              <w:rPr>
                <w:rStyle w:val="IndexLink"/>
                <w:rtl w:val="true"/>
              </w:rPr>
              <w:t>توجیه الاستدلال بصحیحة محمد بن قیس</w:t>
            </w:r>
            <w:r>
              <w:rPr>
                <w:rStyle w:val="IndexLink"/>
                <w:rtl w:val="true"/>
              </w:rPr>
              <w:t>]</w:t>
              <w:tab/>
            </w:r>
            <w:r>
              <w:rPr>
                <w:rStyle w:val="IndexLink"/>
              </w:rPr>
              <w:t>358</w:t>
            </w:r>
          </w:hyperlink>
        </w:p>
        <w:p>
          <w:pPr>
            <w:pStyle w:val="Contents6"/>
            <w:tabs>
              <w:tab w:val="clear" w:pos="7609"/>
              <w:tab w:val="right" w:pos="9026" w:leader="dot"/>
            </w:tabs>
            <w:rPr/>
          </w:pPr>
          <w:hyperlink w:anchor="__RefHeading___Toc5082882_2314609296">
            <w:r>
              <w:rPr>
                <w:webHidden/>
                <w:rStyle w:val="IndexLink"/>
                <w:rtl w:val="true"/>
              </w:rPr>
              <w:t>[</w:t>
            </w:r>
            <w:r>
              <w:rPr>
                <w:rStyle w:val="IndexLink"/>
                <w:rtl w:val="true"/>
              </w:rPr>
              <w:t>الاستدلال لصحة بیع الفضولی بفحوی صحة نکاحه</w:t>
            </w:r>
            <w:r>
              <w:rPr>
                <w:rStyle w:val="IndexLink"/>
                <w:rtl w:val="true"/>
              </w:rPr>
              <w:t>]</w:t>
              <w:tab/>
            </w:r>
            <w:r>
              <w:rPr>
                <w:rStyle w:val="IndexLink"/>
              </w:rPr>
              <w:t>359</w:t>
            </w:r>
          </w:hyperlink>
        </w:p>
        <w:p>
          <w:pPr>
            <w:pStyle w:val="Contents6"/>
            <w:tabs>
              <w:tab w:val="clear" w:pos="7609"/>
              <w:tab w:val="right" w:pos="9026" w:leader="dot"/>
            </w:tabs>
            <w:rPr/>
          </w:pPr>
          <w:hyperlink w:anchor="__RefHeading___Toc5082884_2314609296">
            <w:r>
              <w:rPr>
                <w:webHidden/>
                <w:rStyle w:val="IndexLink"/>
                <w:rtl w:val="true"/>
              </w:rPr>
              <w:t>[</w:t>
            </w:r>
            <w:r>
              <w:rPr>
                <w:rStyle w:val="IndexLink"/>
                <w:rtl w:val="true"/>
              </w:rPr>
              <w:t>المناقشة فی الاستدلال المذکور</w:t>
            </w:r>
            <w:r>
              <w:rPr>
                <w:rStyle w:val="IndexLink"/>
                <w:rtl w:val="true"/>
              </w:rPr>
              <w:t>]</w:t>
              <w:tab/>
            </w:r>
            <w:r>
              <w:rPr>
                <w:rStyle w:val="IndexLink"/>
              </w:rPr>
              <w:t>359</w:t>
            </w:r>
          </w:hyperlink>
        </w:p>
        <w:p>
          <w:pPr>
            <w:pStyle w:val="Contents6"/>
            <w:tabs>
              <w:tab w:val="clear" w:pos="7609"/>
              <w:tab w:val="right" w:pos="9026" w:leader="dot"/>
            </w:tabs>
            <w:rPr/>
          </w:pPr>
          <w:hyperlink w:anchor="__RefHeading___Toc5082886_2314609296">
            <w:r>
              <w:rPr>
                <w:webHidden/>
                <w:rStyle w:val="IndexLink"/>
                <w:rtl w:val="true"/>
              </w:rPr>
              <w:t>[</w:t>
            </w:r>
            <w:r>
              <w:rPr>
                <w:rStyle w:val="IndexLink"/>
                <w:rtl w:val="true"/>
              </w:rPr>
              <w:t>ما یؤید لصحة بیع الفضولی</w:t>
            </w:r>
            <w:r>
              <w:rPr>
                <w:rStyle w:val="IndexLink"/>
                <w:rtl w:val="true"/>
              </w:rPr>
              <w:t>]</w:t>
              <w:tab/>
            </w:r>
            <w:r>
              <w:rPr>
                <w:rStyle w:val="IndexLink"/>
              </w:rPr>
              <w:t>361</w:t>
            </w:r>
          </w:hyperlink>
        </w:p>
        <w:p>
          <w:pPr>
            <w:pStyle w:val="Contents6"/>
            <w:tabs>
              <w:tab w:val="clear" w:pos="7609"/>
              <w:tab w:val="right" w:pos="9026" w:leader="dot"/>
            </w:tabs>
            <w:rPr/>
          </w:pPr>
          <w:hyperlink w:anchor="__RefHeading___Toc5082888_2314609296">
            <w:r>
              <w:rPr>
                <w:webHidden/>
                <w:rStyle w:val="IndexLink"/>
                <w:rtl w:val="true"/>
              </w:rPr>
              <w:t>[</w:t>
            </w:r>
            <w:r>
              <w:rPr>
                <w:rStyle w:val="IndexLink"/>
                <w:rtl w:val="true"/>
              </w:rPr>
              <w:t>ما ورد فی المضاربة</w:t>
            </w:r>
            <w:r>
              <w:rPr>
                <w:rStyle w:val="IndexLink"/>
                <w:rtl w:val="true"/>
              </w:rPr>
              <w:t>]</w:t>
              <w:tab/>
            </w:r>
            <w:r>
              <w:rPr>
                <w:rStyle w:val="IndexLink"/>
              </w:rPr>
              <w:t>361</w:t>
            </w:r>
          </w:hyperlink>
        </w:p>
        <w:p>
          <w:pPr>
            <w:pStyle w:val="Contents6"/>
            <w:tabs>
              <w:tab w:val="clear" w:pos="7609"/>
              <w:tab w:val="right" w:pos="9026" w:leader="dot"/>
            </w:tabs>
            <w:rPr/>
          </w:pPr>
          <w:hyperlink w:anchor="__RefHeading___Toc5082890_2314609296">
            <w:r>
              <w:rPr>
                <w:webHidden/>
                <w:rStyle w:val="IndexLink"/>
                <w:rtl w:val="true"/>
              </w:rPr>
              <w:t>[</w:t>
            </w:r>
            <w:r>
              <w:rPr>
                <w:rStyle w:val="IndexLink"/>
                <w:rtl w:val="true"/>
              </w:rPr>
              <w:t>ما ورد فی اتجار غیر الولی فی مال الیتیم</w:t>
            </w:r>
            <w:r>
              <w:rPr>
                <w:rStyle w:val="IndexLink"/>
                <w:rtl w:val="true"/>
              </w:rPr>
              <w:t>]</w:t>
              <w:tab/>
            </w:r>
            <w:r>
              <w:rPr>
                <w:rStyle w:val="IndexLink"/>
              </w:rPr>
              <w:t>363</w:t>
            </w:r>
          </w:hyperlink>
        </w:p>
        <w:p>
          <w:pPr>
            <w:pStyle w:val="Contents6"/>
            <w:tabs>
              <w:tab w:val="clear" w:pos="7609"/>
              <w:tab w:val="right" w:pos="9026" w:leader="dot"/>
            </w:tabs>
            <w:rPr/>
          </w:pPr>
          <w:hyperlink w:anchor="__RefHeading___Toc5082892_2314609296">
            <w:r>
              <w:rPr>
                <w:webHidden/>
                <w:rStyle w:val="IndexLink"/>
                <w:rtl w:val="true"/>
              </w:rPr>
              <w:t>[</w:t>
            </w:r>
            <w:r>
              <w:rPr>
                <w:rStyle w:val="IndexLink"/>
                <w:rtl w:val="true"/>
              </w:rPr>
              <w:t>روایة ابن أشیم</w:t>
            </w:r>
            <w:r>
              <w:rPr>
                <w:rStyle w:val="IndexLink"/>
                <w:rtl w:val="true"/>
              </w:rPr>
              <w:t>]</w:t>
              <w:tab/>
            </w:r>
            <w:r>
              <w:rPr>
                <w:rStyle w:val="IndexLink"/>
              </w:rPr>
              <w:t>364</w:t>
            </w:r>
          </w:hyperlink>
        </w:p>
        <w:p>
          <w:pPr>
            <w:pStyle w:val="Contents6"/>
            <w:tabs>
              <w:tab w:val="clear" w:pos="7609"/>
              <w:tab w:val="right" w:pos="9026" w:leader="dot"/>
            </w:tabs>
            <w:rPr/>
          </w:pPr>
          <w:hyperlink w:anchor="__RefHeading___Toc5082894_2314609296">
            <w:r>
              <w:rPr>
                <w:webHidden/>
                <w:rStyle w:val="IndexLink"/>
                <w:rtl w:val="true"/>
              </w:rPr>
              <w:t>[</w:t>
            </w:r>
            <w:r>
              <w:rPr>
                <w:rStyle w:val="IndexLink"/>
                <w:rtl w:val="true"/>
              </w:rPr>
              <w:t>صحیحة الحلبی</w:t>
            </w:r>
            <w:r>
              <w:rPr>
                <w:rStyle w:val="IndexLink"/>
                <w:rtl w:val="true"/>
              </w:rPr>
              <w:t>]</w:t>
              <w:tab/>
            </w:r>
            <w:r>
              <w:rPr>
                <w:rStyle w:val="IndexLink"/>
              </w:rPr>
              <w:t>364</w:t>
            </w:r>
          </w:hyperlink>
        </w:p>
        <w:p>
          <w:pPr>
            <w:pStyle w:val="Contents6"/>
            <w:tabs>
              <w:tab w:val="clear" w:pos="7609"/>
              <w:tab w:val="right" w:pos="9026" w:leader="dot"/>
            </w:tabs>
            <w:rPr/>
          </w:pPr>
          <w:hyperlink w:anchor="__RefHeading___Toc5082896_2314609296">
            <w:r>
              <w:rPr>
                <w:webHidden/>
                <w:rStyle w:val="IndexLink"/>
                <w:rtl w:val="true"/>
              </w:rPr>
              <w:t>[</w:t>
            </w:r>
            <w:r>
              <w:rPr>
                <w:rStyle w:val="IndexLink"/>
                <w:rtl w:val="true"/>
              </w:rPr>
              <w:t>موثقة عبد الله</w:t>
            </w:r>
            <w:r>
              <w:rPr>
                <w:rStyle w:val="IndexLink"/>
                <w:rtl w:val="true"/>
              </w:rPr>
              <w:t>]</w:t>
              <w:tab/>
            </w:r>
            <w:r>
              <w:rPr>
                <w:rStyle w:val="IndexLink"/>
              </w:rPr>
              <w:t>365</w:t>
            </w:r>
          </w:hyperlink>
        </w:p>
        <w:p>
          <w:pPr>
            <w:pStyle w:val="Contents6"/>
            <w:tabs>
              <w:tab w:val="clear" w:pos="7609"/>
              <w:tab w:val="right" w:pos="9026" w:leader="dot"/>
            </w:tabs>
            <w:rPr/>
          </w:pPr>
          <w:hyperlink w:anchor="__RefHeading___Toc5082898_2314609296">
            <w:r>
              <w:rPr>
                <w:webHidden/>
                <w:rStyle w:val="IndexLink"/>
                <w:rtl w:val="true"/>
              </w:rPr>
              <w:t>[</w:t>
            </w:r>
            <w:r>
              <w:rPr>
                <w:rStyle w:val="IndexLink"/>
                <w:rtl w:val="true"/>
              </w:rPr>
              <w:t>أخبار نکاح العبد بدون إذن مولاه</w:t>
            </w:r>
            <w:r>
              <w:rPr>
                <w:rStyle w:val="IndexLink"/>
                <w:rtl w:val="true"/>
              </w:rPr>
              <w:t>]</w:t>
              <w:tab/>
            </w:r>
            <w:r>
              <w:rPr>
                <w:rStyle w:val="IndexLink"/>
              </w:rPr>
              <w:t>366</w:t>
            </w:r>
          </w:hyperlink>
        </w:p>
        <w:p>
          <w:pPr>
            <w:pStyle w:val="Contents6"/>
            <w:tabs>
              <w:tab w:val="clear" w:pos="7609"/>
              <w:tab w:val="right" w:pos="9026" w:leader="dot"/>
            </w:tabs>
            <w:rPr/>
          </w:pPr>
          <w:hyperlink w:anchor="__RefHeading___Toc5082900_2314609296">
            <w:r>
              <w:rPr>
                <w:webHidden/>
                <w:rStyle w:val="IndexLink"/>
                <w:rtl w:val="true"/>
              </w:rPr>
              <w:t>[</w:t>
            </w:r>
            <w:r>
              <w:rPr>
                <w:rStyle w:val="IndexLink"/>
                <w:rtl w:val="true"/>
              </w:rPr>
              <w:t>مختار المؤلف الصحة</w:t>
            </w:r>
            <w:r>
              <w:rPr>
                <w:rStyle w:val="IndexLink"/>
                <w:rtl w:val="true"/>
              </w:rPr>
              <w:t>]</w:t>
              <w:tab/>
            </w:r>
            <w:r>
              <w:rPr>
                <w:rStyle w:val="IndexLink"/>
              </w:rPr>
              <w:t>366</w:t>
            </w:r>
          </w:hyperlink>
        </w:p>
        <w:p>
          <w:pPr>
            <w:pStyle w:val="Contents6"/>
            <w:tabs>
              <w:tab w:val="clear" w:pos="7609"/>
              <w:tab w:val="right" w:pos="9026" w:leader="dot"/>
            </w:tabs>
            <w:rPr/>
          </w:pPr>
          <w:hyperlink w:anchor="__RefHeading___Toc5082902_2314609296">
            <w:r>
              <w:rPr>
                <w:webHidden/>
                <w:rStyle w:val="IndexLink"/>
                <w:rtl w:val="true"/>
              </w:rPr>
              <w:t>و احتجّ للبطلان بالأدلّة الأربعة</w:t>
            </w:r>
            <w:r>
              <w:rPr>
                <w:rStyle w:val="IndexLink"/>
                <w:rtl w:val="true"/>
              </w:rPr>
              <w:t>:</w:t>
              <w:tab/>
            </w:r>
            <w:r>
              <w:rPr>
                <w:rStyle w:val="IndexLink"/>
              </w:rPr>
              <w:t>367</w:t>
            </w:r>
          </w:hyperlink>
        </w:p>
        <w:p>
          <w:pPr>
            <w:pStyle w:val="Contents6"/>
            <w:tabs>
              <w:tab w:val="clear" w:pos="7609"/>
              <w:tab w:val="right" w:pos="9026" w:leader="dot"/>
            </w:tabs>
            <w:rPr/>
          </w:pPr>
          <w:hyperlink w:anchor="__RefHeading___Toc5082904_2314609296">
            <w:r>
              <w:rPr>
                <w:webHidden/>
                <w:rStyle w:val="IndexLink"/>
                <w:rtl w:val="true"/>
              </w:rPr>
              <w:t xml:space="preserve">أمّا الکتاب، </w:t>
            </w:r>
            <w:r>
              <w:rPr>
                <w:rStyle w:val="IndexLink"/>
                <w:rtl w:val="true"/>
              </w:rPr>
              <w:t>[</w:t>
            </w:r>
            <w:r>
              <w:rPr>
                <w:rStyle w:val="IndexLink"/>
                <w:rtl w:val="true"/>
              </w:rPr>
              <w:t>الاستدلال بآیة التجارة عن تراض</w:t>
            </w:r>
            <w:r>
              <w:rPr>
                <w:rStyle w:val="IndexLink"/>
                <w:rtl w:val="true"/>
              </w:rPr>
              <w:t>]</w:t>
              <w:tab/>
            </w:r>
            <w:r>
              <w:rPr>
                <w:rStyle w:val="IndexLink"/>
              </w:rPr>
              <w:t>367</w:t>
            </w:r>
          </w:hyperlink>
        </w:p>
        <w:p>
          <w:pPr>
            <w:pStyle w:val="Contents6"/>
            <w:tabs>
              <w:tab w:val="clear" w:pos="7609"/>
              <w:tab w:val="right" w:pos="9026" w:leader="dot"/>
            </w:tabs>
            <w:rPr/>
          </w:pPr>
          <w:hyperlink w:anchor="__RefHeading___Toc5082906_2314609296">
            <w:r>
              <w:rPr>
                <w:webHidden/>
                <w:rStyle w:val="IndexLink"/>
                <w:rtl w:val="true"/>
              </w:rPr>
              <w:t>و أمّا السنّة، فهی أخبار</w:t>
            </w:r>
            <w:r>
              <w:rPr>
                <w:rStyle w:val="IndexLink"/>
                <w:rtl w:val="true"/>
              </w:rPr>
              <w:t>:</w:t>
              <w:tab/>
            </w:r>
            <w:r>
              <w:rPr>
                <w:rStyle w:val="IndexLink"/>
              </w:rPr>
              <w:t>368</w:t>
            </w:r>
          </w:hyperlink>
        </w:p>
        <w:p>
          <w:pPr>
            <w:pStyle w:val="Contents6"/>
            <w:tabs>
              <w:tab w:val="clear" w:pos="7609"/>
              <w:tab w:val="right" w:pos="9026" w:leader="dot"/>
            </w:tabs>
            <w:rPr/>
          </w:pPr>
          <w:hyperlink w:anchor="__RefHeading___Toc5082908_2314609296">
            <w:r>
              <w:rPr>
                <w:webHidden/>
                <w:rStyle w:val="IndexLink"/>
                <w:rtl w:val="true"/>
              </w:rPr>
              <w:t>[</w:t>
            </w:r>
            <w:r>
              <w:rPr>
                <w:rStyle w:val="IndexLink"/>
                <w:rtl w:val="true"/>
              </w:rPr>
              <w:t>المناقشة فی الاستدلال بالروایات</w:t>
            </w:r>
            <w:r>
              <w:rPr>
                <w:rStyle w:val="IndexLink"/>
                <w:rtl w:val="true"/>
              </w:rPr>
              <w:t>]</w:t>
              <w:tab/>
            </w:r>
            <w:r>
              <w:rPr>
                <w:rStyle w:val="IndexLink"/>
              </w:rPr>
              <w:t>370</w:t>
            </w:r>
          </w:hyperlink>
        </w:p>
        <w:p>
          <w:pPr>
            <w:pStyle w:val="Contents6"/>
            <w:tabs>
              <w:tab w:val="clear" w:pos="7609"/>
              <w:tab w:val="right" w:pos="9026" w:leader="dot"/>
            </w:tabs>
            <w:rPr/>
          </w:pPr>
          <w:hyperlink w:anchor="__RefHeading___Toc5082910_2314609296">
            <w:r>
              <w:rPr>
                <w:webHidden/>
                <w:rStyle w:val="IndexLink"/>
                <w:rtl w:val="true"/>
              </w:rPr>
              <w:t>الثالث</w:t>
            </w:r>
            <w:r>
              <w:rPr>
                <w:rStyle w:val="IndexLink"/>
                <w:rtl w:val="true"/>
              </w:rPr>
              <w:t>:</w:t>
            </w:r>
            <w:r>
              <w:rPr>
                <w:rStyle w:val="IndexLink"/>
                <w:rtl w:val="true"/>
              </w:rPr>
              <w:t>الإجماع علی البطلان،</w:t>
            </w:r>
            <w:r>
              <w:rPr>
                <w:rStyle w:val="IndexLink"/>
                <w:rtl w:val="true"/>
              </w:rPr>
              <w:tab/>
            </w:r>
            <w:r>
              <w:rPr>
                <w:rStyle w:val="IndexLink"/>
              </w:rPr>
              <w:t>373</w:t>
            </w:r>
          </w:hyperlink>
        </w:p>
        <w:p>
          <w:pPr>
            <w:pStyle w:val="Contents6"/>
            <w:tabs>
              <w:tab w:val="clear" w:pos="7609"/>
              <w:tab w:val="right" w:pos="9026" w:leader="dot"/>
            </w:tabs>
            <w:rPr/>
          </w:pPr>
          <w:hyperlink w:anchor="__RefHeading___Toc5082912_2314609296">
            <w:r>
              <w:rPr>
                <w:webHidden/>
                <w:rStyle w:val="IndexLink"/>
                <w:rtl w:val="true"/>
              </w:rPr>
              <w:t>الرابع</w:t>
            </w:r>
            <w:r>
              <w:rPr>
                <w:rStyle w:val="IndexLink"/>
                <w:rtl w:val="true"/>
              </w:rPr>
              <w:t>:</w:t>
            </w:r>
            <w:r>
              <w:rPr>
                <w:rStyle w:val="IndexLink"/>
                <w:rtl w:val="true"/>
              </w:rPr>
              <w:t>ما دلّ من العقل و النقل</w:t>
            </w:r>
            <w:r>
              <w:rPr>
                <w:rStyle w:val="IndexLink"/>
                <w:rtl w:val="true"/>
              </w:rPr>
              <w:tab/>
            </w:r>
            <w:r>
              <w:rPr>
                <w:rStyle w:val="IndexLink"/>
              </w:rPr>
              <w:t>374</w:t>
            </w:r>
          </w:hyperlink>
        </w:p>
        <w:p>
          <w:pPr>
            <w:pStyle w:val="Contents6"/>
            <w:tabs>
              <w:tab w:val="clear" w:pos="7609"/>
              <w:tab w:val="right" w:pos="9026" w:leader="dot"/>
            </w:tabs>
            <w:rPr/>
          </w:pPr>
          <w:hyperlink w:anchor="__RefHeading___Toc5082914_2314609296">
            <w:r>
              <w:rPr>
                <w:webHidden/>
                <w:rStyle w:val="IndexLink"/>
                <w:rtl w:val="true"/>
              </w:rPr>
              <w:t>و قد یستدلّ للمنع بوجوه أُخر ضعیفة،</w:t>
            </w:r>
            <w:r>
              <w:rPr>
                <w:rStyle w:val="IndexLink"/>
                <w:rtl w:val="true"/>
              </w:rPr>
              <w:tab/>
            </w:r>
            <w:r>
              <w:rPr>
                <w:rStyle w:val="IndexLink"/>
              </w:rPr>
              <w:t>375</w:t>
            </w:r>
          </w:hyperlink>
        </w:p>
        <w:p>
          <w:pPr>
            <w:pStyle w:val="Contents6"/>
            <w:tabs>
              <w:tab w:val="clear" w:pos="7609"/>
              <w:tab w:val="right" w:pos="9026" w:leader="dot"/>
            </w:tabs>
            <w:rPr/>
          </w:pPr>
          <w:hyperlink w:anchor="__RefHeading___Toc5082916_2314609296">
            <w:r>
              <w:rPr>
                <w:webHidden/>
                <w:rStyle w:val="IndexLink"/>
                <w:rtl w:val="true"/>
              </w:rPr>
              <w:t>المسألة الثانیة أن یسبقه منع المالک،</w:t>
            </w:r>
            <w:r>
              <w:rPr>
                <w:rStyle w:val="IndexLink"/>
                <w:rtl w:val="true"/>
              </w:rPr>
              <w:tab/>
            </w:r>
            <w:r>
              <w:rPr>
                <w:rStyle w:val="IndexLink"/>
              </w:rPr>
              <w:t>376</w:t>
            </w:r>
          </w:hyperlink>
        </w:p>
        <w:p>
          <w:pPr>
            <w:pStyle w:val="Contents6"/>
            <w:tabs>
              <w:tab w:val="clear" w:pos="7609"/>
              <w:tab w:val="right" w:pos="9026" w:leader="dot"/>
            </w:tabs>
            <w:rPr/>
          </w:pPr>
          <w:hyperlink w:anchor="__RefHeading___Toc5082918_2314609296">
            <w:r>
              <w:rPr>
                <w:webHidden/>
                <w:rStyle w:val="IndexLink"/>
                <w:rtl w:val="true"/>
              </w:rPr>
              <w:t>المسألة الثالثة أن یبیع الفضولی لنفسه،</w:t>
            </w:r>
            <w:r>
              <w:rPr>
                <w:rStyle w:val="IndexLink"/>
                <w:rtl w:val="true"/>
              </w:rPr>
              <w:tab/>
            </w:r>
            <w:r>
              <w:rPr>
                <w:rStyle w:val="IndexLink"/>
              </w:rPr>
              <w:t>379</w:t>
            </w:r>
          </w:hyperlink>
        </w:p>
        <w:p>
          <w:pPr>
            <w:pStyle w:val="Contents6"/>
            <w:tabs>
              <w:tab w:val="clear" w:pos="7609"/>
              <w:tab w:val="right" w:pos="9026" w:leader="dot"/>
            </w:tabs>
            <w:rPr/>
          </w:pPr>
          <w:hyperlink w:anchor="__RefHeading___Toc5082920_2314609296">
            <w:r>
              <w:rPr>
                <w:webHidden/>
                <w:rStyle w:val="IndexLink"/>
                <w:rtl w:val="true"/>
              </w:rPr>
              <w:t>[</w:t>
            </w:r>
            <w:r>
              <w:rPr>
                <w:rStyle w:val="IndexLink"/>
                <w:rtl w:val="true"/>
              </w:rPr>
              <w:t>الأقوی الصحة و الدلیل علیه</w:t>
            </w:r>
            <w:r>
              <w:rPr>
                <w:rStyle w:val="IndexLink"/>
                <w:rtl w:val="true"/>
              </w:rPr>
              <w:t>]</w:t>
              <w:tab/>
            </w:r>
            <w:r>
              <w:rPr>
                <w:rStyle w:val="IndexLink"/>
              </w:rPr>
              <w:t>379</w:t>
            </w:r>
          </w:hyperlink>
        </w:p>
        <w:p>
          <w:pPr>
            <w:pStyle w:val="Contents6"/>
            <w:tabs>
              <w:tab w:val="clear" w:pos="7609"/>
              <w:tab w:val="right" w:pos="9026" w:leader="dot"/>
            </w:tabs>
            <w:rPr/>
          </w:pPr>
          <w:hyperlink w:anchor="__RefHeading___Toc5082922_2314609296">
            <w:r>
              <w:rPr>
                <w:webHidden/>
                <w:rStyle w:val="IndexLink"/>
                <w:rtl w:val="true"/>
              </w:rPr>
              <w:t>[</w:t>
            </w:r>
            <w:r>
              <w:rPr>
                <w:rStyle w:val="IndexLink"/>
                <w:rtl w:val="true"/>
              </w:rPr>
              <w:t>الإشکال علی صحة هذا البیع من وجوه</w:t>
            </w:r>
            <w:r>
              <w:rPr>
                <w:rStyle w:val="IndexLink"/>
                <w:rtl w:val="true"/>
              </w:rPr>
              <w:t>]</w:t>
              <w:tab/>
            </w:r>
            <w:r>
              <w:rPr>
                <w:rStyle w:val="IndexLink"/>
              </w:rPr>
              <w:t>379</w:t>
            </w:r>
          </w:hyperlink>
        </w:p>
        <w:p>
          <w:pPr>
            <w:pStyle w:val="Contents6"/>
            <w:tabs>
              <w:tab w:val="clear" w:pos="7609"/>
              <w:tab w:val="right" w:pos="9026" w:leader="dot"/>
            </w:tabs>
            <w:rPr/>
          </w:pPr>
          <w:hyperlink w:anchor="__RefHeading___Toc5082924_2314609296">
            <w:r>
              <w:rPr>
                <w:webHidden/>
                <w:rStyle w:val="IndexLink"/>
                <w:rtl w:val="true"/>
              </w:rPr>
              <w:t>[</w:t>
            </w:r>
            <w:r>
              <w:rPr>
                <w:rStyle w:val="IndexLink"/>
                <w:rtl w:val="true"/>
              </w:rPr>
              <w:t>الوجه الأول و جوابه</w:t>
            </w:r>
            <w:r>
              <w:rPr>
                <w:rStyle w:val="IndexLink"/>
                <w:rtl w:val="true"/>
              </w:rPr>
              <w:t>]</w:t>
              <w:tab/>
            </w:r>
            <w:r>
              <w:rPr>
                <w:rStyle w:val="IndexLink"/>
              </w:rPr>
              <w:t>379</w:t>
            </w:r>
          </w:hyperlink>
        </w:p>
        <w:p>
          <w:pPr>
            <w:pStyle w:val="Contents6"/>
            <w:tabs>
              <w:tab w:val="clear" w:pos="7609"/>
              <w:tab w:val="right" w:pos="9026" w:leader="dot"/>
            </w:tabs>
            <w:rPr/>
          </w:pPr>
          <w:hyperlink w:anchor="__RefHeading___Toc5082926_2314609296">
            <w:r>
              <w:rPr>
                <w:webHidden/>
                <w:rStyle w:val="IndexLink"/>
                <w:rtl w:val="true"/>
              </w:rPr>
              <w:t>[</w:t>
            </w:r>
            <w:r>
              <w:rPr>
                <w:rStyle w:val="IndexLink"/>
                <w:rtl w:val="true"/>
              </w:rPr>
              <w:t>الوجه الثانی و جوابه</w:t>
            </w:r>
            <w:r>
              <w:rPr>
                <w:rStyle w:val="IndexLink"/>
                <w:rtl w:val="true"/>
              </w:rPr>
              <w:t>]</w:t>
              <w:tab/>
            </w:r>
            <w:r>
              <w:rPr>
                <w:rStyle w:val="IndexLink"/>
              </w:rPr>
              <w:t>380</w:t>
            </w:r>
          </w:hyperlink>
        </w:p>
        <w:p>
          <w:pPr>
            <w:pStyle w:val="Contents6"/>
            <w:tabs>
              <w:tab w:val="clear" w:pos="7609"/>
              <w:tab w:val="right" w:pos="9026" w:leader="dot"/>
            </w:tabs>
            <w:rPr/>
          </w:pPr>
          <w:hyperlink w:anchor="__RefHeading___Toc5082928_2314609296">
            <w:r>
              <w:rPr>
                <w:webHidden/>
                <w:rStyle w:val="IndexLink"/>
                <w:rtl w:val="true"/>
              </w:rPr>
              <w:t>[</w:t>
            </w:r>
            <w:r>
              <w:rPr>
                <w:rStyle w:val="IndexLink"/>
                <w:rtl w:val="true"/>
              </w:rPr>
              <w:t>الوجه الثالث و جوابه</w:t>
            </w:r>
            <w:r>
              <w:rPr>
                <w:rStyle w:val="IndexLink"/>
                <w:rtl w:val="true"/>
              </w:rPr>
              <w:t>]</w:t>
              <w:tab/>
            </w:r>
            <w:r>
              <w:rPr>
                <w:rStyle w:val="IndexLink"/>
              </w:rPr>
              <w:t>380</w:t>
            </w:r>
          </w:hyperlink>
        </w:p>
        <w:p>
          <w:pPr>
            <w:pStyle w:val="Contents6"/>
            <w:tabs>
              <w:tab w:val="clear" w:pos="7609"/>
              <w:tab w:val="right" w:pos="9026" w:leader="dot"/>
            </w:tabs>
            <w:rPr/>
          </w:pPr>
          <w:hyperlink w:anchor="__RefHeading___Toc5082930_2314609296">
            <w:r>
              <w:rPr>
                <w:webHidden/>
                <w:rStyle w:val="IndexLink"/>
                <w:rtl w:val="true"/>
              </w:rPr>
              <w:t>[</w:t>
            </w:r>
            <w:r>
              <w:rPr>
                <w:rStyle w:val="IndexLink"/>
                <w:rtl w:val="true"/>
              </w:rPr>
              <w:t>الوجه الرابع و المناقشات فیه و الجواب عنها</w:t>
            </w:r>
            <w:r>
              <w:rPr>
                <w:rStyle w:val="IndexLink"/>
                <w:rtl w:val="true"/>
              </w:rPr>
              <w:t>]</w:t>
              <w:tab/>
            </w:r>
            <w:r>
              <w:rPr>
                <w:rStyle w:val="IndexLink"/>
              </w:rPr>
              <w:t>381</w:t>
            </w:r>
          </w:hyperlink>
        </w:p>
        <w:p>
          <w:pPr>
            <w:pStyle w:val="Contents6"/>
            <w:tabs>
              <w:tab w:val="clear" w:pos="7609"/>
              <w:tab w:val="right" w:pos="9026" w:leader="dot"/>
            </w:tabs>
            <w:rPr/>
          </w:pPr>
          <w:hyperlink w:anchor="__RefHeading___Toc5082932_2314609296">
            <w:r>
              <w:rPr>
                <w:webHidden/>
                <w:rStyle w:val="IndexLink"/>
                <w:rtl w:val="true"/>
              </w:rPr>
              <w:t>[</w:t>
            </w:r>
            <w:r>
              <w:rPr>
                <w:rStyle w:val="IndexLink"/>
                <w:rtl w:val="true"/>
              </w:rPr>
              <w:t>الوجه الخامس و جوابه</w:t>
            </w:r>
            <w:r>
              <w:rPr>
                <w:rStyle w:val="IndexLink"/>
                <w:rtl w:val="true"/>
              </w:rPr>
              <w:t>]</w:t>
              <w:tab/>
            </w:r>
            <w:r>
              <w:rPr>
                <w:rStyle w:val="IndexLink"/>
              </w:rPr>
              <w:t>391</w:t>
            </w:r>
          </w:hyperlink>
        </w:p>
        <w:p>
          <w:pPr>
            <w:pStyle w:val="Contents6"/>
            <w:tabs>
              <w:tab w:val="clear" w:pos="7609"/>
              <w:tab w:val="right" w:pos="9026" w:leader="dot"/>
            </w:tabs>
            <w:rPr/>
          </w:pPr>
          <w:hyperlink w:anchor="__RefHeading___Toc5082934_2314609296">
            <w:r>
              <w:rPr>
                <w:webHidden/>
                <w:rStyle w:val="IndexLink"/>
                <w:rtl w:val="true"/>
              </w:rPr>
              <w:t>بقی هنا أمران</w:t>
            </w:r>
            <w:r>
              <w:rPr>
                <w:rStyle w:val="IndexLink"/>
                <w:rtl w:val="true"/>
              </w:rPr>
              <w:t>:</w:t>
              <w:tab/>
            </w:r>
            <w:r>
              <w:rPr>
                <w:rStyle w:val="IndexLink"/>
              </w:rPr>
              <w:t>393</w:t>
            </w:r>
          </w:hyperlink>
        </w:p>
        <w:p>
          <w:pPr>
            <w:pStyle w:val="Contents6"/>
            <w:tabs>
              <w:tab w:val="clear" w:pos="7609"/>
              <w:tab w:val="right" w:pos="9026" w:leader="dot"/>
            </w:tabs>
            <w:rPr/>
          </w:pPr>
          <w:hyperlink w:anchor="__RefHeading___Toc5082936_2314609296">
            <w:r>
              <w:rPr>
                <w:webHidden/>
                <w:rStyle w:val="IndexLink"/>
                <w:rtl w:val="true"/>
              </w:rPr>
              <w:t>الأوّل</w:t>
            </w:r>
            <w:r>
              <w:rPr>
                <w:rStyle w:val="IndexLink"/>
                <w:rtl w:val="true"/>
              </w:rPr>
              <w:t xml:space="preserve">: </w:t>
            </w:r>
            <w:r>
              <w:rPr>
                <w:rStyle w:val="IndexLink"/>
                <w:rtl w:val="true"/>
              </w:rPr>
              <w:t>أنّه لا فرق علی القول بصحّة بیع الفضولی بین کون مال الغیر عیناً أو دیناً</w:t>
            </w:r>
            <w:r>
              <w:rPr>
                <w:rStyle w:val="IndexLink"/>
                <w:rtl w:val="true"/>
              </w:rPr>
              <w:tab/>
            </w:r>
            <w:r>
              <w:rPr>
                <w:rStyle w:val="IndexLink"/>
              </w:rPr>
              <w:t>393</w:t>
            </w:r>
          </w:hyperlink>
        </w:p>
        <w:p>
          <w:pPr>
            <w:pStyle w:val="Contents6"/>
            <w:tabs>
              <w:tab w:val="clear" w:pos="7609"/>
              <w:tab w:val="right" w:pos="9026" w:leader="dot"/>
            </w:tabs>
            <w:rPr/>
          </w:pPr>
          <w:hyperlink w:anchor="__RefHeading___Toc5082938_2314609296">
            <w:r>
              <w:rPr>
                <w:webHidden/>
                <w:rStyle w:val="IndexLink"/>
                <w:rtl w:val="true"/>
              </w:rPr>
              <w:t>الثانی</w:t>
            </w:r>
            <w:r>
              <w:rPr>
                <w:rStyle w:val="IndexLink"/>
                <w:rtl w:val="true"/>
              </w:rPr>
              <w:t xml:space="preserve">: </w:t>
            </w:r>
            <w:r>
              <w:rPr>
                <w:rStyle w:val="IndexLink"/>
                <w:rtl w:val="true"/>
              </w:rPr>
              <w:t>الظاهر أنّه لا فرق فیما ذکرنا من أقسام بیع الفضولی بین البیع العقدی و المعاطاة؛</w:t>
            </w:r>
            <w:r>
              <w:rPr>
                <w:rStyle w:val="IndexLink"/>
                <w:rtl w:val="true"/>
              </w:rPr>
              <w:tab/>
            </w:r>
            <w:r>
              <w:rPr>
                <w:rStyle w:val="IndexLink"/>
              </w:rPr>
              <w:t>397</w:t>
            </w:r>
          </w:hyperlink>
        </w:p>
        <w:p>
          <w:pPr>
            <w:pStyle w:val="Contents6"/>
            <w:tabs>
              <w:tab w:val="clear" w:pos="7609"/>
              <w:tab w:val="right" w:pos="9026" w:leader="dot"/>
            </w:tabs>
            <w:rPr/>
          </w:pPr>
          <w:hyperlink w:anchor="__RefHeading___Toc5082940_2314609296">
            <w:r>
              <w:rPr>
                <w:webHidden/>
                <w:rStyle w:val="IndexLink"/>
                <w:rtl w:val="true"/>
              </w:rPr>
              <w:t>القول فی الإجازة و الردّ</w:t>
            </w:r>
            <w:r>
              <w:rPr>
                <w:rStyle w:val="IndexLink"/>
                <w:rtl w:val="true"/>
              </w:rPr>
              <w:tab/>
            </w:r>
            <w:r>
              <w:rPr>
                <w:rStyle w:val="IndexLink"/>
              </w:rPr>
              <w:t>401</w:t>
            </w:r>
          </w:hyperlink>
        </w:p>
        <w:p>
          <w:pPr>
            <w:pStyle w:val="Contents6"/>
            <w:tabs>
              <w:tab w:val="clear" w:pos="7609"/>
              <w:tab w:val="right" w:pos="9026" w:leader="dot"/>
            </w:tabs>
            <w:rPr/>
          </w:pPr>
          <w:hyperlink w:anchor="__RefHeading___Toc5082942_2314609296">
            <w:r>
              <w:rPr>
                <w:webHidden/>
                <w:rStyle w:val="IndexLink"/>
                <w:rtl w:val="true"/>
              </w:rPr>
              <w:t>أمّا الکلام فی الإجازة</w:t>
            </w:r>
            <w:r>
              <w:rPr>
                <w:rStyle w:val="IndexLink"/>
                <w:rtl w:val="true"/>
              </w:rPr>
              <w:t>:</w:t>
              <w:tab/>
            </w:r>
            <w:r>
              <w:rPr>
                <w:rStyle w:val="IndexLink"/>
              </w:rPr>
              <w:t>401</w:t>
            </w:r>
          </w:hyperlink>
        </w:p>
        <w:p>
          <w:pPr>
            <w:pStyle w:val="Contents6"/>
            <w:tabs>
              <w:tab w:val="clear" w:pos="7609"/>
              <w:tab w:val="right" w:pos="9026" w:leader="dot"/>
            </w:tabs>
            <w:rPr/>
          </w:pPr>
          <w:hyperlink w:anchor="__RefHeading___Toc5082944_2314609296">
            <w:r>
              <w:rPr>
                <w:webHidden/>
                <w:rStyle w:val="IndexLink"/>
                <w:rtl w:val="true"/>
              </w:rPr>
              <w:t>[</w:t>
            </w:r>
            <w:r>
              <w:rPr>
                <w:rStyle w:val="IndexLink"/>
                <w:rtl w:val="true"/>
              </w:rPr>
              <w:t>هل الإجازة کاشفة أم ناقلة</w:t>
            </w:r>
            <w:r>
              <w:rPr>
                <w:rStyle w:val="IndexLink"/>
                <w:rtl w:val="true"/>
              </w:rPr>
              <w:t>]</w:t>
              <w:tab/>
            </w:r>
            <w:r>
              <w:rPr>
                <w:rStyle w:val="IndexLink"/>
              </w:rPr>
              <w:t>401</w:t>
            </w:r>
          </w:hyperlink>
        </w:p>
        <w:p>
          <w:pPr>
            <w:pStyle w:val="Contents6"/>
            <w:tabs>
              <w:tab w:val="clear" w:pos="7609"/>
              <w:tab w:val="right" w:pos="9026" w:leader="dot"/>
            </w:tabs>
            <w:rPr/>
          </w:pPr>
          <w:hyperlink w:anchor="__RefHeading___Toc5082946_2314609296">
            <w:r>
              <w:rPr>
                <w:webHidden/>
                <w:rStyle w:val="IndexLink"/>
                <w:rtl w:val="true"/>
              </w:rPr>
              <w:t>أمّا حکمها،</w:t>
            </w:r>
            <w:r>
              <w:rPr>
                <w:rStyle w:val="IndexLink"/>
                <w:rtl w:val="true"/>
              </w:rPr>
              <w:tab/>
            </w:r>
            <w:r>
              <w:rPr>
                <w:rStyle w:val="IndexLink"/>
              </w:rPr>
              <w:t>401</w:t>
            </w:r>
          </w:hyperlink>
        </w:p>
        <w:p>
          <w:pPr>
            <w:pStyle w:val="Contents6"/>
            <w:tabs>
              <w:tab w:val="clear" w:pos="7609"/>
              <w:tab w:val="right" w:pos="9026" w:leader="dot"/>
            </w:tabs>
            <w:rPr/>
          </w:pPr>
          <w:hyperlink w:anchor="__RefHeading___Toc5082948_2314609296">
            <w:r>
              <w:rPr>
                <w:webHidden/>
                <w:rStyle w:val="IndexLink"/>
                <w:rtl w:val="true"/>
              </w:rPr>
              <w:t>[</w:t>
            </w:r>
            <w:r>
              <w:rPr>
                <w:rStyle w:val="IndexLink"/>
                <w:rtl w:val="true"/>
              </w:rPr>
              <w:t>الأکثر علی الکشف</w:t>
            </w:r>
            <w:r>
              <w:rPr>
                <w:rStyle w:val="IndexLink"/>
                <w:rtl w:val="true"/>
              </w:rPr>
              <w:t>]</w:t>
              <w:tab/>
            </w:r>
            <w:r>
              <w:rPr>
                <w:rStyle w:val="IndexLink"/>
              </w:rPr>
              <w:t>401</w:t>
            </w:r>
          </w:hyperlink>
        </w:p>
        <w:p>
          <w:pPr>
            <w:pStyle w:val="Contents6"/>
            <w:tabs>
              <w:tab w:val="clear" w:pos="7609"/>
              <w:tab w:val="right" w:pos="9026" w:leader="dot"/>
            </w:tabs>
            <w:rPr/>
          </w:pPr>
          <w:hyperlink w:anchor="__RefHeading___Toc5082950_2314609296">
            <w:r>
              <w:rPr>
                <w:webHidden/>
                <w:rStyle w:val="IndexLink"/>
                <w:rtl w:val="true"/>
              </w:rPr>
              <w:t>[</w:t>
            </w:r>
            <w:r>
              <w:rPr>
                <w:rStyle w:val="IndexLink"/>
                <w:rtl w:val="true"/>
              </w:rPr>
              <w:t>الکلام فی أدلة القائلین بالکشف و المناقشات فیها</w:t>
            </w:r>
            <w:r>
              <w:rPr>
                <w:rStyle w:val="IndexLink"/>
                <w:rtl w:val="true"/>
              </w:rPr>
              <w:t>]</w:t>
              <w:tab/>
            </w:r>
            <w:r>
              <w:rPr>
                <w:rStyle w:val="IndexLink"/>
              </w:rPr>
              <w:t>401</w:t>
            </w:r>
          </w:hyperlink>
        </w:p>
        <w:p>
          <w:pPr>
            <w:pStyle w:val="Contents6"/>
            <w:tabs>
              <w:tab w:val="clear" w:pos="7609"/>
              <w:tab w:val="right" w:pos="9026" w:leader="dot"/>
            </w:tabs>
            <w:rPr/>
          </w:pPr>
          <w:hyperlink w:anchor="__RefHeading___Toc5082952_2314609296">
            <w:r>
              <w:rPr>
                <w:webHidden/>
                <w:rStyle w:val="IndexLink"/>
                <w:rtl w:val="true"/>
              </w:rPr>
              <w:t>[</w:t>
            </w:r>
            <w:r>
              <w:rPr>
                <w:rStyle w:val="IndexLink"/>
                <w:rtl w:val="true"/>
              </w:rPr>
              <w:t>معانی الکشف</w:t>
            </w:r>
            <w:r>
              <w:rPr>
                <w:rStyle w:val="IndexLink"/>
                <w:rtl w:val="true"/>
              </w:rPr>
              <w:t>]</w:t>
              <w:tab/>
            </w:r>
            <w:r>
              <w:rPr>
                <w:rStyle w:val="IndexLink"/>
              </w:rPr>
              <w:t>410</w:t>
            </w:r>
          </w:hyperlink>
        </w:p>
        <w:p>
          <w:pPr>
            <w:pStyle w:val="Contents6"/>
            <w:tabs>
              <w:tab w:val="clear" w:pos="7609"/>
              <w:tab w:val="right" w:pos="9026" w:leader="dot"/>
            </w:tabs>
            <w:rPr/>
          </w:pPr>
          <w:hyperlink w:anchor="__RefHeading___Toc5082954_2314609296">
            <w:r>
              <w:rPr>
                <w:webHidden/>
                <w:rStyle w:val="IndexLink"/>
                <w:rtl w:val="true"/>
              </w:rPr>
              <w:t>ثمّ،إنّهم ذکروا للثمرة بین الکشف و النقل مواضع</w:t>
            </w:r>
            <w:r>
              <w:rPr>
                <w:rStyle w:val="IndexLink"/>
                <w:rtl w:val="true"/>
              </w:rPr>
              <w:t>:</w:t>
              <w:tab/>
            </w:r>
            <w:r>
              <w:rPr>
                <w:rStyle w:val="IndexLink"/>
              </w:rPr>
              <w:t>413</w:t>
            </w:r>
          </w:hyperlink>
        </w:p>
        <w:p>
          <w:pPr>
            <w:pStyle w:val="Contents6"/>
            <w:tabs>
              <w:tab w:val="clear" w:pos="7609"/>
              <w:tab w:val="right" w:pos="9026" w:leader="dot"/>
            </w:tabs>
            <w:rPr/>
          </w:pPr>
          <w:hyperlink w:anchor="__RefHeading___Toc5082956_2314609296">
            <w:r>
              <w:rPr>
                <w:webHidden/>
                <w:rStyle w:val="IndexLink"/>
                <w:rtl w:val="true"/>
              </w:rPr>
              <w:t>منها</w:t>
            </w:r>
            <w:r>
              <w:rPr>
                <w:rStyle w:val="IndexLink"/>
                <w:rtl w:val="true"/>
              </w:rPr>
              <w:t>:</w:t>
            </w:r>
            <w:r>
              <w:rPr>
                <w:rStyle w:val="IndexLink"/>
                <w:rtl w:val="true"/>
              </w:rPr>
              <w:t>النماء،</w:t>
            </w:r>
            <w:r>
              <w:rPr>
                <w:rStyle w:val="IndexLink"/>
                <w:rtl w:val="true"/>
              </w:rPr>
              <w:tab/>
            </w:r>
            <w:r>
              <w:rPr>
                <w:rStyle w:val="IndexLink"/>
              </w:rPr>
              <w:t>413</w:t>
            </w:r>
          </w:hyperlink>
        </w:p>
        <w:p>
          <w:pPr>
            <w:pStyle w:val="Contents6"/>
            <w:tabs>
              <w:tab w:val="clear" w:pos="7609"/>
              <w:tab w:val="right" w:pos="9026" w:leader="dot"/>
            </w:tabs>
            <w:rPr/>
          </w:pPr>
          <w:hyperlink w:anchor="__RefHeading___Toc5082958_2314609296">
            <w:r>
              <w:rPr>
                <w:webHidden/>
                <w:rStyle w:val="IndexLink"/>
                <w:rtl w:val="true"/>
              </w:rPr>
              <w:t>و منها</w:t>
            </w:r>
            <w:r>
              <w:rPr>
                <w:rStyle w:val="IndexLink"/>
                <w:rtl w:val="true"/>
              </w:rPr>
              <w:t>:</w:t>
            </w:r>
            <w:r>
              <w:rPr>
                <w:rStyle w:val="IndexLink"/>
                <w:rtl w:val="true"/>
              </w:rPr>
              <w:t>أنّ فسخ الأصیل لإنشائه قبل إجازة الآخر مبطل له علی القول بالنقل،دون الکشف،</w:t>
            </w:r>
            <w:r>
              <w:rPr>
                <w:rStyle w:val="IndexLink"/>
                <w:rtl w:val="true"/>
              </w:rPr>
              <w:tab/>
            </w:r>
            <w:r>
              <w:rPr>
                <w:rStyle w:val="IndexLink"/>
              </w:rPr>
              <w:t>414</w:t>
            </w:r>
          </w:hyperlink>
        </w:p>
        <w:p>
          <w:pPr>
            <w:pStyle w:val="Contents6"/>
            <w:tabs>
              <w:tab w:val="clear" w:pos="7609"/>
              <w:tab w:val="right" w:pos="9026" w:leader="dot"/>
            </w:tabs>
            <w:rPr/>
          </w:pPr>
          <w:hyperlink w:anchor="__RefHeading___Toc5082960_2314609296">
            <w:r>
              <w:rPr>
                <w:webHidden/>
                <w:rStyle w:val="IndexLink"/>
                <w:rtl w:val="true"/>
              </w:rPr>
              <w:t>و منها</w:t>
            </w:r>
            <w:r>
              <w:rPr>
                <w:rStyle w:val="IndexLink"/>
                <w:rtl w:val="true"/>
              </w:rPr>
              <w:t>:</w:t>
            </w:r>
            <w:r>
              <w:rPr>
                <w:rStyle w:val="IndexLink"/>
                <w:rtl w:val="true"/>
              </w:rPr>
              <w:t>جواز تصرّف الأصیل فیما انتقل عنه بناءً علی النقل،</w:t>
            </w:r>
            <w:r>
              <w:rPr>
                <w:rStyle w:val="IndexLink"/>
                <w:rtl w:val="true"/>
              </w:rPr>
              <w:tab/>
            </w:r>
            <w:r>
              <w:rPr>
                <w:rStyle w:val="IndexLink"/>
              </w:rPr>
              <w:t>415</w:t>
            </w:r>
          </w:hyperlink>
        </w:p>
        <w:p>
          <w:pPr>
            <w:pStyle w:val="Contents6"/>
            <w:tabs>
              <w:tab w:val="clear" w:pos="7609"/>
              <w:tab w:val="right" w:pos="9026" w:leader="dot"/>
            </w:tabs>
            <w:rPr/>
          </w:pPr>
          <w:hyperlink w:anchor="__RefHeading___Toc5082962_2314609296">
            <w:r>
              <w:rPr>
                <w:webHidden/>
                <w:rStyle w:val="IndexLink"/>
                <w:rtl w:val="true"/>
              </w:rPr>
              <w:t>ثمّ إنّ بعض متأخّری المتأخّرین ذکر ثمرات أُخر لا بأس بذکرها للتنبّه بها</w:t>
            </w:r>
            <w:r>
              <w:rPr>
                <w:rStyle w:val="IndexLink"/>
                <w:rtl w:val="true"/>
              </w:rPr>
              <w:tab/>
            </w:r>
            <w:r>
              <w:rPr>
                <w:rStyle w:val="IndexLink"/>
              </w:rPr>
              <w:t>420</w:t>
            </w:r>
          </w:hyperlink>
        </w:p>
        <w:p>
          <w:pPr>
            <w:pStyle w:val="Contents6"/>
            <w:tabs>
              <w:tab w:val="clear" w:pos="7609"/>
              <w:tab w:val="right" w:pos="9026" w:leader="dot"/>
            </w:tabs>
            <w:rPr/>
          </w:pPr>
          <w:hyperlink w:anchor="__RefHeading___Toc5082964_2314609296">
            <w:r>
              <w:rPr>
                <w:webHidden/>
                <w:rStyle w:val="IndexLink"/>
                <w:rtl w:val="true"/>
              </w:rPr>
              <w:t>[</w:t>
            </w:r>
            <w:r>
              <w:rPr>
                <w:rStyle w:val="IndexLink"/>
                <w:rtl w:val="true"/>
              </w:rPr>
              <w:t>أما شروطها</w:t>
            </w:r>
            <w:r>
              <w:rPr>
                <w:rStyle w:val="IndexLink"/>
                <w:rtl w:val="true"/>
              </w:rPr>
              <w:t>]</w:t>
              <w:tab/>
            </w:r>
            <w:r>
              <w:rPr>
                <w:rStyle w:val="IndexLink"/>
              </w:rPr>
              <w:t>423</w:t>
            </w:r>
          </w:hyperlink>
        </w:p>
        <w:p>
          <w:pPr>
            <w:pStyle w:val="Contents6"/>
            <w:tabs>
              <w:tab w:val="clear" w:pos="7609"/>
              <w:tab w:val="right" w:pos="9026" w:leader="dot"/>
            </w:tabs>
            <w:rPr/>
          </w:pPr>
          <w:hyperlink w:anchor="__RefHeading___Toc5082966_2314609296">
            <w:r>
              <w:rPr>
                <w:webHidden/>
                <w:rStyle w:val="IndexLink"/>
                <w:rtl w:val="true"/>
              </w:rPr>
              <w:t>و ینبغی التنبیه علی أُمور</w:t>
            </w:r>
            <w:r>
              <w:rPr>
                <w:rStyle w:val="IndexLink"/>
                <w:rtl w:val="true"/>
              </w:rPr>
              <w:t>:</w:t>
              <w:tab/>
            </w:r>
            <w:r>
              <w:rPr>
                <w:rStyle w:val="IndexLink"/>
              </w:rPr>
              <w:t>423</w:t>
            </w:r>
          </w:hyperlink>
        </w:p>
        <w:p>
          <w:pPr>
            <w:pStyle w:val="Contents6"/>
            <w:tabs>
              <w:tab w:val="clear" w:pos="7609"/>
              <w:tab w:val="right" w:pos="9026" w:leader="dot"/>
            </w:tabs>
            <w:rPr/>
          </w:pPr>
          <w:hyperlink w:anchor="__RefHeading___Toc5082968_2314609296">
            <w:r>
              <w:rPr>
                <w:webHidden/>
                <w:rStyle w:val="IndexLink"/>
                <w:rtl w:val="true"/>
              </w:rPr>
              <w:t>الأوّل أنّ الخلاف فی کون الإجازة کاشفة أو ناقلة لیس فی مفهومها اللغوی</w:t>
            </w:r>
            <w:r>
              <w:rPr>
                <w:rStyle w:val="IndexLink"/>
                <w:rtl w:val="true"/>
              </w:rPr>
              <w:tab/>
            </w:r>
            <w:r>
              <w:rPr>
                <w:rStyle w:val="IndexLink"/>
              </w:rPr>
              <w:t>423</w:t>
            </w:r>
          </w:hyperlink>
        </w:p>
        <w:p>
          <w:pPr>
            <w:pStyle w:val="Contents6"/>
            <w:tabs>
              <w:tab w:val="clear" w:pos="7609"/>
              <w:tab w:val="right" w:pos="9026" w:leader="dot"/>
            </w:tabs>
            <w:rPr/>
          </w:pPr>
          <w:hyperlink w:anchor="__RefHeading___Toc5082970_2314609296">
            <w:r>
              <w:rPr>
                <w:webHidden/>
                <w:rStyle w:val="IndexLink"/>
                <w:rtl w:val="true"/>
              </w:rPr>
              <w:t>الثانی أنّه یشترط فی الإجازة أن یکون باللفظ الدالّ علیه</w:t>
            </w:r>
            <w:r>
              <w:rPr>
                <w:rStyle w:val="IndexLink"/>
                <w:rtl w:val="true"/>
              </w:rPr>
              <w:tab/>
            </w:r>
            <w:r>
              <w:rPr>
                <w:rStyle w:val="IndexLink"/>
              </w:rPr>
              <w:t>423</w:t>
            </w:r>
          </w:hyperlink>
        </w:p>
        <w:p>
          <w:pPr>
            <w:pStyle w:val="Contents6"/>
            <w:tabs>
              <w:tab w:val="clear" w:pos="7609"/>
              <w:tab w:val="right" w:pos="9026" w:leader="dot"/>
            </w:tabs>
            <w:rPr/>
          </w:pPr>
          <w:hyperlink w:anchor="__RefHeading___Toc5082972_2314609296">
            <w:r>
              <w:rPr>
                <w:webHidden/>
                <w:rStyle w:val="IndexLink"/>
                <w:rtl w:val="true"/>
              </w:rPr>
              <w:t>[</w:t>
            </w:r>
            <w:r>
              <w:rPr>
                <w:rStyle w:val="IndexLink"/>
                <w:rtl w:val="true"/>
              </w:rPr>
              <w:t>کفایة الفعل الکاشف عن الرضا فی الإجازة</w:t>
            </w:r>
            <w:r>
              <w:rPr>
                <w:rStyle w:val="IndexLink"/>
                <w:rtl w:val="true"/>
              </w:rPr>
              <w:t>]</w:t>
              <w:tab/>
            </w:r>
            <w:r>
              <w:rPr>
                <w:rStyle w:val="IndexLink"/>
              </w:rPr>
              <w:t>424</w:t>
            </w:r>
          </w:hyperlink>
        </w:p>
        <w:p>
          <w:pPr>
            <w:pStyle w:val="Contents6"/>
            <w:tabs>
              <w:tab w:val="clear" w:pos="7609"/>
              <w:tab w:val="right" w:pos="9026" w:leader="dot"/>
            </w:tabs>
            <w:rPr/>
          </w:pPr>
          <w:hyperlink w:anchor="__RefHeading___Toc5082974_2314609296">
            <w:r>
              <w:rPr>
                <w:webHidden/>
                <w:rStyle w:val="IndexLink"/>
                <w:rtl w:val="true"/>
              </w:rPr>
              <w:t>[</w:t>
            </w:r>
            <w:r>
              <w:rPr>
                <w:rStyle w:val="IndexLink"/>
                <w:rtl w:val="true"/>
              </w:rPr>
              <w:t>کفایة الرضا الباطنی،و الاستدلال علیه</w:t>
            </w:r>
            <w:r>
              <w:rPr>
                <w:rStyle w:val="IndexLink"/>
                <w:rtl w:val="true"/>
              </w:rPr>
              <w:t>]</w:t>
              <w:tab/>
            </w:r>
            <w:r>
              <w:rPr>
                <w:rStyle w:val="IndexLink"/>
              </w:rPr>
              <w:t>426</w:t>
            </w:r>
          </w:hyperlink>
        </w:p>
        <w:p>
          <w:pPr>
            <w:pStyle w:val="Contents6"/>
            <w:tabs>
              <w:tab w:val="clear" w:pos="7609"/>
              <w:tab w:val="right" w:pos="9026" w:leader="dot"/>
            </w:tabs>
            <w:rPr/>
          </w:pPr>
          <w:hyperlink w:anchor="__RefHeading___Toc5082976_2314609296">
            <w:r>
              <w:rPr>
                <w:webHidden/>
                <w:rStyle w:val="IndexLink"/>
                <w:rtl w:val="true"/>
              </w:rPr>
              <w:t>[</w:t>
            </w:r>
            <w:r>
              <w:rPr>
                <w:rStyle w:val="IndexLink"/>
                <w:rtl w:val="true"/>
              </w:rPr>
              <w:t>هل یکفی الرضا مقارنا للعقد أو سابقا علیه؟</w:t>
            </w:r>
            <w:r>
              <w:rPr>
                <w:rStyle w:val="IndexLink"/>
                <w:rtl w:val="true"/>
              </w:rPr>
              <w:t>]</w:t>
              <w:tab/>
            </w:r>
            <w:r>
              <w:rPr>
                <w:rStyle w:val="IndexLink"/>
              </w:rPr>
              <w:t>427</w:t>
            </w:r>
          </w:hyperlink>
        </w:p>
        <w:p>
          <w:pPr>
            <w:pStyle w:val="Contents6"/>
            <w:tabs>
              <w:tab w:val="clear" w:pos="7609"/>
              <w:tab w:val="right" w:pos="9026" w:leader="dot"/>
            </w:tabs>
            <w:rPr/>
          </w:pPr>
          <w:hyperlink w:anchor="__RefHeading___Toc5082978_2314609296">
            <w:r>
              <w:rPr>
                <w:webHidden/>
                <w:rStyle w:val="IndexLink"/>
                <w:rtl w:val="true"/>
              </w:rPr>
              <w:t>الثالث من شروط الإجازة أن لا یسبقها الردّ؛</w:t>
            </w:r>
            <w:r>
              <w:rPr>
                <w:rStyle w:val="IndexLink"/>
                <w:rtl w:val="true"/>
              </w:rPr>
              <w:tab/>
            </w:r>
            <w:r>
              <w:rPr>
                <w:rStyle w:val="IndexLink"/>
              </w:rPr>
              <w:t>428</w:t>
            </w:r>
          </w:hyperlink>
        </w:p>
        <w:p>
          <w:pPr>
            <w:pStyle w:val="Contents6"/>
            <w:tabs>
              <w:tab w:val="clear" w:pos="7609"/>
              <w:tab w:val="right" w:pos="9026" w:leader="dot"/>
            </w:tabs>
            <w:rPr/>
          </w:pPr>
          <w:hyperlink w:anchor="__RefHeading___Toc5082980_2314609296">
            <w:r>
              <w:rPr>
                <w:webHidden/>
                <w:rStyle w:val="IndexLink"/>
                <w:rtl w:val="true"/>
              </w:rPr>
              <w:t>الرابع الإجازة أثر من آثار سلطنة المالک علی ماله،</w:t>
            </w:r>
            <w:r>
              <w:rPr>
                <w:rStyle w:val="IndexLink"/>
                <w:rtl w:val="true"/>
              </w:rPr>
              <w:tab/>
            </w:r>
            <w:r>
              <w:rPr>
                <w:rStyle w:val="IndexLink"/>
              </w:rPr>
              <w:t>429</w:t>
            </w:r>
          </w:hyperlink>
        </w:p>
        <w:p>
          <w:pPr>
            <w:pStyle w:val="Contents6"/>
            <w:tabs>
              <w:tab w:val="clear" w:pos="7609"/>
              <w:tab w:val="right" w:pos="9026" w:leader="dot"/>
            </w:tabs>
            <w:rPr/>
          </w:pPr>
          <w:hyperlink w:anchor="__RefHeading___Toc5082982_2314609296">
            <w:r>
              <w:rPr>
                <w:webHidden/>
                <w:rStyle w:val="IndexLink"/>
                <w:rtl w:val="true"/>
              </w:rPr>
              <w:t>الخامس إجازة البیع لیست إجازة لقبض الثمن،و لا لإقباض المبیع،</w:t>
            </w:r>
            <w:r>
              <w:rPr>
                <w:rStyle w:val="IndexLink"/>
                <w:rtl w:val="true"/>
              </w:rPr>
              <w:tab/>
            </w:r>
            <w:r>
              <w:rPr>
                <w:rStyle w:val="IndexLink"/>
              </w:rPr>
              <w:t>430</w:t>
            </w:r>
          </w:hyperlink>
        </w:p>
        <w:p>
          <w:pPr>
            <w:pStyle w:val="Contents6"/>
            <w:tabs>
              <w:tab w:val="clear" w:pos="7609"/>
              <w:tab w:val="right" w:pos="9026" w:leader="dot"/>
            </w:tabs>
            <w:rPr/>
          </w:pPr>
          <w:hyperlink w:anchor="__RefHeading___Toc5082984_2314609296">
            <w:r>
              <w:rPr>
                <w:webHidden/>
                <w:rStyle w:val="IndexLink"/>
                <w:rtl w:val="true"/>
              </w:rPr>
              <w:t>السادس الإجازة لیست علی الفور؛</w:t>
            </w:r>
            <w:r>
              <w:rPr>
                <w:rStyle w:val="IndexLink"/>
                <w:rtl w:val="true"/>
              </w:rPr>
              <w:tab/>
            </w:r>
            <w:r>
              <w:rPr>
                <w:rStyle w:val="IndexLink"/>
              </w:rPr>
              <w:t>431</w:t>
            </w:r>
          </w:hyperlink>
        </w:p>
        <w:p>
          <w:pPr>
            <w:pStyle w:val="Contents6"/>
            <w:tabs>
              <w:tab w:val="clear" w:pos="7609"/>
              <w:tab w:val="right" w:pos="9026" w:leader="dot"/>
            </w:tabs>
            <w:rPr/>
          </w:pPr>
          <w:hyperlink w:anchor="__RefHeading___Toc5082986_2314609296">
            <w:r>
              <w:rPr>
                <w:webHidden/>
                <w:rStyle w:val="IndexLink"/>
                <w:rtl w:val="true"/>
              </w:rPr>
              <w:t>السابع هل یعتبر فی صحّة الإجازة مطابقتها للعقد الواقع عموماً أو</w:t>
            </w:r>
            <w:r>
              <w:rPr>
                <w:rStyle w:val="IndexLink"/>
                <w:rtl w:val="true"/>
              </w:rPr>
              <w:tab/>
            </w:r>
            <w:r>
              <w:rPr>
                <w:rStyle w:val="IndexLink"/>
              </w:rPr>
              <w:t>431</w:t>
            </w:r>
          </w:hyperlink>
        </w:p>
        <w:p>
          <w:pPr>
            <w:pStyle w:val="Contents6"/>
            <w:tabs>
              <w:tab w:val="clear" w:pos="7609"/>
              <w:tab w:val="right" w:pos="9026" w:leader="dot"/>
            </w:tabs>
            <w:rPr/>
          </w:pPr>
          <w:hyperlink w:anchor="__RefHeading___Toc5082988_2314609296">
            <w:r>
              <w:rPr>
                <w:webHidden/>
                <w:rStyle w:val="IndexLink"/>
                <w:rtl w:val="true"/>
              </w:rPr>
              <w:t>و أمّا القول فی المجیز،</w:t>
            </w:r>
            <w:r>
              <w:rPr>
                <w:rStyle w:val="IndexLink"/>
                <w:rtl w:val="true"/>
              </w:rPr>
              <w:tab/>
            </w:r>
            <w:r>
              <w:rPr>
                <w:rStyle w:val="IndexLink"/>
              </w:rPr>
              <w:t>433</w:t>
            </w:r>
          </w:hyperlink>
        </w:p>
        <w:p>
          <w:pPr>
            <w:pStyle w:val="Contents6"/>
            <w:tabs>
              <w:tab w:val="clear" w:pos="7609"/>
              <w:tab w:val="right" w:pos="9026" w:leader="dot"/>
            </w:tabs>
            <w:rPr/>
          </w:pPr>
          <w:hyperlink w:anchor="__RefHeading___Toc5082990_2314609296">
            <w:r>
              <w:rPr>
                <w:webHidden/>
                <w:rStyle w:val="IndexLink"/>
                <w:rtl w:val="true"/>
              </w:rPr>
              <w:t>الأوّل</w:t>
            </w:r>
            <w:r>
              <w:rPr>
                <w:rStyle w:val="IndexLink"/>
                <w:rtl w:val="true"/>
              </w:rPr>
              <w:t xml:space="preserve">: </w:t>
            </w:r>
            <w:r>
              <w:rPr>
                <w:rStyle w:val="IndexLink"/>
                <w:rtl w:val="true"/>
              </w:rPr>
              <w:t>یشترط فی المجیز أن یکون حین الإجازة جائز التصرّف بالبلوغ و العقل و الرشد،</w:t>
            </w:r>
            <w:r>
              <w:rPr>
                <w:rStyle w:val="IndexLink"/>
                <w:rtl w:val="true"/>
              </w:rPr>
              <w:tab/>
            </w:r>
            <w:r>
              <w:rPr>
                <w:rStyle w:val="IndexLink"/>
              </w:rPr>
              <w:t>433</w:t>
            </w:r>
          </w:hyperlink>
        </w:p>
        <w:p>
          <w:pPr>
            <w:pStyle w:val="Contents6"/>
            <w:tabs>
              <w:tab w:val="clear" w:pos="7609"/>
              <w:tab w:val="right" w:pos="9026" w:leader="dot"/>
            </w:tabs>
            <w:rPr/>
          </w:pPr>
          <w:hyperlink w:anchor="__RefHeading___Toc5082992_2314609296">
            <w:r>
              <w:rPr>
                <w:webHidden/>
                <w:rStyle w:val="IndexLink"/>
                <w:rtl w:val="true"/>
              </w:rPr>
              <w:t>الثانی</w:t>
            </w:r>
            <w:r>
              <w:rPr>
                <w:rStyle w:val="IndexLink"/>
                <w:rtl w:val="true"/>
              </w:rPr>
              <w:t xml:space="preserve">: </w:t>
            </w:r>
            <w:r>
              <w:rPr>
                <w:rStyle w:val="IndexLink"/>
                <w:rtl w:val="true"/>
              </w:rPr>
              <w:t>هل یشترط فی صحّة عقد الفضولی وجود مجیزٍ حین العقد،</w:t>
            </w:r>
            <w:r>
              <w:rPr>
                <w:rStyle w:val="IndexLink"/>
                <w:rtl w:val="true"/>
              </w:rPr>
              <w:tab/>
            </w:r>
            <w:r>
              <w:rPr>
                <w:rStyle w:val="IndexLink"/>
              </w:rPr>
              <w:t>433</w:t>
            </w:r>
          </w:hyperlink>
        </w:p>
        <w:p>
          <w:pPr>
            <w:pStyle w:val="Contents6"/>
            <w:tabs>
              <w:tab w:val="clear" w:pos="7609"/>
              <w:tab w:val="right" w:pos="9026" w:leader="dot"/>
            </w:tabs>
            <w:rPr/>
          </w:pPr>
          <w:hyperlink w:anchor="__RefHeading___Toc5082994_2314609296">
            <w:r>
              <w:rPr>
                <w:webHidden/>
                <w:rStyle w:val="IndexLink"/>
                <w:rtl w:val="true"/>
              </w:rPr>
              <w:t>الثالث</w:t>
            </w:r>
            <w:r>
              <w:rPr>
                <w:rStyle w:val="IndexLink"/>
                <w:rtl w:val="true"/>
              </w:rPr>
              <w:t xml:space="preserve">: </w:t>
            </w:r>
            <w:r>
              <w:rPr>
                <w:rStyle w:val="IndexLink"/>
                <w:rtl w:val="true"/>
              </w:rPr>
              <w:t>لا یشترط فی المجیز کونه جائز التصرّف حال العقد،</w:t>
            </w:r>
            <w:r>
              <w:rPr>
                <w:rStyle w:val="IndexLink"/>
                <w:rtl w:val="true"/>
              </w:rPr>
              <w:tab/>
            </w:r>
            <w:r>
              <w:rPr>
                <w:rStyle w:val="IndexLink"/>
              </w:rPr>
              <w:t>436</w:t>
            </w:r>
          </w:hyperlink>
        </w:p>
        <w:p>
          <w:pPr>
            <w:pStyle w:val="Contents6"/>
            <w:tabs>
              <w:tab w:val="clear" w:pos="7609"/>
              <w:tab w:val="right" w:pos="9026" w:leader="dot"/>
            </w:tabs>
            <w:rPr/>
          </w:pPr>
          <w:hyperlink w:anchor="__RefHeading___Toc5082996_2314609296">
            <w:r>
              <w:rPr>
                <w:webHidden/>
                <w:rStyle w:val="IndexLink"/>
                <w:rtl w:val="true"/>
              </w:rPr>
              <w:t>فالکلام یقع فی مسائل</w:t>
            </w:r>
            <w:r>
              <w:rPr>
                <w:rStyle w:val="IndexLink"/>
                <w:rtl w:val="true"/>
              </w:rPr>
              <w:t>:</w:t>
              <w:tab/>
            </w:r>
            <w:r>
              <w:rPr>
                <w:rStyle w:val="IndexLink"/>
              </w:rPr>
              <w:t>436</w:t>
            </w:r>
          </w:hyperlink>
        </w:p>
        <w:p>
          <w:pPr>
            <w:pStyle w:val="Contents6"/>
            <w:tabs>
              <w:tab w:val="clear" w:pos="7609"/>
              <w:tab w:val="right" w:pos="9026" w:leader="dot"/>
            </w:tabs>
            <w:rPr/>
          </w:pPr>
          <w:hyperlink w:anchor="__RefHeading___Toc5082998_2314609296">
            <w:r>
              <w:rPr>
                <w:webHidden/>
                <w:rStyle w:val="IndexLink"/>
                <w:rtl w:val="true"/>
              </w:rPr>
              <w:t>المسألة الاُولی أن یکون المالک حال العقد هو المالک حال الإجازة،</w:t>
            </w:r>
            <w:r>
              <w:rPr>
                <w:rStyle w:val="IndexLink"/>
                <w:rtl w:val="true"/>
              </w:rPr>
              <w:tab/>
            </w:r>
            <w:r>
              <w:rPr>
                <w:rStyle w:val="IndexLink"/>
              </w:rPr>
              <w:t>436</w:t>
            </w:r>
          </w:hyperlink>
        </w:p>
        <w:p>
          <w:pPr>
            <w:pStyle w:val="Contents6"/>
            <w:tabs>
              <w:tab w:val="clear" w:pos="7609"/>
              <w:tab w:val="right" w:pos="9026" w:leader="dot"/>
            </w:tabs>
            <w:rPr/>
          </w:pPr>
          <w:hyperlink w:anchor="__RefHeading___Toc5083000_2314609296">
            <w:r>
              <w:rPr>
                <w:webHidden/>
                <w:rStyle w:val="IndexLink"/>
                <w:rtl w:val="true"/>
              </w:rPr>
              <w:t>المسألة</w:t>
            </w:r>
            <w:r>
              <w:rPr>
                <w:rStyle w:val="IndexLink"/>
                <w:rtl w:val="true"/>
              </w:rPr>
              <w:t>]</w:t>
            </w:r>
            <w:r>
              <w:rPr>
                <w:rStyle w:val="IndexLink"/>
                <w:rtl w:val="true"/>
              </w:rPr>
              <w:t>الثانیة أن یتجدّد الملک بعد العقد فیجیز المالک الجدید سواء کان هو البائع أو غیره</w:t>
            </w:r>
            <w:r>
              <w:rPr>
                <w:rStyle w:val="IndexLink"/>
                <w:rtl w:val="true"/>
              </w:rPr>
              <w:t>.</w:t>
              <w:tab/>
            </w:r>
            <w:r>
              <w:rPr>
                <w:rStyle w:val="IndexLink"/>
              </w:rPr>
              <w:t>437</w:t>
            </w:r>
          </w:hyperlink>
        </w:p>
        <w:p>
          <w:pPr>
            <w:pStyle w:val="Contents6"/>
            <w:tabs>
              <w:tab w:val="clear" w:pos="7609"/>
              <w:tab w:val="right" w:pos="9026" w:leader="dot"/>
            </w:tabs>
            <w:rPr/>
          </w:pPr>
          <w:hyperlink w:anchor="__RefHeading___Toc5083002_2314609296">
            <w:r>
              <w:rPr>
                <w:webHidden/>
                <w:rStyle w:val="IndexLink"/>
                <w:rtl w:val="true"/>
              </w:rPr>
              <w:t>[</w:t>
            </w:r>
            <w:r>
              <w:rPr>
                <w:rStyle w:val="IndexLink"/>
                <w:rtl w:val="true"/>
              </w:rPr>
              <w:t>لو باع لنفسه ثم اشتراه و أجاز</w:t>
            </w:r>
            <w:r>
              <w:rPr>
                <w:rStyle w:val="IndexLink"/>
                <w:rtl w:val="true"/>
              </w:rPr>
              <w:t>]</w:t>
              <w:tab/>
            </w:r>
            <w:r>
              <w:rPr>
                <w:rStyle w:val="IndexLink"/>
              </w:rPr>
              <w:t>437</w:t>
            </w:r>
          </w:hyperlink>
        </w:p>
        <w:p>
          <w:pPr>
            <w:pStyle w:val="Contents6"/>
            <w:tabs>
              <w:tab w:val="clear" w:pos="7609"/>
              <w:tab w:val="right" w:pos="9026" w:leader="dot"/>
            </w:tabs>
            <w:rPr/>
          </w:pPr>
          <w:hyperlink w:anchor="__RefHeading___Toc5083004_2314609296">
            <w:r>
              <w:rPr>
                <w:webHidden/>
                <w:rStyle w:val="IndexLink"/>
                <w:rtl w:val="true"/>
              </w:rPr>
              <w:t>[</w:t>
            </w:r>
            <w:r>
              <w:rPr>
                <w:rStyle w:val="IndexLink"/>
                <w:rtl w:val="true"/>
              </w:rPr>
              <w:t>الأقوی الصحة</w:t>
            </w:r>
            <w:r>
              <w:rPr>
                <w:rStyle w:val="IndexLink"/>
                <w:rtl w:val="true"/>
              </w:rPr>
              <w:t>]</w:t>
              <w:tab/>
            </w:r>
            <w:r>
              <w:rPr>
                <w:rStyle w:val="IndexLink"/>
              </w:rPr>
              <w:t>439</w:t>
            </w:r>
          </w:hyperlink>
        </w:p>
        <w:p>
          <w:pPr>
            <w:pStyle w:val="Contents6"/>
            <w:tabs>
              <w:tab w:val="clear" w:pos="7609"/>
              <w:tab w:val="right" w:pos="9026" w:leader="dot"/>
            </w:tabs>
            <w:rPr/>
          </w:pPr>
          <w:hyperlink w:anchor="__RefHeading___Toc5083006_2314609296">
            <w:r>
              <w:rPr>
                <w:webHidden/>
                <w:rStyle w:val="IndexLink"/>
                <w:rtl w:val="true"/>
              </w:rPr>
              <w:t>[</w:t>
            </w:r>
            <w:r>
              <w:rPr>
                <w:rStyle w:val="IndexLink"/>
                <w:rtl w:val="true"/>
              </w:rPr>
              <w:t>ما أورده المحقق التستری علی الصحة و الجواب عنه</w:t>
            </w:r>
            <w:r>
              <w:rPr>
                <w:rStyle w:val="IndexLink"/>
                <w:rtl w:val="true"/>
              </w:rPr>
              <w:t>]</w:t>
              <w:tab/>
            </w:r>
            <w:r>
              <w:rPr>
                <w:rStyle w:val="IndexLink"/>
              </w:rPr>
              <w:t>439</w:t>
            </w:r>
          </w:hyperlink>
        </w:p>
        <w:p>
          <w:pPr>
            <w:pStyle w:val="Contents6"/>
            <w:tabs>
              <w:tab w:val="clear" w:pos="7609"/>
              <w:tab w:val="right" w:pos="9026" w:leader="dot"/>
            </w:tabs>
            <w:rPr/>
          </w:pPr>
          <w:hyperlink w:anchor="__RefHeading___Toc5083008_2314609296">
            <w:r>
              <w:rPr>
                <w:webHidden/>
                <w:rStyle w:val="IndexLink"/>
                <w:rtl w:val="true"/>
              </w:rPr>
              <w:t>الأوّل</w:t>
            </w:r>
            <w:r>
              <w:rPr>
                <w:rStyle w:val="IndexLink"/>
                <w:rtl w:val="true"/>
              </w:rPr>
              <w:t xml:space="preserve">: </w:t>
            </w:r>
            <w:r>
              <w:rPr>
                <w:rStyle w:val="IndexLink"/>
                <w:rtl w:val="true"/>
              </w:rPr>
              <w:t>أنّه</w:t>
            </w:r>
            <w:r>
              <w:rPr>
                <w:rStyle w:val="IndexLink"/>
                <w:rtl w:val="true"/>
              </w:rPr>
              <w:tab/>
            </w:r>
            <w:r>
              <w:rPr>
                <w:rStyle w:val="IndexLink"/>
              </w:rPr>
              <w:t>439</w:t>
            </w:r>
          </w:hyperlink>
        </w:p>
        <w:p>
          <w:pPr>
            <w:pStyle w:val="Contents6"/>
            <w:tabs>
              <w:tab w:val="clear" w:pos="7609"/>
              <w:tab w:val="right" w:pos="9026" w:leader="dot"/>
            </w:tabs>
            <w:rPr/>
          </w:pPr>
          <w:hyperlink w:anchor="__RefHeading___Toc5083010_2314609296">
            <w:r>
              <w:rPr>
                <w:webHidden/>
                <w:rStyle w:val="IndexLink"/>
                <w:rtl w:val="true"/>
              </w:rPr>
              <w:t>الثانی</w:t>
            </w:r>
            <w:r>
              <w:rPr>
                <w:rStyle w:val="IndexLink"/>
                <w:rtl w:val="true"/>
              </w:rPr>
              <w:t xml:space="preserve">: </w:t>
            </w:r>
            <w:r>
              <w:rPr>
                <w:rStyle w:val="IndexLink"/>
                <w:rtl w:val="true"/>
              </w:rPr>
              <w:t>إنّا حیث جوّزنا بیع غیر المملوک مع انتفاء الملک و رضا المالک و القدرة علی التسلیم اکتفینا بحصول ذلک للمالک المجیز؛</w:t>
            </w:r>
            <w:r>
              <w:rPr>
                <w:rStyle w:val="IndexLink"/>
                <w:rtl w:val="true"/>
              </w:rPr>
              <w:tab/>
            </w:r>
            <w:r>
              <w:rPr>
                <w:rStyle w:val="IndexLink"/>
              </w:rPr>
              <w:t>439</w:t>
            </w:r>
          </w:hyperlink>
        </w:p>
        <w:p>
          <w:pPr>
            <w:pStyle w:val="Contents6"/>
            <w:tabs>
              <w:tab w:val="clear" w:pos="7609"/>
              <w:tab w:val="right" w:pos="9026" w:leader="dot"/>
            </w:tabs>
            <w:rPr/>
          </w:pPr>
          <w:hyperlink w:anchor="__RefHeading___Toc5083012_2314609296">
            <w:r>
              <w:rPr>
                <w:webHidden/>
                <w:rStyle w:val="IndexLink"/>
                <w:rtl w:val="true"/>
              </w:rPr>
              <w:t>الثالث</w:t>
            </w:r>
            <w:r>
              <w:rPr>
                <w:rStyle w:val="IndexLink"/>
                <w:rtl w:val="true"/>
              </w:rPr>
              <w:t xml:space="preserve">: </w:t>
            </w:r>
            <w:r>
              <w:rPr>
                <w:rStyle w:val="IndexLink"/>
                <w:rtl w:val="true"/>
              </w:rPr>
              <w:t>أنّ الإجازة حیث صحّت کاشفة</w:t>
            </w:r>
            <w:r>
              <w:rPr>
                <w:rStyle w:val="IndexLink"/>
                <w:rtl w:val="true"/>
              </w:rPr>
              <w:t>-</w:t>
            </w:r>
            <w:r>
              <w:rPr>
                <w:rStyle w:val="IndexLink"/>
                <w:rtl w:val="true"/>
              </w:rPr>
              <w:t>علی الأصحّ</w:t>
            </w:r>
            <w:r>
              <w:rPr>
                <w:rStyle w:val="IndexLink"/>
                <w:rtl w:val="true"/>
              </w:rPr>
              <w:t>-</w:t>
            </w:r>
            <w:r>
              <w:rPr>
                <w:rStyle w:val="IndexLink"/>
                <w:rtl w:val="true"/>
              </w:rPr>
              <w:t>مطلقاً؛</w:t>
            </w:r>
            <w:r>
              <w:rPr>
                <w:rStyle w:val="IndexLink"/>
                <w:rtl w:val="true"/>
              </w:rPr>
              <w:tab/>
            </w:r>
            <w:r>
              <w:rPr>
                <w:rStyle w:val="IndexLink"/>
              </w:rPr>
              <w:t>440</w:t>
            </w:r>
          </w:hyperlink>
        </w:p>
        <w:p>
          <w:pPr>
            <w:pStyle w:val="Contents6"/>
            <w:tabs>
              <w:tab w:val="clear" w:pos="7609"/>
              <w:tab w:val="right" w:pos="9026" w:leader="dot"/>
            </w:tabs>
            <w:rPr/>
          </w:pPr>
          <w:hyperlink w:anchor="__RefHeading___Toc5083014_2314609296">
            <w:r>
              <w:rPr>
                <w:webHidden/>
                <w:rStyle w:val="IndexLink"/>
                <w:rtl w:val="true"/>
              </w:rPr>
              <w:t>الرابع</w:t>
            </w:r>
            <w:r>
              <w:rPr>
                <w:rStyle w:val="IndexLink"/>
                <w:rtl w:val="true"/>
              </w:rPr>
              <w:t xml:space="preserve">: </w:t>
            </w:r>
            <w:r>
              <w:rPr>
                <w:rStyle w:val="IndexLink"/>
                <w:rtl w:val="true"/>
              </w:rPr>
              <w:t>أنّ العقد الأوّل إنّما صحّ و ترتّب علیه أثره بإجازة الفضولی،</w:t>
            </w:r>
            <w:r>
              <w:rPr>
                <w:rStyle w:val="IndexLink"/>
                <w:rtl w:val="true"/>
              </w:rPr>
              <w:tab/>
            </w:r>
            <w:r>
              <w:rPr>
                <w:rStyle w:val="IndexLink"/>
              </w:rPr>
              <w:t>441</w:t>
            </w:r>
          </w:hyperlink>
        </w:p>
        <w:p>
          <w:pPr>
            <w:pStyle w:val="Contents6"/>
            <w:tabs>
              <w:tab w:val="clear" w:pos="7609"/>
              <w:tab w:val="right" w:pos="9026" w:leader="dot"/>
            </w:tabs>
            <w:rPr/>
          </w:pPr>
          <w:hyperlink w:anchor="__RefHeading___Toc5083016_2314609296">
            <w:r>
              <w:rPr>
                <w:webHidden/>
                <w:rStyle w:val="IndexLink"/>
                <w:rtl w:val="true"/>
              </w:rPr>
              <w:t>الخامس</w:t>
            </w:r>
            <w:r>
              <w:rPr>
                <w:rStyle w:val="IndexLink"/>
                <w:rtl w:val="true"/>
              </w:rPr>
              <w:tab/>
            </w:r>
            <w:r>
              <w:rPr>
                <w:rStyle w:val="IndexLink"/>
              </w:rPr>
              <w:t>445</w:t>
            </w:r>
          </w:hyperlink>
        </w:p>
        <w:p>
          <w:pPr>
            <w:pStyle w:val="Contents6"/>
            <w:tabs>
              <w:tab w:val="clear" w:pos="7609"/>
              <w:tab w:val="right" w:pos="9026" w:leader="dot"/>
            </w:tabs>
            <w:rPr/>
          </w:pPr>
          <w:hyperlink w:anchor="__RefHeading___Toc5083018_2314609296">
            <w:r>
              <w:rPr>
                <w:webHidden/>
                <w:rStyle w:val="IndexLink"/>
                <w:rtl w:val="true"/>
              </w:rPr>
              <w:t>السادس</w:t>
            </w:r>
            <w:r>
              <w:rPr>
                <w:rStyle w:val="IndexLink"/>
                <w:rtl w:val="true"/>
              </w:rPr>
              <w:t xml:space="preserve">: </w:t>
            </w:r>
            <w:r>
              <w:rPr>
                <w:rStyle w:val="IndexLink"/>
                <w:rtl w:val="true"/>
              </w:rPr>
              <w:t>أنّ من المعلوم أنّه یکفی فی إجازة المالک و فسخه فعل</w:t>
            </w:r>
            <w:r>
              <w:rPr>
                <w:rStyle w:val="IndexLink"/>
                <w:rtl w:val="true"/>
              </w:rPr>
              <w:tab/>
            </w:r>
            <w:r>
              <w:rPr>
                <w:rStyle w:val="IndexLink"/>
              </w:rPr>
              <w:t>446</w:t>
            </w:r>
          </w:hyperlink>
        </w:p>
        <w:p>
          <w:pPr>
            <w:pStyle w:val="Contents6"/>
            <w:tabs>
              <w:tab w:val="clear" w:pos="7609"/>
              <w:tab w:val="right" w:pos="9026" w:leader="dot"/>
            </w:tabs>
            <w:rPr/>
          </w:pPr>
          <w:hyperlink w:anchor="__RefHeading___Toc5083020_2314609296">
            <w:r>
              <w:rPr>
                <w:webHidden/>
                <w:rStyle w:val="IndexLink"/>
                <w:rtl w:val="true"/>
              </w:rPr>
              <w:t>السابع</w:t>
            </w:r>
            <w:r>
              <w:rPr>
                <w:rStyle w:val="IndexLink"/>
                <w:rtl w:val="true"/>
              </w:rPr>
              <w:tab/>
            </w:r>
            <w:r>
              <w:rPr>
                <w:rStyle w:val="IndexLink"/>
              </w:rPr>
              <w:t>448</w:t>
            </w:r>
          </w:hyperlink>
        </w:p>
        <w:p>
          <w:pPr>
            <w:pStyle w:val="Contents6"/>
            <w:tabs>
              <w:tab w:val="clear" w:pos="7609"/>
              <w:tab w:val="right" w:pos="9026" w:leader="dot"/>
            </w:tabs>
            <w:rPr/>
          </w:pPr>
          <w:hyperlink w:anchor="__RefHeading___Toc5083022_2314609296">
            <w:r>
              <w:rPr>
                <w:webHidden/>
                <w:rStyle w:val="IndexLink"/>
                <w:rtl w:val="true"/>
              </w:rPr>
              <w:t>[</w:t>
            </w:r>
            <w:r>
              <w:rPr>
                <w:rStyle w:val="IndexLink"/>
                <w:rtl w:val="true"/>
              </w:rPr>
              <w:t>مورد الروایات ما لو باع لنفسه غیر مترقب للإجازة</w:t>
            </w:r>
            <w:r>
              <w:rPr>
                <w:rStyle w:val="IndexLink"/>
                <w:rtl w:val="true"/>
              </w:rPr>
              <w:t>]</w:t>
              <w:tab/>
            </w:r>
            <w:r>
              <w:rPr>
                <w:rStyle w:val="IndexLink"/>
              </w:rPr>
              <w:t>456</w:t>
            </w:r>
          </w:hyperlink>
        </w:p>
        <w:p>
          <w:pPr>
            <w:pStyle w:val="Contents6"/>
            <w:tabs>
              <w:tab w:val="clear" w:pos="7609"/>
              <w:tab w:val="right" w:pos="9026" w:leader="dot"/>
            </w:tabs>
            <w:rPr/>
          </w:pPr>
          <w:hyperlink w:anchor="__RefHeading___Toc5083024_2314609296">
            <w:r>
              <w:rPr>
                <w:webHidden/>
                <w:rStyle w:val="IndexLink"/>
                <w:rtl w:val="true"/>
              </w:rPr>
              <w:t>[</w:t>
            </w:r>
            <w:r>
              <w:rPr>
                <w:rStyle w:val="IndexLink"/>
                <w:rtl w:val="true"/>
              </w:rPr>
              <w:t>لو باع لنفسه ثم تملکه و لم یجز</w:t>
            </w:r>
            <w:r>
              <w:rPr>
                <w:rStyle w:val="IndexLink"/>
                <w:rtl w:val="true"/>
              </w:rPr>
              <w:t>]</w:t>
              <w:tab/>
            </w:r>
            <w:r>
              <w:rPr>
                <w:rStyle w:val="IndexLink"/>
              </w:rPr>
              <w:t>459</w:t>
            </w:r>
          </w:hyperlink>
        </w:p>
        <w:p>
          <w:pPr>
            <w:pStyle w:val="Contents6"/>
            <w:tabs>
              <w:tab w:val="clear" w:pos="7609"/>
              <w:tab w:val="right" w:pos="9026" w:leader="dot"/>
            </w:tabs>
            <w:rPr/>
          </w:pPr>
          <w:hyperlink w:anchor="__RefHeading___Toc5083026_2314609296">
            <w:r>
              <w:rPr>
                <w:webHidden/>
                <w:rStyle w:val="IndexLink"/>
                <w:rtl w:val="true"/>
              </w:rPr>
              <w:t>المسألة الثالثة ما لو باع معتقداً لکونه غیر جائز التصرّف فبان کونه جائز التصرّف</w:t>
            </w:r>
            <w:r>
              <w:rPr>
                <w:rStyle w:val="IndexLink"/>
                <w:rtl w:val="true"/>
              </w:rPr>
              <w:t>.</w:t>
              <w:tab/>
            </w:r>
            <w:r>
              <w:rPr>
                <w:rStyle w:val="IndexLink"/>
              </w:rPr>
              <w:t>460</w:t>
            </w:r>
          </w:hyperlink>
        </w:p>
        <w:p>
          <w:pPr>
            <w:pStyle w:val="Contents6"/>
            <w:tabs>
              <w:tab w:val="clear" w:pos="7609"/>
              <w:tab w:val="right" w:pos="9026" w:leader="dot"/>
            </w:tabs>
            <w:rPr/>
          </w:pPr>
          <w:hyperlink w:anchor="__RefHeading___Toc5083028_2314609296">
            <w:r>
              <w:rPr>
                <w:webHidden/>
                <w:rStyle w:val="IndexLink"/>
                <w:rtl w:val="true"/>
              </w:rPr>
              <w:t>الاُولی</w:t>
            </w:r>
            <w:r>
              <w:rPr>
                <w:rStyle w:val="IndexLink"/>
                <w:rtl w:val="true"/>
              </w:rPr>
              <w:t xml:space="preserve">: </w:t>
            </w:r>
            <w:r>
              <w:rPr>
                <w:rStyle w:val="IndexLink"/>
                <w:rtl w:val="true"/>
              </w:rPr>
              <w:t>أن یبیع عن المالک فانکشف</w:t>
            </w:r>
            <w:r>
              <w:rPr>
                <w:rStyle w:val="IndexLink"/>
                <w:rtl w:val="true"/>
              </w:rPr>
              <w:tab/>
            </w:r>
            <w:r>
              <w:rPr>
                <w:rStyle w:val="IndexLink"/>
              </w:rPr>
              <w:t>461</w:t>
            </w:r>
          </w:hyperlink>
        </w:p>
        <w:p>
          <w:pPr>
            <w:pStyle w:val="Contents6"/>
            <w:tabs>
              <w:tab w:val="clear" w:pos="7609"/>
              <w:tab w:val="right" w:pos="9026" w:leader="dot"/>
            </w:tabs>
            <w:rPr/>
          </w:pPr>
          <w:hyperlink w:anchor="__RefHeading___Toc5083030_2314609296">
            <w:r>
              <w:rPr>
                <w:webHidden/>
                <w:rStyle w:val="IndexLink"/>
                <w:rtl w:val="true"/>
              </w:rPr>
              <w:t>الثانیة</w:t>
            </w:r>
            <w:r>
              <w:rPr>
                <w:rStyle w:val="IndexLink"/>
                <w:rtl w:val="true"/>
              </w:rPr>
              <w:t xml:space="preserve">: </w:t>
            </w:r>
            <w:r>
              <w:rPr>
                <w:rStyle w:val="IndexLink"/>
                <w:rtl w:val="true"/>
              </w:rPr>
              <w:t>أن یبیع لنفسه فانکشف کونه ولیّاً</w:t>
            </w:r>
            <w:r>
              <w:rPr>
                <w:rStyle w:val="IndexLink"/>
                <w:rtl w:val="true"/>
              </w:rPr>
              <w:t>.</w:t>
              <w:tab/>
            </w:r>
            <w:r>
              <w:rPr>
                <w:rStyle w:val="IndexLink"/>
              </w:rPr>
              <w:t>462</w:t>
            </w:r>
          </w:hyperlink>
        </w:p>
        <w:p>
          <w:pPr>
            <w:pStyle w:val="Contents6"/>
            <w:tabs>
              <w:tab w:val="clear" w:pos="7609"/>
              <w:tab w:val="right" w:pos="9026" w:leader="dot"/>
            </w:tabs>
            <w:rPr/>
          </w:pPr>
          <w:hyperlink w:anchor="__RefHeading___Toc5083032_2314609296">
            <w:r>
              <w:rPr>
                <w:webHidden/>
                <w:rStyle w:val="IndexLink"/>
                <w:rtl w:val="true"/>
              </w:rPr>
              <w:t>الثالثة</w:t>
            </w:r>
            <w:r>
              <w:rPr>
                <w:rStyle w:val="IndexLink"/>
                <w:rtl w:val="true"/>
              </w:rPr>
              <w:t xml:space="preserve">: </w:t>
            </w:r>
            <w:r>
              <w:rPr>
                <w:rStyle w:val="IndexLink"/>
                <w:rtl w:val="true"/>
              </w:rPr>
              <w:t>أن یبیع عن المالک ثمّ ینکشف کونه مالکاً</w:t>
            </w:r>
            <w:r>
              <w:rPr>
                <w:rStyle w:val="IndexLink"/>
                <w:rtl w:val="true"/>
              </w:rPr>
              <w:t>.</w:t>
              <w:tab/>
            </w:r>
            <w:r>
              <w:rPr>
                <w:rStyle w:val="IndexLink"/>
              </w:rPr>
              <w:t>462</w:t>
            </w:r>
          </w:hyperlink>
        </w:p>
        <w:p>
          <w:pPr>
            <w:pStyle w:val="Contents6"/>
            <w:tabs>
              <w:tab w:val="clear" w:pos="7609"/>
              <w:tab w:val="right" w:pos="9026" w:leader="dot"/>
            </w:tabs>
            <w:rPr/>
          </w:pPr>
          <w:hyperlink w:anchor="__RefHeading___Toc5083034_2314609296">
            <w:r>
              <w:rPr>
                <w:webHidden/>
                <w:rStyle w:val="IndexLink"/>
                <w:rtl w:val="true"/>
              </w:rPr>
              <w:t xml:space="preserve">الرابعة </w:t>
            </w:r>
            <w:r>
              <w:rPr>
                <w:rStyle w:val="IndexLink"/>
                <w:rtl w:val="true"/>
              </w:rPr>
              <w:t>:</w:t>
            </w:r>
            <w:r>
              <w:rPr>
                <w:rStyle w:val="IndexLink"/>
                <w:rtl w:val="true"/>
              </w:rPr>
              <w:t>أن یبیع لنفسه باعتقاد أنّه لغیره فانکشف أنّه له،</w:t>
            </w:r>
            <w:r>
              <w:rPr>
                <w:rStyle w:val="IndexLink"/>
                <w:rtl w:val="true"/>
              </w:rPr>
              <w:tab/>
            </w:r>
            <w:r>
              <w:rPr>
                <w:rStyle w:val="IndexLink"/>
              </w:rPr>
              <w:t>468</w:t>
            </w:r>
          </w:hyperlink>
        </w:p>
        <w:p>
          <w:pPr>
            <w:pStyle w:val="Contents6"/>
            <w:tabs>
              <w:tab w:val="clear" w:pos="7609"/>
              <w:tab w:val="right" w:pos="9026" w:leader="dot"/>
            </w:tabs>
            <w:rPr/>
          </w:pPr>
          <w:hyperlink w:anchor="__RefHeading___Toc5083036_2314609296">
            <w:r>
              <w:rPr>
                <w:webHidden/>
                <w:rStyle w:val="IndexLink"/>
                <w:rtl w:val="true"/>
              </w:rPr>
              <w:t>و أمّا القول فی المجاز</w:t>
            </w:r>
            <w:r>
              <w:rPr>
                <w:rStyle w:val="IndexLink"/>
                <w:rtl w:val="true"/>
              </w:rPr>
              <w:t>:</w:t>
              <w:tab/>
            </w:r>
            <w:r>
              <w:rPr>
                <w:rStyle w:val="IndexLink"/>
              </w:rPr>
              <w:t>469</w:t>
            </w:r>
          </w:hyperlink>
        </w:p>
        <w:p>
          <w:pPr>
            <w:pStyle w:val="Contents6"/>
            <w:tabs>
              <w:tab w:val="clear" w:pos="7609"/>
              <w:tab w:val="right" w:pos="9026" w:leader="dot"/>
            </w:tabs>
            <w:rPr/>
          </w:pPr>
          <w:hyperlink w:anchor="__RefHeading___Toc5083038_2314609296">
            <w:r>
              <w:rPr>
                <w:webHidden/>
                <w:rStyle w:val="IndexLink"/>
                <w:rtl w:val="true"/>
              </w:rPr>
              <w:t>الأوّل</w:t>
            </w:r>
            <w:r>
              <w:rPr>
                <w:rStyle w:val="IndexLink"/>
                <w:rtl w:val="true"/>
              </w:rPr>
              <w:t xml:space="preserve">: </w:t>
            </w:r>
            <w:r>
              <w:rPr>
                <w:rStyle w:val="IndexLink"/>
                <w:rtl w:val="true"/>
              </w:rPr>
              <w:t>یشترط فیه کونه جامعاً لجمیع الشروط المعتبرة فی تأثیره عدا رضا المالک،</w:t>
            </w:r>
            <w:r>
              <w:rPr>
                <w:rStyle w:val="IndexLink"/>
                <w:rtl w:val="true"/>
              </w:rPr>
              <w:tab/>
            </w:r>
            <w:r>
              <w:rPr>
                <w:rStyle w:val="IndexLink"/>
              </w:rPr>
              <w:t>469</w:t>
            </w:r>
          </w:hyperlink>
        </w:p>
        <w:p>
          <w:pPr>
            <w:pStyle w:val="Contents6"/>
            <w:tabs>
              <w:tab w:val="clear" w:pos="7609"/>
              <w:tab w:val="right" w:pos="9026" w:leader="dot"/>
            </w:tabs>
            <w:rPr/>
          </w:pPr>
          <w:hyperlink w:anchor="__RefHeading___Toc5083040_2314609296">
            <w:r>
              <w:rPr>
                <w:webHidden/>
                <w:rStyle w:val="IndexLink"/>
                <w:rtl w:val="true"/>
              </w:rPr>
              <w:t>الثانی</w:t>
            </w:r>
            <w:r>
              <w:rPr>
                <w:rStyle w:val="IndexLink"/>
                <w:rtl w:val="true"/>
              </w:rPr>
              <w:t xml:space="preserve">: </w:t>
            </w:r>
            <w:r>
              <w:rPr>
                <w:rStyle w:val="IndexLink"/>
                <w:rtl w:val="true"/>
              </w:rPr>
              <w:t>هل یشترط فی المجاز کونه معلوماً للمجیز بالتفصیل</w:t>
            </w:r>
            <w:r>
              <w:rPr>
                <w:rStyle w:val="IndexLink"/>
                <w:rtl w:val="true"/>
              </w:rPr>
              <w:tab/>
            </w:r>
            <w:r>
              <w:rPr>
                <w:rStyle w:val="IndexLink"/>
              </w:rPr>
              <w:t>470</w:t>
            </w:r>
          </w:hyperlink>
        </w:p>
        <w:p>
          <w:pPr>
            <w:pStyle w:val="Contents6"/>
            <w:tabs>
              <w:tab w:val="clear" w:pos="7609"/>
              <w:tab w:val="right" w:pos="9026" w:leader="dot"/>
            </w:tabs>
            <w:rPr/>
          </w:pPr>
          <w:hyperlink w:anchor="__RefHeading___Toc5083042_2314609296">
            <w:r>
              <w:rPr>
                <w:webHidden/>
                <w:rStyle w:val="IndexLink"/>
                <w:rtl w:val="true"/>
              </w:rPr>
              <w:t>الثالث</w:t>
            </w:r>
            <w:r>
              <w:rPr>
                <w:rStyle w:val="IndexLink"/>
                <w:rtl w:val="true"/>
              </w:rPr>
              <w:t xml:space="preserve">: </w:t>
            </w:r>
            <w:r>
              <w:rPr>
                <w:rStyle w:val="IndexLink"/>
                <w:rtl w:val="true"/>
              </w:rPr>
              <w:t>المجاز،إمّا العقد الواقع علی نفس مال الغیر،و إمّا العقد الواقع علی عوضه،</w:t>
            </w:r>
            <w:r>
              <w:rPr>
                <w:rStyle w:val="IndexLink"/>
                <w:rtl w:val="true"/>
              </w:rPr>
              <w:tab/>
            </w:r>
            <w:r>
              <w:rPr>
                <w:rStyle w:val="IndexLink"/>
              </w:rPr>
              <w:t>471</w:t>
            </w:r>
          </w:hyperlink>
        </w:p>
        <w:p>
          <w:pPr>
            <w:pStyle w:val="Contents6"/>
            <w:tabs>
              <w:tab w:val="clear" w:pos="7609"/>
              <w:tab w:val="right" w:pos="9026" w:leader="dot"/>
            </w:tabs>
            <w:rPr/>
          </w:pPr>
          <w:hyperlink w:anchor="__RefHeading___Toc5083044_2314609296">
            <w:r>
              <w:rPr>
                <w:webHidden/>
                <w:rStyle w:val="IndexLink"/>
                <w:rtl w:val="true"/>
              </w:rPr>
              <w:t>مسألة فی أحکام الردّ</w:t>
            </w:r>
            <w:r>
              <w:rPr>
                <w:rStyle w:val="IndexLink"/>
                <w:rtl w:val="true"/>
              </w:rPr>
              <w:tab/>
            </w:r>
            <w:r>
              <w:rPr>
                <w:rStyle w:val="IndexLink"/>
              </w:rPr>
              <w:t>479</w:t>
            </w:r>
          </w:hyperlink>
        </w:p>
        <w:p>
          <w:pPr>
            <w:pStyle w:val="Contents6"/>
            <w:tabs>
              <w:tab w:val="clear" w:pos="7609"/>
              <w:tab w:val="right" w:pos="9026" w:leader="dot"/>
            </w:tabs>
            <w:rPr/>
          </w:pPr>
          <w:hyperlink w:anchor="__RefHeading___Toc5083046_2314609296">
            <w:r>
              <w:rPr>
                <w:webHidden/>
                <w:rStyle w:val="IndexLink"/>
                <w:rtl w:val="true"/>
              </w:rPr>
              <w:t>[</w:t>
            </w:r>
            <w:r>
              <w:rPr>
                <w:rStyle w:val="IndexLink"/>
                <w:rtl w:val="true"/>
              </w:rPr>
              <w:t>ما یتحقق به الرد</w:t>
            </w:r>
            <w:r>
              <w:rPr>
                <w:rStyle w:val="IndexLink"/>
                <w:rtl w:val="true"/>
              </w:rPr>
              <w:t>]</w:t>
              <w:tab/>
            </w:r>
            <w:r>
              <w:rPr>
                <w:rStyle w:val="IndexLink"/>
              </w:rPr>
              <w:t>479</w:t>
            </w:r>
          </w:hyperlink>
        </w:p>
        <w:p>
          <w:pPr>
            <w:pStyle w:val="Contents6"/>
            <w:tabs>
              <w:tab w:val="clear" w:pos="7609"/>
              <w:tab w:val="right" w:pos="9026" w:leader="dot"/>
            </w:tabs>
            <w:rPr/>
          </w:pPr>
          <w:hyperlink w:anchor="__RefHeading___Toc5083048_2314609296">
            <w:r>
              <w:rPr>
                <w:webHidden/>
                <w:rStyle w:val="IndexLink"/>
                <w:rtl w:val="true"/>
              </w:rPr>
              <w:t>[</w:t>
            </w:r>
            <w:r>
              <w:rPr>
                <w:rStyle w:val="IndexLink"/>
                <w:rtl w:val="true"/>
              </w:rPr>
              <w:t>هل یتحقق الرد بالتصرف غیر المخرج عن الملک؟</w:t>
            </w:r>
            <w:r>
              <w:rPr>
                <w:rStyle w:val="IndexLink"/>
                <w:rtl w:val="true"/>
              </w:rPr>
              <w:t>]</w:t>
              <w:tab/>
            </w:r>
            <w:r>
              <w:rPr>
                <w:rStyle w:val="IndexLink"/>
              </w:rPr>
              <w:t>479</w:t>
            </w:r>
          </w:hyperlink>
        </w:p>
        <w:p>
          <w:pPr>
            <w:pStyle w:val="Contents6"/>
            <w:tabs>
              <w:tab w:val="clear" w:pos="7609"/>
              <w:tab w:val="right" w:pos="9026" w:leader="dot"/>
            </w:tabs>
            <w:rPr/>
          </w:pPr>
          <w:hyperlink w:anchor="__RefHeading___Toc5083050_2314609296">
            <w:r>
              <w:rPr>
                <w:webHidden/>
                <w:rStyle w:val="IndexLink"/>
                <w:rtl w:val="true"/>
              </w:rPr>
              <w:t>[</w:t>
            </w:r>
            <w:r>
              <w:rPr>
                <w:rStyle w:val="IndexLink"/>
                <w:rtl w:val="true"/>
              </w:rPr>
              <w:t>التصرفات الغیر المنافیة لملک المشتری</w:t>
            </w:r>
            <w:r>
              <w:rPr>
                <w:rStyle w:val="IndexLink"/>
                <w:rtl w:val="true"/>
              </w:rPr>
              <w:t>]</w:t>
              <w:tab/>
            </w:r>
            <w:r>
              <w:rPr>
                <w:rStyle w:val="IndexLink"/>
              </w:rPr>
              <w:t>481</w:t>
            </w:r>
          </w:hyperlink>
        </w:p>
        <w:p>
          <w:pPr>
            <w:pStyle w:val="Contents6"/>
            <w:tabs>
              <w:tab w:val="clear" w:pos="7609"/>
              <w:tab w:val="right" w:pos="9026" w:leader="dot"/>
            </w:tabs>
            <w:rPr/>
          </w:pPr>
          <w:hyperlink w:anchor="__RefHeading___Toc5083052_2314609296">
            <w:r>
              <w:rPr>
                <w:webHidden/>
                <w:rStyle w:val="IndexLink"/>
                <w:rtl w:val="true"/>
              </w:rPr>
              <w:t>[</w:t>
            </w:r>
            <w:r>
              <w:rPr>
                <w:rStyle w:val="IndexLink"/>
                <w:rtl w:val="true"/>
              </w:rPr>
              <w:t>مسائل متفرقة</w:t>
            </w:r>
            <w:r>
              <w:rPr>
                <w:rStyle w:val="IndexLink"/>
                <w:rtl w:val="true"/>
              </w:rPr>
              <w:t>]</w:t>
              <w:tab/>
            </w:r>
            <w:r>
              <w:rPr>
                <w:rStyle w:val="IndexLink"/>
              </w:rPr>
              <w:t>485</w:t>
            </w:r>
          </w:hyperlink>
        </w:p>
        <w:p>
          <w:pPr>
            <w:pStyle w:val="Contents6"/>
            <w:tabs>
              <w:tab w:val="clear" w:pos="7609"/>
              <w:tab w:val="right" w:pos="9026" w:leader="dot"/>
            </w:tabs>
            <w:rPr/>
          </w:pPr>
          <w:hyperlink w:anchor="__RefHeading___Toc5083054_2314609296">
            <w:r>
              <w:rPr>
                <w:webHidden/>
                <w:rStyle w:val="IndexLink"/>
                <w:rtl w:val="true"/>
              </w:rPr>
              <w:t>مسألة لو لم یجز المالک،فإن کان المبیع فی یده فهو،و إلّا فله انتزاعه</w:t>
            </w:r>
            <w:r>
              <w:rPr>
                <w:rStyle w:val="IndexLink"/>
                <w:rtl w:val="true"/>
              </w:rPr>
              <w:tab/>
            </w:r>
            <w:r>
              <w:rPr>
                <w:rStyle w:val="IndexLink"/>
              </w:rPr>
              <w:t>485</w:t>
            </w:r>
          </w:hyperlink>
        </w:p>
        <w:p>
          <w:pPr>
            <w:pStyle w:val="Contents6"/>
            <w:tabs>
              <w:tab w:val="clear" w:pos="7609"/>
              <w:tab w:val="right" w:pos="9026" w:leader="dot"/>
            </w:tabs>
            <w:rPr/>
          </w:pPr>
          <w:hyperlink w:anchor="__RefHeading___Toc5083056_2314609296">
            <w:r>
              <w:rPr>
                <w:webHidden/>
                <w:rStyle w:val="IndexLink"/>
                <w:rtl w:val="true"/>
              </w:rPr>
              <w:t>فهنا مسألتان</w:t>
            </w:r>
            <w:r>
              <w:rPr>
                <w:rStyle w:val="IndexLink"/>
                <w:rtl w:val="true"/>
              </w:rPr>
              <w:t>:</w:t>
              <w:tab/>
            </w:r>
            <w:r>
              <w:rPr>
                <w:rStyle w:val="IndexLink"/>
              </w:rPr>
              <w:t>486</w:t>
            </w:r>
          </w:hyperlink>
        </w:p>
        <w:p>
          <w:pPr>
            <w:pStyle w:val="Contents6"/>
            <w:tabs>
              <w:tab w:val="clear" w:pos="7609"/>
              <w:tab w:val="right" w:pos="9026" w:leader="dot"/>
            </w:tabs>
            <w:rPr/>
          </w:pPr>
          <w:hyperlink w:anchor="__RefHeading___Toc5083058_2314609296">
            <w:r>
              <w:rPr>
                <w:webHidden/>
                <w:rStyle w:val="IndexLink"/>
                <w:rtl w:val="true"/>
              </w:rPr>
              <w:t>الاُولی أنّه یرجع علیه بالثمن إن کان جاهلاً بکونه فضولیّاً،</w:t>
            </w:r>
            <w:r>
              <w:rPr>
                <w:rStyle w:val="IndexLink"/>
                <w:rtl w:val="true"/>
              </w:rPr>
              <w:tab/>
            </w:r>
            <w:r>
              <w:rPr>
                <w:rStyle w:val="IndexLink"/>
              </w:rPr>
              <w:t>486</w:t>
            </w:r>
          </w:hyperlink>
        </w:p>
        <w:p>
          <w:pPr>
            <w:pStyle w:val="Contents6"/>
            <w:tabs>
              <w:tab w:val="clear" w:pos="7609"/>
              <w:tab w:val="right" w:pos="9026" w:leader="dot"/>
            </w:tabs>
            <w:rPr/>
          </w:pPr>
          <w:hyperlink w:anchor="__RefHeading___Toc5083060_2314609296">
            <w:r>
              <w:rPr>
                <w:webHidden/>
                <w:rStyle w:val="IndexLink"/>
                <w:rtl w:val="true"/>
              </w:rPr>
              <w:t>المسألة الثانیة أنّ المشتری إذا اغترم للمالک غیر الثمن</w:t>
            </w:r>
            <w:r>
              <w:rPr>
                <w:rStyle w:val="IndexLink"/>
                <w:rtl w:val="true"/>
              </w:rPr>
              <w:t>:</w:t>
              <w:tab/>
            </w:r>
            <w:r>
              <w:rPr>
                <w:rStyle w:val="IndexLink"/>
              </w:rPr>
              <w:t>495</w:t>
            </w:r>
          </w:hyperlink>
        </w:p>
        <w:p>
          <w:pPr>
            <w:pStyle w:val="Contents6"/>
            <w:tabs>
              <w:tab w:val="clear" w:pos="7609"/>
              <w:tab w:val="right" w:pos="9026" w:leader="dot"/>
            </w:tabs>
            <w:rPr/>
          </w:pPr>
          <w:hyperlink w:anchor="__RefHeading___Toc5083062_2314609296">
            <w:r>
              <w:rPr>
                <w:webHidden/>
                <w:rStyle w:val="IndexLink"/>
                <w:rtl w:val="true"/>
              </w:rPr>
              <w:t>مسألة لو باع الفضولی مال غیره مع مال نفسه</w:t>
            </w:r>
            <w:r>
              <w:rPr>
                <w:rStyle w:val="IndexLink"/>
                <w:rtl w:val="true"/>
              </w:rPr>
              <w:t>:</w:t>
              <w:tab/>
            </w:r>
            <w:r>
              <w:rPr>
                <w:rStyle w:val="IndexLink"/>
              </w:rPr>
              <w:t>515</w:t>
            </w:r>
          </w:hyperlink>
        </w:p>
        <w:p>
          <w:pPr>
            <w:pStyle w:val="Contents6"/>
            <w:tabs>
              <w:tab w:val="clear" w:pos="7609"/>
              <w:tab w:val="right" w:pos="9026" w:leader="dot"/>
            </w:tabs>
            <w:rPr/>
          </w:pPr>
          <w:hyperlink w:anchor="__RefHeading___Toc5083064_2314609296">
            <w:r>
              <w:rPr>
                <w:webHidden/>
                <w:rStyle w:val="IndexLink"/>
                <w:rtl w:val="true"/>
              </w:rPr>
              <w:t>مسألة لو باع من له نصف الدار نصف ملک</w:t>
            </w:r>
            <w:r>
              <w:rPr>
                <w:rStyle w:val="IndexLink"/>
                <w:rtl w:val="true"/>
              </w:rPr>
              <w:tab/>
            </w:r>
            <w:r>
              <w:rPr>
                <w:rStyle w:val="IndexLink"/>
              </w:rPr>
              <w:t>523</w:t>
            </w:r>
          </w:hyperlink>
        </w:p>
        <w:p>
          <w:pPr>
            <w:pStyle w:val="Contents6"/>
            <w:tabs>
              <w:tab w:val="clear" w:pos="7609"/>
              <w:tab w:val="right" w:pos="9026" w:leader="dot"/>
            </w:tabs>
            <w:rPr/>
          </w:pPr>
          <w:hyperlink w:anchor="__RefHeading___Toc5083066_2314609296">
            <w:r>
              <w:rPr>
                <w:webHidden/>
                <w:rStyle w:val="IndexLink"/>
                <w:rtl w:val="true"/>
              </w:rPr>
              <w:t>مسألة لو باع ما یقبل التملّک و ما لا یقبله کالخمر و الخنزیر</w:t>
            </w:r>
            <w:r>
              <w:rPr>
                <w:rStyle w:val="IndexLink"/>
                <w:rtl w:val="true"/>
              </w:rPr>
              <w:t>-</w:t>
            </w:r>
            <w:r>
              <w:rPr>
                <w:rStyle w:val="IndexLink"/>
                <w:rtl w:val="true"/>
              </w:rPr>
              <w:t>صفقةً بثمنٍ واحد،صحّ فی المملوک عندنا،</w:t>
            </w:r>
            <w:r>
              <w:rPr>
                <w:rStyle w:val="IndexLink"/>
                <w:rtl w:val="true"/>
              </w:rPr>
              <w:tab/>
            </w:r>
            <w:r>
              <w:rPr>
                <w:rStyle w:val="IndexLink"/>
              </w:rPr>
              <w:t>533</w:t>
            </w:r>
          </w:hyperlink>
        </w:p>
        <w:p>
          <w:pPr>
            <w:pStyle w:val="Contents6"/>
            <w:tabs>
              <w:tab w:val="clear" w:pos="7609"/>
              <w:tab w:val="right" w:pos="9026" w:leader="dot"/>
            </w:tabs>
            <w:rPr/>
          </w:pPr>
          <w:hyperlink w:anchor="__RefHeading___Toc5083068_2314609296">
            <w:r>
              <w:rPr>
                <w:webHidden/>
                <w:rStyle w:val="IndexLink"/>
                <w:rtl w:val="true"/>
              </w:rPr>
              <w:t xml:space="preserve">مسألة </w:t>
            </w:r>
            <w:r>
              <w:rPr>
                <w:rStyle w:val="IndexLink"/>
                <w:rtl w:val="true"/>
              </w:rPr>
              <w:t>[</w:t>
            </w:r>
            <w:r>
              <w:rPr>
                <w:rStyle w:val="IndexLink"/>
                <w:rtl w:val="true"/>
              </w:rPr>
              <w:t>فی ولایة الأب و الجدّ</w:t>
            </w:r>
            <w:r>
              <w:rPr>
                <w:rStyle w:val="IndexLink"/>
                <w:rtl w:val="true"/>
              </w:rPr>
              <w:t>]</w:t>
              <w:tab/>
            </w:r>
            <w:r>
              <w:rPr>
                <w:rStyle w:val="IndexLink"/>
              </w:rPr>
              <w:t>537</w:t>
            </w:r>
          </w:hyperlink>
        </w:p>
        <w:p>
          <w:pPr>
            <w:pStyle w:val="Contents6"/>
            <w:tabs>
              <w:tab w:val="clear" w:pos="7609"/>
              <w:tab w:val="right" w:pos="9026" w:leader="dot"/>
            </w:tabs>
            <w:rPr/>
          </w:pPr>
          <w:hyperlink w:anchor="__RefHeading___Toc5083070_2314609296">
            <w:r>
              <w:rPr>
                <w:webHidden/>
                <w:rStyle w:val="IndexLink"/>
                <w:rtl w:val="true"/>
              </w:rPr>
              <w:t xml:space="preserve">مسألة </w:t>
            </w:r>
            <w:r>
              <w:rPr>
                <w:rStyle w:val="IndexLink"/>
                <w:rtl w:val="true"/>
              </w:rPr>
              <w:t>[</w:t>
            </w:r>
            <w:r>
              <w:rPr>
                <w:rStyle w:val="IndexLink"/>
                <w:rtl w:val="true"/>
              </w:rPr>
              <w:t>فی ولایة الفقیه</w:t>
            </w:r>
            <w:r>
              <w:rPr>
                <w:rStyle w:val="IndexLink"/>
                <w:rtl w:val="true"/>
              </w:rPr>
              <w:t>]</w:t>
              <w:tab/>
            </w:r>
            <w:r>
              <w:rPr>
                <w:rStyle w:val="IndexLink"/>
              </w:rPr>
              <w:t>546</w:t>
            </w:r>
          </w:hyperlink>
        </w:p>
        <w:p>
          <w:pPr>
            <w:pStyle w:val="Contents6"/>
            <w:tabs>
              <w:tab w:val="clear" w:pos="7609"/>
              <w:tab w:val="right" w:pos="9026" w:leader="dot"/>
            </w:tabs>
            <w:rPr/>
          </w:pPr>
          <w:hyperlink w:anchor="__RefHeading___Toc5083072_2314609296">
            <w:r>
              <w:rPr>
                <w:webHidden/>
                <w:rStyle w:val="IndexLink"/>
                <w:rtl w:val="true"/>
              </w:rPr>
              <w:t>للفقیه الجامع للشرائط مناصب ثلاثة</w:t>
            </w:r>
            <w:r>
              <w:rPr>
                <w:rStyle w:val="IndexLink"/>
                <w:rtl w:val="true"/>
              </w:rPr>
              <w:t>:</w:t>
              <w:tab/>
            </w:r>
            <w:r>
              <w:rPr>
                <w:rStyle w:val="IndexLink"/>
              </w:rPr>
              <w:t>546</w:t>
            </w:r>
          </w:hyperlink>
        </w:p>
        <w:p>
          <w:pPr>
            <w:pStyle w:val="Contents6"/>
            <w:tabs>
              <w:tab w:val="clear" w:pos="7609"/>
              <w:tab w:val="right" w:pos="9026" w:leader="dot"/>
            </w:tabs>
            <w:rPr/>
          </w:pPr>
          <w:hyperlink w:anchor="__RefHeading___Toc5083074_2314609296">
            <w:r>
              <w:rPr>
                <w:webHidden/>
                <w:rStyle w:val="IndexLink"/>
                <w:rtl w:val="true"/>
              </w:rPr>
              <w:t>أحدها</w:t>
            </w:r>
            <w:r>
              <w:rPr>
                <w:rStyle w:val="IndexLink"/>
                <w:rtl w:val="true"/>
              </w:rPr>
              <w:t>:</w:t>
            </w:r>
            <w:r>
              <w:rPr>
                <w:rStyle w:val="IndexLink"/>
                <w:rtl w:val="true"/>
              </w:rPr>
              <w:t>الإفتاء فیما یحتاج إلیها العامی فی عمله،</w:t>
            </w:r>
            <w:r>
              <w:rPr>
                <w:rStyle w:val="IndexLink"/>
                <w:rtl w:val="true"/>
              </w:rPr>
              <w:tab/>
            </w:r>
            <w:r>
              <w:rPr>
                <w:rStyle w:val="IndexLink"/>
              </w:rPr>
              <w:t>546</w:t>
            </w:r>
          </w:hyperlink>
        </w:p>
        <w:p>
          <w:pPr>
            <w:pStyle w:val="Contents6"/>
            <w:tabs>
              <w:tab w:val="clear" w:pos="7609"/>
              <w:tab w:val="right" w:pos="9026" w:leader="dot"/>
            </w:tabs>
            <w:rPr/>
          </w:pPr>
          <w:hyperlink w:anchor="__RefHeading___Toc5083076_2314609296">
            <w:r>
              <w:rPr>
                <w:webHidden/>
                <w:rStyle w:val="IndexLink"/>
                <w:rtl w:val="true"/>
              </w:rPr>
              <w:t>الثانی</w:t>
            </w:r>
            <w:r>
              <w:rPr>
                <w:rStyle w:val="IndexLink"/>
                <w:rtl w:val="true"/>
              </w:rPr>
              <w:t xml:space="preserve">: </w:t>
            </w:r>
            <w:r>
              <w:rPr>
                <w:rStyle w:val="IndexLink"/>
                <w:rtl w:val="true"/>
              </w:rPr>
              <w:t>الحکومة،</w:t>
            </w:r>
            <w:r>
              <w:rPr>
                <w:rStyle w:val="IndexLink"/>
                <w:rtl w:val="true"/>
              </w:rPr>
              <w:tab/>
            </w:r>
            <w:r>
              <w:rPr>
                <w:rStyle w:val="IndexLink"/>
              </w:rPr>
              <w:t>546</w:t>
            </w:r>
          </w:hyperlink>
        </w:p>
        <w:p>
          <w:pPr>
            <w:pStyle w:val="Contents6"/>
            <w:tabs>
              <w:tab w:val="clear" w:pos="7609"/>
              <w:tab w:val="right" w:pos="9026" w:leader="dot"/>
            </w:tabs>
            <w:rPr/>
          </w:pPr>
          <w:hyperlink w:anchor="__RefHeading___Toc5083078_2314609296">
            <w:r>
              <w:rPr>
                <w:webHidden/>
                <w:rStyle w:val="IndexLink"/>
                <w:rtl w:val="true"/>
              </w:rPr>
              <w:t>الثالث</w:t>
            </w:r>
            <w:r>
              <w:rPr>
                <w:rStyle w:val="IndexLink"/>
                <w:rtl w:val="true"/>
              </w:rPr>
              <w:t xml:space="preserve">: </w:t>
            </w:r>
            <w:r>
              <w:rPr>
                <w:rStyle w:val="IndexLink"/>
                <w:rtl w:val="true"/>
              </w:rPr>
              <w:t>ولایة التصرّف فی الأموال و الأنفس،</w:t>
            </w:r>
            <w:r>
              <w:rPr>
                <w:rStyle w:val="IndexLink"/>
                <w:rtl w:val="true"/>
              </w:rPr>
              <w:tab/>
            </w:r>
            <w:r>
              <w:rPr>
                <w:rStyle w:val="IndexLink"/>
              </w:rPr>
              <w:t>547</w:t>
            </w:r>
          </w:hyperlink>
        </w:p>
        <w:p>
          <w:pPr>
            <w:pStyle w:val="Contents6"/>
            <w:tabs>
              <w:tab w:val="clear" w:pos="7609"/>
              <w:tab w:val="right" w:pos="9026" w:leader="dot"/>
            </w:tabs>
            <w:rPr/>
          </w:pPr>
          <w:hyperlink w:anchor="__RefHeading___Toc5083080_2314609296">
            <w:r>
              <w:rPr>
                <w:webHidden/>
                <w:rStyle w:val="IndexLink"/>
                <w:rtl w:val="true"/>
              </w:rPr>
              <w:t>فنقول</w:t>
            </w:r>
            <w:r>
              <w:rPr>
                <w:rStyle w:val="IndexLink"/>
                <w:rtl w:val="true"/>
              </w:rPr>
              <w:t>:</w:t>
            </w:r>
            <w:r>
              <w:rPr>
                <w:rStyle w:val="IndexLink"/>
                <w:rtl w:val="true"/>
              </w:rPr>
              <w:t>الولایة تتصوّر علی وجهین</w:t>
            </w:r>
            <w:r>
              <w:rPr>
                <w:rStyle w:val="IndexLink"/>
                <w:rtl w:val="true"/>
              </w:rPr>
              <w:t>:</w:t>
              <w:tab/>
            </w:r>
            <w:r>
              <w:rPr>
                <w:rStyle w:val="IndexLink"/>
              </w:rPr>
              <w:t>547</w:t>
            </w:r>
          </w:hyperlink>
        </w:p>
        <w:p>
          <w:pPr>
            <w:pStyle w:val="Contents6"/>
            <w:tabs>
              <w:tab w:val="clear" w:pos="7609"/>
              <w:tab w:val="right" w:pos="9026" w:leader="dot"/>
            </w:tabs>
            <w:rPr/>
          </w:pPr>
          <w:hyperlink w:anchor="__RefHeading___Toc5083082_2314609296">
            <w:r>
              <w:rPr>
                <w:webHidden/>
                <w:rStyle w:val="IndexLink"/>
                <w:rtl w:val="true"/>
              </w:rPr>
              <w:t>الأوّل</w:t>
            </w:r>
            <w:r>
              <w:rPr>
                <w:rStyle w:val="IndexLink"/>
                <w:rtl w:val="true"/>
              </w:rPr>
              <w:t>:</w:t>
            </w:r>
            <w:r>
              <w:rPr>
                <w:rStyle w:val="IndexLink"/>
                <w:rtl w:val="true"/>
              </w:rPr>
              <w:t>استقلال الولی بالتصرّف مع قطع النظر عن کون تصرّف غیره منوطاً بإذنه أو غیر منوطٍ به،</w:t>
            </w:r>
            <w:r>
              <w:rPr>
                <w:rStyle w:val="IndexLink"/>
                <w:rtl w:val="true"/>
              </w:rPr>
              <w:tab/>
            </w:r>
            <w:r>
              <w:rPr>
                <w:rStyle w:val="IndexLink"/>
              </w:rPr>
              <w:t>547</w:t>
            </w:r>
          </w:hyperlink>
        </w:p>
        <w:p>
          <w:pPr>
            <w:pStyle w:val="Contents6"/>
            <w:tabs>
              <w:tab w:val="clear" w:pos="7609"/>
              <w:tab w:val="right" w:pos="9026" w:leader="dot"/>
            </w:tabs>
            <w:rPr/>
          </w:pPr>
          <w:hyperlink w:anchor="__RefHeading___Toc5083084_2314609296">
            <w:r>
              <w:rPr>
                <w:webHidden/>
                <w:rStyle w:val="IndexLink"/>
                <w:rtl w:val="true"/>
              </w:rPr>
              <w:t>الثانی</w:t>
            </w:r>
            <w:r>
              <w:rPr>
                <w:rStyle w:val="IndexLink"/>
                <w:rtl w:val="true"/>
              </w:rPr>
              <w:t>:</w:t>
            </w:r>
            <w:r>
              <w:rPr>
                <w:rStyle w:val="IndexLink"/>
                <w:rtl w:val="true"/>
              </w:rPr>
              <w:t>عدم استقلال غیره بالتصرّف،و کون تصرّف الغیر منوطاً بإذنه و إن لم یکن هو مستقلا بالتصرّف،</w:t>
            </w:r>
            <w:r>
              <w:rPr>
                <w:rStyle w:val="IndexLink"/>
                <w:rtl w:val="true"/>
              </w:rPr>
              <w:tab/>
            </w:r>
            <w:r>
              <w:rPr>
                <w:rStyle w:val="IndexLink"/>
              </w:rPr>
              <w:t>547</w:t>
            </w:r>
          </w:hyperlink>
        </w:p>
        <w:p>
          <w:pPr>
            <w:pStyle w:val="Contents6"/>
            <w:tabs>
              <w:tab w:val="clear" w:pos="7609"/>
              <w:tab w:val="right" w:pos="9026" w:leader="dot"/>
            </w:tabs>
            <w:rPr/>
          </w:pPr>
          <w:hyperlink w:anchor="__RefHeading___Toc5083086_2314609296">
            <w:r>
              <w:rPr>
                <w:webHidden/>
                <w:rStyle w:val="IndexLink"/>
                <w:rtl w:val="true"/>
              </w:rPr>
              <w:t>[</w:t>
            </w:r>
            <w:r>
              <w:rPr>
                <w:rStyle w:val="IndexLink"/>
                <w:rtl w:val="true"/>
              </w:rPr>
              <w:t>ثبوت الولایة بالمعنی الأول للنبی و الأئمة علیهم السلام</w:t>
            </w:r>
            <w:r>
              <w:rPr>
                <w:rStyle w:val="IndexLink"/>
                <w:rtl w:val="true"/>
              </w:rPr>
              <w:t>]</w:t>
              <w:tab/>
            </w:r>
            <w:r>
              <w:rPr>
                <w:rStyle w:val="IndexLink"/>
              </w:rPr>
              <w:t>547</w:t>
            </w:r>
          </w:hyperlink>
        </w:p>
        <w:p>
          <w:pPr>
            <w:pStyle w:val="Contents6"/>
            <w:tabs>
              <w:tab w:val="clear" w:pos="7609"/>
              <w:tab w:val="right" w:pos="9026" w:leader="dot"/>
            </w:tabs>
            <w:rPr/>
          </w:pPr>
          <w:hyperlink w:anchor="__RefHeading___Toc5083088_2314609296">
            <w:r>
              <w:rPr>
                <w:webHidden/>
                <w:rStyle w:val="IndexLink"/>
                <w:rtl w:val="true"/>
              </w:rPr>
              <w:t>[</w:t>
            </w:r>
            <w:r>
              <w:rPr>
                <w:rStyle w:val="IndexLink"/>
                <w:rtl w:val="true"/>
              </w:rPr>
              <w:t>الاستدلال بالکتاب</w:t>
            </w:r>
            <w:r>
              <w:rPr>
                <w:rStyle w:val="IndexLink"/>
                <w:rtl w:val="true"/>
              </w:rPr>
              <w:t>]</w:t>
              <w:tab/>
            </w:r>
            <w:r>
              <w:rPr>
                <w:rStyle w:val="IndexLink"/>
              </w:rPr>
              <w:t>547</w:t>
            </w:r>
          </w:hyperlink>
        </w:p>
        <w:p>
          <w:pPr>
            <w:pStyle w:val="Contents6"/>
            <w:tabs>
              <w:tab w:val="clear" w:pos="7609"/>
              <w:tab w:val="right" w:pos="9026" w:leader="dot"/>
            </w:tabs>
            <w:rPr/>
          </w:pPr>
          <w:hyperlink w:anchor="__RefHeading___Toc5083090_2314609296">
            <w:r>
              <w:rPr>
                <w:webHidden/>
                <w:rStyle w:val="IndexLink"/>
                <w:rtl w:val="true"/>
              </w:rPr>
              <w:t>[</w:t>
            </w:r>
            <w:r>
              <w:rPr>
                <w:rStyle w:val="IndexLink"/>
                <w:rtl w:val="true"/>
              </w:rPr>
              <w:t>الاستدلال بالروایات</w:t>
            </w:r>
            <w:r>
              <w:rPr>
                <w:rStyle w:val="IndexLink"/>
                <w:rtl w:val="true"/>
              </w:rPr>
              <w:t>]</w:t>
              <w:tab/>
            </w:r>
            <w:r>
              <w:rPr>
                <w:rStyle w:val="IndexLink"/>
              </w:rPr>
              <w:t>548</w:t>
            </w:r>
          </w:hyperlink>
        </w:p>
        <w:p>
          <w:pPr>
            <w:pStyle w:val="Contents6"/>
            <w:tabs>
              <w:tab w:val="clear" w:pos="7609"/>
              <w:tab w:val="right" w:pos="9026" w:leader="dot"/>
            </w:tabs>
            <w:rPr/>
          </w:pPr>
          <w:hyperlink w:anchor="__RefHeading___Toc5083092_2314609296">
            <w:r>
              <w:rPr>
                <w:webHidden/>
                <w:rStyle w:val="IndexLink"/>
                <w:rtl w:val="true"/>
              </w:rPr>
              <w:t>[</w:t>
            </w:r>
            <w:r>
              <w:rPr>
                <w:rStyle w:val="IndexLink"/>
                <w:rtl w:val="true"/>
              </w:rPr>
              <w:t>الاستدلال بالإجماع و العقل</w:t>
            </w:r>
            <w:r>
              <w:rPr>
                <w:rStyle w:val="IndexLink"/>
                <w:rtl w:val="true"/>
              </w:rPr>
              <w:t>]</w:t>
              <w:tab/>
            </w:r>
            <w:r>
              <w:rPr>
                <w:rStyle w:val="IndexLink"/>
              </w:rPr>
              <w:t>549</w:t>
            </w:r>
          </w:hyperlink>
        </w:p>
        <w:p>
          <w:pPr>
            <w:pStyle w:val="Contents6"/>
            <w:tabs>
              <w:tab w:val="clear" w:pos="7609"/>
              <w:tab w:val="right" w:pos="9026" w:leader="dot"/>
            </w:tabs>
            <w:rPr/>
          </w:pPr>
          <w:hyperlink w:anchor="__RefHeading___Toc5083094_2314609296">
            <w:r>
              <w:rPr>
                <w:webHidden/>
                <w:rStyle w:val="IndexLink"/>
                <w:rtl w:val="true"/>
              </w:rPr>
              <w:t>[</w:t>
            </w:r>
            <w:r>
              <w:rPr>
                <w:rStyle w:val="IndexLink"/>
                <w:rtl w:val="true"/>
              </w:rPr>
              <w:t>الاستدلال بالروایات بالمعنی الثانی و الاستدلال علیه</w:t>
            </w:r>
            <w:r>
              <w:rPr>
                <w:rStyle w:val="IndexLink"/>
                <w:rtl w:val="true"/>
              </w:rPr>
              <w:t>]</w:t>
              <w:tab/>
            </w:r>
            <w:r>
              <w:rPr>
                <w:rStyle w:val="IndexLink"/>
              </w:rPr>
              <w:t>549</w:t>
            </w:r>
          </w:hyperlink>
        </w:p>
        <w:p>
          <w:pPr>
            <w:pStyle w:val="Contents6"/>
            <w:tabs>
              <w:tab w:val="clear" w:pos="7609"/>
              <w:tab w:val="right" w:pos="9026" w:leader="dot"/>
            </w:tabs>
            <w:rPr/>
          </w:pPr>
          <w:hyperlink w:anchor="__RefHeading___Toc5083096_2314609296">
            <w:r>
              <w:rPr>
                <w:webHidden/>
                <w:rStyle w:val="IndexLink"/>
                <w:rtl w:val="true"/>
              </w:rPr>
              <w:t>[</w:t>
            </w:r>
            <w:r>
              <w:rPr>
                <w:rStyle w:val="IndexLink"/>
                <w:rtl w:val="true"/>
              </w:rPr>
              <w:t>الکلام فی ولایة الفقیه بالمعنی الأول</w:t>
            </w:r>
            <w:r>
              <w:rPr>
                <w:rStyle w:val="IndexLink"/>
                <w:rtl w:val="true"/>
              </w:rPr>
              <w:t>]</w:t>
              <w:tab/>
            </w:r>
            <w:r>
              <w:rPr>
                <w:rStyle w:val="IndexLink"/>
              </w:rPr>
              <w:t>552</w:t>
            </w:r>
          </w:hyperlink>
        </w:p>
        <w:p>
          <w:pPr>
            <w:pStyle w:val="Contents6"/>
            <w:tabs>
              <w:tab w:val="clear" w:pos="7609"/>
              <w:tab w:val="right" w:pos="9026" w:leader="dot"/>
            </w:tabs>
            <w:rPr/>
          </w:pPr>
          <w:hyperlink w:anchor="__RefHeading___Toc5083098_2314609296">
            <w:r>
              <w:rPr>
                <w:webHidden/>
                <w:rStyle w:val="IndexLink"/>
                <w:rtl w:val="true"/>
              </w:rPr>
              <w:t>[</w:t>
            </w:r>
            <w:r>
              <w:rPr>
                <w:rStyle w:val="IndexLink"/>
                <w:rtl w:val="true"/>
              </w:rPr>
              <w:t>الاستدلال علیها بالروایات</w:t>
            </w:r>
            <w:r>
              <w:rPr>
                <w:rStyle w:val="IndexLink"/>
                <w:rtl w:val="true"/>
              </w:rPr>
              <w:t>]</w:t>
              <w:tab/>
            </w:r>
            <w:r>
              <w:rPr>
                <w:rStyle w:val="IndexLink"/>
              </w:rPr>
              <w:t>552</w:t>
            </w:r>
          </w:hyperlink>
        </w:p>
        <w:p>
          <w:pPr>
            <w:pStyle w:val="Contents6"/>
            <w:tabs>
              <w:tab w:val="clear" w:pos="7609"/>
              <w:tab w:val="right" w:pos="9026" w:leader="dot"/>
            </w:tabs>
            <w:rPr/>
          </w:pPr>
          <w:hyperlink w:anchor="__RefHeading___Toc5083100_2314609296">
            <w:r>
              <w:rPr>
                <w:webHidden/>
                <w:rStyle w:val="IndexLink"/>
                <w:rtl w:val="true"/>
              </w:rPr>
              <w:t>[</w:t>
            </w:r>
            <w:r>
              <w:rPr>
                <w:rStyle w:val="IndexLink"/>
                <w:rtl w:val="true"/>
              </w:rPr>
              <w:t>المناقشة فی الاستدلال</w:t>
            </w:r>
            <w:r>
              <w:rPr>
                <w:rStyle w:val="IndexLink"/>
                <w:rtl w:val="true"/>
              </w:rPr>
              <w:t>]</w:t>
              <w:tab/>
            </w:r>
            <w:r>
              <w:rPr>
                <w:rStyle w:val="IndexLink"/>
              </w:rPr>
              <w:t>554</w:t>
            </w:r>
          </w:hyperlink>
        </w:p>
        <w:p>
          <w:pPr>
            <w:pStyle w:val="Contents6"/>
            <w:tabs>
              <w:tab w:val="clear" w:pos="7609"/>
              <w:tab w:val="right" w:pos="9026" w:leader="dot"/>
            </w:tabs>
            <w:rPr/>
          </w:pPr>
          <w:hyperlink w:anchor="__RefHeading___Toc5083102_2314609296">
            <w:r>
              <w:rPr>
                <w:webHidden/>
                <w:rStyle w:val="IndexLink"/>
                <w:rtl w:val="true"/>
              </w:rPr>
              <w:t>بقی الکلام فی ولایته علی الوجه الثانی</w:t>
            </w:r>
            <w:r>
              <w:rPr>
                <w:rStyle w:val="IndexLink"/>
                <w:rtl w:val="true"/>
              </w:rPr>
              <w:t>-</w:t>
            </w:r>
            <w:r>
              <w:rPr>
                <w:rStyle w:val="IndexLink"/>
                <w:rtl w:val="true"/>
              </w:rPr>
              <w:t>أعنی توقّف تصرّف الغیر علی إذنه،</w:t>
            </w:r>
            <w:r>
              <w:rPr>
                <w:rStyle w:val="IndexLink"/>
                <w:rtl w:val="true"/>
              </w:rPr>
              <w:tab/>
            </w:r>
            <w:r>
              <w:rPr>
                <w:rStyle w:val="IndexLink"/>
              </w:rPr>
              <w:t>554</w:t>
            </w:r>
          </w:hyperlink>
        </w:p>
        <w:p>
          <w:pPr>
            <w:pStyle w:val="Contents6"/>
            <w:tabs>
              <w:tab w:val="clear" w:pos="7609"/>
              <w:tab w:val="right" w:pos="9026" w:leader="dot"/>
            </w:tabs>
            <w:rPr/>
          </w:pPr>
          <w:hyperlink w:anchor="__RefHeading___Toc5083104_2314609296">
            <w:r>
              <w:rPr>
                <w:webHidden/>
                <w:rStyle w:val="IndexLink"/>
                <w:rtl w:val="true"/>
              </w:rPr>
              <w:t>[</w:t>
            </w:r>
            <w:r>
              <w:rPr>
                <w:rStyle w:val="IndexLink"/>
                <w:rtl w:val="true"/>
              </w:rPr>
              <w:t>الضابطة لما یجب استئذان الفقیه فیه</w:t>
            </w:r>
            <w:r>
              <w:rPr>
                <w:rStyle w:val="IndexLink"/>
                <w:rtl w:val="true"/>
              </w:rPr>
              <w:t>]</w:t>
              <w:tab/>
            </w:r>
            <w:r>
              <w:rPr>
                <w:rStyle w:val="IndexLink"/>
              </w:rPr>
              <w:t>554</w:t>
            </w:r>
          </w:hyperlink>
        </w:p>
        <w:p>
          <w:pPr>
            <w:pStyle w:val="Contents6"/>
            <w:tabs>
              <w:tab w:val="clear" w:pos="7609"/>
              <w:tab w:val="right" w:pos="9026" w:leader="dot"/>
            </w:tabs>
            <w:rPr/>
          </w:pPr>
          <w:hyperlink w:anchor="__RefHeading___Toc5083106_2314609296">
            <w:r>
              <w:rPr>
                <w:webHidden/>
                <w:rStyle w:val="IndexLink"/>
                <w:rtl w:val="true"/>
              </w:rPr>
              <w:t>[</w:t>
            </w:r>
            <w:r>
              <w:rPr>
                <w:rStyle w:val="IndexLink"/>
                <w:rtl w:val="true"/>
              </w:rPr>
              <w:t>ما یدل علی وجوب استئذان الفقیه فی الأمور المذکورة</w:t>
            </w:r>
            <w:r>
              <w:rPr>
                <w:rStyle w:val="IndexLink"/>
                <w:rtl w:val="true"/>
              </w:rPr>
              <w:t>]</w:t>
              <w:tab/>
            </w:r>
            <w:r>
              <w:rPr>
                <w:rStyle w:val="IndexLink"/>
              </w:rPr>
              <w:t>555</w:t>
            </w:r>
          </w:hyperlink>
        </w:p>
        <w:p>
          <w:pPr>
            <w:pStyle w:val="Contents6"/>
            <w:tabs>
              <w:tab w:val="clear" w:pos="7609"/>
              <w:tab w:val="right" w:pos="9026" w:leader="dot"/>
            </w:tabs>
            <w:rPr/>
          </w:pPr>
          <w:hyperlink w:anchor="__RefHeading___Toc5083108_2314609296">
            <w:r>
              <w:rPr>
                <w:webHidden/>
                <w:rStyle w:val="IndexLink"/>
                <w:rtl w:val="true"/>
              </w:rPr>
              <w:t>مسألة فی ولایة عدول</w:t>
            </w:r>
            <w:r>
              <w:rPr>
                <w:rStyle w:val="IndexLink"/>
                <w:rtl w:val="true"/>
              </w:rPr>
              <w:tab/>
            </w:r>
            <w:r>
              <w:rPr>
                <w:rStyle w:val="IndexLink"/>
              </w:rPr>
              <w:t>562</w:t>
            </w:r>
          </w:hyperlink>
        </w:p>
        <w:p>
          <w:pPr>
            <w:pStyle w:val="Contents6"/>
            <w:tabs>
              <w:tab w:val="clear" w:pos="7609"/>
              <w:tab w:val="right" w:pos="9026" w:leader="dot"/>
            </w:tabs>
            <w:rPr/>
          </w:pPr>
          <w:hyperlink w:anchor="__RefHeading___Toc5083110_2314609296">
            <w:r>
              <w:rPr>
                <w:webHidden/>
                <w:rStyle w:val="IndexLink"/>
                <w:rtl w:val="true"/>
              </w:rPr>
              <w:t>[</w:t>
            </w:r>
            <w:r>
              <w:rPr>
                <w:rStyle w:val="IndexLink"/>
                <w:rtl w:val="true"/>
              </w:rPr>
              <w:t>حدود ولایة المؤمنین</w:t>
            </w:r>
            <w:r>
              <w:rPr>
                <w:rStyle w:val="IndexLink"/>
                <w:rtl w:val="true"/>
              </w:rPr>
              <w:t>]</w:t>
              <w:tab/>
            </w:r>
            <w:r>
              <w:rPr>
                <w:rStyle w:val="IndexLink"/>
              </w:rPr>
              <w:t>562</w:t>
            </w:r>
          </w:hyperlink>
        </w:p>
        <w:p>
          <w:pPr>
            <w:pStyle w:val="Contents6"/>
            <w:tabs>
              <w:tab w:val="clear" w:pos="7609"/>
              <w:tab w:val="right" w:pos="9026" w:leader="dot"/>
            </w:tabs>
            <w:rPr/>
          </w:pPr>
          <w:hyperlink w:anchor="__RefHeading___Toc5083112_2314609296">
            <w:r>
              <w:rPr>
                <w:webHidden/>
                <w:rStyle w:val="IndexLink"/>
                <w:rtl w:val="true"/>
              </w:rPr>
              <w:t>بقی الکلام فی اشتراط العدالة فی المؤمن الذی یتولّی المصلحة عند فقد الحاکم،</w:t>
            </w:r>
            <w:r>
              <w:rPr>
                <w:rStyle w:val="IndexLink"/>
                <w:rtl w:val="true"/>
              </w:rPr>
              <w:tab/>
            </w:r>
            <w:r>
              <w:rPr>
                <w:rStyle w:val="IndexLink"/>
              </w:rPr>
              <w:t>565</w:t>
            </w:r>
          </w:hyperlink>
        </w:p>
        <w:p>
          <w:pPr>
            <w:pStyle w:val="Contents6"/>
            <w:tabs>
              <w:tab w:val="clear" w:pos="7609"/>
              <w:tab w:val="right" w:pos="9026" w:leader="dot"/>
            </w:tabs>
            <w:rPr/>
          </w:pPr>
          <w:hyperlink w:anchor="__RefHeading___Toc5083114_2314609296">
            <w:r>
              <w:rPr>
                <w:webHidden/>
                <w:rStyle w:val="IndexLink"/>
                <w:rtl w:val="true"/>
              </w:rPr>
              <w:t>[</w:t>
            </w:r>
            <w:r>
              <w:rPr>
                <w:rStyle w:val="IndexLink"/>
                <w:rtl w:val="true"/>
              </w:rPr>
              <w:t>الظاهر عدم اعتبار العدالة فی المباشرة</w:t>
            </w:r>
            <w:r>
              <w:rPr>
                <w:rStyle w:val="IndexLink"/>
                <w:rtl w:val="true"/>
              </w:rPr>
              <w:t>]</w:t>
              <w:tab/>
            </w:r>
            <w:r>
              <w:rPr>
                <w:rStyle w:val="IndexLink"/>
              </w:rPr>
              <w:t>569</w:t>
            </w:r>
          </w:hyperlink>
        </w:p>
        <w:p>
          <w:pPr>
            <w:pStyle w:val="Contents6"/>
            <w:tabs>
              <w:tab w:val="clear" w:pos="7609"/>
              <w:tab w:val="right" w:pos="9026" w:leader="dot"/>
            </w:tabs>
            <w:rPr/>
          </w:pPr>
          <w:hyperlink w:anchor="__RefHeading___Toc5083116_2314609296">
            <w:r>
              <w:rPr>
                <w:webHidden/>
                <w:rStyle w:val="IndexLink"/>
                <w:rtl w:val="true"/>
              </w:rPr>
              <w:t>[</w:t>
            </w:r>
            <w:r>
              <w:rPr>
                <w:rStyle w:val="IndexLink"/>
                <w:rtl w:val="true"/>
              </w:rPr>
              <w:t>الظاهر اشتراط العدالة فیما یتعلق بفعل الغیر</w:t>
            </w:r>
            <w:r>
              <w:rPr>
                <w:rStyle w:val="IndexLink"/>
                <w:rtl w:val="true"/>
              </w:rPr>
              <w:t>]</w:t>
              <w:tab/>
            </w:r>
            <w:r>
              <w:rPr>
                <w:rStyle w:val="IndexLink"/>
              </w:rPr>
              <w:t>569</w:t>
            </w:r>
          </w:hyperlink>
        </w:p>
        <w:p>
          <w:pPr>
            <w:pStyle w:val="Contents6"/>
            <w:tabs>
              <w:tab w:val="clear" w:pos="7609"/>
              <w:tab w:val="right" w:pos="9026" w:leader="dot"/>
            </w:tabs>
            <w:rPr/>
          </w:pPr>
          <w:hyperlink w:anchor="__RefHeading___Toc5083118_2314609296">
            <w:r>
              <w:rPr>
                <w:webHidden/>
                <w:rStyle w:val="IndexLink"/>
                <w:rtl w:val="true"/>
              </w:rPr>
              <w:t>[</w:t>
            </w:r>
            <w:r>
              <w:rPr>
                <w:rStyle w:val="IndexLink"/>
                <w:rtl w:val="true"/>
              </w:rPr>
              <w:t>هل یجوز مزاحمة من تصدی من المؤمنین</w:t>
            </w:r>
            <w:r>
              <w:rPr>
                <w:rStyle w:val="IndexLink"/>
                <w:rtl w:val="true"/>
              </w:rPr>
              <w:t>]</w:t>
              <w:tab/>
            </w:r>
            <w:r>
              <w:rPr>
                <w:rStyle w:val="IndexLink"/>
              </w:rPr>
              <w:t>570</w:t>
            </w:r>
          </w:hyperlink>
        </w:p>
        <w:p>
          <w:pPr>
            <w:pStyle w:val="Contents6"/>
            <w:tabs>
              <w:tab w:val="clear" w:pos="7609"/>
              <w:tab w:val="right" w:pos="9026" w:leader="dot"/>
            </w:tabs>
            <w:rPr/>
          </w:pPr>
          <w:hyperlink w:anchor="__RefHeading___Toc5083120_2314609296">
            <w:r>
              <w:rPr>
                <w:webHidden/>
                <w:rStyle w:val="IndexLink"/>
                <w:rtl w:val="true"/>
              </w:rPr>
              <w:t>[</w:t>
            </w:r>
            <w:r>
              <w:rPr>
                <w:rStyle w:val="IndexLink"/>
                <w:rtl w:val="true"/>
              </w:rPr>
              <w:t>مزاحمة فقیه لفقیه آخر</w:t>
            </w:r>
            <w:r>
              <w:rPr>
                <w:rStyle w:val="IndexLink"/>
                <w:rtl w:val="true"/>
              </w:rPr>
              <w:t>]</w:t>
              <w:tab/>
            </w:r>
            <w:r>
              <w:rPr>
                <w:rStyle w:val="IndexLink"/>
              </w:rPr>
              <w:t>571</w:t>
            </w:r>
          </w:hyperlink>
        </w:p>
        <w:p>
          <w:pPr>
            <w:pStyle w:val="Contents6"/>
            <w:tabs>
              <w:tab w:val="clear" w:pos="7609"/>
              <w:tab w:val="right" w:pos="9026" w:leader="dot"/>
            </w:tabs>
            <w:rPr/>
          </w:pPr>
          <w:hyperlink w:anchor="__RefHeading___Toc5083122_2314609296">
            <w:r>
              <w:rPr>
                <w:webHidden/>
                <w:rStyle w:val="IndexLink"/>
                <w:rtl w:val="true"/>
              </w:rPr>
              <w:t>[</w:t>
            </w:r>
            <w:r>
              <w:rPr>
                <w:rStyle w:val="IndexLink"/>
                <w:rtl w:val="true"/>
              </w:rPr>
              <w:t>هل یشترط فی ولایة غیر الأب و الجد ملاحظة الغبطة للیتیم؟</w:t>
            </w:r>
            <w:r>
              <w:rPr>
                <w:rStyle w:val="IndexLink"/>
                <w:rtl w:val="true"/>
              </w:rPr>
              <w:t>]</w:t>
              <w:tab/>
            </w:r>
            <w:r>
              <w:rPr>
                <w:rStyle w:val="IndexLink"/>
              </w:rPr>
              <w:t>574</w:t>
            </w:r>
          </w:hyperlink>
        </w:p>
        <w:p>
          <w:pPr>
            <w:pStyle w:val="Contents6"/>
            <w:tabs>
              <w:tab w:val="clear" w:pos="7609"/>
              <w:tab w:val="right" w:pos="9026" w:leader="dot"/>
            </w:tabs>
            <w:rPr/>
          </w:pPr>
          <w:hyperlink w:anchor="__RefHeading___Toc5083124_2314609296">
            <w:r>
              <w:rPr>
                <w:webHidden/>
                <w:rStyle w:val="IndexLink"/>
                <w:rtl w:val="true"/>
              </w:rPr>
              <w:t>[</w:t>
            </w:r>
            <w:r>
              <w:rPr>
                <w:rStyle w:val="IndexLink"/>
                <w:rtl w:val="true"/>
              </w:rPr>
              <w:t>الاستدلال بقوله تعالی</w:t>
            </w:r>
            <w:r>
              <w:rPr>
                <w:rStyle w:val="IndexLink"/>
                <w:rtl w:val="true"/>
              </w:rPr>
              <w:t xml:space="preserve">: </w:t>
            </w:r>
            <w:r>
              <w:rPr>
                <w:rStyle w:val="IndexLink"/>
                <w:rtl w:val="true"/>
              </w:rPr>
              <w:t xml:space="preserve">وَ لاٰ تَقْرَبُوا مٰالَ الْیَتِیمِ إِلاّٰ بِالَّتِی هِیَ أَحْسَنُ </w:t>
            </w:r>
            <w:r>
              <w:rPr>
                <w:rStyle w:val="IndexLink"/>
                <w:rtl w:val="true"/>
              </w:rPr>
              <w:t>]</w:t>
              <w:tab/>
            </w:r>
            <w:r>
              <w:rPr>
                <w:rStyle w:val="IndexLink"/>
              </w:rPr>
              <w:t>575</w:t>
            </w:r>
          </w:hyperlink>
        </w:p>
        <w:p>
          <w:pPr>
            <w:pStyle w:val="Contents6"/>
            <w:tabs>
              <w:tab w:val="clear" w:pos="7609"/>
              <w:tab w:val="right" w:pos="9026" w:leader="dot"/>
            </w:tabs>
            <w:rPr/>
          </w:pPr>
          <w:hyperlink w:anchor="__RefHeading___Toc5083126_2314609296">
            <w:r>
              <w:rPr>
                <w:webHidden/>
                <w:rStyle w:val="IndexLink"/>
                <w:rtl w:val="true"/>
              </w:rPr>
              <w:t>[</w:t>
            </w:r>
            <w:r>
              <w:rPr>
                <w:rStyle w:val="IndexLink"/>
                <w:rtl w:val="true"/>
              </w:rPr>
              <w:t>ظاهر بعض الروایات کفایة عدم المفسدة</w:t>
            </w:r>
            <w:r>
              <w:rPr>
                <w:rStyle w:val="IndexLink"/>
                <w:rtl w:val="true"/>
              </w:rPr>
              <w:t>]</w:t>
              <w:tab/>
            </w:r>
            <w:r>
              <w:rPr>
                <w:rStyle w:val="IndexLink"/>
              </w:rPr>
              <w:t>578</w:t>
            </w:r>
          </w:hyperlink>
        </w:p>
        <w:p>
          <w:pPr>
            <w:pStyle w:val="Contents6"/>
            <w:tabs>
              <w:tab w:val="clear" w:pos="7609"/>
              <w:tab w:val="right" w:pos="9026" w:leader="dot"/>
            </w:tabs>
            <w:rPr/>
          </w:pPr>
          <w:hyperlink w:anchor="__RefHeading___Toc5083128_2314609296">
            <w:r>
              <w:rPr>
                <w:webHidden/>
                <w:rStyle w:val="IndexLink"/>
                <w:rtl w:val="true"/>
              </w:rPr>
              <w:t>و هل یجب مراعاة الأصلح أم لا؟</w:t>
            </w:r>
            <w:r>
              <w:rPr>
                <w:rStyle w:val="IndexLink"/>
                <w:rtl w:val="true"/>
              </w:rPr>
              <w:tab/>
            </w:r>
            <w:r>
              <w:rPr>
                <w:rStyle w:val="IndexLink"/>
              </w:rPr>
              <w:t>580</w:t>
            </w:r>
          </w:hyperlink>
        </w:p>
        <w:p>
          <w:pPr>
            <w:pStyle w:val="Contents6"/>
            <w:tabs>
              <w:tab w:val="clear" w:pos="7609"/>
              <w:tab w:val="right" w:pos="9026" w:leader="dot"/>
            </w:tabs>
            <w:rPr/>
          </w:pPr>
          <w:hyperlink w:anchor="__RefHeading___Toc5083130_2314609296">
            <w:r>
              <w:rPr>
                <w:webHidden/>
                <w:rStyle w:val="IndexLink"/>
                <w:rtl w:val="true"/>
              </w:rPr>
              <w:t>مسألة یشترط فی من ینتقل إلیه العبد المسلم</w:t>
            </w:r>
            <w:r>
              <w:rPr>
                <w:rStyle w:val="IndexLink"/>
                <w:rtl w:val="true"/>
              </w:rPr>
              <w:t>-</w:t>
            </w:r>
            <w:r>
              <w:rPr>
                <w:rStyle w:val="IndexLink"/>
                <w:rtl w:val="true"/>
              </w:rPr>
              <w:t>ثمناً أو مثمناً</w:t>
            </w:r>
            <w:r>
              <w:rPr>
                <w:rStyle w:val="IndexLink"/>
                <w:rtl w:val="true"/>
              </w:rPr>
              <w:t>-</w:t>
            </w:r>
            <w:r>
              <w:rPr>
                <w:rStyle w:val="IndexLink"/>
                <w:rtl w:val="true"/>
              </w:rPr>
              <w:t>أن یکون مسلماً،</w:t>
            </w:r>
            <w:r>
              <w:rPr>
                <w:rStyle w:val="IndexLink"/>
                <w:rtl w:val="true"/>
              </w:rPr>
              <w:tab/>
            </w:r>
            <w:r>
              <w:rPr>
                <w:rStyle w:val="IndexLink"/>
              </w:rPr>
              <w:t>582</w:t>
            </w:r>
          </w:hyperlink>
        </w:p>
        <w:p>
          <w:pPr>
            <w:pStyle w:val="Contents6"/>
            <w:tabs>
              <w:tab w:val="clear" w:pos="7609"/>
              <w:tab w:val="right" w:pos="9026" w:leader="dot"/>
            </w:tabs>
            <w:rPr/>
          </w:pPr>
          <w:hyperlink w:anchor="__RefHeading___Toc5083132_2314609296">
            <w:r>
              <w:rPr>
                <w:webHidden/>
                <w:rStyle w:val="IndexLink"/>
                <w:rtl w:val="true"/>
              </w:rPr>
              <w:t>[</w:t>
            </w:r>
            <w:r>
              <w:rPr>
                <w:rStyle w:val="IndexLink"/>
                <w:rtl w:val="true"/>
              </w:rPr>
              <w:t>المشهور عدم صحة نقل العبد المسلم إلی الکافر</w:t>
            </w:r>
            <w:r>
              <w:rPr>
                <w:rStyle w:val="IndexLink"/>
                <w:rtl w:val="true"/>
              </w:rPr>
              <w:t>]</w:t>
              <w:tab/>
            </w:r>
            <w:r>
              <w:rPr>
                <w:rStyle w:val="IndexLink"/>
              </w:rPr>
              <w:t>582</w:t>
            </w:r>
          </w:hyperlink>
        </w:p>
        <w:p>
          <w:pPr>
            <w:pStyle w:val="Contents6"/>
            <w:tabs>
              <w:tab w:val="clear" w:pos="7609"/>
              <w:tab w:val="right" w:pos="9026" w:leader="dot"/>
            </w:tabs>
            <w:rPr/>
          </w:pPr>
          <w:hyperlink w:anchor="__RefHeading___Toc5083134_2314609296">
            <w:r>
              <w:rPr>
                <w:webHidden/>
                <w:rStyle w:val="IndexLink"/>
                <w:rtl w:val="true"/>
              </w:rPr>
              <w:t>[</w:t>
            </w:r>
            <w:r>
              <w:rPr>
                <w:rStyle w:val="IndexLink"/>
                <w:rtl w:val="true"/>
              </w:rPr>
              <w:t>تملیک منافع المسلم من الکافر</w:t>
            </w:r>
            <w:r>
              <w:rPr>
                <w:rStyle w:val="IndexLink"/>
                <w:rtl w:val="true"/>
              </w:rPr>
              <w:t>]</w:t>
              <w:tab/>
            </w:r>
            <w:r>
              <w:rPr>
                <w:rStyle w:val="IndexLink"/>
              </w:rPr>
              <w:t>587</w:t>
            </w:r>
          </w:hyperlink>
        </w:p>
        <w:p>
          <w:pPr>
            <w:pStyle w:val="Contents6"/>
            <w:tabs>
              <w:tab w:val="clear" w:pos="7609"/>
              <w:tab w:val="right" w:pos="9026" w:leader="dot"/>
            </w:tabs>
            <w:rPr/>
          </w:pPr>
          <w:hyperlink w:anchor="__RefHeading___Toc5083136_2314609296">
            <w:r>
              <w:rPr>
                <w:webHidden/>
                <w:rStyle w:val="IndexLink"/>
                <w:rtl w:val="true"/>
              </w:rPr>
              <w:t>[</w:t>
            </w:r>
            <w:r>
              <w:rPr>
                <w:rStyle w:val="IndexLink"/>
                <w:rtl w:val="true"/>
              </w:rPr>
              <w:t>ارتهان العبد المسلم عند الکافر</w:t>
            </w:r>
            <w:r>
              <w:rPr>
                <w:rStyle w:val="IndexLink"/>
                <w:rtl w:val="true"/>
              </w:rPr>
              <w:t>]</w:t>
              <w:tab/>
            </w:r>
            <w:r>
              <w:rPr>
                <w:rStyle w:val="IndexLink"/>
              </w:rPr>
              <w:t>589</w:t>
            </w:r>
          </w:hyperlink>
        </w:p>
        <w:p>
          <w:pPr>
            <w:pStyle w:val="Contents6"/>
            <w:tabs>
              <w:tab w:val="clear" w:pos="7609"/>
              <w:tab w:val="right" w:pos="9026" w:leader="dot"/>
            </w:tabs>
            <w:rPr/>
          </w:pPr>
          <w:hyperlink w:anchor="__RefHeading___Toc5083138_2314609296">
            <w:r>
              <w:rPr>
                <w:webHidden/>
                <w:rStyle w:val="IndexLink"/>
                <w:rtl w:val="true"/>
              </w:rPr>
              <w:t>[</w:t>
            </w:r>
            <w:r>
              <w:rPr>
                <w:rStyle w:val="IndexLink"/>
                <w:rtl w:val="true"/>
              </w:rPr>
              <w:t>إعارة العبد المسلم و إیداعه من الکافر</w:t>
            </w:r>
            <w:r>
              <w:rPr>
                <w:rStyle w:val="IndexLink"/>
                <w:rtl w:val="true"/>
              </w:rPr>
              <w:t>]</w:t>
              <w:tab/>
            </w:r>
            <w:r>
              <w:rPr>
                <w:rStyle w:val="IndexLink"/>
              </w:rPr>
              <w:t>590</w:t>
            </w:r>
          </w:hyperlink>
        </w:p>
        <w:p>
          <w:pPr>
            <w:pStyle w:val="Contents6"/>
            <w:tabs>
              <w:tab w:val="clear" w:pos="7609"/>
              <w:tab w:val="right" w:pos="9026" w:leader="dot"/>
            </w:tabs>
            <w:rPr/>
          </w:pPr>
          <w:hyperlink w:anchor="__RefHeading___Toc5083140_2314609296">
            <w:r>
              <w:rPr>
                <w:webHidden/>
                <w:rStyle w:val="IndexLink"/>
                <w:rtl w:val="true"/>
              </w:rPr>
              <w:t>[</w:t>
            </w:r>
            <w:r>
              <w:rPr>
                <w:rStyle w:val="IndexLink"/>
                <w:rtl w:val="true"/>
              </w:rPr>
              <w:t>الظاهر من الکافر</w:t>
            </w:r>
            <w:r>
              <w:rPr>
                <w:rStyle w:val="IndexLink"/>
                <w:rtl w:val="true"/>
              </w:rPr>
              <w:t>]</w:t>
              <w:tab/>
            </w:r>
            <w:r>
              <w:rPr>
                <w:rStyle w:val="IndexLink"/>
              </w:rPr>
              <w:t>591</w:t>
            </w:r>
          </w:hyperlink>
        </w:p>
        <w:p>
          <w:pPr>
            <w:pStyle w:val="Contents6"/>
            <w:tabs>
              <w:tab w:val="clear" w:pos="7609"/>
              <w:tab w:val="right" w:pos="9026" w:leader="dot"/>
            </w:tabs>
            <w:rPr/>
          </w:pPr>
          <w:hyperlink w:anchor="__RefHeading___Toc5083142_2314609296">
            <w:r>
              <w:rPr>
                <w:webHidden/>
                <w:rStyle w:val="IndexLink"/>
                <w:rtl w:val="true"/>
              </w:rPr>
              <w:t>[</w:t>
            </w:r>
            <w:r>
              <w:rPr>
                <w:rStyle w:val="IndexLink"/>
                <w:rtl w:val="true"/>
              </w:rPr>
              <w:t>بیع العبد المؤمن من المخالف</w:t>
            </w:r>
            <w:r>
              <w:rPr>
                <w:rStyle w:val="IndexLink"/>
                <w:rtl w:val="true"/>
              </w:rPr>
              <w:t>]</w:t>
              <w:tab/>
            </w:r>
            <w:r>
              <w:rPr>
                <w:rStyle w:val="IndexLink"/>
              </w:rPr>
              <w:t>593</w:t>
            </w:r>
          </w:hyperlink>
        </w:p>
        <w:p>
          <w:pPr>
            <w:pStyle w:val="Contents6"/>
            <w:tabs>
              <w:tab w:val="clear" w:pos="7609"/>
              <w:tab w:val="right" w:pos="9026" w:leader="dot"/>
            </w:tabs>
            <w:rPr/>
          </w:pPr>
          <w:hyperlink w:anchor="__RefHeading___Toc5083144_2314609296">
            <w:r>
              <w:rPr>
                <w:webHidden/>
                <w:rStyle w:val="IndexLink"/>
                <w:rtl w:val="true"/>
              </w:rPr>
              <w:t>[</w:t>
            </w:r>
            <w:r>
              <w:rPr>
                <w:rStyle w:val="IndexLink"/>
                <w:rtl w:val="true"/>
              </w:rPr>
              <w:t>موارد جواز تملک الکافر للعبد المسلم</w:t>
            </w:r>
            <w:r>
              <w:rPr>
                <w:rStyle w:val="IndexLink"/>
                <w:rtl w:val="true"/>
              </w:rPr>
              <w:t>]</w:t>
              <w:tab/>
            </w:r>
            <w:r>
              <w:rPr>
                <w:rStyle w:val="IndexLink"/>
              </w:rPr>
              <w:t>593</w:t>
            </w:r>
          </w:hyperlink>
        </w:p>
        <w:p>
          <w:pPr>
            <w:pStyle w:val="Contents6"/>
            <w:tabs>
              <w:tab w:val="clear" w:pos="7609"/>
              <w:tab w:val="right" w:pos="9026" w:leader="dot"/>
            </w:tabs>
            <w:rPr/>
          </w:pPr>
          <w:hyperlink w:anchor="__RefHeading___Toc5083146_2314609296">
            <w:r>
              <w:rPr>
                <w:webHidden/>
                <w:rStyle w:val="IndexLink"/>
                <w:rtl w:val="true"/>
              </w:rPr>
              <w:t>منها</w:t>
            </w:r>
            <w:r>
              <w:rPr>
                <w:rStyle w:val="IndexLink"/>
                <w:rtl w:val="true"/>
              </w:rPr>
              <w:t xml:space="preserve">: </w:t>
            </w:r>
            <w:r>
              <w:rPr>
                <w:rStyle w:val="IndexLink"/>
                <w:rtl w:val="true"/>
              </w:rPr>
              <w:t>ما إذا کان الشراء مستعقباً للانعتاق،</w:t>
            </w:r>
            <w:r>
              <w:rPr>
                <w:rStyle w:val="IndexLink"/>
                <w:rtl w:val="true"/>
              </w:rPr>
              <w:tab/>
            </w:r>
            <w:r>
              <w:rPr>
                <w:rStyle w:val="IndexLink"/>
              </w:rPr>
              <w:t>593</w:t>
            </w:r>
          </w:hyperlink>
        </w:p>
        <w:p>
          <w:pPr>
            <w:pStyle w:val="Contents6"/>
            <w:tabs>
              <w:tab w:val="clear" w:pos="7609"/>
              <w:tab w:val="right" w:pos="9026" w:leader="dot"/>
            </w:tabs>
            <w:rPr/>
          </w:pPr>
          <w:hyperlink w:anchor="__RefHeading___Toc5083148_2314609296">
            <w:r>
              <w:rPr>
                <w:webHidden/>
                <w:rStyle w:val="IndexLink"/>
                <w:rtl w:val="true"/>
              </w:rPr>
              <w:t>و منها</w:t>
            </w:r>
            <w:r>
              <w:rPr>
                <w:rStyle w:val="IndexLink"/>
                <w:rtl w:val="true"/>
              </w:rPr>
              <w:t xml:space="preserve">: </w:t>
            </w:r>
            <w:r>
              <w:rPr>
                <w:rStyle w:val="IndexLink"/>
                <w:rtl w:val="true"/>
              </w:rPr>
              <w:t>ما لو اشترط البائع عتقه،</w:t>
            </w:r>
            <w:r>
              <w:rPr>
                <w:rStyle w:val="IndexLink"/>
                <w:rtl w:val="true"/>
              </w:rPr>
              <w:tab/>
            </w:r>
            <w:r>
              <w:rPr>
                <w:rStyle w:val="IndexLink"/>
              </w:rPr>
              <w:t>595</w:t>
            </w:r>
          </w:hyperlink>
        </w:p>
        <w:p>
          <w:pPr>
            <w:pStyle w:val="Contents6"/>
            <w:tabs>
              <w:tab w:val="clear" w:pos="7609"/>
              <w:tab w:val="right" w:pos="9026" w:leader="dot"/>
            </w:tabs>
            <w:rPr/>
          </w:pPr>
          <w:hyperlink w:anchor="__RefHeading___Toc5083150_2314609296">
            <w:r>
              <w:rPr>
                <w:webHidden/>
                <w:rStyle w:val="IndexLink"/>
                <w:rtl w:val="true"/>
              </w:rPr>
              <w:t>[</w:t>
            </w:r>
            <w:r>
              <w:rPr>
                <w:rStyle w:val="IndexLink"/>
                <w:rtl w:val="true"/>
              </w:rPr>
              <w:t>حکم تملک الکافر للمسلم قهرا</w:t>
            </w:r>
            <w:r>
              <w:rPr>
                <w:rStyle w:val="IndexLink"/>
                <w:rtl w:val="true"/>
              </w:rPr>
              <w:t>]</w:t>
              <w:tab/>
            </w:r>
            <w:r>
              <w:rPr>
                <w:rStyle w:val="IndexLink"/>
              </w:rPr>
              <w:t>596</w:t>
            </w:r>
          </w:hyperlink>
        </w:p>
        <w:p>
          <w:pPr>
            <w:pStyle w:val="Contents6"/>
            <w:tabs>
              <w:tab w:val="clear" w:pos="7609"/>
              <w:tab w:val="right" w:pos="9026" w:leader="dot"/>
            </w:tabs>
            <w:rPr/>
          </w:pPr>
          <w:hyperlink w:anchor="__RefHeading___Toc5083152_2314609296">
            <w:r>
              <w:rPr>
                <w:webHidden/>
                <w:rStyle w:val="IndexLink"/>
                <w:rtl w:val="true"/>
              </w:rPr>
              <w:t>[</w:t>
            </w:r>
            <w:r>
              <w:rPr>
                <w:rStyle w:val="IndexLink"/>
                <w:rtl w:val="true"/>
              </w:rPr>
              <w:t>عدم استقرار المسلم علی ملک الکافر و وجوب بیعه علیه</w:t>
            </w:r>
            <w:r>
              <w:rPr>
                <w:rStyle w:val="IndexLink"/>
                <w:rtl w:val="true"/>
              </w:rPr>
              <w:t>]</w:t>
              <w:tab/>
            </w:r>
            <w:r>
              <w:rPr>
                <w:rStyle w:val="IndexLink"/>
              </w:rPr>
              <w:t>597</w:t>
            </w:r>
          </w:hyperlink>
        </w:p>
        <w:p>
          <w:pPr>
            <w:pStyle w:val="Contents6"/>
            <w:tabs>
              <w:tab w:val="clear" w:pos="7609"/>
              <w:tab w:val="right" w:pos="9026" w:leader="dot"/>
            </w:tabs>
            <w:rPr/>
          </w:pPr>
          <w:hyperlink w:anchor="__RefHeading___Toc5083154_2314609296">
            <w:r>
              <w:rPr>
                <w:webHidden/>
                <w:rStyle w:val="IndexLink"/>
                <w:rtl w:val="true"/>
              </w:rPr>
              <w:t>مسألة المشهور عدم جواز نقل المصحف إلی الکافر،</w:t>
            </w:r>
            <w:r>
              <w:rPr>
                <w:rStyle w:val="IndexLink"/>
                <w:rtl w:val="true"/>
              </w:rPr>
              <w:tab/>
            </w:r>
            <w:r>
              <w:rPr>
                <w:rStyle w:val="IndexLink"/>
              </w:rPr>
              <w:t>602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63_247747"/>
      <w:bookmarkStart w:id="1" w:name="pg19763_247747"/>
      <w:bookmarkEnd w:id="1"/>
    </w:p>
    <w:p>
      <w:pPr>
        <w:pStyle w:val="Heading2"/>
        <w:numPr>
          <w:ilvl w:val="1"/>
          <w:numId w:val="1"/>
        </w:numPr>
        <w:rPr/>
      </w:pPr>
      <w:bookmarkStart w:id="2" w:name="pg19763_247747"/>
      <w:bookmarkStart w:id="3" w:name="__RefHeading___Toc5082420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مرتضی الانصاری؛ اعداد لجنه تحقیق تراث الشیخ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w:t>
      </w:r>
      <w:r>
        <w:rPr>
          <w:rFonts w:ascii="IRNazanin" w:hAnsi="IRNazanin" w:eastAsia="IRNazanin"/>
          <w:color w:val="111111"/>
          <w:sz w:val="28"/>
          <w:sz w:val="28"/>
          <w:szCs w:val="28"/>
          <w:lang w:bidi="fa-IR"/>
        </w:rPr>
        <w:t>۱۴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مجمع‌الفکرالاسلامی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5662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مناسبت دویستمین سالگرد تولد شیخ انصاری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الاعظم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بزرگداشت دویستمین سالگرد تولد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دزفول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82422_231460929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العالمین،و الصلاة و السلام علی محمّدٍ و آله الطاهرین، و لعنة اللّه علی أعدائهم أجمعین إلی یوم الدین</w:t>
      </w:r>
      <w:r>
        <w:rPr>
          <w:rFonts w:eastAsia="IRNazanin" w:cs="IRNazanin"/>
          <w:color w:val="111111"/>
          <w:sz w:val="28"/>
          <w:szCs w:val="28"/>
          <w:rtl w:val="true"/>
          <w:lang w:bidi="fa-IR"/>
        </w:rPr>
        <w:t>.</w:t>
      </w:r>
      <w:bookmarkStart w:id="7" w:name="pg19763_247753"/>
    </w:p>
    <w:p>
      <w:pPr>
        <w:pStyle w:val="Heading2"/>
        <w:numPr>
          <w:ilvl w:val="1"/>
          <w:numId w:val="1"/>
        </w:numPr>
        <w:rPr/>
      </w:pPr>
      <w:bookmarkStart w:id="8" w:name="__RefHeading___Toc5082424_2314609296"/>
      <w:bookmarkStart w:id="9" w:name="_Toc3"/>
      <w:bookmarkEnd w:id="7"/>
      <w:bookmarkEnd w:id="8"/>
      <w:r>
        <w:rPr>
          <w:rtl w:val="true"/>
        </w:rPr>
        <w:t>کتاب البیع</w:t>
      </w:r>
      <w:bookmarkEnd w:id="9"/>
    </w:p>
    <w:p>
      <w:pPr>
        <w:pStyle w:val="Heading3"/>
        <w:numPr>
          <w:ilvl w:val="2"/>
          <w:numId w:val="1"/>
        </w:numPr>
        <w:rPr/>
      </w:pPr>
      <w:bookmarkStart w:id="10" w:name="__RefHeading___Toc5082426_2314609296"/>
      <w:bookmarkStart w:id="11" w:name="_Toc4"/>
      <w:bookmarkEnd w:id="10"/>
      <w:r>
        <w:rPr>
          <w:rtl w:val="true"/>
        </w:rPr>
        <w:t>[</w:t>
      </w:r>
      <w:r>
        <w:rPr>
          <w:rtl w:val="true"/>
        </w:rPr>
        <w:t>فی معنی البیع</w:t>
      </w:r>
      <w:r>
        <w:rPr>
          <w:rtl w:val="true"/>
        </w:rPr>
        <w:t>]</w:t>
      </w:r>
      <w:bookmarkEnd w:id="11"/>
    </w:p>
    <w:p>
      <w:pPr>
        <w:pStyle w:val="Heading4"/>
        <w:numPr>
          <w:ilvl w:val="3"/>
          <w:numId w:val="1"/>
        </w:numPr>
        <w:rPr/>
      </w:pPr>
      <w:bookmarkStart w:id="12" w:name="__RefHeading___Toc5082428_2314609296"/>
      <w:bookmarkStart w:id="13" w:name="_Toc5"/>
      <w:bookmarkEnd w:id="12"/>
      <w:r>
        <w:rPr>
          <w:rtl w:val="true"/>
        </w:rPr>
        <w:t>[</w:t>
      </w:r>
      <w:r>
        <w:rPr>
          <w:rtl w:val="true"/>
        </w:rPr>
        <w:t>البیع لغة</w:t>
      </w:r>
      <w:r>
        <w:rPr>
          <w:rtl w:val="true"/>
        </w:rPr>
        <w:t>]</w:t>
      </w:r>
      <w:bookmarkEnd w:id="13"/>
    </w:p>
    <w:p>
      <w:pPr>
        <w:pStyle w:val="BookText"/>
        <w:rPr/>
      </w:pPr>
      <w:r>
        <w:rPr>
          <w:rFonts w:ascii="IRNazanin" w:hAnsi="IRNazanin" w:eastAsia="IRNazanin"/>
          <w:color w:val="111111"/>
          <w:sz w:val="28"/>
          <w:sz w:val="28"/>
          <w:szCs w:val="28"/>
          <w:rtl w:val="true"/>
          <w:lang w:bidi="fa-IR"/>
        </w:rPr>
        <w:t xml:space="preserve">و هو فی الأصل کما عن المصباح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اختصاص المعوّض بالعین،فلا یعمّ إبدال المنافع بغیرها، و علیه استقرّ اصطلاح الفقهاء </w:t>
      </w:r>
      <w:r>
        <w:rPr>
          <w:rStyle w:val="FootnoteAnchor"/>
          <w:rtl w:val="true"/>
        </w:rPr>
        <w:footnoteReference w:id="3"/>
      </w:r>
      <w:r>
        <w:rPr>
          <w:rFonts w:ascii="IRNazanin" w:hAnsi="IRNazanin" w:eastAsia="IRNazanin"/>
          <w:color w:val="111111"/>
          <w:sz w:val="28"/>
          <w:sz w:val="28"/>
          <w:szCs w:val="28"/>
          <w:rtl w:val="true"/>
          <w:lang w:bidi="fa-IR"/>
        </w:rPr>
        <w:t xml:space="preserve">فی البیع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نعم،ربما یستعمل فی کلمات بعضهم </w:t>
      </w:r>
      <w:r>
        <w:rPr>
          <w:rStyle w:val="FootnoteAnchor"/>
          <w:rtl w:val="true"/>
        </w:rPr>
        <w:footnoteReference w:id="5"/>
      </w:r>
      <w:r>
        <w:rPr>
          <w:rFonts w:ascii="IRNazanin" w:hAnsi="IRNazanin" w:eastAsia="IRNazanin"/>
          <w:color w:val="111111"/>
          <w:sz w:val="28"/>
          <w:sz w:val="28"/>
          <w:szCs w:val="28"/>
          <w:rtl w:val="true"/>
          <w:lang w:bidi="fa-IR"/>
        </w:rPr>
        <w:t xml:space="preserve">فی نقل غیرها،بل یظهر ذلک من کثیرٍ من الأخبار،کالخبر الدالّ علی جواز بیع خدمة المدبّر </w:t>
      </w:r>
      <w:r>
        <w:rPr>
          <w:rStyle w:val="FootnoteAnchor"/>
          <w:rtl w:val="true"/>
        </w:rPr>
        <w:footnoteReference w:id="6"/>
      </w:r>
      <w:r>
        <w:rPr>
          <w:rFonts w:ascii="IRNazanin" w:hAnsi="IRNazanin" w:eastAsia="IRNazanin"/>
          <w:color w:val="111111"/>
          <w:sz w:val="28"/>
          <w:sz w:val="28"/>
          <w:szCs w:val="28"/>
          <w:rtl w:val="true"/>
          <w:lang w:bidi="fa-IR"/>
        </w:rPr>
        <w:t xml:space="preserve">،و بیع سکنی الدار التی لا یُعلم صاحبها </w:t>
      </w:r>
      <w:r>
        <w:rPr>
          <w:rStyle w:val="FootnoteAnchor"/>
          <w:rtl w:val="true"/>
        </w:rPr>
        <w:footnoteReference w:id="7"/>
      </w:r>
      <w:r>
        <w:rPr>
          <w:rFonts w:ascii="IRNazanin" w:hAnsi="IRNazanin" w:eastAsia="IRNazanin"/>
          <w:color w:val="111111"/>
          <w:sz w:val="28"/>
          <w:sz w:val="28"/>
          <w:szCs w:val="28"/>
          <w:rtl w:val="true"/>
          <w:lang w:bidi="fa-IR"/>
        </w:rPr>
        <w:t xml:space="preserve">،و کأخبار بیع الأرض الخراجیة و شرائها </w:t>
      </w:r>
      <w:r>
        <w:rPr>
          <w:rStyle w:val="FootnoteAnchor"/>
          <w:rtl w:val="true"/>
        </w:rPr>
        <w:footnoteReference w:id="8"/>
      </w:r>
      <w:r>
        <w:rPr>
          <w:rFonts w:ascii="IRNazanin" w:hAnsi="IRNazanin" w:eastAsia="IRNazanin"/>
          <w:color w:val="111111"/>
          <w:sz w:val="28"/>
          <w:sz w:val="28"/>
          <w:szCs w:val="28"/>
          <w:rtl w:val="true"/>
          <w:lang w:bidi="fa-IR"/>
        </w:rPr>
        <w:t>،و الظاهر أنّها مسامحة فی التعبیر،کما أنّ</w:t>
      </w:r>
    </w:p>
    <w:p>
      <w:pPr>
        <w:pStyle w:val="BookText"/>
        <w:rPr/>
      </w:pPr>
      <w:r>
        <w:rPr>
          <w:rFonts w:ascii="IRNazanin" w:hAnsi="IRNazanin" w:eastAsia="IRNazanin"/>
          <w:color w:val="111111"/>
          <w:sz w:val="28"/>
          <w:sz w:val="28"/>
          <w:szCs w:val="28"/>
          <w:rtl w:val="true"/>
          <w:lang w:bidi="fa-IR"/>
        </w:rPr>
        <w:t>لفظ الإجارة یستعمل عرفاً فی نقل بعض الأعیان،کالثمرة علی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العوض،فلا إشکال فی جواز کونها منفعة،کما فی غیر موضع من القواعد </w:t>
      </w:r>
      <w:r>
        <w:rPr>
          <w:rStyle w:val="FootnoteAnchor"/>
          <w:rtl w:val="true"/>
        </w:rPr>
        <w:footnoteReference w:id="9"/>
      </w:r>
      <w:r>
        <w:rPr>
          <w:rFonts w:ascii="IRNazanin" w:hAnsi="IRNazanin" w:eastAsia="IRNazanin"/>
          <w:color w:val="111111"/>
          <w:sz w:val="28"/>
          <w:sz w:val="28"/>
          <w:szCs w:val="28"/>
          <w:rtl w:val="true"/>
          <w:lang w:bidi="fa-IR"/>
        </w:rPr>
        <w:t xml:space="preserve">،و عن التذکرة </w:t>
      </w:r>
      <w:r>
        <w:rPr>
          <w:rStyle w:val="FootnoteAnchor"/>
          <w:rtl w:val="true"/>
        </w:rPr>
        <w:footnoteReference w:id="10"/>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1"/>
      </w:r>
      <w:r>
        <w:rPr>
          <w:rFonts w:ascii="IRNazanin" w:hAnsi="IRNazanin" w:eastAsia="IRNazanin"/>
          <w:color w:val="111111"/>
          <w:sz w:val="28"/>
          <w:sz w:val="28"/>
          <w:szCs w:val="28"/>
          <w:rtl w:val="true"/>
          <w:lang w:bidi="fa-IR"/>
        </w:rPr>
        <w:t>،و لا یبعد عدم الخلاف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نعم،نُسب </w:t>
      </w:r>
      <w:r>
        <w:rPr>
          <w:rStyle w:val="FootnoteAnchor"/>
          <w:rtl w:val="true"/>
        </w:rPr>
        <w:footnoteReference w:id="12"/>
      </w:r>
      <w:r>
        <w:rPr>
          <w:rFonts w:ascii="IRNazanin" w:hAnsi="IRNazanin" w:eastAsia="IRNazanin"/>
          <w:color w:val="111111"/>
          <w:sz w:val="28"/>
          <w:sz w:val="28"/>
          <w:szCs w:val="28"/>
          <w:rtl w:val="true"/>
          <w:lang w:bidi="fa-IR"/>
        </w:rPr>
        <w:t xml:space="preserve">إلی بعض الأعیان </w:t>
      </w:r>
      <w:r>
        <w:rPr>
          <w:rStyle w:val="FootnoteAnchor"/>
          <w:rtl w:val="true"/>
        </w:rPr>
        <w:footnoteReference w:id="13"/>
      </w:r>
      <w:r>
        <w:rPr>
          <w:rFonts w:ascii="IRNazanin" w:hAnsi="IRNazanin" w:eastAsia="IRNazanin"/>
          <w:color w:val="111111"/>
          <w:sz w:val="28"/>
          <w:sz w:val="28"/>
          <w:szCs w:val="28"/>
          <w:rtl w:val="true"/>
          <w:lang w:bidi="fa-IR"/>
        </w:rPr>
        <w:t>الخلاف فیه؛و لعلّه لما اشتهر فی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البیع لنقل </w:t>
      </w:r>
      <w:r>
        <w:rPr>
          <w:rStyle w:val="FootnoteAnchor"/>
          <w:rtl w:val="true"/>
        </w:rPr>
        <w:footnoteReference w:id="14"/>
      </w:r>
      <w:r>
        <w:rPr>
          <w:rFonts w:ascii="IRNazanin" w:hAnsi="IRNazanin" w:eastAsia="IRNazanin"/>
          <w:color w:val="111111"/>
          <w:sz w:val="28"/>
          <w:sz w:val="28"/>
          <w:szCs w:val="28"/>
          <w:rtl w:val="true"/>
          <w:lang w:bidi="fa-IR"/>
        </w:rPr>
        <w:t xml:space="preserve">الأعیان،و الظاهر إرادتهم بیان المبیع </w:t>
      </w:r>
      <w:r>
        <w:rPr>
          <w:rStyle w:val="FootnoteAnchor"/>
          <w:rtl w:val="true"/>
        </w:rPr>
        <w:footnoteReference w:id="15"/>
      </w:r>
      <w:r>
        <w:rPr>
          <w:rFonts w:ascii="IRNazanin" w:hAnsi="IRNazanin" w:eastAsia="IRNazanin"/>
          <w:color w:val="111111"/>
          <w:sz w:val="28"/>
          <w:sz w:val="28"/>
          <w:szCs w:val="28"/>
          <w:rtl w:val="true"/>
          <w:lang w:bidi="fa-IR"/>
        </w:rPr>
        <w:t>، نظیر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الإجارة لنقل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عمل الحرّ،فإن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قبل المعاوضة علیه من الأموال، فلا إشکال،و إلّا ففیه إشکال؛من حیث احتمال اعتبار کون العوضین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المعاوضة؛کما یدلّ علیه ما تقدّم عن المصباح</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الحقوق </w:t>
      </w:r>
      <w:r>
        <w:rPr>
          <w:rStyle w:val="FootnoteAnchor"/>
          <w:rtl w:val="true"/>
        </w:rPr>
        <w:footnoteReference w:id="16"/>
      </w:r>
      <w:r>
        <w:rPr>
          <w:rFonts w:ascii="IRNazanin" w:hAnsi="IRNazanin" w:eastAsia="IRNazanin"/>
          <w:color w:val="111111"/>
          <w:sz w:val="28"/>
          <w:sz w:val="28"/>
          <w:szCs w:val="28"/>
          <w:rtl w:val="true"/>
          <w:lang w:bidi="fa-IR"/>
        </w:rPr>
        <w:t xml:space="preserve">،فإن لم </w:t>
      </w:r>
      <w:r>
        <w:rPr>
          <w:rStyle w:val="FootnoteAnchor"/>
          <w:rtl w:val="true"/>
        </w:rPr>
        <w:footnoteReference w:id="17"/>
      </w:r>
      <w:r>
        <w:rPr>
          <w:rFonts w:ascii="IRNazanin" w:hAnsi="IRNazanin" w:eastAsia="IRNazanin"/>
          <w:color w:val="111111"/>
          <w:sz w:val="28"/>
          <w:sz w:val="28"/>
          <w:szCs w:val="28"/>
          <w:rtl w:val="true"/>
          <w:lang w:bidi="fa-IR"/>
        </w:rPr>
        <w:t>تقبل المعاوضة بالمال کحقّ الحضانة</w:t>
      </w:r>
    </w:p>
    <w:p>
      <w:pPr>
        <w:pStyle w:val="BookText"/>
        <w:rPr/>
      </w:pPr>
      <w:r>
        <w:rPr>
          <w:rFonts w:ascii="IRNazanin" w:hAnsi="IRNazanin" w:eastAsia="IRNazanin"/>
          <w:color w:val="111111"/>
          <w:sz w:val="28"/>
          <w:sz w:val="28"/>
          <w:szCs w:val="28"/>
          <w:rtl w:val="true"/>
          <w:lang w:bidi="fa-IR"/>
        </w:rPr>
        <w:t xml:space="preserve">و الولایة </w:t>
      </w:r>
      <w:r>
        <w:rPr>
          <w:rStyle w:val="FootnoteAnchor"/>
          <w:rtl w:val="true"/>
        </w:rPr>
        <w:footnoteReference w:id="18"/>
      </w:r>
      <w:r>
        <w:rPr>
          <w:rFonts w:ascii="IRNazanin" w:hAnsi="IRNazanin" w:eastAsia="IRNazanin"/>
          <w:color w:val="111111"/>
          <w:sz w:val="28"/>
          <w:sz w:val="28"/>
          <w:szCs w:val="28"/>
          <w:rtl w:val="true"/>
          <w:lang w:bidi="fa-IR"/>
        </w:rPr>
        <w:t xml:space="preserve">فلا إشکال،و کذا لو لم تقبل النقل </w:t>
      </w:r>
      <w:r>
        <w:rPr>
          <w:rStyle w:val="FootnoteAnchor"/>
          <w:rtl w:val="true"/>
        </w:rPr>
        <w:footnoteReference w:id="19"/>
      </w:r>
      <w:r>
        <w:rPr>
          <w:rFonts w:ascii="IRNazanin" w:hAnsi="IRNazanin" w:eastAsia="IRNazanin"/>
          <w:color w:val="111111"/>
          <w:sz w:val="28"/>
          <w:sz w:val="28"/>
          <w:szCs w:val="28"/>
          <w:rtl w:val="true"/>
          <w:lang w:bidi="fa-IR"/>
        </w:rPr>
        <w:t>،کحقّ الشفعة،و حقّ الخیار؛لأنّ البیع تملیک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ینتقض </w:t>
      </w:r>
      <w:r>
        <w:rPr>
          <w:rStyle w:val="FootnoteAnchor"/>
          <w:rtl w:val="true"/>
        </w:rPr>
        <w:footnoteReference w:id="20"/>
      </w:r>
      <w:r>
        <w:rPr>
          <w:rFonts w:ascii="IRNazanin" w:hAnsi="IRNazanin" w:eastAsia="IRNazanin"/>
          <w:color w:val="111111"/>
          <w:sz w:val="28"/>
          <w:sz w:val="28"/>
          <w:szCs w:val="28"/>
          <w:rtl w:val="true"/>
          <w:lang w:bidi="fa-IR"/>
        </w:rPr>
        <w:t>ببیع الدین علی من هو علیه؛لأنّه لا مانع من کونه تملیکاً فیسقط؛و لذا جعل الشهید فی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مردّداً بین الإسقاط و التملیک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یعقل أن یکون مالکاً لما </w:t>
      </w:r>
      <w:r>
        <w:rPr>
          <w:rStyle w:val="FootnoteAnchor"/>
          <w:rtl w:val="true"/>
        </w:rPr>
        <w:footnoteReference w:id="22"/>
      </w:r>
      <w:r>
        <w:rPr>
          <w:rFonts w:ascii="IRNazanin" w:hAnsi="IRNazanin" w:eastAsia="IRNazanin"/>
          <w:color w:val="111111"/>
          <w:sz w:val="28"/>
          <w:sz w:val="28"/>
          <w:szCs w:val="28"/>
          <w:rtl w:val="true"/>
          <w:lang w:bidi="fa-IR"/>
        </w:rPr>
        <w:t>فی ذمّته فیؤثّر تملیکه السقوط،و لا یعقل أن یتسلّط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w:t>
      </w:r>
      <w:r>
        <w:rPr>
          <w:rStyle w:val="FootnoteAnchor"/>
          <w:rtl w:val="true"/>
        </w:rPr>
        <w:footnoteReference w:id="23"/>
      </w:r>
      <w:r>
        <w:rPr>
          <w:rFonts w:ascii="IRNazanin" w:hAnsi="IRNazanin" w:eastAsia="IRNazanin"/>
          <w:color w:val="111111"/>
          <w:sz w:val="28"/>
          <w:sz w:val="28"/>
          <w:szCs w:val="28"/>
          <w:rtl w:val="true"/>
          <w:lang w:bidi="fa-IR"/>
        </w:rPr>
        <w:t>الحقّ سلطنة فعلیة لا یعقل قیام طرفیها بشخص واحد،بخلاف الملک،فإنّها نسبة بین المالک و المملوک،و لا یحتاج إلی من یملک علیه حتی یستحیل اتّحاد المالک و المملوک علیه،فافهم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الحقوق القابلة للانتقال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کحقّ التحجیر و نحوه فهی و إن قبلت النقل و قوبلت بالمال فی الصلح،إلّا أنّ فی جواز وقوعها عوضاً للبیع إشکالاً،من أخذ المال فی عوضی المبایعة لغةً و عرفاً،مع ظهور کلمات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التعرّض لشروط العوضین و لِما یصحّ أن یکون اجرة فی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حصر الثمن فی المال</w:t>
      </w:r>
      <w:r>
        <w:rPr>
          <w:rFonts w:eastAsia="IRNazanin" w:cs="IRNazanin"/>
          <w:color w:val="111111"/>
          <w:sz w:val="28"/>
          <w:szCs w:val="28"/>
          <w:rtl w:val="true"/>
          <w:lang w:bidi="fa-IR"/>
        </w:rPr>
        <w:t>.</w:t>
      </w:r>
      <w:bookmarkStart w:id="14" w:name="pg19763_247756"/>
    </w:p>
    <w:p>
      <w:pPr>
        <w:pStyle w:val="Heading4"/>
        <w:numPr>
          <w:ilvl w:val="3"/>
          <w:numId w:val="1"/>
        </w:numPr>
        <w:rPr/>
      </w:pPr>
      <w:bookmarkStart w:id="15" w:name="__RefHeading___Toc5082430_2314609296"/>
      <w:bookmarkStart w:id="16" w:name="_Toc6"/>
      <w:bookmarkEnd w:id="14"/>
      <w:bookmarkEnd w:id="15"/>
      <w:r>
        <w:rPr>
          <w:rtl w:val="true"/>
        </w:rPr>
        <w:t>[</w:t>
      </w:r>
      <w:r>
        <w:rPr>
          <w:rtl w:val="true"/>
        </w:rPr>
        <w:t>تعاریف الفقهاء و المناقشة فیها</w:t>
      </w:r>
      <w:r>
        <w:rPr>
          <w:rtl w:val="true"/>
        </w:rPr>
        <w:t>]</w:t>
      </w:r>
      <w:bookmarkEnd w:id="16"/>
    </w:p>
    <w:p>
      <w:pPr>
        <w:pStyle w:val="Heading5"/>
        <w:numPr>
          <w:ilvl w:val="4"/>
          <w:numId w:val="1"/>
        </w:numPr>
        <w:rPr/>
      </w:pPr>
      <w:bookmarkStart w:id="17" w:name="__RefHeading___Toc5082432_2314609296"/>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ثمّ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حقیقة شرعیة و لا متشرّعیة </w:t>
      </w:r>
      <w:r>
        <w:rPr>
          <w:rStyle w:val="FootnoteAnchor"/>
          <w:rtl w:val="true"/>
        </w:rPr>
        <w:footnoteReference w:id="24"/>
      </w:r>
      <w:r>
        <w:rPr>
          <w:rFonts w:ascii="IRNazanin" w:hAnsi="IRNazanin" w:eastAsia="IRNazanin"/>
          <w:color w:val="111111"/>
          <w:sz w:val="28"/>
          <w:sz w:val="28"/>
          <w:szCs w:val="28"/>
          <w:rtl w:val="true"/>
          <w:lang w:bidi="fa-IR"/>
        </w:rPr>
        <w:t xml:space="preserve">، بل هو باقٍ علی معناه العرفی،کما سنوضّحه إن شاء اللّه،إلّا أنّ الفقهاء قد اختلفوا فی تعریفه،ففی المبسوط </w:t>
      </w:r>
      <w:r>
        <w:rPr>
          <w:rStyle w:val="FootnoteAnchor"/>
          <w:rtl w:val="true"/>
        </w:rPr>
        <w:footnoteReference w:id="25"/>
      </w:r>
      <w:r>
        <w:rPr>
          <w:rFonts w:ascii="IRNazanin" w:hAnsi="IRNazanin" w:eastAsia="IRNazanin"/>
          <w:color w:val="111111"/>
          <w:sz w:val="28"/>
          <w:sz w:val="28"/>
          <w:szCs w:val="28"/>
          <w:rtl w:val="true"/>
          <w:lang w:bidi="fa-IR"/>
        </w:rPr>
        <w:t xml:space="preserve">و السرائر </w:t>
      </w:r>
      <w:r>
        <w:rPr>
          <w:rStyle w:val="FootnoteAnchor"/>
          <w:rtl w:val="true"/>
        </w:rPr>
        <w:footnoteReference w:id="26"/>
      </w:r>
      <w:r>
        <w:rPr>
          <w:rFonts w:ascii="IRNazanin" w:hAnsi="IRNazanin" w:eastAsia="IRNazanin"/>
          <w:color w:val="111111"/>
          <w:sz w:val="28"/>
          <w:sz w:val="28"/>
          <w:szCs w:val="28"/>
          <w:rtl w:val="true"/>
          <w:lang w:bidi="fa-IR"/>
        </w:rPr>
        <w:t xml:space="preserve">و التذکرة </w:t>
      </w:r>
      <w:r>
        <w:rPr>
          <w:rStyle w:val="FootnoteAnchor"/>
          <w:rtl w:val="true"/>
        </w:rPr>
        <w:footnoteReference w:id="27"/>
      </w:r>
      <w:r>
        <w:rPr>
          <w:rFonts w:ascii="IRNazanin" w:hAnsi="IRNazanin" w:eastAsia="IRNazanin"/>
          <w:color w:val="111111"/>
          <w:sz w:val="28"/>
          <w:sz w:val="28"/>
          <w:szCs w:val="28"/>
          <w:rtl w:val="true"/>
          <w:lang w:bidi="fa-IR"/>
        </w:rPr>
        <w:t xml:space="preserve">و غیرها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عینٍ من شخصٍ إلی غیره بعوض مقدّر علی وجه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فی هذا التعریف مسامحة واضحة،عدل آخرون </w:t>
      </w:r>
      <w:r>
        <w:rPr>
          <w:rStyle w:val="FootnoteAnchor"/>
          <w:rtl w:val="true"/>
        </w:rPr>
        <w:footnoteReference w:id="29"/>
      </w:r>
      <w:r>
        <w:rPr>
          <w:rFonts w:ascii="IRNazanin" w:hAnsi="IRNazanin" w:eastAsia="IRNazanin"/>
          <w:color w:val="111111"/>
          <w:sz w:val="28"/>
          <w:sz w:val="28"/>
          <w:szCs w:val="28"/>
          <w:rtl w:val="true"/>
          <w:lang w:bidi="fa-IR"/>
        </w:rPr>
        <w:t>إلی تعریفه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و القبول الدالّین علی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البیع من مقولة المعنی دون اللفظ مجرّداً أو بشرط قصد المعنی،و إلّا لم یعقل إنشاؤه باللفظ عدل جامع المقاصد إلی تعریفه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العین بالصیغة المخصوصة</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مع أنّ النقل لیس مرادفاً للبیع؛و لذا صرّح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إیجاب البیع لا یقع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 من الکنایات </w:t>
      </w:r>
      <w:r>
        <w:rPr>
          <w:rStyle w:val="FootnoteAnchor"/>
          <w:rtl w:val="true"/>
        </w:rPr>
        <w:footnoteReference w:id="31"/>
      </w:r>
      <w:r>
        <w:rPr>
          <w:rFonts w:ascii="IRNazanin" w:hAnsi="IRNazanin" w:eastAsia="IRNazanin"/>
          <w:color w:val="111111"/>
          <w:sz w:val="28"/>
          <w:sz w:val="28"/>
          <w:szCs w:val="28"/>
          <w:rtl w:val="true"/>
          <w:lang w:bidi="fa-IR"/>
        </w:rPr>
        <w:t>،</w:t>
      </w:r>
      <w:bookmarkStart w:id="19" w:name="pg19763_247757"/>
    </w:p>
    <w:p>
      <w:pPr>
        <w:pStyle w:val="BookText"/>
        <w:rPr/>
      </w:pPr>
      <w:bookmarkEnd w:id="19"/>
      <w:r>
        <w:rPr>
          <w:rFonts w:ascii="Amiri" w:hAnsi="Amiri" w:eastAsia="Amiri" w:cs="Amiri"/>
          <w:color w:val="111111"/>
          <w:sz w:val="28"/>
          <w:sz w:val="28"/>
          <w:szCs w:val="28"/>
          <w:rtl w:val="true"/>
          <w:lang w:bidi="ar-SA"/>
        </w:rPr>
        <w:t xml:space="preserve">و أنّ المعاطاة عنده </w:t>
      </w:r>
      <w:r>
        <w:rPr>
          <w:rStyle w:val="FootnoteAnchor"/>
          <w:rtl w:val="true"/>
        </w:rPr>
        <w:footnoteReference w:id="32"/>
      </w:r>
      <w:r>
        <w:rPr>
          <w:rFonts w:ascii="IRNazanin" w:hAnsi="IRNazanin" w:eastAsia="IRNazanin"/>
          <w:color w:val="111111"/>
          <w:sz w:val="28"/>
          <w:sz w:val="28"/>
          <w:szCs w:val="28"/>
          <w:rtl w:val="true"/>
          <w:lang w:bidi="fa-IR"/>
        </w:rPr>
        <w:t>بیع مع خلوّها عن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النقل بالصیغة أیضاً لا یعقل إنشاؤه بالصیغة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یندفع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المراد أنّ البیع نفس النقل الذی هو مدلول الصیغة،فجعله مدلول الصیغة إشارة إلی تعیین ذلک الفرد من النقل، لا أنّه </w:t>
      </w:r>
      <w:r>
        <w:rPr>
          <w:rStyle w:val="FootnoteAnchor"/>
          <w:rtl w:val="true"/>
        </w:rPr>
        <w:footnoteReference w:id="33"/>
      </w:r>
      <w:r>
        <w:rPr>
          <w:rFonts w:ascii="IRNazanin" w:hAnsi="IRNazanin" w:eastAsia="IRNazanin"/>
          <w:color w:val="111111"/>
          <w:sz w:val="28"/>
          <w:sz w:val="28"/>
          <w:szCs w:val="28"/>
          <w:rtl w:val="true"/>
          <w:lang w:bidi="fa-IR"/>
        </w:rPr>
        <w:t>مأخوذ فی مفهومه حتی یکون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بالصیغة؛ لأنّه إن أُرید بالصیغة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الدور؛لأنّ المقصود معرفة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أُرید بها ما یشمل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الاقتصار علی مجرّد التملیک و النقل</w:t>
      </w:r>
      <w:r>
        <w:rPr>
          <w:rFonts w:eastAsia="IRNazanin" w:cs="IRNazanin"/>
          <w:color w:val="111111"/>
          <w:sz w:val="28"/>
          <w:szCs w:val="28"/>
          <w:rtl w:val="true"/>
          <w:lang w:bidi="fa-IR"/>
        </w:rPr>
        <w:t>.</w:t>
      </w:r>
    </w:p>
    <w:p>
      <w:pPr>
        <w:pStyle w:val="Heading5"/>
        <w:numPr>
          <w:ilvl w:val="4"/>
          <w:numId w:val="1"/>
        </w:numPr>
        <w:rPr/>
      </w:pPr>
      <w:bookmarkStart w:id="20" w:name="__RefHeading___Toc5082434_2314609296"/>
      <w:bookmarkStart w:id="21" w:name="_Toc8"/>
      <w:bookmarkEnd w:id="20"/>
      <w:r>
        <w:rPr>
          <w:rtl w:val="true"/>
        </w:rPr>
        <w:t>فالأولی تعریفه بأنّه</w:t>
      </w:r>
      <w:r>
        <w:rPr>
          <w:rtl w:val="true"/>
        </w:rPr>
        <w:t>:«</w:t>
      </w:r>
      <w:r>
        <w:rPr>
          <w:rtl w:val="true"/>
        </w:rPr>
        <w:t>إنشاء تملیک عین بمال</w:t>
      </w:r>
      <w:r>
        <w:rPr>
          <w:rtl w:val="true"/>
        </w:rPr>
        <w:t>»</w:t>
      </w:r>
      <w:r>
        <w:rPr>
          <w:rtl w:val="true"/>
        </w:rPr>
        <w:t>،</w:t>
      </w:r>
      <w:bookmarkEnd w:id="21"/>
    </w:p>
    <w:p>
      <w:pPr>
        <w:pStyle w:val="Heading6"/>
        <w:numPr>
          <w:ilvl w:val="5"/>
          <w:numId w:val="1"/>
        </w:numPr>
        <w:rPr/>
      </w:pPr>
      <w:bookmarkStart w:id="22" w:name="__RefHeading___Toc5082436_2314609296"/>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و لا یلزم علیه شیء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p>
    <w:p>
      <w:pPr>
        <w:pStyle w:val="Heading6"/>
        <w:numPr>
          <w:ilvl w:val="5"/>
          <w:numId w:val="1"/>
        </w:numPr>
        <w:rPr/>
      </w:pPr>
      <w:bookmarkStart w:id="24" w:name="__RefHeading___Toc5082438_2314609296"/>
      <w:bookmarkStart w:id="25" w:name="_Toc10"/>
      <w:bookmarkEnd w:id="24"/>
      <w:r>
        <w:rPr>
          <w:rtl w:val="true"/>
        </w:rPr>
        <w:t>یبقی علیه أُمور</w:t>
      </w:r>
      <w:r>
        <w:rPr>
          <w:rtl w:val="true"/>
        </w:rPr>
        <w:t>:</w:t>
      </w:r>
      <w:bookmarkEnd w:id="25"/>
    </w:p>
    <w:p>
      <w:pPr>
        <w:pStyle w:val="Heading6"/>
        <w:numPr>
          <w:ilvl w:val="5"/>
          <w:numId w:val="1"/>
        </w:numPr>
        <w:rPr/>
      </w:pPr>
      <w:bookmarkStart w:id="26" w:name="__RefHeading___Toc5082440_2314609296"/>
      <w:bookmarkStart w:id="27" w:name="_Toc11"/>
      <w:bookmarkEnd w:id="26"/>
      <w:r>
        <w:rPr>
          <w:rtl w:val="true"/>
        </w:rPr>
        <w:t>منها</w:t>
      </w:r>
      <w:r>
        <w:rPr>
          <w:rtl w:val="true"/>
        </w:rPr>
        <w:t>:</w:t>
      </w:r>
      <w:r>
        <w:rPr>
          <w:rtl w:val="true"/>
        </w:rPr>
        <w:t>أنّه موقوف علی جواز الإیجاب بلفظ</w:t>
      </w:r>
      <w:r>
        <w:rPr>
          <w:rtl w:val="true"/>
        </w:rPr>
        <w:t>«</w:t>
      </w:r>
      <w:r>
        <w:rPr>
          <w:rtl w:val="true"/>
        </w:rPr>
        <w:t>ملّکت</w:t>
      </w:r>
      <w:r>
        <w:rPr>
          <w:rtl w:val="true"/>
        </w:rPr>
        <w:t>»</w:t>
      </w:r>
      <w:bookmarkEnd w:id="27"/>
    </w:p>
    <w:p>
      <w:pPr>
        <w:pStyle w:val="BookText"/>
        <w:rPr/>
      </w:pPr>
      <w:r>
        <w:rPr>
          <w:rFonts w:ascii="Amiri" w:hAnsi="Amiri" w:eastAsia="Amiri" w:cs="Amiri"/>
          <w:color w:val="111111"/>
          <w:sz w:val="28"/>
          <w:sz w:val="28"/>
          <w:szCs w:val="28"/>
          <w:rtl w:val="true"/>
          <w:lang w:bidi="ar-SA"/>
        </w:rPr>
        <w:t xml:space="preserve">و إلّا لم یکن مرادفاً 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الحقّ کما سیجیء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 w:name="__RefHeading___Toc5082442_2314609296"/>
      <w:bookmarkStart w:id="29" w:name="_Toc12"/>
      <w:bookmarkEnd w:id="28"/>
      <w:r>
        <w:rPr>
          <w:rtl w:val="true"/>
        </w:rPr>
        <w:t>و منها</w:t>
      </w:r>
      <w:r>
        <w:rPr>
          <w:rtl w:val="true"/>
        </w:rPr>
        <w:t>:</w:t>
      </w:r>
      <w:r>
        <w:rPr>
          <w:rtl w:val="true"/>
        </w:rPr>
        <w:t>أنّه لا یشمل بیع الدین علی من هو علیه؛</w:t>
      </w:r>
      <w:bookmarkEnd w:id="2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الإنسان لا یملک مالاً علی نفسه</w:t>
      </w:r>
      <w:r>
        <w:rPr>
          <w:rFonts w:eastAsia="IRNazanin" w:cs="IRNazanin"/>
          <w:color w:val="111111"/>
          <w:sz w:val="28"/>
          <w:szCs w:val="28"/>
          <w:rtl w:val="true"/>
          <w:lang w:bidi="fa-IR"/>
        </w:rPr>
        <w:t>.</w:t>
      </w:r>
      <w:bookmarkStart w:id="30" w:name="pg19763_247758"/>
    </w:p>
    <w:p>
      <w:pPr>
        <w:pStyle w:val="BookText"/>
        <w:rPr/>
      </w:pPr>
      <w:bookmarkEnd w:id="30"/>
      <w:r>
        <w:rPr>
          <w:rFonts w:ascii="IRNazanin" w:hAnsi="IRNazanin" w:eastAsia="IRNazanin"/>
          <w:color w:val="111111"/>
          <w:sz w:val="28"/>
          <w:sz w:val="28"/>
          <w:szCs w:val="28"/>
          <w:rtl w:val="true"/>
          <w:lang w:bidi="fa-IR"/>
        </w:rPr>
        <w:t xml:space="preserve">و فیه مع ما عرفت </w:t>
      </w:r>
      <w:r>
        <w:rPr>
          <w:rStyle w:val="FootnoteAnchor"/>
          <w:rtl w:val="true"/>
        </w:rPr>
        <w:footnoteReference w:id="37"/>
      </w:r>
      <w:r>
        <w:rPr>
          <w:rFonts w:ascii="IRNazanin" w:hAnsi="IRNazanin" w:eastAsia="IRNazanin"/>
          <w:color w:val="111111"/>
          <w:sz w:val="28"/>
          <w:sz w:val="28"/>
          <w:szCs w:val="28"/>
          <w:rtl w:val="true"/>
          <w:lang w:bidi="fa-IR"/>
        </w:rPr>
        <w:t xml:space="preserve">و ستعرف من تعقّل تملّک ما علی نفسه </w:t>
      </w:r>
      <w:r>
        <w:rPr>
          <w:rStyle w:val="FootnoteAnchor"/>
          <w:rtl w:val="true"/>
        </w:rPr>
        <w:footnoteReference w:id="38"/>
      </w:r>
      <w:r>
        <w:rPr>
          <w:rFonts w:ascii="IRNazanin" w:hAnsi="IRNazanin" w:eastAsia="IRNazanin"/>
          <w:color w:val="111111"/>
          <w:sz w:val="28"/>
          <w:sz w:val="28"/>
          <w:szCs w:val="28"/>
          <w:rtl w:val="true"/>
          <w:lang w:bidi="fa-IR"/>
        </w:rPr>
        <w:t>و رجوعه إلی سقوطه عنه،نظیر تملّک ما هو مساوٍ لما فی ذمّته، و سقوطه بالتهاتر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لم یعقل التملیک لم یعقل البیع؛إذ لیس للبیع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غیر المبادلة و النقل و التملیک و ما یساویها من الألفاظ؛و لذا قال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ملّکت غیری</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،فإذا لم یعقل ملکیّة </w:t>
      </w:r>
      <w:r>
        <w:rPr>
          <w:rStyle w:val="FootnoteAnchor"/>
          <w:rtl w:val="true"/>
        </w:rPr>
        <w:footnoteReference w:id="40"/>
      </w:r>
      <w:r>
        <w:rPr>
          <w:rFonts w:ascii="IRNazanin" w:hAnsi="IRNazanin" w:eastAsia="IRNazanin"/>
          <w:color w:val="111111"/>
          <w:sz w:val="28"/>
          <w:sz w:val="28"/>
          <w:szCs w:val="28"/>
          <w:rtl w:val="true"/>
          <w:lang w:bidi="fa-IR"/>
        </w:rPr>
        <w:t>ما فی ذمّة نفسه لم یعقل شیء ممّا یساویها،فلا یعقل البیع</w:t>
      </w:r>
      <w:r>
        <w:rPr>
          <w:rFonts w:eastAsia="IRNazanin" w:cs="IRNazanin"/>
          <w:color w:val="111111"/>
          <w:sz w:val="28"/>
          <w:szCs w:val="28"/>
          <w:rtl w:val="true"/>
          <w:lang w:bidi="fa-IR"/>
        </w:rPr>
        <w:t>.</w:t>
      </w:r>
    </w:p>
    <w:p>
      <w:pPr>
        <w:pStyle w:val="Heading6"/>
        <w:numPr>
          <w:ilvl w:val="5"/>
          <w:numId w:val="1"/>
        </w:numPr>
        <w:rPr/>
      </w:pPr>
      <w:bookmarkStart w:id="31" w:name="__RefHeading___Toc5082444_2314609296"/>
      <w:bookmarkStart w:id="32" w:name="_Toc13"/>
      <w:bookmarkEnd w:id="31"/>
      <w:r>
        <w:rPr>
          <w:rtl w:val="true"/>
        </w:rPr>
        <w:t>و منها</w:t>
      </w:r>
      <w:r>
        <w:rPr>
          <w:rtl w:val="true"/>
        </w:rPr>
        <w:t>:</w:t>
      </w:r>
      <w:r>
        <w:rPr>
          <w:rtl w:val="true"/>
        </w:rPr>
        <w:t>أنّه یشمل التملیک بالمعاطاة،</w:t>
      </w:r>
      <w:bookmarkEnd w:id="32"/>
    </w:p>
    <w:p>
      <w:pPr>
        <w:pStyle w:val="BookText"/>
        <w:rPr/>
      </w:pPr>
      <w:r>
        <w:rPr>
          <w:rFonts w:ascii="IRNazanin" w:hAnsi="IRNazanin" w:eastAsia="IRNazanin"/>
          <w:color w:val="111111"/>
          <w:sz w:val="28"/>
          <w:sz w:val="28"/>
          <w:szCs w:val="28"/>
          <w:rtl w:val="true"/>
          <w:lang w:bidi="fa-IR"/>
        </w:rPr>
        <w:t xml:space="preserve">مع حکم المشهور،بل دعوی الإجماع علی أنّها لیست بیعاً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سیجیء من کون المعاطاة بیعاً </w:t>
      </w:r>
      <w:r>
        <w:rPr>
          <w:rStyle w:val="FootnoteAnchor"/>
          <w:rtl w:val="true"/>
        </w:rPr>
        <w:footnoteReference w:id="42"/>
      </w:r>
      <w:r>
        <w:rPr>
          <w:rFonts w:ascii="Amiri" w:hAnsi="Amiri" w:eastAsia="Amiri" w:cs="Amiri"/>
          <w:color w:val="111111"/>
          <w:sz w:val="28"/>
          <w:sz w:val="28"/>
          <w:szCs w:val="28"/>
          <w:rtl w:val="true"/>
          <w:lang w:bidi="ar-SA"/>
        </w:rPr>
        <w:t xml:space="preserve">و أنّ </w:t>
      </w:r>
      <w:r>
        <w:rPr>
          <w:rStyle w:val="FootnoteAnchor"/>
          <w:rtl w:val="true"/>
        </w:rPr>
        <w:footnoteReference w:id="43"/>
      </w:r>
      <w:r>
        <w:rPr>
          <w:rFonts w:ascii="IRNazanin" w:hAnsi="IRNazanin" w:eastAsia="IRNazanin"/>
          <w:color w:val="111111"/>
          <w:sz w:val="28"/>
          <w:sz w:val="28"/>
          <w:szCs w:val="28"/>
          <w:rtl w:val="true"/>
          <w:lang w:bidi="fa-IR"/>
        </w:rPr>
        <w:t>مراد النافین نفی صحّته</w:t>
      </w:r>
      <w:r>
        <w:rPr>
          <w:rFonts w:eastAsia="IRNazanin" w:cs="IRNazanin"/>
          <w:color w:val="111111"/>
          <w:sz w:val="28"/>
          <w:szCs w:val="28"/>
          <w:rtl w:val="true"/>
          <w:lang w:bidi="fa-IR"/>
        </w:rPr>
        <w:t>.</w:t>
      </w:r>
    </w:p>
    <w:p>
      <w:pPr>
        <w:pStyle w:val="Heading6"/>
        <w:numPr>
          <w:ilvl w:val="5"/>
          <w:numId w:val="1"/>
        </w:numPr>
        <w:rPr/>
      </w:pPr>
      <w:bookmarkStart w:id="33" w:name="__RefHeading___Toc5082446_2314609296"/>
      <w:bookmarkStart w:id="34" w:name="_Toc14"/>
      <w:bookmarkEnd w:id="33"/>
      <w:r>
        <w:rPr>
          <w:rtl w:val="true"/>
        </w:rPr>
        <w:t>و منها</w:t>
      </w:r>
      <w:r>
        <w:rPr>
          <w:rtl w:val="true"/>
        </w:rPr>
        <w:t>:</w:t>
      </w:r>
      <w:r>
        <w:rPr>
          <w:rtl w:val="true"/>
        </w:rPr>
        <w:t>صدقه علی الشراء؛</w:t>
      </w:r>
      <w:bookmarkEnd w:id="3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المشتری بقبوله للبیع یملّک ماله بعوض المبیع</w:t>
      </w:r>
      <w:r>
        <w:rPr>
          <w:rFonts w:eastAsia="IRNazanin" w:cs="IRNazanin"/>
          <w:color w:val="111111"/>
          <w:sz w:val="28"/>
          <w:szCs w:val="28"/>
          <w:rtl w:val="true"/>
          <w:lang w:bidi="fa-IR"/>
        </w:rPr>
        <w:t>.</w:t>
      </w:r>
      <w:bookmarkStart w:id="35" w:name="pg19763_247759"/>
    </w:p>
    <w:p>
      <w:pPr>
        <w:pStyle w:val="BookText"/>
        <w:rPr/>
      </w:pPr>
      <w:bookmarkEnd w:id="35"/>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التملیک فیه ضمنیّ،و إنّما حقیقته التملّک بعوض؛و لذا لا یجوز الشراء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علی الإیجاب أو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یظهر اندفاع الإیراد بانتقاضه بمستأجر العین بعین </w:t>
      </w:r>
      <w:r>
        <w:rPr>
          <w:rStyle w:val="FootnoteAnchor"/>
          <w:rtl w:val="true"/>
        </w:rPr>
        <w:footnoteReference w:id="44"/>
      </w:r>
      <w:r>
        <w:rPr>
          <w:rFonts w:ascii="IRNazanin" w:hAnsi="IRNazanin" w:eastAsia="IRNazanin"/>
          <w:color w:val="111111"/>
          <w:sz w:val="28"/>
          <w:sz w:val="28"/>
          <w:szCs w:val="28"/>
          <w:rtl w:val="true"/>
          <w:lang w:bidi="fa-IR"/>
        </w:rPr>
        <w:t>حیث إنّ الاستئجار یتضمّن تملیک العین بمالٍ،أعنی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w:t>
      </w:r>
      <w:r>
        <w:rPr>
          <w:rFonts w:eastAsia="IRNazanin" w:cs="IRNazanin"/>
          <w:color w:val="111111"/>
          <w:sz w:val="28"/>
          <w:szCs w:val="28"/>
          <w:rtl w:val="true"/>
          <w:lang w:bidi="fa-IR"/>
        </w:rPr>
        <w:t>.</w:t>
      </w:r>
    </w:p>
    <w:p>
      <w:pPr>
        <w:pStyle w:val="Heading6"/>
        <w:numPr>
          <w:ilvl w:val="5"/>
          <w:numId w:val="1"/>
        </w:numPr>
        <w:rPr/>
      </w:pPr>
      <w:bookmarkStart w:id="36" w:name="__RefHeading___Toc5082448_2314609296"/>
      <w:bookmarkStart w:id="37" w:name="_Toc15"/>
      <w:bookmarkEnd w:id="36"/>
      <w:r>
        <w:rPr>
          <w:rtl w:val="true"/>
        </w:rPr>
        <w:t>و منها</w:t>
      </w:r>
      <w:r>
        <w:rPr>
          <w:rtl w:val="true"/>
        </w:rPr>
        <w:t>:</w:t>
      </w:r>
      <w:r>
        <w:rPr>
          <w:rtl w:val="true"/>
        </w:rPr>
        <w:t>انتقاض طرده بالصلح علی العین بمالٍ،و بالهبة المعوّضة</w:t>
      </w:r>
      <w:r>
        <w:rPr>
          <w:rtl w:val="true"/>
        </w:rPr>
        <w:t>.</w:t>
      </w:r>
      <w:bookmarkEnd w:id="37"/>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الصلح و لو تعلّق بالعین لیس هو التملیک علی وجه المقابلة و المعاوضة،بل معناه الأصلی هو التسالم؛و لذا لا یتعدّی بنفسه إلی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متضمّن للتملیک إذا تعلّق بعینٍ،لا أنّه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یدلّک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الصلح قد یتعلّق بالمال عیناً أو منفعة، فیفید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یتعلّق بالانتفاع به </w:t>
      </w:r>
      <w:r>
        <w:rPr>
          <w:rStyle w:val="FootnoteAnchor"/>
          <w:rtl w:val="true"/>
        </w:rPr>
        <w:footnoteReference w:id="45"/>
      </w:r>
      <w:r>
        <w:rPr>
          <w:rFonts w:ascii="IRNazanin" w:hAnsi="IRNazanin" w:eastAsia="IRNazanin"/>
          <w:color w:val="111111"/>
          <w:sz w:val="28"/>
          <w:sz w:val="28"/>
          <w:szCs w:val="28"/>
          <w:rtl w:val="true"/>
          <w:lang w:bidi="fa-IR"/>
        </w:rPr>
        <w:t xml:space="preserve">،فیفید فائدة العاریة،و هو مجرّد التسلیط </w:t>
      </w:r>
      <w:r>
        <w:rPr>
          <w:rStyle w:val="FootnoteAnchor"/>
          <w:rtl w:val="true"/>
        </w:rPr>
        <w:footnoteReference w:id="46"/>
      </w:r>
      <w:r>
        <w:rPr>
          <w:rFonts w:ascii="IRNazanin" w:hAnsi="IRNazanin" w:eastAsia="IRNazanin"/>
          <w:color w:val="111111"/>
          <w:sz w:val="28"/>
          <w:sz w:val="28"/>
          <w:szCs w:val="28"/>
          <w:rtl w:val="true"/>
          <w:lang w:bidi="fa-IR"/>
        </w:rPr>
        <w:t>،و قد یتعلّق بالحقوق،فیفید الإسقاط أو الانتقال،و قد یتعلّق بتقریر أمرٍ بین المتصالحین کما فی قول أحد الشریکین لصاحبه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صالحتک علی أن یکون الربح لک و الخسران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فیفید مجرّد التقریر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کانت </w:t>
      </w:r>
      <w:r>
        <w:rPr>
          <w:rStyle w:val="FootnoteAnchor"/>
          <w:rtl w:val="true"/>
        </w:rPr>
        <w:footnoteReference w:id="47"/>
      </w:r>
      <w:r>
        <w:rPr>
          <w:rFonts w:ascii="IRNazanin" w:hAnsi="IRNazanin" w:eastAsia="IRNazanin"/>
          <w:color w:val="111111"/>
          <w:sz w:val="28"/>
          <w:sz w:val="28"/>
          <w:szCs w:val="28"/>
          <w:rtl w:val="true"/>
          <w:lang w:bidi="fa-IR"/>
        </w:rPr>
        <w:t xml:space="preserve">حقیقة الصلح هی عین کلٍّ من </w:t>
      </w:r>
      <w:r>
        <w:rPr>
          <w:rStyle w:val="FootnoteAnchor"/>
          <w:rtl w:val="true"/>
        </w:rPr>
        <w:footnoteReference w:id="48"/>
      </w:r>
      <w:r>
        <w:rPr>
          <w:rFonts w:ascii="IRNazanin" w:hAnsi="IRNazanin" w:eastAsia="IRNazanin"/>
          <w:color w:val="111111"/>
          <w:sz w:val="28"/>
          <w:sz w:val="28"/>
          <w:szCs w:val="28"/>
          <w:rtl w:val="true"/>
          <w:lang w:bidi="fa-IR"/>
        </w:rPr>
        <w:t xml:space="preserve">هذه المفاداة الخمسة لزم کونه مشترکاً لفظیّاً،و هو واضح البطلان،فلم یبقَ إلّا أن یکون مفهومه معنیً آخر،و هو التسالم،فیفید فی کلِّ موضع </w:t>
      </w:r>
      <w:r>
        <w:rPr>
          <w:rStyle w:val="FootnoteAnchor"/>
          <w:rtl w:val="true"/>
        </w:rPr>
        <w:footnoteReference w:id="49"/>
      </w:r>
      <w:r>
        <w:rPr>
          <w:rFonts w:ascii="Amiri" w:hAnsi="Amiri" w:eastAsia="Amiri" w:cs="Amiri"/>
          <w:color w:val="111111"/>
          <w:sz w:val="28"/>
          <w:sz w:val="28"/>
          <w:szCs w:val="28"/>
          <w:rtl w:val="true"/>
          <w:lang w:bidi="ar-SA"/>
        </w:rPr>
        <w:t>فائدة من</w:t>
      </w:r>
    </w:p>
    <w:p>
      <w:pPr>
        <w:pStyle w:val="BookText"/>
        <w:rPr/>
      </w:pPr>
      <w:r>
        <w:rPr>
          <w:rFonts w:ascii="IRNazanin" w:hAnsi="IRNazanin" w:eastAsia="IRNazanin"/>
          <w:color w:val="111111"/>
          <w:sz w:val="28"/>
          <w:sz w:val="28"/>
          <w:szCs w:val="28"/>
          <w:rtl w:val="true"/>
          <w:lang w:bidi="fa-IR"/>
        </w:rPr>
        <w:t>الفوائد المذکورة بحسب ما یقتضیه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فالصلح علی العین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تسالمٌ علیه </w:t>
      </w:r>
      <w:r>
        <w:rPr>
          <w:rStyle w:val="FootnoteAnchor"/>
          <w:rtl w:val="true"/>
        </w:rPr>
        <w:footnoteReference w:id="50"/>
      </w:r>
      <w:r>
        <w:rPr>
          <w:rFonts w:ascii="IRNazanin" w:hAnsi="IRNazanin" w:eastAsia="IRNazanin"/>
          <w:color w:val="111111"/>
          <w:sz w:val="28"/>
          <w:sz w:val="28"/>
          <w:szCs w:val="28"/>
          <w:rtl w:val="true"/>
          <w:lang w:bidi="fa-IR"/>
        </w:rPr>
        <w:t xml:space="preserve">،و هو یتضمّن التملیک، لا أنّ مفهوم الصلح فی خصوص هذا المقام و حقیقته هو إنشاء التملیک، و من هنا لم یکن طلبه من الخصم إقراراً </w:t>
      </w:r>
      <w:r>
        <w:rPr>
          <w:rStyle w:val="FootnoteAnchor"/>
          <w:rtl w:val="true"/>
        </w:rPr>
        <w:footnoteReference w:id="51"/>
      </w:r>
      <w:r>
        <w:rPr>
          <w:rFonts w:ascii="IRNazanin" w:hAnsi="IRNazanin" w:eastAsia="IRNazanin"/>
          <w:color w:val="111111"/>
          <w:sz w:val="28"/>
          <w:sz w:val="28"/>
          <w:szCs w:val="28"/>
          <w:rtl w:val="true"/>
          <w:lang w:bidi="fa-IR"/>
        </w:rPr>
        <w:t>،بخلاف طلب التملیک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الهبة المعوّضة و المراد بها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اشترط فیها </w:t>
      </w:r>
      <w:r>
        <w:rPr>
          <w:rStyle w:val="FootnoteAnchor"/>
          <w:rtl w:val="true"/>
        </w:rPr>
        <w:footnoteReference w:id="52"/>
      </w:r>
      <w:r>
        <w:rPr>
          <w:rFonts w:ascii="IRNazanin" w:hAnsi="IRNazanin" w:eastAsia="IRNazanin"/>
          <w:color w:val="111111"/>
          <w:sz w:val="28"/>
          <w:sz w:val="28"/>
          <w:szCs w:val="28"/>
          <w:rtl w:val="true"/>
          <w:lang w:bidi="fa-IR"/>
        </w:rPr>
        <w:t xml:space="preserve">العوض فلیست إنشاء تملیکٍ بعوض علی جهة المقابلة،و إلّا لم یعقل تملّک أحدهما لأحد العوضین من دون تملّک الآخر للآخر </w:t>
      </w:r>
      <w:r>
        <w:rPr>
          <w:rStyle w:val="FootnoteAnchor"/>
          <w:rtl w:val="true"/>
        </w:rPr>
        <w:footnoteReference w:id="53"/>
      </w:r>
      <w:r>
        <w:rPr>
          <w:rFonts w:ascii="IRNazanin" w:hAnsi="IRNazanin" w:eastAsia="IRNazanin"/>
          <w:color w:val="111111"/>
          <w:sz w:val="28"/>
          <w:sz w:val="28"/>
          <w:szCs w:val="28"/>
          <w:rtl w:val="true"/>
          <w:lang w:bidi="fa-IR"/>
        </w:rPr>
        <w:t xml:space="preserve">،مع أنّ ظاهرهم عدم تملّک العوض بمجرّد تملّک الموهوب الهبة </w:t>
      </w:r>
      <w:r>
        <w:rPr>
          <w:rStyle w:val="FootnoteAnchor"/>
          <w:rtl w:val="true"/>
        </w:rPr>
        <w:footnoteReference w:id="54"/>
      </w:r>
      <w:r>
        <w:rPr>
          <w:rFonts w:ascii="IRNazanin" w:hAnsi="IRNazanin" w:eastAsia="IRNazanin"/>
          <w:color w:val="111111"/>
          <w:sz w:val="28"/>
          <w:sz w:val="28"/>
          <w:szCs w:val="28"/>
          <w:rtl w:val="true"/>
          <w:lang w:bidi="fa-IR"/>
        </w:rPr>
        <w:t xml:space="preserve">،بل غایة الأمر أنّ المتّهب لو لم یؤدِّ العوض کان للواهب الرجوع فی هبته،فالظاهر أنّ التعویض المشترط فی الهبة کالتعویض الغیر المشترط فیها فی کونه تملیکاً </w:t>
      </w:r>
      <w:r>
        <w:rPr>
          <w:rStyle w:val="FootnoteAnchor"/>
          <w:rtl w:val="true"/>
        </w:rPr>
        <w:footnoteReference w:id="55"/>
      </w:r>
      <w:r>
        <w:rPr>
          <w:rFonts w:ascii="IRNazanin" w:hAnsi="IRNazanin" w:eastAsia="IRNazanin"/>
          <w:color w:val="111111"/>
          <w:sz w:val="28"/>
          <w:sz w:val="28"/>
          <w:szCs w:val="28"/>
          <w:rtl w:val="true"/>
          <w:lang w:bidi="fa-IR"/>
        </w:rPr>
        <w:t xml:space="preserve">مستقلا یقصد به وقوعه عوضاً،لا أنّ حقیقة المعاوضة و المقابلة مقصودة فی کلٍّ من العوضین؛ کما یتّضح ذلک بملاحظة التعویض الغیر المشترط فی ضمن </w:t>
      </w:r>
      <w:r>
        <w:rPr>
          <w:rStyle w:val="FootnoteAnchor"/>
          <w:rtl w:val="true"/>
        </w:rPr>
        <w:footnoteReference w:id="56"/>
      </w:r>
      <w:r>
        <w:rPr>
          <w:rFonts w:ascii="IRNazanin" w:hAnsi="IRNazanin" w:eastAsia="IRNazanin"/>
          <w:color w:val="111111"/>
          <w:sz w:val="28"/>
          <w:sz w:val="28"/>
          <w:szCs w:val="28"/>
          <w:rtl w:val="true"/>
          <w:lang w:bidi="fa-IR"/>
        </w:rPr>
        <w:t xml:space="preserve">الهبة الاُولی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38" w:name="pg19763_247761"/>
    </w:p>
    <w:p>
      <w:pPr>
        <w:pStyle w:val="BookText"/>
        <w:rPr/>
      </w:pPr>
      <w:bookmarkEnd w:id="38"/>
      <w:r>
        <w:rPr>
          <w:rFonts w:ascii="IRNazanin" w:hAnsi="IRNazanin" w:eastAsia="IRNazanin"/>
          <w:color w:val="111111"/>
          <w:sz w:val="28"/>
          <w:sz w:val="28"/>
          <w:szCs w:val="28"/>
          <w:rtl w:val="true"/>
          <w:lang w:bidi="fa-IR"/>
        </w:rPr>
        <w:t>فقد تحقّق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تملیک العین بالعوض لیست إلّا البیع،فلو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کذا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بیعاً،و لا یصحّ صلحاً و لا هبة معوّضة و إن قصدهما؛إذ التملیک علی جهة المقابلة الحقیقیّة لیس صلحاً،و لا هبة،فلا یقعان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قلنا بوقوعهما بغیر الألفاظ الصریحة توجّه تحقّقهما مع قصدهما،فما قیل من أنّ البیع هو الأصل فی تملیک الأعیان بالعوض، فیقدّم علی الصلح و الهبة المعوّضة </w:t>
      </w:r>
      <w:r>
        <w:rPr>
          <w:rStyle w:val="FootnoteAnchor"/>
          <w:rtl w:val="true"/>
        </w:rPr>
        <w:footnoteReference w:id="58"/>
      </w:r>
      <w:r>
        <w:rPr>
          <w:rFonts w:ascii="IRNazanin" w:hAnsi="IRNazanin" w:eastAsia="IRNazanin"/>
          <w:color w:val="111111"/>
          <w:sz w:val="28"/>
          <w:sz w:val="28"/>
          <w:szCs w:val="28"/>
          <w:rtl w:val="true"/>
          <w:lang w:bidi="fa-IR"/>
        </w:rPr>
        <w:t>،محلّ تأمّل،بل منع؛لما عرفت من أنّ تملیک الأعیان بالعوض هو البیع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اتی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 بالعوض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 إرادة غیر حقیقته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 اللفظی حمله علی المعنی الحقیقی،فیحکم بالبیع، لکنّ الظاهر أنّ الأصل بهذا المعنی لیس مراد القائل المتقدّم،و سیجیء توضیحه فی مسألة المعاطاة فی غیر البیع إن شاء اللّه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 w:name="__RefHeading___Toc5082450_2314609296"/>
      <w:bookmarkStart w:id="40" w:name="_Toc16"/>
      <w:bookmarkEnd w:id="39"/>
      <w:r>
        <w:rPr>
          <w:rtl w:val="true"/>
        </w:rPr>
        <w:t>بقی</w:t>
      </w:r>
      <w:bookmarkEnd w:id="40"/>
    </w:p>
    <w:p>
      <w:pPr>
        <w:pStyle w:val="BookText"/>
        <w:rPr/>
      </w:pPr>
      <w:r>
        <w:rPr>
          <w:rFonts w:ascii="IRNazanin" w:hAnsi="IRNazanin" w:eastAsia="IRNazanin"/>
          <w:color w:val="111111"/>
          <w:sz w:val="28"/>
          <w:sz w:val="28"/>
          <w:szCs w:val="28"/>
          <w:rtl w:val="true"/>
          <w:lang w:bidi="fa-IR"/>
        </w:rPr>
        <w:t xml:space="preserve">بقی </w:t>
      </w:r>
      <w:r>
        <w:rPr>
          <w:rStyle w:val="FootnoteAnchor"/>
          <w:rtl w:val="true"/>
        </w:rPr>
        <w:footnoteReference w:id="61"/>
      </w:r>
      <w:r>
        <w:rPr>
          <w:rFonts w:ascii="IRNazanin" w:hAnsi="IRNazanin" w:eastAsia="IRNazanin"/>
          <w:color w:val="111111"/>
          <w:sz w:val="28"/>
          <w:sz w:val="28"/>
          <w:szCs w:val="28"/>
          <w:rtl w:val="true"/>
          <w:lang w:bidi="fa-IR"/>
        </w:rPr>
        <w:t>القرض داخلاً فی ظاهر الحدّ،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إخراجه بأنّ مفهومه لیس نفس المعاوضة،بل هو تملیک علی وجه ضمان المثل </w:t>
      </w:r>
      <w:r>
        <w:rPr>
          <w:rStyle w:val="FootnoteAnchor"/>
          <w:rtl w:val="true"/>
        </w:rPr>
        <w:footnoteReference w:id="62"/>
      </w:r>
      <w:r>
        <w:rPr>
          <w:rFonts w:ascii="IRNazanin" w:hAnsi="IRNazanin" w:eastAsia="IRNazanin"/>
          <w:color w:val="111111"/>
          <w:sz w:val="28"/>
          <w:sz w:val="28"/>
          <w:szCs w:val="28"/>
          <w:rtl w:val="true"/>
          <w:lang w:bidi="fa-IR"/>
        </w:rPr>
        <w:t xml:space="preserve">أو القیمة، لا معاوضة للعین بهما؛و لذا لا یجری فیه ربا المعاوضة </w:t>
      </w:r>
      <w:r>
        <w:rPr>
          <w:rStyle w:val="FootnoteAnchor"/>
          <w:rtl w:val="true"/>
        </w:rPr>
        <w:footnoteReference w:id="63"/>
      </w:r>
      <w:r>
        <w:rPr>
          <w:rFonts w:ascii="IRNazanin" w:hAnsi="IRNazanin" w:eastAsia="IRNazanin"/>
          <w:color w:val="111111"/>
          <w:sz w:val="28"/>
          <w:sz w:val="28"/>
          <w:szCs w:val="28"/>
          <w:rtl w:val="true"/>
          <w:lang w:bidi="fa-IR"/>
        </w:rPr>
        <w:t>،و لا الغرر</w:t>
      </w:r>
      <w:bookmarkStart w:id="41" w:name="pg19763_247762"/>
    </w:p>
    <w:p>
      <w:pPr>
        <w:pStyle w:val="BookText"/>
        <w:rPr/>
      </w:pPr>
      <w:bookmarkEnd w:id="41"/>
      <w:r>
        <w:rPr>
          <w:rFonts w:ascii="IRNazanin" w:hAnsi="IRNazanin" w:eastAsia="IRNazanin"/>
          <w:color w:val="111111"/>
          <w:sz w:val="28"/>
          <w:sz w:val="28"/>
          <w:szCs w:val="28"/>
          <w:rtl w:val="true"/>
          <w:lang w:bidi="fa-IR"/>
        </w:rPr>
        <w:t xml:space="preserve">المنفی فیها،و لا ذکر العوض،و لا العلم به،فتأمّل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ما ذکرنا،تعریفٌ للبیع المأخوذ فی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w:t>
      </w:r>
      <w:r>
        <w:rPr>
          <w:rStyle w:val="FootnoteAnchor"/>
          <w:rtl w:val="true"/>
        </w:rPr>
        <w:footnoteReference w:id="65"/>
      </w:r>
      <w:r>
        <w:rPr>
          <w:rFonts w:ascii="IRNazanin" w:hAnsi="IRNazanin" w:eastAsia="IRNazanin"/>
          <w:color w:val="111111"/>
          <w:sz w:val="28"/>
          <w:sz w:val="28"/>
          <w:szCs w:val="28"/>
          <w:rtl w:val="true"/>
          <w:lang w:bidi="fa-IR"/>
        </w:rPr>
        <w:t>من المشتقّات،</w:t>
      </w:r>
    </w:p>
    <w:p>
      <w:pPr>
        <w:pStyle w:val="Heading4"/>
        <w:numPr>
          <w:ilvl w:val="3"/>
          <w:numId w:val="1"/>
        </w:numPr>
        <w:rPr/>
      </w:pPr>
      <w:bookmarkStart w:id="42" w:name="__RefHeading___Toc5082452_2314609296"/>
      <w:bookmarkStart w:id="43" w:name="_Toc17"/>
      <w:bookmarkEnd w:id="42"/>
      <w:r>
        <w:rPr>
          <w:rtl w:val="true"/>
        </w:rPr>
        <w:t>و یظهر من بعض من قارب عصرنا</w:t>
      </w:r>
      <w:bookmarkEnd w:id="43"/>
    </w:p>
    <w:p>
      <w:pPr>
        <w:pStyle w:val="Heading5"/>
        <w:numPr>
          <w:ilvl w:val="4"/>
          <w:numId w:val="1"/>
        </w:numPr>
        <w:rPr/>
      </w:pPr>
      <w:bookmarkStart w:id="44" w:name="__RefHeading___Toc5082454_2314609296"/>
      <w:bookmarkStart w:id="45" w:name="_Toc18"/>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و یظهر من بعض من قارب عصرنا </w:t>
      </w:r>
      <w:r>
        <w:rPr>
          <w:rStyle w:val="FootnoteAnchor"/>
          <w:rtl w:val="true"/>
        </w:rPr>
        <w:footnoteReference w:id="66"/>
      </w:r>
      <w:r>
        <w:rPr>
          <w:rFonts w:ascii="IRNazanin" w:hAnsi="IRNazanin" w:eastAsia="IRNazanin"/>
          <w:color w:val="111111"/>
          <w:sz w:val="28"/>
          <w:sz w:val="28"/>
          <w:szCs w:val="28"/>
          <w:rtl w:val="true"/>
          <w:lang w:bidi="fa-IR"/>
        </w:rPr>
        <w:t>استعماله فی معانٍ أُخر غیر ما ذکر</w:t>
      </w:r>
    </w:p>
    <w:p>
      <w:pPr>
        <w:pStyle w:val="Heading5"/>
        <w:numPr>
          <w:ilvl w:val="4"/>
          <w:numId w:val="1"/>
        </w:numPr>
        <w:rPr/>
      </w:pPr>
      <w:bookmarkStart w:id="46" w:name="__RefHeading___Toc5082456_2314609296"/>
      <w:bookmarkStart w:id="47" w:name="_Toc19"/>
      <w:bookmarkEnd w:id="46"/>
      <w:r>
        <w:rPr>
          <w:rtl w:val="true"/>
        </w:rPr>
        <w:t>اشاره</w:t>
      </w:r>
      <w:bookmarkEnd w:id="47"/>
    </w:p>
    <w:p>
      <w:pPr>
        <w:pStyle w:val="BookText"/>
        <w:rPr/>
      </w:pP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5082458_2314609296"/>
      <w:bookmarkStart w:id="49" w:name="_Toc20"/>
      <w:bookmarkEnd w:id="48"/>
      <w:r>
        <w:rPr>
          <w:rtl w:val="true"/>
        </w:rPr>
        <w:t>أحدها</w:t>
      </w:r>
      <w:r>
        <w:rPr>
          <w:rtl w:val="true"/>
        </w:rPr>
        <w:t>:</w:t>
      </w:r>
      <w:r>
        <w:rPr>
          <w:rtl w:val="true"/>
        </w:rPr>
        <w:t>التملیک المذکور،لکن</w:t>
      </w:r>
      <w:bookmarkEnd w:id="49"/>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التملیک المذکور،لکن </w:t>
      </w:r>
      <w:r>
        <w:rPr>
          <w:rStyle w:val="FootnoteAnchor"/>
          <w:rtl w:val="true"/>
        </w:rPr>
        <w:footnoteReference w:id="68"/>
      </w:r>
      <w:r>
        <w:rPr>
          <w:rFonts w:ascii="IRNazanin" w:hAnsi="IRNazanin" w:eastAsia="IRNazanin"/>
          <w:color w:val="111111"/>
          <w:sz w:val="28"/>
          <w:sz w:val="28"/>
          <w:szCs w:val="28"/>
          <w:rtl w:val="true"/>
          <w:lang w:bidi="fa-IR"/>
        </w:rPr>
        <w:t>بشرط تعقّبه بتملّک المشتری،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إلیه نظر بعض مشایخنا </w:t>
      </w:r>
      <w:r>
        <w:rPr>
          <w:rStyle w:val="FootnoteAnchor"/>
          <w:rtl w:val="true"/>
        </w:rPr>
        <w:footnoteReference w:id="69"/>
      </w:r>
      <w:r>
        <w:rPr>
          <w:rFonts w:ascii="IRNazanin" w:hAnsi="IRNazanin" w:eastAsia="IRNazanin"/>
          <w:color w:val="111111"/>
          <w:sz w:val="28"/>
          <w:sz w:val="28"/>
          <w:szCs w:val="28"/>
          <w:rtl w:val="true"/>
          <w:lang w:bidi="fa-IR"/>
        </w:rPr>
        <w:t xml:space="preserve">،حیث أخذ قید التعقّب </w:t>
      </w:r>
      <w:r>
        <w:rPr>
          <w:rStyle w:val="FootnoteAnchor"/>
          <w:rtl w:val="true"/>
        </w:rPr>
        <w:footnoteReference w:id="70"/>
      </w:r>
      <w:r>
        <w:rPr>
          <w:rFonts w:ascii="IRNazanin" w:hAnsi="IRNazanin" w:eastAsia="IRNazanin"/>
          <w:color w:val="111111"/>
          <w:sz w:val="28"/>
          <w:sz w:val="28"/>
          <w:szCs w:val="28"/>
          <w:rtl w:val="true"/>
          <w:lang w:bidi="fa-IR"/>
        </w:rPr>
        <w:t xml:space="preserve">بالقبول </w:t>
      </w:r>
      <w:r>
        <w:rPr>
          <w:rStyle w:val="FootnoteAnchor"/>
          <w:rtl w:val="true"/>
        </w:rPr>
        <w:footnoteReference w:id="71"/>
      </w:r>
      <w:r>
        <w:rPr>
          <w:rFonts w:ascii="IRNazanin" w:hAnsi="IRNazanin" w:eastAsia="IRNazanin"/>
          <w:color w:val="111111"/>
          <w:sz w:val="28"/>
          <w:sz w:val="28"/>
          <w:szCs w:val="28"/>
          <w:rtl w:val="true"/>
          <w:lang w:bidi="fa-IR"/>
        </w:rPr>
        <w:t>فی تعریف البیع المصطلح؛و لعلّه لتبادر التملیک المقرون بالقبول من اللفظ، بل و صحّة السلب عن المجرّد؛و لهذا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فلان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أن یکون قد اشتراه غیره،و یستفاد من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اشتراه غیره،لا أنّه أوجب </w:t>
      </w:r>
      <w:r>
        <w:rPr>
          <w:rStyle w:val="FootnoteAnchor"/>
          <w:rtl w:val="true"/>
        </w:rPr>
        <w:footnoteReference w:id="72"/>
      </w:r>
      <w:r>
        <w:rPr>
          <w:rFonts w:ascii="IRNazanin" w:hAnsi="IRNazanin" w:eastAsia="IRNazanin"/>
          <w:color w:val="111111"/>
          <w:sz w:val="28"/>
          <w:sz w:val="28"/>
          <w:szCs w:val="28"/>
          <w:rtl w:val="true"/>
          <w:lang w:bidi="fa-IR"/>
        </w:rPr>
        <w:t>البیع فقط</w:t>
      </w:r>
      <w:r>
        <w:rPr>
          <w:rFonts w:eastAsia="IRNazanin" w:cs="IRNazanin"/>
          <w:color w:val="111111"/>
          <w:sz w:val="28"/>
          <w:szCs w:val="28"/>
          <w:rtl w:val="true"/>
          <w:lang w:bidi="fa-IR"/>
        </w:rPr>
        <w:t>.</w:t>
      </w:r>
      <w:bookmarkStart w:id="50" w:name="pg19763_247763"/>
    </w:p>
    <w:p>
      <w:pPr>
        <w:pStyle w:val="Heading5"/>
        <w:numPr>
          <w:ilvl w:val="4"/>
          <w:numId w:val="1"/>
        </w:numPr>
        <w:rPr/>
      </w:pPr>
      <w:bookmarkStart w:id="51" w:name="__RefHeading___Toc5082460_2314609296"/>
      <w:bookmarkStart w:id="52" w:name="_Toc21"/>
      <w:bookmarkEnd w:id="50"/>
      <w:bookmarkEnd w:id="51"/>
      <w:r>
        <w:rPr>
          <w:rtl w:val="true"/>
        </w:rPr>
        <w:t>الثانی</w:t>
      </w:r>
      <w:r>
        <w:rPr>
          <w:rtl w:val="true"/>
        </w:rPr>
        <w:t>:</w:t>
      </w:r>
      <w:r>
        <w:rPr>
          <w:rtl w:val="true"/>
        </w:rPr>
        <w:t>الأثر الحاصل من الإیجاب و القبول،</w:t>
      </w:r>
      <w:bookmarkEnd w:id="52"/>
    </w:p>
    <w:p>
      <w:pPr>
        <w:pStyle w:val="BookText"/>
        <w:rPr/>
      </w:pPr>
      <w:r>
        <w:rPr>
          <w:rFonts w:ascii="IRNazanin" w:hAnsi="IRNazanin" w:eastAsia="IRNazanin"/>
          <w:color w:val="111111"/>
          <w:sz w:val="28"/>
          <w:sz w:val="28"/>
          <w:szCs w:val="28"/>
          <w:rtl w:val="true"/>
          <w:lang w:bidi="fa-IR"/>
        </w:rPr>
        <w:t xml:space="preserve">و هو الانتقال،کما یظهر من المبسوط </w:t>
      </w:r>
      <w:r>
        <w:rPr>
          <w:rStyle w:val="FootnoteAnchor"/>
          <w:rtl w:val="true"/>
        </w:rPr>
        <w:footnoteReference w:id="73"/>
      </w:r>
      <w:r>
        <w:rPr>
          <w:rFonts w:ascii="IRNazanin" w:hAnsi="IRNazanin" w:eastAsia="IRNazanin"/>
          <w:color w:val="111111"/>
          <w:sz w:val="28"/>
          <w:sz w:val="28"/>
          <w:szCs w:val="28"/>
          <w:rtl w:val="true"/>
          <w:lang w:bidi="fa-IR"/>
        </w:rPr>
        <w:t xml:space="preserve">و غیره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5082462_2314609296"/>
      <w:bookmarkStart w:id="54" w:name="_Toc22"/>
      <w:bookmarkEnd w:id="53"/>
      <w:r>
        <w:rPr>
          <w:rtl w:val="true"/>
        </w:rPr>
        <w:t>الثالث</w:t>
      </w:r>
      <w:r>
        <w:rPr>
          <w:rtl w:val="true"/>
        </w:rPr>
        <w:t>:</w:t>
      </w:r>
      <w:r>
        <w:rPr>
          <w:rtl w:val="true"/>
        </w:rPr>
        <w:t>نفس العقد المرکّب من الإیجاب و القبول،</w:t>
      </w:r>
      <w:bookmarkEnd w:id="54"/>
    </w:p>
    <w:p>
      <w:pPr>
        <w:pStyle w:val="BookText"/>
        <w:rPr/>
      </w:pPr>
      <w:r>
        <w:rPr>
          <w:rFonts w:ascii="IRNazanin" w:hAnsi="IRNazanin" w:eastAsia="IRNazanin"/>
          <w:color w:val="111111"/>
          <w:sz w:val="28"/>
          <w:sz w:val="28"/>
          <w:szCs w:val="28"/>
          <w:rtl w:val="true"/>
          <w:lang w:bidi="fa-IR"/>
        </w:rPr>
        <w:t xml:space="preserve">و إلیه ینظر من عرّف البیع بالعقد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الظاهر اتّفاقهم علی إرادة هذا المعنی فی عناوین أبواب المعاملات،حتی الإجارة و شبهها التی لیست هی فی الأصل </w:t>
      </w:r>
      <w:r>
        <w:rPr>
          <w:rStyle w:val="FootnoteAnchor"/>
          <w:rtl w:val="true"/>
        </w:rPr>
        <w:footnoteReference w:id="77"/>
      </w:r>
      <w:r>
        <w:rPr>
          <w:rFonts w:ascii="IRNazanin" w:hAnsi="IRNazanin" w:eastAsia="IRNazanin"/>
          <w:color w:val="111111"/>
          <w:sz w:val="28"/>
          <w:sz w:val="28"/>
          <w:szCs w:val="28"/>
          <w:rtl w:val="true"/>
          <w:lang w:bidi="fa-IR"/>
        </w:rPr>
        <w:t xml:space="preserve">اسماً لأحد طرفی العقد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5082464_2314609296"/>
      <w:bookmarkStart w:id="56" w:name="_Toc23"/>
      <w:bookmarkEnd w:id="55"/>
      <w:r>
        <w:rPr>
          <w:rtl w:val="true"/>
        </w:rPr>
        <w:t>[</w:t>
      </w:r>
      <w:r>
        <w:rPr>
          <w:rtl w:val="true"/>
        </w:rPr>
        <w:t>المناقشة فی هذه الاستعمالات</w:t>
      </w:r>
      <w:r>
        <w:rPr>
          <w:rtl w:val="true"/>
        </w:rPr>
        <w:t>]</w:t>
      </w:r>
      <w:bookmarkEnd w:id="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البیع بمعنی الإیجاب المتعقّب للقبول،فالظاهر أنّه لیس مقابلاً للأوّل،و إنّما هو فردٌ انصرف إلیه اللفظ فی مقام قیام القرینة علی إرادة الإیجاب المثمر؛إذ لا ثمرة فی الإیجاب المجرّد،فقول المخبر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أراد الإیجاب المقیّد،فالقید مستفاد من الخارج،لا أنّ البیع مستعمل فی الإیجاب المتعقّب للقبول،و کذلک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شبهها،مع أنّه لم یقل </w:t>
      </w:r>
      <w:r>
        <w:rPr>
          <w:rStyle w:val="FootnoteAnchor"/>
          <w:rtl w:val="true"/>
        </w:rPr>
        <w:footnoteReference w:id="79"/>
      </w:r>
      <w:r>
        <w:rPr>
          <w:rFonts w:ascii="IRNazanin" w:hAnsi="IRNazanin" w:eastAsia="IRNazanin"/>
          <w:color w:val="111111"/>
          <w:sz w:val="28"/>
          <w:sz w:val="28"/>
          <w:szCs w:val="28"/>
          <w:rtl w:val="true"/>
          <w:lang w:bidi="fa-IR"/>
        </w:rPr>
        <w:t>أحد بأنّ تعقّب القبول له دخل فی معناها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نعم،تحقّق القبول شرط للانتقال فی الخارج،لا فی نظر الناقل؛إذ</w:t>
      </w:r>
    </w:p>
    <w:p>
      <w:pPr>
        <w:pStyle w:val="BookText"/>
        <w:rPr/>
      </w:pPr>
      <w:r>
        <w:rPr>
          <w:rFonts w:ascii="IRNazanin" w:hAnsi="IRNazanin" w:eastAsia="IRNazanin"/>
          <w:color w:val="111111"/>
          <w:sz w:val="28"/>
          <w:sz w:val="28"/>
          <w:szCs w:val="28"/>
          <w:rtl w:val="true"/>
          <w:lang w:bidi="fa-IR"/>
        </w:rPr>
        <w:t xml:space="preserve">لا ینفکّ التأثیر عن الأثر </w:t>
      </w:r>
      <w:r>
        <w:rPr>
          <w:rStyle w:val="FootnoteAnchor"/>
          <w:rtl w:val="true"/>
        </w:rPr>
        <w:footnoteReference w:id="80"/>
      </w:r>
      <w:r>
        <w:rPr>
          <w:rFonts w:ascii="IRNazanin" w:hAnsi="IRNazanin" w:eastAsia="IRNazanin"/>
          <w:color w:val="111111"/>
          <w:sz w:val="28"/>
          <w:sz w:val="28"/>
          <w:szCs w:val="28"/>
          <w:rtl w:val="true"/>
          <w:lang w:bidi="fa-IR"/>
        </w:rPr>
        <w:t xml:space="preserve">،فالبیع و ما یساویه معنیً من قبیل الإیجاب و الوجوب،لا الکسر و الانکسار کما تخیّله بعض </w:t>
      </w:r>
      <w:r>
        <w:rPr>
          <w:rStyle w:val="FootnoteAnchor"/>
          <w:rtl w:val="true"/>
        </w:rPr>
        <w:footnoteReference w:id="81"/>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یظهر ضعف أخذ القید المذکور فی معنی البیع المصطلح،فضلاً عن أن یجعل أحد معانیها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البیع بمعنی الأثر و هو الانتقال،فلم یوجد فی اللغة و لا فی العرف </w:t>
      </w:r>
      <w:r>
        <w:rPr>
          <w:rStyle w:val="FootnoteAnchor"/>
          <w:rtl w:val="true"/>
        </w:rPr>
        <w:footnoteReference w:id="83"/>
      </w:r>
      <w:r>
        <w:rPr>
          <w:rFonts w:ascii="IRNazanin" w:hAnsi="IRNazanin" w:eastAsia="IRNazanin"/>
          <w:color w:val="111111"/>
          <w:sz w:val="28"/>
          <w:sz w:val="28"/>
          <w:szCs w:val="28"/>
          <w:rtl w:val="true"/>
          <w:lang w:bidi="fa-IR"/>
        </w:rPr>
        <w:t xml:space="preserve">، و إنّما وقع فی تعریف جماعة تبعاً للمبسوط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یوجّه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بالبیع المحدود المصدر من المبنیّ للمفعول،أعنی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تکلّف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البیع بمعنی العقد،فقد صرّح الشهید الثانی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إطلاقه علیه مجاز؛لعلاقة السببیة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المسبّب هو الأثر الحاصل فی نظر الشارع؛لأنّه المسبّب عن العقد،لا النقل الحاصل من فعل الموجِب؛لما عرفت من أنّه حاصل بنفس إنشاء الموجِب من دون توقّف علی شیءٍ،کحصول وجوب الضرب فی نظر الآمر </w:t>
      </w:r>
      <w:r>
        <w:rPr>
          <w:rStyle w:val="FootnoteAnchor"/>
          <w:rtl w:val="true"/>
        </w:rPr>
        <w:footnoteReference w:id="87"/>
      </w:r>
      <w:r>
        <w:rPr>
          <w:rFonts w:ascii="Amiri" w:hAnsi="Amiri" w:eastAsia="Amiri" w:cs="Amiri"/>
          <w:color w:val="111111"/>
          <w:sz w:val="28"/>
          <w:sz w:val="28"/>
          <w:szCs w:val="28"/>
          <w:rtl w:val="true"/>
          <w:lang w:bidi="ar-SA"/>
        </w:rPr>
        <w:t>بمجرّد الأمر و إن لم یَصر واجباً فی</w:t>
      </w:r>
      <w:bookmarkStart w:id="57" w:name="pg19763_247765"/>
    </w:p>
    <w:p>
      <w:pPr>
        <w:pStyle w:val="BookText"/>
        <w:rPr/>
      </w:pPr>
      <w:bookmarkEnd w:id="57"/>
      <w:r>
        <w:rPr>
          <w:rFonts w:ascii="IRNazanin" w:hAnsi="IRNazanin" w:eastAsia="IRNazanin"/>
          <w:color w:val="111111"/>
          <w:sz w:val="28"/>
          <w:sz w:val="28"/>
          <w:szCs w:val="28"/>
          <w:rtl w:val="true"/>
          <w:lang w:bidi="fa-IR"/>
        </w:rPr>
        <w:t xml:space="preserve">الخارج </w:t>
      </w:r>
      <w:r>
        <w:rPr>
          <w:rStyle w:val="FootnoteAnchor"/>
          <w:rtl w:val="true"/>
        </w:rPr>
        <w:footnoteReference w:id="88"/>
      </w:r>
      <w:r>
        <w:rPr>
          <w:rFonts w:ascii="IRNazanin" w:hAnsi="IRNazanin" w:eastAsia="IRNazanin"/>
          <w:color w:val="111111"/>
          <w:sz w:val="28"/>
          <w:sz w:val="28"/>
          <w:szCs w:val="28"/>
          <w:rtl w:val="true"/>
          <w:lang w:bidi="fa-IR"/>
        </w:rPr>
        <w:t>فی نظر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نظر جمیع ما ورد فی النصوص و الفتاوی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أقاله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الذی یجعلونه من العقود یراد به النقل بمعنی اسم المصدر مع اعتبار تحقّقه فی نظر الشارع،المتوقّف علی تحقّق الإیجاب و القبول،فإضافة العقد إلی البیع بهذا المعنی لیست بیانیّة؛و لذا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البیع</w:t>
      </w:r>
      <w:r>
        <w:rPr>
          <w:rFonts w:eastAsia="IRNazanin" w:cs="IRNazanin"/>
          <w:color w:val="111111"/>
          <w:sz w:val="28"/>
          <w:szCs w:val="28"/>
          <w:rtl w:val="true"/>
          <w:lang w:bidi="fa-IR"/>
        </w:rPr>
        <w:t>».</w:t>
      </w:r>
    </w:p>
    <w:p>
      <w:pPr>
        <w:pStyle w:val="Heading3"/>
        <w:numPr>
          <w:ilvl w:val="2"/>
          <w:numId w:val="1"/>
        </w:numPr>
        <w:rPr/>
      </w:pPr>
      <w:bookmarkStart w:id="58" w:name="__RefHeading___Toc5082466_2314609296"/>
      <w:bookmarkStart w:id="59" w:name="_Toc24"/>
      <w:bookmarkEnd w:id="58"/>
      <w:r>
        <w:rPr>
          <w:rtl w:val="true"/>
        </w:rPr>
        <w:t>[</w:t>
      </w:r>
      <w:r>
        <w:rPr>
          <w:rtl w:val="true"/>
        </w:rPr>
        <w:t>البیع و نحوه من العقود اسم للصحیح أو للأعم</w:t>
      </w:r>
      <w:r>
        <w:rPr>
          <w:rtl w:val="true"/>
        </w:rPr>
        <w:t>]</w:t>
      </w:r>
      <w:bookmarkEnd w:id="59"/>
    </w:p>
    <w:p>
      <w:pPr>
        <w:pStyle w:val="BookText"/>
        <w:rPr/>
      </w:pPr>
      <w:r>
        <w:rPr>
          <w:rFonts w:ascii="IRNazanin" w:hAnsi="IRNazanin" w:eastAsia="IRNazanin"/>
          <w:color w:val="111111"/>
          <w:sz w:val="28"/>
          <w:sz w:val="28"/>
          <w:szCs w:val="28"/>
          <w:rtl w:val="true"/>
          <w:lang w:bidi="fa-IR"/>
        </w:rPr>
        <w:t>ثمّ إنّ الشهید الثانی نصّ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المسالک علی أنّ عقد البیع و غیره من العقود حقیقة فی الصحیح،مجاز فی الفاسد؛لوجود خواصّ الحقیقة و المجاز،کالتبادر و صحّة 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حُمل </w:t>
      </w:r>
      <w:r>
        <w:rPr>
          <w:rStyle w:val="FootnoteAnchor"/>
          <w:rtl w:val="true"/>
        </w:rPr>
        <w:footnoteReference w:id="89"/>
      </w:r>
      <w:r>
        <w:rPr>
          <w:rFonts w:ascii="IRNazanin" w:hAnsi="IRNazanin" w:eastAsia="IRNazanin"/>
          <w:color w:val="111111"/>
          <w:sz w:val="28"/>
          <w:sz w:val="28"/>
          <w:szCs w:val="28"/>
          <w:rtl w:val="true"/>
          <w:lang w:bidi="fa-IR"/>
        </w:rPr>
        <w:t xml:space="preserve">الإقرار به علیه،حتی لو ادّعی إرادة الفاسد لم یسمع إجماعاً،و لو کان مشترکاً بین الصحیح و الفاسد لقبل تفسیره بأحدهما کغیره من الألفاظ المشترکة،و انقسامه إلی الصحیح و الفاسد أعمّ من الحقیقة </w:t>
      </w:r>
      <w:r>
        <w:rPr>
          <w:rStyle w:val="FootnoteAnchor"/>
          <w:rtl w:val="true"/>
        </w:rPr>
        <w:footnoteReference w:id="9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الشهید الأوّل </w:t>
      </w:r>
      <w:r>
        <w:rPr>
          <w:rStyle w:val="FootnoteAnchor"/>
          <w:rtl w:val="true"/>
        </w:rPr>
        <w:footnoteReference w:id="91"/>
      </w:r>
      <w:r>
        <w:rPr>
          <w:rFonts w:ascii="IRNazanin" w:hAnsi="IRNazanin" w:eastAsia="IRNazanin"/>
          <w:color w:val="111111"/>
          <w:sz w:val="28"/>
          <w:sz w:val="28"/>
          <w:szCs w:val="28"/>
          <w:rtl w:val="true"/>
          <w:lang w:bidi="fa-IR"/>
        </w:rPr>
        <w:t>فی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الماهیّات الجعلیّة کالصلاة و الصوم و سائر العقود لا تطلق علی الفاسد إلّا الحجّ؛لوجوب المضیّ فیه </w:t>
      </w:r>
      <w:r>
        <w:rPr>
          <w:rStyle w:val="FootnoteAnchor"/>
          <w:rtl w:val="true"/>
        </w:rPr>
        <w:footnoteReference w:id="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إرادة الإطلاق الحقیقی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ما ذکراه بأنّ وضعها للصحیح یوجب عدم جواز التمسّک</w:t>
      </w:r>
    </w:p>
    <w:p>
      <w:pPr>
        <w:pStyle w:val="BookText"/>
        <w:rPr/>
      </w:pPr>
      <w:r>
        <w:rPr>
          <w:rFonts w:ascii="Amiri" w:hAnsi="Amiri" w:eastAsia="Amiri" w:cs="Amiri"/>
          <w:color w:val="111111"/>
          <w:sz w:val="28"/>
          <w:sz w:val="28"/>
          <w:szCs w:val="28"/>
          <w:rtl w:val="true"/>
          <w:lang w:bidi="ar-SA"/>
        </w:rPr>
        <w:t xml:space="preserve">بإطلاق نحو وَ أَحَلَّ اللّٰهُ الْبَیْعَ </w:t>
      </w:r>
      <w:r>
        <w:rPr>
          <w:rStyle w:val="FootnoteAnchor"/>
          <w:rtl w:val="true"/>
        </w:rPr>
        <w:footnoteReference w:id="93"/>
      </w:r>
      <w:r>
        <w:rPr>
          <w:rFonts w:ascii="IRNazanin" w:hAnsi="IRNazanin" w:eastAsia="IRNazanin"/>
          <w:color w:val="111111"/>
          <w:sz w:val="28"/>
          <w:sz w:val="28"/>
          <w:szCs w:val="28"/>
          <w:rtl w:val="true"/>
          <w:lang w:bidi="fa-IR"/>
        </w:rPr>
        <w:t xml:space="preserve">،و إطلاقات </w:t>
      </w:r>
      <w:r>
        <w:rPr>
          <w:rStyle w:val="FootnoteAnchor"/>
          <w:rtl w:val="true"/>
        </w:rPr>
        <w:footnoteReference w:id="94"/>
      </w:r>
      <w:r>
        <w:rPr>
          <w:rFonts w:ascii="IRNazanin" w:hAnsi="IRNazanin" w:eastAsia="IRNazanin"/>
          <w:color w:val="111111"/>
          <w:sz w:val="28"/>
          <w:sz w:val="28"/>
          <w:szCs w:val="28"/>
          <w:rtl w:val="true"/>
          <w:lang w:bidi="fa-IR"/>
        </w:rPr>
        <w:t>أدلّة سائر العقود فی مقام الشکّ فی اعتبار شیءٍ فیها،مع أنّ سیرة علماء الإسلام التمسّک بها فی هذه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البیع و شبهه فی العرف إذا استعمل فی الحاصل من المصدر الذی یراد من قول القائل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الإنشاء، لا یستعمل حقیقة إلّا فی ما کان صحیحاً مؤثّراً و لو فی نظر القائل </w:t>
      </w:r>
      <w:r>
        <w:rPr>
          <w:rStyle w:val="FootnoteAnchor"/>
          <w:rtl w:val="true"/>
        </w:rPr>
        <w:footnoteReference w:id="96"/>
      </w:r>
      <w:r>
        <w:rPr>
          <w:rFonts w:ascii="IRNazanin" w:hAnsi="IRNazanin" w:eastAsia="IRNazanin"/>
          <w:color w:val="111111"/>
          <w:sz w:val="28"/>
          <w:sz w:val="28"/>
          <w:szCs w:val="28"/>
          <w:rtl w:val="true"/>
          <w:lang w:bidi="fa-IR"/>
        </w:rPr>
        <w:t>، ثمّ إذا کان مؤثّراً فی نظر الشارع کان بیعاً عنده،و إلّا کان صورة بیع، نظیر بیع الهازل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فالبیع الذی یراد منه ما حصل عقیب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العرف و الشرع حقیقة فی الصحیح المفید للأثر،و مجاز فی غیره،إلّا أنّ الإفادة و ثبوت الفائدة مختلف فی نظر العرف و الشرع</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تمسّک العلماء بإطلاق أدلّة البیع و نحوه؛فلأنّ الخطابات لمّا وردت علی طبق العرف،حمل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 فی الخطابات الشرعیّة علی ما هو الصحیح المؤثّر عند العرف،أو علی المصدر الذی یراد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،فیستدلّ بإطلاق الحکم بحلّه أو بوجوب الوفاء علی کونه مؤثّراً فی نظر الشارع أیضاً،فتأمّل فإنّ للکلام محلاّ آخر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المعاطاة</w:t>
      </w:r>
      <w:r>
        <w:rPr>
          <w:rFonts w:eastAsia="IRNazanin" w:cs="IRNazanin"/>
          <w:color w:val="111111"/>
          <w:sz w:val="28"/>
          <w:szCs w:val="28"/>
          <w:rtl w:val="true"/>
          <w:lang w:bidi="fa-IR"/>
        </w:rPr>
        <w:t>]</w:t>
      </w:r>
      <w:bookmarkStart w:id="60" w:name="pg19763_247769"/>
    </w:p>
    <w:p>
      <w:pPr>
        <w:pStyle w:val="Heading3"/>
        <w:numPr>
          <w:ilvl w:val="2"/>
          <w:numId w:val="1"/>
        </w:numPr>
        <w:rPr/>
      </w:pPr>
      <w:bookmarkStart w:id="61" w:name="__RefHeading___Toc5082468_2314609296"/>
      <w:bookmarkStart w:id="62" w:name="_Toc25"/>
      <w:bookmarkEnd w:id="60"/>
      <w:bookmarkEnd w:id="61"/>
      <w:r>
        <w:rPr>
          <w:rtl w:val="true"/>
        </w:rPr>
        <w:t>الکلام فی المعاطاة</w:t>
      </w:r>
      <w:bookmarkEnd w:id="62"/>
    </w:p>
    <w:p>
      <w:pPr>
        <w:pStyle w:val="Heading4"/>
        <w:numPr>
          <w:ilvl w:val="3"/>
          <w:numId w:val="1"/>
        </w:numPr>
        <w:rPr/>
      </w:pPr>
      <w:bookmarkStart w:id="63" w:name="__RefHeading___Toc5082470_2314609296"/>
      <w:bookmarkStart w:id="64" w:name="_Toc26"/>
      <w:bookmarkEnd w:id="63"/>
      <w:r>
        <w:rPr>
          <w:rtl w:val="true"/>
        </w:rPr>
        <w:t>[</w:t>
      </w:r>
      <w:r>
        <w:rPr>
          <w:rtl w:val="true"/>
        </w:rPr>
        <w:t>البحث فی حقیقة المعاطاة صورها</w:t>
      </w:r>
      <w:r>
        <w:rPr>
          <w:rtl w:val="true"/>
        </w:rPr>
        <w:t>]</w:t>
      </w:r>
      <w:bookmarkEnd w:id="64"/>
    </w:p>
    <w:p>
      <w:pPr>
        <w:pStyle w:val="BookText"/>
        <w:rPr/>
      </w:pPr>
      <w:r>
        <w:rPr>
          <w:rFonts w:ascii="IRNazanin" w:hAnsi="IRNazanin" w:eastAsia="IRNazanin"/>
          <w:color w:val="111111"/>
          <w:sz w:val="28"/>
          <w:sz w:val="28"/>
          <w:szCs w:val="28"/>
          <w:rtl w:val="true"/>
          <w:lang w:bidi="fa-IR"/>
        </w:rPr>
        <w:t>إعلم أنّ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فسّره جماعة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 کلٌّ من اثنین عوضاً عمّا یأخذه من الآخر،و هو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یبیح کلٌّ منهما للآخر التصرّف فیما یعطیه،من دون نظر إلی تملیکه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یتعاطیا علی وجه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یذکر وجهان آخران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النقل </w:t>
      </w:r>
      <w:r>
        <w:rPr>
          <w:rStyle w:val="FootnoteAnchor"/>
          <w:rtl w:val="true"/>
        </w:rPr>
        <w:footnoteReference w:id="99"/>
      </w:r>
      <w:r>
        <w:rPr>
          <w:rFonts w:ascii="IRNazanin" w:hAnsi="IRNazanin" w:eastAsia="IRNazanin"/>
          <w:color w:val="111111"/>
          <w:sz w:val="28"/>
          <w:sz w:val="28"/>
          <w:szCs w:val="28"/>
          <w:rtl w:val="true"/>
          <w:lang w:bidi="fa-IR"/>
        </w:rPr>
        <w:t xml:space="preserve">من غیر قصد البیع و لا تصریحٍ بالإباحة المزبورة،بل یعطی شیئاً لیتناول شیئاً فدفعه </w:t>
      </w:r>
      <w:r>
        <w:rPr>
          <w:rStyle w:val="FootnoteAnchor"/>
          <w:rtl w:val="true"/>
        </w:rPr>
        <w:footnoteReference w:id="100"/>
      </w:r>
      <w:r>
        <w:rPr>
          <w:rFonts w:ascii="IRNazanin" w:hAnsi="IRNazanin" w:eastAsia="IRNazanin"/>
          <w:color w:val="111111"/>
          <w:sz w:val="28"/>
          <w:sz w:val="28"/>
          <w:szCs w:val="28"/>
          <w:rtl w:val="true"/>
          <w:lang w:bidi="fa-IR"/>
        </w:rPr>
        <w:t>الآخر إلیه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الملک المطلق،دون خصوص البیع</w:t>
      </w:r>
      <w:r>
        <w:rPr>
          <w:rFonts w:eastAsia="IRNazanin" w:cs="IRNazanin"/>
          <w:color w:val="111111"/>
          <w:sz w:val="28"/>
          <w:szCs w:val="28"/>
          <w:rtl w:val="true"/>
          <w:lang w:bidi="fa-IR"/>
        </w:rPr>
        <w:t>.</w:t>
      </w:r>
      <w:bookmarkStart w:id="65" w:name="pg19763_247770"/>
    </w:p>
    <w:p>
      <w:pPr>
        <w:pStyle w:val="BookText"/>
        <w:rPr/>
      </w:pPr>
      <w:bookmarkEnd w:id="65"/>
      <w:r>
        <w:rPr>
          <w:rFonts w:ascii="Amiri" w:hAnsi="Amiri" w:eastAsia="Amiri" w:cs="Amiri"/>
          <w:color w:val="111111"/>
          <w:sz w:val="28"/>
          <w:sz w:val="28"/>
          <w:szCs w:val="28"/>
          <w:rtl w:val="true"/>
          <w:lang w:bidi="ar-SA"/>
        </w:rPr>
        <w:t>و یردّ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بامتناع خلوّ الدافع </w:t>
      </w:r>
      <w:r>
        <w:rPr>
          <w:rStyle w:val="FootnoteAnchor"/>
          <w:rtl w:val="true"/>
        </w:rPr>
        <w:footnoteReference w:id="101"/>
      </w:r>
      <w:r>
        <w:rPr>
          <w:rFonts w:ascii="IRNazanin" w:hAnsi="IRNazanin" w:eastAsia="IRNazanin"/>
          <w:color w:val="111111"/>
          <w:sz w:val="28"/>
          <w:sz w:val="28"/>
          <w:szCs w:val="28"/>
          <w:rtl w:val="true"/>
          <w:lang w:bidi="fa-IR"/>
        </w:rPr>
        <w:t>عن قصد عنوان من عناوین البیع،أو الإباحة،أو العاریة،أو الودیعة،أو القرض،أو غیر ذلک من العنوانات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تقدّم فی تعریف البیع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التملیک بالعوض علی وجه المبادلة هو مفهوم البیع،لا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نعم،یظهر من غیر واحدٍ منهم </w:t>
      </w:r>
      <w:r>
        <w:rPr>
          <w:rStyle w:val="FootnoteAnchor"/>
          <w:rtl w:val="true"/>
        </w:rPr>
        <w:footnoteReference w:id="103"/>
      </w:r>
      <w:r>
        <w:rPr>
          <w:rFonts w:ascii="IRNazanin" w:hAnsi="IRNazanin" w:eastAsia="IRNazanin"/>
          <w:color w:val="111111"/>
          <w:sz w:val="28"/>
          <w:sz w:val="28"/>
          <w:szCs w:val="28"/>
          <w:rtl w:val="true"/>
          <w:lang w:bidi="fa-IR"/>
        </w:rPr>
        <w:t xml:space="preserve">فی بعض </w:t>
      </w:r>
      <w:r>
        <w:rPr>
          <w:rStyle w:val="FootnoteAnchor"/>
          <w:rtl w:val="true"/>
        </w:rPr>
        <w:footnoteReference w:id="104"/>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لبن الشاة مدّةً،و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التملیک المطلق أعمّ من البیع</w:t>
      </w:r>
      <w:r>
        <w:rPr>
          <w:rFonts w:eastAsia="IRNazanin" w:cs="IRNazanin"/>
          <w:color w:val="111111"/>
          <w:sz w:val="28"/>
          <w:szCs w:val="28"/>
          <w:rtl w:val="true"/>
          <w:lang w:bidi="fa-IR"/>
        </w:rPr>
        <w:t>.</w:t>
      </w:r>
    </w:p>
    <w:p>
      <w:pPr>
        <w:pStyle w:val="Heading4"/>
        <w:numPr>
          <w:ilvl w:val="3"/>
          <w:numId w:val="1"/>
        </w:numPr>
        <w:rPr/>
      </w:pPr>
      <w:bookmarkStart w:id="66" w:name="__RefHeading___Toc5082472_2314609296"/>
      <w:bookmarkStart w:id="67" w:name="_Toc27"/>
      <w:bookmarkEnd w:id="66"/>
      <w:r>
        <w:rPr>
          <w:rtl w:val="true"/>
        </w:rPr>
        <w:t>[</w:t>
      </w:r>
      <w:r>
        <w:rPr>
          <w:rtl w:val="true"/>
        </w:rPr>
        <w:t>حکم المعاطاة و أقوال العلماء فی ذلک</w:t>
      </w:r>
      <w:r>
        <w:rPr>
          <w:rtl w:val="true"/>
        </w:rPr>
        <w:t>]</w:t>
      </w:r>
      <w:bookmarkEnd w:id="6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المعروف بین علمائنا فی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مفیدة لإباحة التصرّف </w:t>
      </w:r>
      <w:r>
        <w:rPr>
          <w:rStyle w:val="FootnoteAnchor"/>
          <w:rtl w:val="true"/>
        </w:rPr>
        <w:footnoteReference w:id="105"/>
      </w:r>
      <w:r>
        <w:rPr>
          <w:rFonts w:ascii="IRNazanin" w:hAnsi="IRNazanin" w:eastAsia="IRNazanin"/>
          <w:color w:val="111111"/>
          <w:sz w:val="28"/>
          <w:sz w:val="28"/>
          <w:szCs w:val="28"/>
          <w:rtl w:val="true"/>
          <w:lang w:bidi="fa-IR"/>
        </w:rPr>
        <w:t xml:space="preserve">،و یحصل الملک بتلف إحدی العینین،و عن المفید </w:t>
      </w:r>
      <w:r>
        <w:rPr>
          <w:rStyle w:val="FootnoteAnchor"/>
          <w:rtl w:val="true"/>
        </w:rPr>
        <w:footnoteReference w:id="106"/>
      </w:r>
      <w:r>
        <w:rPr>
          <w:rFonts w:ascii="Amiri" w:hAnsi="Amiri" w:eastAsia="Amiri" w:cs="Amiri"/>
          <w:color w:val="111111"/>
          <w:sz w:val="28"/>
          <w:sz w:val="28"/>
          <w:szCs w:val="28"/>
          <w:rtl w:val="true"/>
          <w:lang w:bidi="ar-SA"/>
        </w:rPr>
        <w:t xml:space="preserve">و بعض العامّة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بکونها لازمة کالبیع،و عن العلّامة رحمه اللّه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کونها بیعاً فاسداً فی عدم إفادتها لإباحة التصرّف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ملاحظة أنّ النزاع فی المعاطاة المقصود بها الإباحة،أو فی المقصود بها التملیک؟ الظاهر من الخاصّة و العامّة هو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الحکم بالإباحة بدون الملک قبل التلف و حصوله بعده لا یجامع ظاهراً قصد التملیک من المتعاطیین،نزّل المحقّق الکرکی الإباحة فی کلامهم علی الملک الجائز المتزلزل،و أنّه یلزم بذهاب إحدی العینین، و حقّق ذلک فی شرحه علی القواعد و تعلیقه علی الإرشاد بما لا مزید علیه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بعض المعاصرین لمّا استبعد هذا الوجه التجأ إلی جعل محلّ النزاع هی المعاطاة المقصود بها مجرّد الإباحة،و رجّح بقاء الإباحة فی کلامهم علی ظاهرها المقابل للملک،و نزّل مورد حکم قدماء الأصحاب بالإباحة علی هذا الوجه،و طعن علی من جعل محلّ النزاع فی المعاطاة بقصد التملیک،قائلاً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القول بالإباحة الخالیة عن الملک مع قصد الملک ممّا لا ینسب إلی أصاغر الطلبة،فضلاً عن أعاظم الأصحاب و کبرائهم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ارتکبه المحقّق الثانی فی توجیه الإباحة بالملک المتزلزل،بعید فی الغایة عن مساق کلمات الأصحاب،مثل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w:t>
      </w:r>
    </w:p>
    <w:p>
      <w:pPr>
        <w:pStyle w:val="BookText"/>
        <w:rPr/>
      </w:pPr>
      <w:r>
        <w:rPr>
          <w:rFonts w:ascii="IRNazanin" w:hAnsi="IRNazanin" w:eastAsia="IRNazanin"/>
          <w:color w:val="111111"/>
          <w:sz w:val="28"/>
          <w:sz w:val="28"/>
          <w:szCs w:val="28"/>
          <w:rtl w:val="true"/>
          <w:lang w:bidi="fa-IR"/>
        </w:rPr>
        <w:t xml:space="preserve">المبسوط،و الخلاف </w:t>
      </w:r>
      <w:r>
        <w:rPr>
          <w:rStyle w:val="FootnoteAnchor"/>
          <w:rtl w:val="true"/>
        </w:rPr>
        <w:footnoteReference w:id="111"/>
      </w:r>
      <w:r>
        <w:rPr>
          <w:rFonts w:ascii="IRNazanin" w:hAnsi="IRNazanin" w:eastAsia="IRNazanin"/>
          <w:color w:val="111111"/>
          <w:sz w:val="28"/>
          <w:sz w:val="28"/>
          <w:szCs w:val="28"/>
          <w:rtl w:val="true"/>
          <w:lang w:bidi="fa-IR"/>
        </w:rPr>
        <w:t xml:space="preserve">،و الحلی فی السرائر </w:t>
      </w:r>
      <w:r>
        <w:rPr>
          <w:rStyle w:val="FootnoteAnchor"/>
          <w:rtl w:val="true"/>
        </w:rPr>
        <w:footnoteReference w:id="112"/>
      </w:r>
      <w:r>
        <w:rPr>
          <w:rFonts w:ascii="IRNazanin" w:hAnsi="IRNazanin" w:eastAsia="IRNazanin"/>
          <w:color w:val="111111"/>
          <w:sz w:val="28"/>
          <w:sz w:val="28"/>
          <w:szCs w:val="28"/>
          <w:rtl w:val="true"/>
          <w:lang w:bidi="fa-IR"/>
        </w:rPr>
        <w:t xml:space="preserve">،و ابن زهرة فی الغنیة </w:t>
      </w:r>
      <w:r>
        <w:rPr>
          <w:rStyle w:val="FootnoteAnchor"/>
          <w:rtl w:val="true"/>
        </w:rPr>
        <w:footnoteReference w:id="113"/>
      </w:r>
      <w:r>
        <w:rPr>
          <w:rFonts w:ascii="IRNazanin" w:hAnsi="IRNazanin" w:eastAsia="IRNazanin"/>
          <w:color w:val="111111"/>
          <w:sz w:val="28"/>
          <w:sz w:val="28"/>
          <w:szCs w:val="28"/>
          <w:rtl w:val="true"/>
          <w:lang w:bidi="fa-IR"/>
        </w:rPr>
        <w:t xml:space="preserve">، و الحلبی فی الکافی </w:t>
      </w:r>
      <w:r>
        <w:rPr>
          <w:rStyle w:val="FootnoteAnchor"/>
          <w:rtl w:val="true"/>
        </w:rPr>
        <w:footnoteReference w:id="114"/>
      </w:r>
      <w:r>
        <w:rPr>
          <w:rFonts w:ascii="IRNazanin" w:hAnsi="IRNazanin" w:eastAsia="IRNazanin"/>
          <w:color w:val="111111"/>
          <w:sz w:val="28"/>
          <w:sz w:val="28"/>
          <w:szCs w:val="28"/>
          <w:rtl w:val="true"/>
          <w:lang w:bidi="fa-IR"/>
        </w:rPr>
        <w:t xml:space="preserve">،و العلّامة فی التذکرة و غیرها </w:t>
      </w:r>
      <w:r>
        <w:rPr>
          <w:rStyle w:val="FootnoteAnchor"/>
          <w:rtl w:val="true"/>
        </w:rPr>
        <w:footnoteReference w:id="115"/>
      </w:r>
      <w:r>
        <w:rPr>
          <w:rFonts w:ascii="IRNazanin" w:hAnsi="IRNazanin" w:eastAsia="IRNazanin"/>
          <w:color w:val="111111"/>
          <w:sz w:val="28"/>
          <w:sz w:val="28"/>
          <w:szCs w:val="28"/>
          <w:rtl w:val="true"/>
          <w:lang w:bidi="fa-IR"/>
        </w:rPr>
        <w:t>،بل کلمات بعضهم صریحة فی عدم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جعل محلّ النزاع ما إذا قصد الإباحة دون التملیک أبعد منه،بل لا یکاد یوجد فی کلام أحدٍ منهم ما یقبل </w:t>
      </w:r>
      <w:r>
        <w:rPr>
          <w:rStyle w:val="FootnoteAnchor"/>
          <w:rtl w:val="true"/>
        </w:rPr>
        <w:footnoteReference w:id="116"/>
      </w:r>
      <w:r>
        <w:rPr>
          <w:rFonts w:ascii="IRNazanin" w:hAnsi="IRNazanin" w:eastAsia="IRNazanin"/>
          <w:color w:val="111111"/>
          <w:sz w:val="28"/>
          <w:sz w:val="28"/>
          <w:szCs w:val="28"/>
          <w:rtl w:val="true"/>
          <w:lang w:bidi="fa-IR"/>
        </w:rPr>
        <w:t>الحمل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جماعة ممّن ظفرنا علی کلماتهم؛لیظهر منه بُعد تنزیل الإباحة علی الملک المتزلزل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صنعه المحقّق الکرکی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أبعدیّة جعل محلّ الکلام فی کلمات قدمائنا الأعلام ما لو قصد المتعاطیان مجرّد إباحة التصرّفات دون التملیک </w:t>
      </w:r>
      <w:r>
        <w:rPr>
          <w:rStyle w:val="FootnoteAnchor"/>
          <w:rtl w:val="true"/>
        </w:rPr>
        <w:footnoteReference w:id="118"/>
      </w:r>
      <w:r>
        <w:rPr>
          <w:rFonts w:ascii="IRNazanin" w:hAnsi="IRNazanin" w:eastAsia="IRNazanin"/>
          <w:color w:val="111111"/>
          <w:sz w:val="28"/>
          <w:sz w:val="28"/>
          <w:szCs w:val="28"/>
          <w:rtl w:val="true"/>
          <w:lang w:bidi="fa-IR"/>
        </w:rPr>
        <w:t>،فنقول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9"/>
      </w:r>
      <w:r>
        <w:rPr>
          <w:rFonts w:ascii="IRNazanin" w:hAnsi="IRNazanin" w:eastAsia="IRNazanin"/>
          <w:color w:val="111111"/>
          <w:sz w:val="28"/>
          <w:sz w:val="28"/>
          <w:szCs w:val="28"/>
          <w:rtl w:val="true"/>
          <w:lang w:bidi="fa-IR"/>
        </w:rPr>
        <w:t>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قطعة إلی البقلی أو الشارب،فقال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أعطنی بها بقلاً أو ماءً،فأعطاه،فإنّه لا یکون بیعاً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سائر المحقّرات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یکون إباحة له،فیتصرّف کلٌّ منهما فی ما أخذه تصرّفاً</w:t>
      </w:r>
    </w:p>
    <w:p>
      <w:pPr>
        <w:pStyle w:val="BookText"/>
        <w:rPr/>
      </w:pPr>
      <w:r>
        <w:rPr>
          <w:rFonts w:ascii="IRNazanin" w:hAnsi="IRNazanin" w:eastAsia="IRNazanin"/>
          <w:color w:val="111111"/>
          <w:sz w:val="28"/>
          <w:sz w:val="28"/>
          <w:szCs w:val="28"/>
          <w:rtl w:val="true"/>
          <w:lang w:bidi="fa-IR"/>
        </w:rPr>
        <w:t>مباحاً من دون أن یکون ملکه؛و فائدة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البقلی إذا أراد أن یسترجع البقل أو أراد صاحب القطعة أن یسترجع قطعته کان لهما ذلک؛لأنّ الملک لم یحصل لهما؛و به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بیعاً صحیحاً و إن لم یحصل </w:t>
      </w:r>
      <w:r>
        <w:rPr>
          <w:rStyle w:val="FootnoteAnchor"/>
          <w:rtl w:val="true"/>
        </w:rPr>
        <w:footnoteReference w:id="120"/>
      </w:r>
      <w:r>
        <w:rPr>
          <w:rFonts w:ascii="IRNazanin" w:hAnsi="IRNazanin" w:eastAsia="IRNazanin"/>
          <w:color w:val="111111"/>
          <w:sz w:val="28"/>
          <w:sz w:val="28"/>
          <w:szCs w:val="28"/>
          <w:rtl w:val="true"/>
          <w:lang w:bidi="fa-IR"/>
        </w:rPr>
        <w:t>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ذلک فی المحقّرات،دون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العقد حکم شرعی،و لا دلالة فی الشرع علی وجوده هنا </w:t>
      </w:r>
      <w:r>
        <w:rPr>
          <w:rStyle w:val="FootnoteAnchor"/>
          <w:rtl w:val="true"/>
        </w:rPr>
        <w:footnoteReference w:id="121"/>
      </w:r>
      <w:r>
        <w:rPr>
          <w:rFonts w:ascii="IRNazanin" w:hAnsi="IRNazanin" w:eastAsia="IRNazanin"/>
          <w:color w:val="111111"/>
          <w:sz w:val="28"/>
          <w:sz w:val="28"/>
          <w:szCs w:val="28"/>
          <w:rtl w:val="true"/>
          <w:lang w:bidi="fa-IR"/>
        </w:rPr>
        <w:t xml:space="preserve">،فیجب أن لا یثبت،و أمّا الإباحة بذلک،فهو مجمع علیه لا یختلف العلماء فیها </w:t>
      </w:r>
      <w:r>
        <w:rPr>
          <w:rStyle w:val="FootnoteAnchor"/>
          <w:rtl w:val="true"/>
        </w:rPr>
        <w:footnoteReference w:id="1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صراحة </w:t>
      </w:r>
      <w:r>
        <w:rPr>
          <w:rStyle w:val="FootnoteAnchor"/>
          <w:rtl w:val="true"/>
        </w:rPr>
        <w:footnoteReference w:id="123"/>
      </w:r>
      <w:r>
        <w:rPr>
          <w:rFonts w:ascii="IRNazanin" w:hAnsi="IRNazanin" w:eastAsia="IRNazanin"/>
          <w:color w:val="111111"/>
          <w:sz w:val="28"/>
          <w:sz w:val="28"/>
          <w:szCs w:val="28"/>
          <w:rtl w:val="true"/>
          <w:lang w:bidi="fa-IR"/>
        </w:rPr>
        <w:t>هذا الکلام فی عدم حصول الملک،و فی أنّ محلّ الخلاف بینه و بین أبی حنیفة ما لو قصد البیع،لا الإباحة المجرّدة، کما یظهر أیضاً من بعض کتب الحنفیّة؛حیث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تفسیر البیع 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ینعقد بالإیجاب و القبول،و بالتعاطی </w:t>
      </w:r>
      <w:r>
        <w:rPr>
          <w:rStyle w:val="FootnoteAnchor"/>
          <w:rtl w:val="true"/>
        </w:rPr>
        <w:footnoteReference w:id="124"/>
      </w:r>
      <w:r>
        <w:rPr>
          <w:rFonts w:ascii="IRNazanin" w:hAnsi="IRNazanin" w:eastAsia="IRNazanin"/>
          <w:color w:val="111111"/>
          <w:sz w:val="28"/>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أیضاً،فتمسّکه بأنّ العقد حکمٌ شرعیّ،یدلّ علی عدم انتفاء قصد البیعیّة،و إلّا لکان الأولی،بل المتعیّن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 به؛إذ مع انتفاء حقیقة</w:t>
      </w:r>
    </w:p>
    <w:p>
      <w:pPr>
        <w:pStyle w:val="BookText"/>
        <w:rPr/>
      </w:pPr>
      <w:r>
        <w:rPr>
          <w:rFonts w:ascii="Amiri" w:hAnsi="Amiri" w:eastAsia="Amiri" w:cs="Amiri"/>
          <w:color w:val="111111"/>
          <w:sz w:val="28"/>
          <w:sz w:val="28"/>
          <w:szCs w:val="28"/>
          <w:rtl w:val="true"/>
          <w:lang w:bidi="ar-SA"/>
        </w:rPr>
        <w:t xml:space="preserve">البیع لغةً و عرفاً لا معنی للتمسّک بتوقیفیّة </w:t>
      </w:r>
      <w:r>
        <w:rPr>
          <w:rStyle w:val="FootnoteAnchor"/>
          <w:rtl w:val="true"/>
        </w:rPr>
        <w:footnoteReference w:id="126"/>
      </w:r>
      <w:r>
        <w:rPr>
          <w:rFonts w:ascii="IRNazanin" w:hAnsi="IRNazanin" w:eastAsia="IRNazanin"/>
          <w:color w:val="111111"/>
          <w:sz w:val="28"/>
          <w:sz w:val="28"/>
          <w:szCs w:val="28"/>
          <w:rtl w:val="true"/>
          <w:lang w:bidi="fa-IR"/>
        </w:rPr>
        <w:t>الأسباب الشرعیة،کما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اعتبار الإیجاب و القبول و اعتبار تقدّم الأوّل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دفع قطعة إلی البقلی أو إلی الشارب،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یکون بیعاً و لا عقداً؛لأنّ الإیجاب و القبول ما حصلا،و کذلک سائر المحقّرات،و سائر الأشیاء محقّراً کان أو غیر محقّر،من الثیاب و الحیوان أو غیر ذلک،و إنّما یکون إباحة له،فیتصرّف کلّ منهما فی ما أخذه تصرّفاً مباحاً،من غیر أن یکون ملکه أو دخل فی ملکه،و لکلٍّ منهما أن یرجع فی ما بذله؛لأنّ الملک لم یحصل لهما، و لیس ذلک من العقود الفاسدة؛لأنّه لو کان عقداً فاسداً لم یصحّ التصرّف فیما صار إلی کلّ واحدٍ منهما،و إنّما ذلک علی جهة الإباحة </w:t>
      </w:r>
      <w:r>
        <w:rPr>
          <w:rStyle w:val="FootnoteAnchor"/>
          <w:rtl w:val="true"/>
        </w:rPr>
        <w:footnoteReference w:id="1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تعلیله </w:t>
      </w:r>
      <w:r>
        <w:rPr>
          <w:rStyle w:val="FootnoteAnchor"/>
          <w:rtl w:val="true"/>
        </w:rPr>
        <w:footnoteReference w:id="128"/>
      </w:r>
      <w:r>
        <w:rPr>
          <w:rFonts w:ascii="IRNazanin" w:hAnsi="IRNazanin" w:eastAsia="IRNazanin"/>
          <w:color w:val="111111"/>
          <w:sz w:val="28"/>
          <w:sz w:val="28"/>
          <w:szCs w:val="28"/>
          <w:rtl w:val="true"/>
          <w:lang w:bidi="fa-IR"/>
        </w:rPr>
        <w:t xml:space="preserve">عدم الملک بعدم حصول الإیجاب و القبول یدلّ علی أن لیس المفروض </w:t>
      </w:r>
      <w:r>
        <w:rPr>
          <w:rStyle w:val="FootnoteAnchor"/>
          <w:rtl w:val="true"/>
        </w:rPr>
        <w:footnoteReference w:id="129"/>
      </w:r>
      <w:r>
        <w:rPr>
          <w:rFonts w:ascii="IRNazanin" w:hAnsi="IRNazanin" w:eastAsia="IRNazanin"/>
          <w:color w:val="111111"/>
          <w:sz w:val="28"/>
          <w:sz w:val="28"/>
          <w:szCs w:val="28"/>
          <w:rtl w:val="true"/>
          <w:lang w:bidi="fa-IR"/>
        </w:rPr>
        <w:t xml:space="preserve">ما لو لم یقصد التملیک،مع أنّ ذکره فی حیّز شروط العقد یدلّ علی ما ذکرنا،و لا ینافی ذلک </w:t>
      </w:r>
      <w:r>
        <w:rPr>
          <w:rStyle w:val="FootnoteAnchor"/>
          <w:rtl w:val="true"/>
        </w:rPr>
        <w:footnoteReference w:id="130"/>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من العقود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ذکر الإیجاب و القبول فی عداد شروط صحّة انعقاد البیع،کالتراضی و معلومیّة العوضین،و بعد بیان الاحتراز بکلٍّ </w:t>
      </w:r>
      <w:r>
        <w:rPr>
          <w:rStyle w:val="FootnoteAnchor"/>
          <w:rtl w:val="true"/>
        </w:rPr>
        <w:footnoteReference w:id="132"/>
      </w:r>
      <w:r>
        <w:rPr>
          <w:rFonts w:ascii="Amiri" w:hAnsi="Amiri" w:eastAsia="Amiri" w:cs="Amiri"/>
          <w:color w:val="111111"/>
          <w:sz w:val="28"/>
          <w:sz w:val="28"/>
          <w:szCs w:val="28"/>
          <w:rtl w:val="true"/>
          <w:lang w:bidi="ar-SA"/>
        </w:rPr>
        <w:t>من الشروط عن المعاملة الفاقدة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اعتبرنا حصول الإیجاب و القبول؛تحرّزاً عن القول بانعقاده بالاستدعاء من المشتری،و الإیجاب من البائع،بأن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بعنیه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ینعقد بذلک،بل لا بدّ أن یقول المشتری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ینعقد،و احترازاً أیضاً عن القول بانعقاده بالمعاطاة،نحو أن یدفع إلی البقلی قطعة 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بقلاً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،فیعطیه؛فإنّ ذلک لیس ببیع،و إنّما هو إباحة للتصرّف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المشار إلیه؛و أیضاً فما اعتبرناه مجمع علی صحّة العقد به،و لیس علی صحّته بما عداه دلیل،و لما ذکرنا نهی </w:t>
      </w:r>
      <w:r>
        <w:rPr>
          <w:rStyle w:val="FootnoteAnchor"/>
          <w:rtl w:val="true"/>
        </w:rPr>
        <w:footnoteReference w:id="133"/>
      </w:r>
      <w:r>
        <w:rPr>
          <w:rFonts w:ascii="IRNazanin" w:hAnsi="IRNazanin" w:eastAsia="IRNazanin"/>
          <w:color w:val="111111"/>
          <w:sz w:val="28"/>
          <w:sz w:val="28"/>
          <w:szCs w:val="28"/>
          <w:rtl w:val="true"/>
          <w:lang w:bidi="fa-IR"/>
        </w:rPr>
        <w:t>صلّی اللّه علیه و آله و سلم عن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المنابذة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التأویل الآخر،و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یجعل اللمس بشیءٍ </w:t>
      </w:r>
      <w:r>
        <w:rPr>
          <w:rStyle w:val="FootnoteAnchor"/>
          <w:rtl w:val="true"/>
        </w:rPr>
        <w:footnoteReference w:id="134"/>
      </w:r>
      <w:r>
        <w:rPr>
          <w:rFonts w:ascii="IRNazanin" w:hAnsi="IRNazanin" w:eastAsia="IRNazanin"/>
          <w:color w:val="111111"/>
          <w:sz w:val="28"/>
          <w:sz w:val="28"/>
          <w:szCs w:val="28"/>
          <w:rtl w:val="true"/>
          <w:lang w:bidi="fa-IR"/>
        </w:rPr>
        <w:t xml:space="preserve">، و النبذ له،و إلقاء الحصاة بیعاً موجباً </w:t>
      </w:r>
      <w:r>
        <w:rPr>
          <w:rStyle w:val="FootnoteAnchor"/>
          <w:rtl w:val="true"/>
        </w:rPr>
        <w:footnoteReference w:id="1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دلالة هذا الکلام علی أنّ المفروض قصد المتعاطیین التملیک </w:t>
      </w:r>
      <w:r>
        <w:rPr>
          <w:rStyle w:val="FootnoteAnchor"/>
          <w:rtl w:val="true"/>
        </w:rPr>
        <w:footnoteReference w:id="136"/>
      </w:r>
      <w:r>
        <w:rPr>
          <w:rFonts w:ascii="Amiri" w:hAnsi="Amiri" w:eastAsia="Amiri" w:cs="Amiri"/>
          <w:color w:val="111111"/>
          <w:sz w:val="28"/>
          <w:sz w:val="28"/>
          <w:szCs w:val="28"/>
          <w:rtl w:val="true"/>
          <w:lang w:bidi="ar-SA"/>
        </w:rPr>
        <w:t>، من وجوه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أدلّته </w:t>
      </w:r>
      <w:r>
        <w:rPr>
          <w:rStyle w:val="FootnoteAnchor"/>
          <w:rtl w:val="true"/>
        </w:rPr>
        <w:footnoteReference w:id="137"/>
      </w:r>
      <w:r>
        <w:rPr>
          <w:rFonts w:ascii="IRNazanin" w:hAnsi="IRNazanin" w:eastAsia="IRNazanin"/>
          <w:color w:val="111111"/>
          <w:sz w:val="28"/>
          <w:sz w:val="28"/>
          <w:szCs w:val="28"/>
          <w:rtl w:val="true"/>
          <w:lang w:bidi="fa-IR"/>
        </w:rPr>
        <w:t>الثلاثة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احترازه عن المعاطاة و المعاملة بالاستدعاء بنحوٍ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ذکر أنّه یشترط فی صحّة </w:t>
      </w:r>
      <w:r>
        <w:rPr>
          <w:rStyle w:val="FootnoteAnchor"/>
          <w:rtl w:val="true"/>
        </w:rPr>
        <w:footnoteReference w:id="138"/>
      </w:r>
      <w:r>
        <w:rPr>
          <w:rFonts w:ascii="IRNazanin" w:hAnsi="IRNazanin" w:eastAsia="IRNazanin"/>
          <w:color w:val="111111"/>
          <w:sz w:val="28"/>
          <w:sz w:val="28"/>
          <w:szCs w:val="28"/>
          <w:rtl w:val="true"/>
          <w:lang w:bidi="fa-IR"/>
        </w:rPr>
        <w:t>البیع أُمورٌ ثمانیة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اشتراط </w:t>
      </w:r>
      <w:r>
        <w:rPr>
          <w:rStyle w:val="FootnoteAnchor"/>
          <w:rtl w:val="true"/>
        </w:rPr>
        <w:footnoteReference w:id="139"/>
      </w:r>
      <w:r>
        <w:rPr>
          <w:rFonts w:ascii="IRNazanin" w:hAnsi="IRNazanin" w:eastAsia="IRNazanin"/>
          <w:color w:val="111111"/>
          <w:sz w:val="28"/>
          <w:sz w:val="28"/>
          <w:szCs w:val="28"/>
          <w:rtl w:val="true"/>
          <w:lang w:bidi="fa-IR"/>
        </w:rPr>
        <w:t>الإیجاب و القبول؛لخروجه من دونهما عن حکم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اختلّ شرط من هذه لم ینعقد البیع، و لم یستحقّ التسلیم و إن جاز التصرّف مع إخلال بعضها؛للتراضی، دون عقد البیع،و یصحّ معه الرجوع </w:t>
      </w:r>
      <w:r>
        <w:rPr>
          <w:rStyle w:val="FootnoteAnchor"/>
          <w:rtl w:val="true"/>
        </w:rPr>
        <w:footnoteReference w:id="1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الظهور قریب من عبارة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رحمه اللّه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یکفی التقابض من غیر لفظٍ و إن حصل من الأمارات ما دلّ علی إرادة البیع </w:t>
      </w:r>
      <w:r>
        <w:rPr>
          <w:rStyle w:val="FootnoteAnchor"/>
          <w:rtl w:val="true"/>
        </w:rPr>
        <w:footnoteReference w:id="14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کلمة الوصل لیس لتعمیم المعاطاة لما لم یقصد </w:t>
      </w:r>
      <w:r>
        <w:rPr>
          <w:rStyle w:val="FootnoteAnchor"/>
          <w:rtl w:val="true"/>
        </w:rPr>
        <w:footnoteReference w:id="142"/>
      </w:r>
      <w:r>
        <w:rPr>
          <w:rFonts w:ascii="IRNazanin" w:hAnsi="IRNazanin" w:eastAsia="IRNazanin"/>
          <w:color w:val="111111"/>
          <w:sz w:val="28"/>
          <w:sz w:val="28"/>
          <w:szCs w:val="28"/>
          <w:rtl w:val="true"/>
          <w:lang w:bidi="fa-IR"/>
        </w:rPr>
        <w:t>به البیع،بل للتنبیه علی أنّه لا عبرة بقصد البیع من الفعل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التذکرة فی حکم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 عندنا أنّه لا بدّ منها، فلا یکفی التعاطی فی الجلیل و الحقیر،مثل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بهذا الدینار ثوباً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فیعطیه ما یرضیه،أو یقول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الثوب بدینار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الشافعی مطلقاً؛لأصالة بقاء الملک،و قصور الأفعال عن الدلالة علی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w:t>
      </w:r>
      <w:r>
        <w:rPr>
          <w:rStyle w:val="FootnoteAnchor"/>
          <w:rtl w:val="true"/>
        </w:rPr>
        <w:footnoteReference w:id="144"/>
      </w:r>
      <w:r>
        <w:rPr>
          <w:rFonts w:ascii="IRNazanin" w:hAnsi="IRNazanin" w:eastAsia="IRNazanin"/>
          <w:color w:val="111111"/>
          <w:sz w:val="28"/>
          <w:sz w:val="28"/>
          <w:szCs w:val="28"/>
          <w:rtl w:val="true"/>
          <w:lang w:bidi="fa-IR"/>
        </w:rPr>
        <w:t>بعض الحنفیة و ابن شریح فی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ینعقد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قال مالک،فإنّه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ینعقد </w:t>
      </w:r>
      <w:r>
        <w:rPr>
          <w:rStyle w:val="FootnoteAnchor"/>
          <w:rtl w:val="true"/>
        </w:rPr>
        <w:footnoteReference w:id="145"/>
      </w:r>
      <w:r>
        <w:rPr>
          <w:rFonts w:ascii="IRNazanin" w:hAnsi="IRNazanin" w:eastAsia="IRNazanin"/>
          <w:color w:val="111111"/>
          <w:sz w:val="28"/>
          <w:sz w:val="28"/>
          <w:szCs w:val="28"/>
          <w:rtl w:val="true"/>
          <w:lang w:bidi="fa-IR"/>
        </w:rPr>
        <w:t xml:space="preserve">بما یعتقده </w:t>
      </w:r>
      <w:r>
        <w:rPr>
          <w:rStyle w:val="FootnoteAnchor"/>
          <w:rtl w:val="true"/>
        </w:rPr>
        <w:footnoteReference w:id="146"/>
      </w:r>
      <w:r>
        <w:rPr>
          <w:rFonts w:ascii="Amiri" w:hAnsi="Amiri" w:eastAsia="Amiri" w:cs="Amiri"/>
          <w:color w:val="111111"/>
          <w:sz w:val="28"/>
          <w:sz w:val="28"/>
          <w:szCs w:val="28"/>
          <w:rtl w:val="true"/>
          <w:lang w:bidi="ar-SA"/>
        </w:rPr>
        <w:t xml:space="preserve">الناس بیعاً </w:t>
      </w:r>
      <w:r>
        <w:rPr>
          <w:rStyle w:val="FootnoteAnchor"/>
          <w:rtl w:val="true"/>
        </w:rPr>
        <w:footnoteReference w:id="147"/>
      </w:r>
      <w:r>
        <w:rPr>
          <w:rFonts w:ascii="IRNazanin" w:hAnsi="IRNazanin" w:eastAsia="IRNazanin"/>
          <w:color w:val="111111"/>
          <w:sz w:val="28"/>
          <w:sz w:val="28"/>
          <w:szCs w:val="28"/>
          <w:rtl w:val="true"/>
          <w:lang w:bidi="fa-IR"/>
        </w:rPr>
        <w:t xml:space="preserve">،انتهی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 علی قصد المتعاطیین للملک لا یخفی من وجوه،أدونها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مالک موافقاً لأحمد فی الانعقاد من جهة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ینعقد بما یعتقده </w:t>
      </w:r>
      <w:r>
        <w:rPr>
          <w:rStyle w:val="FootnoteAnchor"/>
          <w:rtl w:val="true"/>
        </w:rPr>
        <w:footnoteReference w:id="149"/>
      </w:r>
      <w:r>
        <w:rPr>
          <w:rFonts w:ascii="Amiri" w:hAnsi="Amiri" w:eastAsia="Amiri" w:cs="Amiri"/>
          <w:color w:val="111111"/>
          <w:sz w:val="28"/>
          <w:sz w:val="28"/>
          <w:szCs w:val="28"/>
          <w:rtl w:val="true"/>
          <w:lang w:bidi="ar-SA"/>
        </w:rPr>
        <w:t>الناس بیعاً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الشهید فی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یقوم السبب الفعلی مقام السبب القولی،و ذکر أمثلة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المعاطاة فی المبایعات، فهی تفید الإباحة لا الملک و إن کان فی الحقیر عندنا </w:t>
      </w:r>
      <w:r>
        <w:rPr>
          <w:rStyle w:val="FootnoteAnchor"/>
          <w:rtl w:val="true"/>
        </w:rPr>
        <w:footnoteReference w:id="150"/>
      </w:r>
      <w:r>
        <w:rPr>
          <w:rFonts w:ascii="IRNazanin" w:hAnsi="IRNazanin" w:eastAsia="IRNazanin"/>
          <w:color w:val="111111"/>
          <w:sz w:val="28"/>
          <w:sz w:val="28"/>
          <w:szCs w:val="28"/>
          <w:rtl w:val="true"/>
          <w:lang w:bidi="fa-IR"/>
        </w:rPr>
        <w:t xml:space="preserve">،انتهی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دلالتها علی قصد المتعاطیین للملک ممّا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کلّه،مع أنّ الواقع فی أیدی الناس هی المعاطاة بقصد التملیک،و یبعد فرض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العامّة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غیر ما هو الشائع بین الناس،مع أنّهم صرّحوا بإرادة المعاملة المتعارفة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 ظهور أکثر العبارات المتقدّمة فی عدم حصول الملک،بل صراحة بعضها،کالخلاف و السرائر و التذکرة و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فقد قال المحقّق الثانی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أرادوا بالإباحة الملک المتزلزل؛فقال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بین الأصحاب أنّ المعاطاة بیعٌ و إن لم تکن کالعقد فی اللزوم،خلافاً لظاهر عبارة المفید، و لا یقول أحد </w:t>
      </w:r>
      <w:r>
        <w:rPr>
          <w:rStyle w:val="FootnoteAnchor"/>
          <w:rtl w:val="true"/>
        </w:rPr>
        <w:footnoteReference w:id="152"/>
      </w:r>
      <w:r>
        <w:rPr>
          <w:rFonts w:ascii="IRNazanin" w:hAnsi="IRNazanin" w:eastAsia="IRNazanin"/>
          <w:color w:val="111111"/>
          <w:sz w:val="28"/>
          <w:sz w:val="28"/>
          <w:szCs w:val="28"/>
          <w:rtl w:val="true"/>
          <w:lang w:bidi="fa-IR"/>
        </w:rPr>
        <w:t xml:space="preserve">بأنّها بیع فاسد سوی المصنّف فی النهایة،و قد رجع عنه فی کتبه المتأخّرة عنها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تَکُونَ تِجٰارَةً عَنْ تَرٰاضٍ مِنْکُمْ </w:t>
      </w:r>
      <w:r>
        <w:rPr>
          <w:rStyle w:val="FootnoteAnchor"/>
          <w:rtl w:val="true"/>
        </w:rPr>
        <w:footnoteReference w:id="154"/>
      </w:r>
      <w:r>
        <w:rPr>
          <w:rFonts w:ascii="IRNazanin" w:hAnsi="IRNazanin" w:eastAsia="IRNazanin"/>
          <w:color w:val="111111"/>
          <w:sz w:val="28"/>
          <w:sz w:val="28"/>
          <w:szCs w:val="28"/>
          <w:rtl w:val="true"/>
          <w:lang w:bidi="fa-IR"/>
        </w:rPr>
        <w:t>عامّ إلّا ما أخرجه الدلیل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یوجد فی عبارة جمعٍ من متأخّری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أنّها تفید الإباحة و تلزم بذهاب إحدی العینین،یریدون به عدم اللزوم فی أوّل الأمر و بالذهاب یتحقّق اللزوم؛لامتناع إرادة الإباحة المجرّدة عن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أصل الملک؛إذ المقصود للمتعاطیین </w:t>
      </w:r>
      <w:r>
        <w:rPr>
          <w:rStyle w:val="FootnoteAnchor"/>
          <w:rtl w:val="true"/>
        </w:rPr>
        <w:footnoteReference w:id="156"/>
      </w:r>
      <w:r>
        <w:rPr>
          <w:rFonts w:ascii="IRNazanin" w:hAnsi="IRNazanin" w:eastAsia="IRNazanin"/>
          <w:color w:val="111111"/>
          <w:sz w:val="28"/>
          <w:sz w:val="28"/>
          <w:szCs w:val="28"/>
          <w:rtl w:val="true"/>
          <w:lang w:bidi="fa-IR"/>
        </w:rPr>
        <w:t xml:space="preserve">الملک،فإذا لم یحصل کان بیعاً فاسداً </w:t>
      </w:r>
      <w:r>
        <w:rPr>
          <w:rStyle w:val="FootnoteAnchor"/>
          <w:rtl w:val="true"/>
        </w:rPr>
        <w:footnoteReference w:id="157"/>
      </w:r>
      <w:r>
        <w:rPr>
          <w:rFonts w:ascii="IRNazanin" w:hAnsi="IRNazanin" w:eastAsia="IRNazanin"/>
          <w:color w:val="111111"/>
          <w:sz w:val="28"/>
          <w:sz w:val="28"/>
          <w:szCs w:val="28"/>
          <w:rtl w:val="true"/>
          <w:lang w:bidi="fa-IR"/>
        </w:rPr>
        <w:t xml:space="preserve">و لم یجز التصرّف </w:t>
      </w:r>
      <w:r>
        <w:rPr>
          <w:rStyle w:val="FootnoteAnchor"/>
          <w:rtl w:val="true"/>
        </w:rPr>
        <w:footnoteReference w:id="158"/>
      </w:r>
      <w:r>
        <w:rPr>
          <w:rFonts w:ascii="IRNazanin" w:hAnsi="IRNazanin" w:eastAsia="IRNazanin"/>
          <w:color w:val="111111"/>
          <w:sz w:val="28"/>
          <w:sz w:val="28"/>
          <w:szCs w:val="28"/>
          <w:rtl w:val="true"/>
          <w:lang w:bidi="fa-IR"/>
        </w:rPr>
        <w:t>،و کافة الأصحاب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أیضاً،فإنّ الإباحة المحضة لا تقتضی الملک أصلاً و رأساً،فکیف یتحقّق ملک شخص بذهاب مال آخر فی یده؟و إنّما الأفعال لمّا لم تکن دلالتها علی المراد بالصراحة کالقول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w:t>
      </w:r>
      <w:r>
        <w:rPr>
          <w:rStyle w:val="FootnoteAnchor"/>
          <w:rtl w:val="true"/>
        </w:rPr>
        <w:footnoteReference w:id="159"/>
      </w:r>
      <w:r>
        <w:rPr>
          <w:rFonts w:ascii="IRNazanin" w:hAnsi="IRNazanin" w:eastAsia="IRNazanin"/>
          <w:color w:val="111111"/>
          <w:sz w:val="28"/>
          <w:sz w:val="28"/>
          <w:szCs w:val="28"/>
          <w:rtl w:val="true"/>
          <w:lang w:bidi="fa-IR"/>
        </w:rPr>
        <w:t>تدلّ بالقرائن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منعوا من لزوم العقد بها،فیجوز الترادّ ما دام ممکناً،و مع </w:t>
      </w:r>
      <w:r>
        <w:rPr>
          <w:rStyle w:val="FootnoteAnchor"/>
          <w:rtl w:val="true"/>
        </w:rPr>
        <w:footnoteReference w:id="160"/>
      </w:r>
      <w:r>
        <w:rPr>
          <w:rFonts w:ascii="IRNazanin" w:hAnsi="IRNazanin" w:eastAsia="IRNazanin"/>
          <w:color w:val="111111"/>
          <w:sz w:val="28"/>
          <w:sz w:val="28"/>
          <w:szCs w:val="28"/>
          <w:rtl w:val="true"/>
          <w:lang w:bidi="fa-IR"/>
        </w:rPr>
        <w:t xml:space="preserve">تلف إحدی العینین یمتنع التراد فیتحقّق </w:t>
      </w:r>
      <w:r>
        <w:rPr>
          <w:rStyle w:val="FootnoteAnchor"/>
          <w:rtl w:val="true"/>
        </w:rPr>
        <w:footnoteReference w:id="161"/>
      </w:r>
      <w:r>
        <w:rPr>
          <w:rFonts w:ascii="IRNazanin" w:hAnsi="IRNazanin" w:eastAsia="IRNazanin"/>
          <w:color w:val="111111"/>
          <w:sz w:val="28"/>
          <w:sz w:val="28"/>
          <w:szCs w:val="28"/>
          <w:rtl w:val="true"/>
          <w:lang w:bidi="fa-IR"/>
        </w:rPr>
        <w:t xml:space="preserve">اللزوم </w:t>
      </w:r>
      <w:r>
        <w:rPr>
          <w:rStyle w:val="FootnoteAnchor"/>
          <w:rtl w:val="true"/>
        </w:rPr>
        <w:footnoteReference w:id="162"/>
      </w:r>
      <w:r>
        <w:rPr>
          <w:rFonts w:ascii="IRNazanin" w:hAnsi="IRNazanin" w:eastAsia="IRNazanin"/>
          <w:color w:val="111111"/>
          <w:sz w:val="28"/>
          <w:sz w:val="28"/>
          <w:szCs w:val="28"/>
          <w:rtl w:val="true"/>
          <w:lang w:bidi="fa-IR"/>
        </w:rPr>
        <w:t xml:space="preserve">،و یکفی تلف بعض إحدی العینین؛ لامتناع الترادّ فی الباقی؛إذ هو موجب لتبعّض الصفقة و الضرر </w:t>
      </w:r>
      <w:r>
        <w:rPr>
          <w:rStyle w:val="FootnoteAnchor"/>
          <w:rtl w:val="true"/>
        </w:rPr>
        <w:footnoteReference w:id="163"/>
      </w:r>
      <w:r>
        <w:rPr>
          <w:rFonts w:ascii="IRNazanin" w:hAnsi="IRNazanin" w:eastAsia="IRNazanin"/>
          <w:color w:val="111111"/>
          <w:sz w:val="28"/>
          <w:sz w:val="28"/>
          <w:szCs w:val="28"/>
          <w:rtl w:val="true"/>
          <w:lang w:bidi="fa-IR"/>
        </w:rPr>
        <w:t xml:space="preserve">، انتهی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المحکی عنه فی تعلیقه علی الإرشاد،و 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مقصود المتعاطیین إباحةٌ مترتّبة علی ملک الرقبة کسائر البیوع،فإن حصل مقصودهما ثبت ما قلنا،و إلّا لوجب أن لا تحصل إباحة بالکلّیة،بل یتعیّن الحکم بالفساد؛إذ المقصود غیر واقع،فلو وقع غیره لوقع بغیر</w:t>
      </w:r>
    </w:p>
    <w:p>
      <w:pPr>
        <w:pStyle w:val="BookText"/>
        <w:rPr/>
      </w:pPr>
      <w:r>
        <w:rPr>
          <w:rFonts w:ascii="IRNazanin" w:hAnsi="IRNazanin" w:eastAsia="IRNazanin"/>
          <w:color w:val="111111"/>
          <w:sz w:val="28"/>
          <w:sz w:val="28"/>
          <w:szCs w:val="28"/>
          <w:rtl w:val="true"/>
          <w:lang w:bidi="fa-IR"/>
        </w:rPr>
        <w:t>قصد،و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یتفرّع النماء،و جواز وطء الجاریة،و من منع فقد أغرب </w:t>
      </w:r>
      <w:r>
        <w:rPr>
          <w:rStyle w:val="FootnoteAnchor"/>
          <w:rtl w:val="true"/>
        </w:rPr>
        <w:footnoteReference w:id="1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یقوی 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ظواهر کلماتهم علی حالها،و أنّهم یحکمون بالإباحة المجرّدة عن الملک فی المعاطاة مع فرض قصد المتعاطیین التملیک،و أنّ الإباحة لم تحصل بإنشائها ابتداءً،بل إنّما حصلت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اعترف به فی المسالک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استلزام إعطاء کلٍّ منهما سلعته مسلّطاً علیها الإذن فی التصرّف فیه بوجوه التصرّفات،فلا یرد علیهم عدا ما ذکره المحقّق المتقدّم فی عبارته المتقدّمة،و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المقصود هو الملک،فإذا لم یحصل فلا منشأ لإباحة التصرّف؛ إذ الإباحة إن کانت من المالک فالمفروض أنّه لم یصدر منه إلّا التملیک، و إن کانت من الشارع فلیس علیها دلیل،و لم یشعر کلامهم بالاستناد إلی نصٍّ فی ذلک،مع أنّ إلغاء الشارع للأثر المقصود و ترتیب غیره بعیدٌ جدّاً،مع أنّ التأمّل فی کلامهم یعطی إرادة الإباحة المالکیّة لا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إرادة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إطلاقهم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شمولها للتصرّفات التی لا تصحّ إلّا من المالک،کالوطء و العتق و البیع لنفسه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التزامهم حصول الملک مقارناً لهذه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إذا وقعت هذه التصرّفات من ذی الخیار،أو من </w:t>
      </w:r>
      <w:r>
        <w:rPr>
          <w:rStyle w:val="FootnoteAnchor"/>
          <w:rtl w:val="true"/>
        </w:rPr>
        <w:footnoteReference w:id="167"/>
      </w:r>
      <w:r>
        <w:rPr>
          <w:rFonts w:ascii="IRNazanin" w:hAnsi="IRNazanin" w:eastAsia="IRNazanin"/>
          <w:color w:val="111111"/>
          <w:sz w:val="28"/>
          <w:sz w:val="28"/>
          <w:szCs w:val="28"/>
          <w:rtl w:val="true"/>
          <w:lang w:bidi="fa-IR"/>
        </w:rPr>
        <w:t>الواهب الذی یجوز له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سیجیء </w:t>
      </w:r>
      <w:r>
        <w:rPr>
          <w:rStyle w:val="FootnoteAnchor"/>
          <w:rtl w:val="true"/>
        </w:rPr>
        <w:footnoteReference w:id="168"/>
      </w:r>
      <w:r>
        <w:rPr>
          <w:rFonts w:ascii="IRNazanin" w:hAnsi="IRNazanin" w:eastAsia="IRNazanin"/>
          <w:color w:val="111111"/>
          <w:sz w:val="28"/>
          <w:sz w:val="28"/>
          <w:szCs w:val="28"/>
          <w:rtl w:val="true"/>
          <w:lang w:bidi="fa-IR"/>
        </w:rPr>
        <w:t>ما ذکره بعض الأساطین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هذا القول مستلزم لتأسیس قواعد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القول بالتزامهم لهذه الأُمور </w:t>
      </w:r>
      <w:r>
        <w:rPr>
          <w:rStyle w:val="FootnoteAnchor"/>
          <w:rtl w:val="true"/>
        </w:rPr>
        <w:footnoteReference w:id="169"/>
      </w:r>
      <w:r>
        <w:rPr>
          <w:rFonts w:ascii="IRNazanin" w:hAnsi="IRNazanin" w:eastAsia="IRNazanin"/>
          <w:color w:val="111111"/>
          <w:sz w:val="28"/>
          <w:sz w:val="28"/>
          <w:szCs w:val="28"/>
          <w:rtl w:val="true"/>
          <w:lang w:bidi="fa-IR"/>
        </w:rPr>
        <w:t xml:space="preserve">أهون من توجیه کلماتهم؛فإنّ هذه الأُمور لا استبعاد فی التزامها إذا اقتضی الأصل عدم الملکیّة،و لم یساعد علیها دلیل معتبر،و اقتضی الدلیل صحّة التصرّفات المذکورة؛مع أنّ المحکیّ </w:t>
      </w:r>
      <w:r>
        <w:rPr>
          <w:rStyle w:val="FootnoteAnchor"/>
          <w:rtl w:val="true"/>
        </w:rPr>
        <w:footnoteReference w:id="170"/>
      </w:r>
      <w:r>
        <w:rPr>
          <w:rFonts w:ascii="IRNazanin" w:hAnsi="IRNazanin" w:eastAsia="IRNazanin"/>
          <w:color w:val="111111"/>
          <w:sz w:val="28"/>
          <w:sz w:val="28"/>
          <w:szCs w:val="28"/>
          <w:rtl w:val="true"/>
          <w:lang w:bidi="fa-IR"/>
        </w:rPr>
        <w:t xml:space="preserve">عن حواشی الشهید علی القواعد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 عمّا یتوقّف علی الملک،کإخراجه فی خمسٍ،أو زکاةٍ </w:t>
      </w:r>
      <w:r>
        <w:rPr>
          <w:rStyle w:val="FootnoteAnchor"/>
          <w:rtl w:val="true"/>
        </w:rPr>
        <w:footnoteReference w:id="172"/>
      </w:r>
      <w:r>
        <w:rPr>
          <w:rFonts w:ascii="IRNazanin" w:hAnsi="IRNazanin" w:eastAsia="IRNazanin"/>
          <w:color w:val="111111"/>
          <w:sz w:val="28"/>
          <w:sz w:val="28"/>
          <w:szCs w:val="28"/>
          <w:rtl w:val="true"/>
          <w:lang w:bidi="fa-IR"/>
        </w:rPr>
        <w:t xml:space="preserve">،و کوطء الجاریة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علی نفی البُعد عمّا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إرادتهم الإباحة المجرّدة مع قصد المتعاطیین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صرّح الشیخ فی المبسوط </w:t>
      </w:r>
      <w:r>
        <w:rPr>
          <w:rStyle w:val="FootnoteAnchor"/>
          <w:rtl w:val="true"/>
        </w:rPr>
        <w:footnoteReference w:id="174"/>
      </w:r>
      <w:r>
        <w:rPr>
          <w:rFonts w:ascii="IRNazanin" w:hAnsi="IRNazanin" w:eastAsia="IRNazanin"/>
          <w:color w:val="111111"/>
          <w:sz w:val="28"/>
          <w:sz w:val="28"/>
          <w:szCs w:val="28"/>
          <w:rtl w:val="true"/>
          <w:lang w:bidi="fa-IR"/>
        </w:rPr>
        <w:t xml:space="preserve">، و الحلی فی السرائر </w:t>
      </w:r>
      <w:r>
        <w:rPr>
          <w:rStyle w:val="FootnoteAnchor"/>
          <w:rtl w:val="true"/>
        </w:rPr>
        <w:footnoteReference w:id="175"/>
      </w:r>
      <w:r>
        <w:rPr>
          <w:rFonts w:ascii="IRNazanin" w:hAnsi="IRNazanin" w:eastAsia="IRNazanin"/>
          <w:color w:val="111111"/>
          <w:sz w:val="28"/>
          <w:sz w:val="28"/>
          <w:szCs w:val="28"/>
          <w:rtl w:val="true"/>
          <w:lang w:bidi="fa-IR"/>
        </w:rPr>
        <w:t xml:space="preserve">،کظاهر العلّامة فی القواعد </w:t>
      </w:r>
      <w:r>
        <w:rPr>
          <w:rStyle w:val="FootnoteAnchor"/>
          <w:rtl w:val="true"/>
        </w:rPr>
        <w:footnoteReference w:id="176"/>
      </w:r>
      <w:r>
        <w:rPr>
          <w:rFonts w:ascii="IRNazanin" w:hAnsi="IRNazanin" w:eastAsia="IRNazanin"/>
          <w:color w:val="111111"/>
          <w:sz w:val="28"/>
          <w:sz w:val="28"/>
          <w:szCs w:val="28"/>
          <w:rtl w:val="true"/>
          <w:lang w:bidi="fa-IR"/>
        </w:rPr>
        <w:t>بعدم حصول الملک</w:t>
      </w:r>
    </w:p>
    <w:p>
      <w:pPr>
        <w:pStyle w:val="BookText"/>
        <w:rPr/>
      </w:pPr>
      <w:r>
        <w:rPr>
          <w:rFonts w:ascii="IRNazanin" w:hAnsi="IRNazanin" w:eastAsia="IRNazanin"/>
          <w:color w:val="111111"/>
          <w:sz w:val="28"/>
          <w:sz w:val="28"/>
          <w:szCs w:val="28"/>
          <w:rtl w:val="true"/>
          <w:lang w:bidi="fa-IR"/>
        </w:rPr>
        <w:t>بإهداء الهدیّة بدون الإیجاب و القبول و لو من الرسول،نعم یفید ذلک إباحة التصرّف،لکنّ الشیخ استثنی وطء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المعروف بین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قال بالإباحة المجرّدة فی المعاطاة،قال بأنّها لیست بیعاً حقیقة کما هو ظاهر بعض العبائر المتقدّمة </w:t>
      </w:r>
      <w:r>
        <w:rPr>
          <w:rStyle w:val="FootnoteAnchor"/>
          <w:rtl w:val="true"/>
        </w:rPr>
        <w:footnoteReference w:id="177"/>
      </w:r>
      <w:r>
        <w:rPr>
          <w:rFonts w:ascii="IRNazanin" w:hAnsi="IRNazanin" w:eastAsia="IRNazanin"/>
          <w:color w:val="111111"/>
          <w:sz w:val="28"/>
          <w:sz w:val="28"/>
          <w:szCs w:val="28"/>
          <w:rtl w:val="true"/>
          <w:lang w:bidi="fa-IR"/>
        </w:rPr>
        <w:t xml:space="preserve">و معقد إجماع الغنیة </w:t>
      </w:r>
      <w:r>
        <w:rPr>
          <w:rStyle w:val="FootnoteAnchor"/>
          <w:rtl w:val="true"/>
        </w:rPr>
        <w:footnoteReference w:id="178"/>
      </w:r>
      <w:r>
        <w:rPr>
          <w:rFonts w:ascii="IRNazanin" w:hAnsi="IRNazanin" w:eastAsia="IRNazanin"/>
          <w:color w:val="111111"/>
          <w:sz w:val="28"/>
          <w:sz w:val="28"/>
          <w:szCs w:val="28"/>
          <w:rtl w:val="true"/>
          <w:lang w:bidi="fa-IR"/>
        </w:rPr>
        <w:t xml:space="preserve">،و ما أبعد ما بینه و بین توجیه المحقّق الثانی من إرادة نفی اللزوم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یدفع الثانی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تصریحُ بعضهم </w:t>
      </w:r>
      <w:r>
        <w:rPr>
          <w:rStyle w:val="FootnoteAnchor"/>
          <w:rtl w:val="true"/>
        </w:rPr>
        <w:footnoteReference w:id="181"/>
      </w:r>
      <w:r>
        <w:rPr>
          <w:rFonts w:ascii="IRNazanin" w:hAnsi="IRNazanin" w:eastAsia="IRNazanin"/>
          <w:color w:val="111111"/>
          <w:sz w:val="28"/>
          <w:sz w:val="28"/>
          <w:szCs w:val="28"/>
          <w:rtl w:val="true"/>
          <w:lang w:bidi="fa-IR"/>
        </w:rPr>
        <w:t xml:space="preserve">بأنّ شرط لزوم البیع منحصر فی مسقطات الخیار،فکلّ بیعٍ عنده لازم من غیر جهة الخیارات،و تصریحُ غیر واحدٍ </w:t>
      </w:r>
      <w:r>
        <w:rPr>
          <w:rStyle w:val="FootnoteAnchor"/>
          <w:rtl w:val="true"/>
        </w:rPr>
        <w:footnoteReference w:id="182"/>
      </w:r>
      <w:r>
        <w:rPr>
          <w:rFonts w:ascii="IRNazanin" w:hAnsi="IRNazanin" w:eastAsia="IRNazanin"/>
          <w:color w:val="111111"/>
          <w:sz w:val="28"/>
          <w:sz w:val="28"/>
          <w:szCs w:val="28"/>
          <w:rtl w:val="true"/>
          <w:lang w:bidi="fa-IR"/>
        </w:rPr>
        <w:t xml:space="preserve">بأنّ الإیجاب و القبول من شرائط صحّة انعقاد البیع بالصیغة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الأوّل </w:t>
      </w:r>
      <w:r>
        <w:rPr>
          <w:rStyle w:val="FootnoteAnchor"/>
          <w:rtl w:val="true"/>
        </w:rPr>
        <w:footnoteReference w:id="184"/>
      </w:r>
      <w:r>
        <w:rPr>
          <w:rFonts w:ascii="IRNazanin" w:hAnsi="IRNazanin" w:eastAsia="IRNazanin"/>
          <w:color w:val="111111"/>
          <w:sz w:val="28"/>
          <w:sz w:val="28"/>
          <w:szCs w:val="28"/>
          <w:rtl w:val="true"/>
          <w:lang w:bidi="fa-IR"/>
        </w:rPr>
        <w:t>،فإن قلنا بأنّ البیع عند المتشرّعة حقیقةٌ فی الصحیح</w:t>
      </w:r>
      <w:bookmarkStart w:id="68" w:name="pg19763_247783"/>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بناءً علی ما قدّمناه فی آخر تعریف البیع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البیع فی العرف اسمٌ للمؤثّر منه فی النقل،فإن کان فی نظر الشارع أو المتشرّعة، من حیث إنّهم متشرّعة و متدیّنون بالشرع،صحیحاً مؤثّراً فی الانتقال کان بیعاً حقیقیّا،و إلّا کان </w:t>
      </w:r>
      <w:r>
        <w:rPr>
          <w:rStyle w:val="FootnoteAnchor"/>
          <w:rtl w:val="true"/>
        </w:rPr>
        <w:footnoteReference w:id="186"/>
      </w:r>
      <w:r>
        <w:rPr>
          <w:rFonts w:ascii="IRNazanin" w:hAnsi="IRNazanin" w:eastAsia="IRNazanin"/>
          <w:color w:val="111111"/>
          <w:sz w:val="28"/>
          <w:sz w:val="28"/>
          <w:szCs w:val="28"/>
          <w:rtl w:val="true"/>
          <w:lang w:bidi="fa-IR"/>
        </w:rPr>
        <w:t>صوریّاً،نظیر بیع الهازل فی 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علی ذلک نفی البیعیّة علی وجه الحقیقة فی کلام کلّ من اعتبر فی صحّته الصیغة،أو فسّره بالعقد؛لأنّهم فی مقام تعریف البیع بصدد بیان ما هو المؤثّر فی النقل فی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w:t>
      </w:r>
    </w:p>
    <w:p>
      <w:pPr>
        <w:pStyle w:val="Heading4"/>
        <w:numPr>
          <w:ilvl w:val="3"/>
          <w:numId w:val="1"/>
        </w:numPr>
        <w:rPr/>
      </w:pPr>
      <w:bookmarkStart w:id="69" w:name="__RefHeading___Toc5082474_2314609296"/>
      <w:bookmarkStart w:id="70" w:name="_Toc28"/>
      <w:bookmarkEnd w:id="69"/>
      <w:r>
        <w:rPr>
          <w:rtl w:val="true"/>
        </w:rPr>
        <w:t>فالأقوال فی المعاطاة</w:t>
      </w:r>
      <w:r>
        <w:rPr>
          <w:rtl w:val="true"/>
        </w:rPr>
        <w:t>-</w:t>
      </w:r>
      <w:r>
        <w:rPr>
          <w:rtl w:val="true"/>
        </w:rPr>
        <w:t>علی ما یساعده ظواهر کلماتهم</w:t>
      </w:r>
      <w:r>
        <w:rPr>
          <w:rtl w:val="true"/>
        </w:rPr>
        <w:t>-</w:t>
      </w:r>
      <w:r>
        <w:rPr>
          <w:rtl w:val="true"/>
        </w:rPr>
        <w:t>ستّة</w:t>
      </w:r>
      <w:r>
        <w:rPr>
          <w:rtl w:val="true"/>
        </w:rPr>
        <w:t>:</w:t>
      </w:r>
      <w:bookmarkEnd w:id="70"/>
    </w:p>
    <w:p>
      <w:pPr>
        <w:pStyle w:val="Heading5"/>
        <w:numPr>
          <w:ilvl w:val="4"/>
          <w:numId w:val="1"/>
        </w:numPr>
        <w:rPr/>
      </w:pPr>
      <w:bookmarkStart w:id="71" w:name="__RefHeading___Toc5082476_2314609296"/>
      <w:bookmarkStart w:id="72" w:name="_Toc29"/>
      <w:bookmarkEnd w:id="71"/>
      <w:r>
        <w:rPr>
          <w:rtl w:val="true"/>
        </w:rPr>
        <w:t>اللزوم مطلقاً،</w:t>
      </w:r>
      <w:bookmarkEnd w:id="72"/>
    </w:p>
    <w:p>
      <w:pPr>
        <w:pStyle w:val="BookText"/>
        <w:rPr/>
      </w:pPr>
      <w:r>
        <w:rPr>
          <w:rFonts w:ascii="IRNazanin" w:hAnsi="IRNazanin" w:eastAsia="IRNazanin"/>
          <w:color w:val="111111"/>
          <w:sz w:val="28"/>
          <w:sz w:val="28"/>
          <w:szCs w:val="28"/>
          <w:rtl w:val="true"/>
          <w:lang w:bidi="fa-IR"/>
        </w:rPr>
        <w:t xml:space="preserve">کما عن ظاهر </w:t>
      </w:r>
      <w:r>
        <w:rPr>
          <w:rStyle w:val="FootnoteAnchor"/>
          <w:rtl w:val="true"/>
        </w:rPr>
        <w:footnoteReference w:id="187"/>
      </w:r>
      <w:r>
        <w:rPr>
          <w:rFonts w:ascii="IRNazanin" w:hAnsi="IRNazanin" w:eastAsia="IRNazanin"/>
          <w:color w:val="111111"/>
          <w:sz w:val="28"/>
          <w:sz w:val="28"/>
          <w:szCs w:val="28"/>
          <w:rtl w:val="true"/>
          <w:lang w:bidi="fa-IR"/>
        </w:rPr>
        <w:t xml:space="preserve">المفید </w:t>
      </w:r>
      <w:r>
        <w:rPr>
          <w:rStyle w:val="FootnoteAnchor"/>
          <w:rtl w:val="true"/>
        </w:rPr>
        <w:footnoteReference w:id="188"/>
      </w:r>
      <w:r>
        <w:rPr>
          <w:rFonts w:ascii="IRNazanin" w:hAnsi="IRNazanin" w:eastAsia="IRNazanin"/>
          <w:color w:val="111111"/>
          <w:sz w:val="28"/>
          <w:sz w:val="28"/>
          <w:szCs w:val="28"/>
          <w:rtl w:val="true"/>
          <w:lang w:bidi="fa-IR"/>
        </w:rPr>
        <w:t>،و یکفی فی وجود القائل به قول العلّامة رحمه اللّه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الأشهر عندنا أنّه لا بدّ من الصیغة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5082478_2314609296"/>
      <w:bookmarkStart w:id="74" w:name="_Toc30"/>
      <w:bookmarkEnd w:id="73"/>
      <w:r>
        <w:rPr>
          <w:rtl w:val="true"/>
        </w:rPr>
        <w:t>و اللزوم بشرط کون الدالّ علی التراضی أو المعاملة لفظاً،</w:t>
      </w:r>
      <w:bookmarkEnd w:id="7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عن بعض معاصری الشهید الثانی </w:t>
      </w:r>
      <w:r>
        <w:rPr>
          <w:rStyle w:val="FootnoteAnchor"/>
          <w:rtl w:val="true"/>
        </w:rPr>
        <w:footnoteReference w:id="190"/>
      </w:r>
      <w:r>
        <w:rPr>
          <w:rFonts w:ascii="IRNazanin" w:hAnsi="IRNazanin" w:eastAsia="IRNazanin"/>
          <w:color w:val="111111"/>
          <w:sz w:val="28"/>
          <w:sz w:val="28"/>
          <w:szCs w:val="28"/>
          <w:rtl w:val="true"/>
          <w:lang w:bidi="fa-IR"/>
        </w:rPr>
        <w:t xml:space="preserve">،و بعض متأخری المحدّثین </w:t>
      </w:r>
      <w:r>
        <w:rPr>
          <w:rStyle w:val="FootnoteAnchor"/>
          <w:rtl w:val="true"/>
        </w:rPr>
        <w:footnoteReference w:id="191"/>
      </w:r>
      <w:r>
        <w:rPr>
          <w:rFonts w:ascii="IRNazanin" w:hAnsi="IRNazanin" w:eastAsia="IRNazanin"/>
          <w:color w:val="111111"/>
          <w:sz w:val="28"/>
          <w:sz w:val="28"/>
          <w:szCs w:val="28"/>
          <w:rtl w:val="true"/>
          <w:lang w:bidi="fa-IR"/>
        </w:rPr>
        <w:t>،لکن</w:t>
      </w:r>
      <w:bookmarkStart w:id="75" w:name="pg19763_247784"/>
    </w:p>
    <w:p>
      <w:pPr>
        <w:pStyle w:val="BookText"/>
        <w:rPr/>
      </w:pPr>
      <w:bookmarkEnd w:id="75"/>
      <w:r>
        <w:rPr>
          <w:rFonts w:ascii="IRNazanin" w:hAnsi="IRNazanin" w:eastAsia="IRNazanin"/>
          <w:color w:val="111111"/>
          <w:sz w:val="28"/>
          <w:sz w:val="28"/>
          <w:szCs w:val="28"/>
          <w:rtl w:val="true"/>
          <w:lang w:bidi="fa-IR"/>
        </w:rPr>
        <w:t xml:space="preserve">فی عدّ هذا من الأقوال فی المعاطاة تأمّل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5082480_2314609296"/>
      <w:bookmarkStart w:id="77" w:name="_Toc31"/>
      <w:bookmarkEnd w:id="76"/>
      <w:r>
        <w:rPr>
          <w:rtl w:val="true"/>
        </w:rPr>
        <w:t>و الملک الغیر اللازم،</w:t>
      </w:r>
      <w:bookmarkEnd w:id="77"/>
    </w:p>
    <w:p>
      <w:pPr>
        <w:pStyle w:val="BookText"/>
        <w:rPr/>
      </w:pPr>
      <w:r>
        <w:rPr>
          <w:rFonts w:ascii="IRNazanin" w:hAnsi="IRNazanin" w:eastAsia="IRNazanin"/>
          <w:color w:val="111111"/>
          <w:sz w:val="28"/>
          <w:sz w:val="28"/>
          <w:szCs w:val="28"/>
          <w:rtl w:val="true"/>
          <w:lang w:bidi="fa-IR"/>
        </w:rPr>
        <w:t xml:space="preserve">ذهب إلیه المحقّق الثانی،و نسبه إلی کلّ من قال بالإباحة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النسبة ما عرفت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5082482_2314609296"/>
      <w:bookmarkStart w:id="79" w:name="_Toc32"/>
      <w:bookmarkEnd w:id="78"/>
      <w:r>
        <w:rPr>
          <w:rtl w:val="true"/>
        </w:rPr>
        <w:t>و عدم الملک مع إباحة جمیع التصرّفات حتی المتوقّفة علی الملک،</w:t>
      </w:r>
      <w:bookmarkEnd w:id="79"/>
    </w:p>
    <w:p>
      <w:pPr>
        <w:pStyle w:val="BookText"/>
        <w:rPr/>
      </w:pPr>
      <w:r>
        <w:rPr>
          <w:rFonts w:ascii="IRNazanin" w:hAnsi="IRNazanin" w:eastAsia="IRNazanin"/>
          <w:color w:val="111111"/>
          <w:sz w:val="28"/>
          <w:sz w:val="28"/>
          <w:szCs w:val="28"/>
          <w:rtl w:val="true"/>
          <w:lang w:bidi="fa-IR"/>
        </w:rPr>
        <w:t xml:space="preserve">کما هو ظاهر عبائر کثیر </w:t>
      </w:r>
      <w:r>
        <w:rPr>
          <w:rStyle w:val="FootnoteAnchor"/>
          <w:rtl w:val="true"/>
        </w:rPr>
        <w:footnoteReference w:id="195"/>
      </w:r>
      <w:r>
        <w:rPr>
          <w:rFonts w:ascii="IRNazanin" w:hAnsi="IRNazanin" w:eastAsia="IRNazanin"/>
          <w:color w:val="111111"/>
          <w:sz w:val="28"/>
          <w:sz w:val="28"/>
          <w:szCs w:val="28"/>
          <w:rtl w:val="true"/>
          <w:lang w:bidi="fa-IR"/>
        </w:rPr>
        <w:t>،بل ذکر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من قال بالإباحة یسوّغ جمیع التصرّفات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5082484_2314609296"/>
      <w:bookmarkStart w:id="81" w:name="_Toc33"/>
      <w:bookmarkEnd w:id="80"/>
      <w:r>
        <w:rPr>
          <w:rtl w:val="true"/>
        </w:rPr>
        <w:t>و إباحة ما لا یتوقّف علی الملک،</w:t>
      </w:r>
      <w:bookmarkEnd w:id="81"/>
    </w:p>
    <w:p>
      <w:pPr>
        <w:pStyle w:val="BookText"/>
        <w:rPr/>
      </w:pPr>
      <w:r>
        <w:rPr>
          <w:rFonts w:ascii="IRNazanin" w:hAnsi="IRNazanin" w:eastAsia="IRNazanin"/>
          <w:color w:val="111111"/>
          <w:sz w:val="28"/>
          <w:sz w:val="28"/>
          <w:szCs w:val="28"/>
          <w:rtl w:val="true"/>
          <w:lang w:bidi="fa-IR"/>
        </w:rPr>
        <w:t xml:space="preserve">و هو الظاهر من الکلام المتقدّم عن حواشی الشهید علی القواعد </w:t>
      </w:r>
      <w:r>
        <w:rPr>
          <w:rStyle w:val="FootnoteAnchor"/>
          <w:rtl w:val="true"/>
        </w:rPr>
        <w:footnoteReference w:id="197"/>
      </w:r>
      <w:r>
        <w:rPr>
          <w:rFonts w:ascii="IRNazanin" w:hAnsi="IRNazanin" w:eastAsia="IRNazanin"/>
          <w:color w:val="111111"/>
          <w:sz w:val="28"/>
          <w:sz w:val="28"/>
          <w:szCs w:val="28"/>
          <w:rtl w:val="true"/>
          <w:lang w:bidi="fa-IR"/>
        </w:rPr>
        <w:t xml:space="preserve">،و هو المناسب لما حکیناه عن الشیخ فی إهداء الجاریة من دون إیجاب و قبول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بعدم إباحة التصرّف مطلقاً،نسب إلی ظاهر النهایة </w:t>
      </w:r>
      <w:r>
        <w:rPr>
          <w:rStyle w:val="FootnoteAnchor"/>
          <w:rtl w:val="true"/>
        </w:rPr>
        <w:footnoteReference w:id="199"/>
      </w:r>
      <w:r>
        <w:rPr>
          <w:rFonts w:ascii="IRNazanin" w:hAnsi="IRNazanin" w:eastAsia="IRNazanin"/>
          <w:color w:val="111111"/>
          <w:sz w:val="28"/>
          <w:sz w:val="28"/>
          <w:szCs w:val="28"/>
          <w:rtl w:val="true"/>
          <w:lang w:bidi="fa-IR"/>
        </w:rPr>
        <w:t xml:space="preserve">، لکن ثبت رجوعه عنه فی غیرها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5082486_2314609296"/>
      <w:bookmarkStart w:id="83" w:name="_Toc34"/>
      <w:bookmarkEnd w:id="82"/>
      <w:r>
        <w:rPr>
          <w:rtl w:val="true"/>
        </w:rPr>
        <w:t>و المشهور بین علمائنا</w:t>
      </w:r>
      <w:r>
        <w:rPr>
          <w:rtl w:val="true"/>
        </w:rPr>
        <w:t>:</w:t>
      </w:r>
      <w:r>
        <w:rPr>
          <w:rtl w:val="true"/>
        </w:rPr>
        <w:t>عدم ثبوت الملک بالمعاطاة</w:t>
      </w:r>
      <w:bookmarkEnd w:id="8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قصد</w:t>
      </w:r>
      <w:bookmarkStart w:id="84" w:name="pg19763_247785"/>
    </w:p>
    <w:p>
      <w:pPr>
        <w:pStyle w:val="BookText"/>
        <w:rPr/>
      </w:pPr>
      <w:bookmarkEnd w:id="84"/>
      <w:r>
        <w:rPr>
          <w:rFonts w:ascii="IRNazanin" w:hAnsi="IRNazanin" w:eastAsia="IRNazanin"/>
          <w:color w:val="111111"/>
          <w:sz w:val="28"/>
          <w:sz w:val="28"/>
          <w:szCs w:val="28"/>
          <w:rtl w:val="true"/>
          <w:lang w:bidi="fa-IR"/>
        </w:rPr>
        <w:t xml:space="preserve">المتعاطیان بها التملیک </w:t>
      </w:r>
      <w:r>
        <w:rPr>
          <w:rStyle w:val="FootnoteAnchor"/>
          <w:rtl w:val="true"/>
        </w:rPr>
        <w:footnoteReference w:id="201"/>
      </w:r>
      <w:r>
        <w:rPr>
          <w:rFonts w:ascii="IRNazanin" w:hAnsi="IRNazanin" w:eastAsia="IRNazanin"/>
          <w:color w:val="111111"/>
          <w:sz w:val="28"/>
          <w:sz w:val="28"/>
          <w:szCs w:val="28"/>
          <w:rtl w:val="true"/>
          <w:lang w:bidi="fa-IR"/>
        </w:rPr>
        <w:t xml:space="preserve">،بل لم نجد قائلاً به إلی زمان المحقّق الثانی الذی قال به،و لم یقتصر علی ذلک حتی نسبه إلی الأصحاب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نعم،ربما یوهمه ظاهر عبارة التحریر،حیث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أنّ المعاطاة غیر لازمة،بل لکلٍّ منهما فسخ المعاوضة ما دامت العین باقیة، فإن تلفت لزمت،انتهی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نسب ذلک إلیه فی المسالک </w:t>
      </w:r>
      <w:r>
        <w:rPr>
          <w:rStyle w:val="FootnoteAnchor"/>
          <w:rtl w:val="true"/>
        </w:rPr>
        <w:footnoteReference w:id="203"/>
      </w:r>
      <w:r>
        <w:rPr>
          <w:rFonts w:ascii="IRNazanin" w:hAnsi="IRNazanin" w:eastAsia="IRNazanin"/>
          <w:color w:val="111111"/>
          <w:sz w:val="28"/>
          <w:sz w:val="28"/>
          <w:szCs w:val="28"/>
          <w:rtl w:val="true"/>
          <w:lang w:bidi="fa-IR"/>
        </w:rPr>
        <w:t>،لکنّ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 علی کلٍّ منهما الانتفاع بما قبضه،بخلاف البیع الفاسد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ظاهر فی أنّ مراده مجرّد الانتفاع؛إذ لا معنی لهذه العبارة بعد الحکم بالملک</w:t>
      </w:r>
      <w:r>
        <w:rPr>
          <w:rFonts w:eastAsia="IRNazanin" w:cs="IRNazanin"/>
          <w:color w:val="111111"/>
          <w:sz w:val="28"/>
          <w:szCs w:val="28"/>
          <w:rtl w:val="true"/>
          <w:lang w:bidi="fa-IR"/>
        </w:rPr>
        <w:t>.</w:t>
      </w:r>
    </w:p>
    <w:p>
      <w:pPr>
        <w:pStyle w:val="Heading4"/>
        <w:numPr>
          <w:ilvl w:val="3"/>
          <w:numId w:val="1"/>
        </w:numPr>
        <w:rPr/>
      </w:pPr>
      <w:bookmarkStart w:id="85" w:name="__RefHeading___Toc5082488_2314609296"/>
      <w:bookmarkStart w:id="86" w:name="_Toc35"/>
      <w:bookmarkEnd w:id="85"/>
      <w:r>
        <w:rPr>
          <w:rtl w:val="true"/>
        </w:rPr>
        <w:t>[</w:t>
      </w:r>
      <w:r>
        <w:rPr>
          <w:rtl w:val="true"/>
        </w:rPr>
        <w:t>الأقوی حصول الملک</w:t>
      </w:r>
      <w:r>
        <w:rPr>
          <w:rtl w:val="true"/>
        </w:rPr>
        <w:t>]</w:t>
      </w:r>
      <w:bookmarkEnd w:id="86"/>
    </w:p>
    <w:p>
      <w:pPr>
        <w:pStyle w:val="Heading5"/>
        <w:numPr>
          <w:ilvl w:val="4"/>
          <w:numId w:val="1"/>
        </w:numPr>
        <w:rPr/>
      </w:pPr>
      <w:bookmarkStart w:id="87" w:name="__RefHeading___Toc5082490_2314609296"/>
      <w:bookmarkStart w:id="88" w:name="_Toc36"/>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إشارة إلی خلاف المفید رحمه اللّه و العامّة القائلین باللزوم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باعتبار ما قصده المتعاطیان،و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بهذا الاعتبار أیضاً،و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الظاهر من عبارة التحریر فی باب الهبة توقّفها علی الإیجاب و القبول،ثمّ قال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یستغنی عن</w:t>
      </w:r>
      <w:bookmarkStart w:id="89" w:name="pg19763_247786"/>
    </w:p>
    <w:p>
      <w:pPr>
        <w:pStyle w:val="BookText"/>
        <w:rPr/>
      </w:pPr>
      <w:bookmarkEnd w:id="89"/>
      <w:r>
        <w:rPr>
          <w:rFonts w:ascii="IRNazanin" w:hAnsi="IRNazanin" w:eastAsia="IRNazanin"/>
          <w:color w:val="111111"/>
          <w:sz w:val="28"/>
          <w:sz w:val="28"/>
          <w:szCs w:val="28"/>
          <w:rtl w:val="true"/>
          <w:lang w:bidi="fa-IR"/>
        </w:rPr>
        <w:t xml:space="preserve">الإیجاب و القبول فی هدیة الأطعمة؟الأقرب عدمه،نعم یباح التصرّف بشاهد الحال </w:t>
      </w:r>
      <w:r>
        <w:rPr>
          <w:rStyle w:val="FootnoteAnchor"/>
          <w:rtl w:val="true"/>
        </w:rPr>
        <w:footnoteReference w:id="20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صرّح بذلک أیضاً فی الهدیة </w:t>
      </w:r>
      <w:r>
        <w:rPr>
          <w:rStyle w:val="FootnoteAnchor"/>
          <w:rtl w:val="true"/>
        </w:rPr>
        <w:footnoteReference w:id="208"/>
      </w:r>
      <w:r>
        <w:rPr>
          <w:rFonts w:ascii="IRNazanin" w:hAnsi="IRNazanin" w:eastAsia="IRNazanin"/>
          <w:color w:val="111111"/>
          <w:sz w:val="28"/>
          <w:sz w:val="28"/>
          <w:szCs w:val="28"/>
          <w:rtl w:val="true"/>
          <w:lang w:bidi="fa-IR"/>
        </w:rPr>
        <w:t>،فإذا لم یقل فی الهبة بصحّة المعاطاة فکیف یقول بها فی البیع؟</w:t>
      </w:r>
    </w:p>
    <w:p>
      <w:pPr>
        <w:pStyle w:val="Heading5"/>
        <w:numPr>
          <w:ilvl w:val="4"/>
          <w:numId w:val="1"/>
        </w:numPr>
        <w:rPr/>
      </w:pPr>
      <w:bookmarkStart w:id="90" w:name="__RefHeading___Toc5082492_2314609296"/>
      <w:bookmarkStart w:id="91" w:name="_Toc37"/>
      <w:bookmarkEnd w:id="90"/>
      <w:r>
        <w:rPr>
          <w:rtl w:val="true"/>
        </w:rPr>
        <w:t>[</w:t>
      </w:r>
      <w:r>
        <w:rPr>
          <w:rtl w:val="true"/>
        </w:rPr>
        <w:t>الاستدلال بالسیرة</w:t>
      </w:r>
      <w:r>
        <w:rPr>
          <w:rtl w:val="true"/>
        </w:rPr>
        <w:t>]</w:t>
      </w:r>
      <w:bookmarkEnd w:id="91"/>
    </w:p>
    <w:p>
      <w:pPr>
        <w:pStyle w:val="BookText"/>
        <w:rPr/>
      </w:pPr>
      <w:r>
        <w:rPr>
          <w:rFonts w:ascii="Amiri" w:hAnsi="Amiri" w:eastAsia="Amiri" w:cs="Amiri"/>
          <w:color w:val="111111"/>
          <w:sz w:val="28"/>
          <w:sz w:val="28"/>
          <w:szCs w:val="28"/>
          <w:rtl w:val="true"/>
          <w:lang w:bidi="ar-SA"/>
        </w:rPr>
        <w:t xml:space="preserve">و ذهب جماعة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حصول الملک، و لا یخلو عن قوّة؛للسیرة المستمرّة علی معاملة المأخوذ بالمعاطاة معاملة الملک فی التصرّف فیه بالعتق،و البیع،و الوطء،و الإیصاء،و توریثه، و غیر ذلک من آثار الملک</w:t>
      </w:r>
      <w:r>
        <w:rPr>
          <w:rFonts w:eastAsia="IRNazanin" w:cs="IRNazanin"/>
          <w:color w:val="111111"/>
          <w:sz w:val="28"/>
          <w:szCs w:val="28"/>
          <w:rtl w:val="true"/>
          <w:lang w:bidi="fa-IR"/>
        </w:rPr>
        <w:t>.</w:t>
      </w:r>
    </w:p>
    <w:p>
      <w:pPr>
        <w:pStyle w:val="Heading5"/>
        <w:numPr>
          <w:ilvl w:val="4"/>
          <w:numId w:val="1"/>
        </w:numPr>
        <w:rPr/>
      </w:pPr>
      <w:bookmarkStart w:id="92" w:name="__RefHeading___Toc5082494_2314609296"/>
      <w:bookmarkStart w:id="93" w:name="_Toc38"/>
      <w:bookmarkEnd w:id="92"/>
      <w:r>
        <w:rPr>
          <w:rtl w:val="true"/>
        </w:rPr>
        <w:t>[</w:t>
      </w:r>
      <w:r>
        <w:rPr>
          <w:rtl w:val="true"/>
        </w:rPr>
        <w:t>الاستدلال بآیة أحل الله البیع</w:t>
      </w:r>
      <w:r>
        <w:rPr>
          <w:rtl w:val="true"/>
        </w:rPr>
        <w:t>]</w:t>
      </w:r>
      <w:bookmarkEnd w:id="93"/>
    </w:p>
    <w:p>
      <w:pPr>
        <w:pStyle w:val="BookText"/>
        <w:rPr/>
      </w:pPr>
      <w:r>
        <w:rPr>
          <w:rFonts w:ascii="Amiri" w:hAnsi="Amiri" w:eastAsia="Amiri" w:cs="Amiri"/>
          <w:color w:val="111111"/>
          <w:sz w:val="28"/>
          <w:sz w:val="28"/>
          <w:szCs w:val="28"/>
          <w:rtl w:val="true"/>
          <w:lang w:bidi="ar-SA"/>
        </w:rPr>
        <w:t>و یدلّ علیه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الْبَیْعَ </w:t>
      </w:r>
      <w:r>
        <w:rPr>
          <w:rStyle w:val="FootnoteAnchor"/>
          <w:rtl w:val="true"/>
        </w:rPr>
        <w:footnoteReference w:id="210"/>
      </w:r>
      <w:r>
        <w:rPr>
          <w:rFonts w:ascii="IRNazanin" w:hAnsi="IRNazanin" w:eastAsia="IRNazanin"/>
          <w:color w:val="111111"/>
          <w:sz w:val="28"/>
          <w:sz w:val="28"/>
          <w:szCs w:val="28"/>
          <w:rtl w:val="true"/>
          <w:lang w:bidi="fa-IR"/>
        </w:rPr>
        <w:t>حیث إنّه یدلّ علی حلّیة جمیع التصرّفات المترتّبة علی البیع،بل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الآیة دالّة عرفاً بالمطابقة </w:t>
      </w:r>
      <w:r>
        <w:rPr>
          <w:rStyle w:val="FootnoteAnchor"/>
          <w:rtl w:val="true"/>
        </w:rPr>
        <w:footnoteReference w:id="211"/>
      </w:r>
      <w:r>
        <w:rPr>
          <w:rFonts w:ascii="Amiri" w:hAnsi="Amiri" w:eastAsia="Amiri" w:cs="Amiri"/>
          <w:color w:val="111111"/>
          <w:sz w:val="28"/>
          <w:sz w:val="28"/>
          <w:szCs w:val="28"/>
          <w:rtl w:val="true"/>
          <w:lang w:bidi="ar-SA"/>
        </w:rPr>
        <w:t>علی صحّة البیع،لا مجرّد الحکم التکلیفی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 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منع صدق البیع علیه عرفاً فمکابرة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الإجماع فی کلام بعضهم علی عدم کون المعاطاة بیعاً</w:t>
      </w:r>
      <w:bookmarkStart w:id="94" w:name="pg19763_247787"/>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کابن زهرة فی الغنیة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فمرادهم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المعاملة اللازمة التی هی إحدی </w:t>
      </w:r>
      <w:r>
        <w:rPr>
          <w:rStyle w:val="FootnoteAnchor"/>
          <w:rtl w:val="true"/>
        </w:rPr>
        <w:footnoteReference w:id="213"/>
      </w:r>
      <w:r>
        <w:rPr>
          <w:rFonts w:ascii="IRNazanin" w:hAnsi="IRNazanin" w:eastAsia="IRNazanin"/>
          <w:color w:val="111111"/>
          <w:sz w:val="28"/>
          <w:sz w:val="28"/>
          <w:szCs w:val="28"/>
          <w:rtl w:val="true"/>
          <w:lang w:bidi="fa-IR"/>
        </w:rPr>
        <w:t>العقود؛و لذا صرّح فی الغنیة بکون الإیجاب و القبول من شرائط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البیع الفاسد عندهم لیس بیعاً،قد عرفت الحال فیها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5082496_2314609296"/>
      <w:bookmarkStart w:id="96" w:name="_Toc39"/>
      <w:bookmarkEnd w:id="95"/>
      <w:r>
        <w:rPr>
          <w:rtl w:val="true"/>
        </w:rPr>
        <w:t>[</w:t>
      </w:r>
      <w:r>
        <w:rPr>
          <w:rtl w:val="true"/>
        </w:rPr>
        <w:t>الاستدلال بآیة التجارة</w:t>
      </w:r>
      <w:r>
        <w:rPr>
          <w:rtl w:val="true"/>
        </w:rPr>
        <w:t>]</w:t>
      </w:r>
      <w:bookmarkEnd w:id="96"/>
    </w:p>
    <w:p>
      <w:pPr>
        <w:pStyle w:val="BookText"/>
        <w:rPr/>
      </w:pPr>
      <w:r>
        <w:rPr>
          <w:rFonts w:ascii="Amiri" w:hAnsi="Amiri" w:eastAsia="Amiri" w:cs="Amiri"/>
          <w:color w:val="111111"/>
          <w:sz w:val="28"/>
          <w:sz w:val="28"/>
          <w:szCs w:val="28"/>
          <w:rtl w:val="true"/>
          <w:lang w:bidi="ar-SA"/>
        </w:rPr>
        <w:t>و ممّا ذکر یظهر وجه التمسّک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تَکُونَ تِجٰارَةً عَنْ تَرٰاضٍ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5082498_2314609296"/>
      <w:bookmarkStart w:id="98" w:name="_Toc40"/>
      <w:bookmarkEnd w:id="97"/>
      <w:r>
        <w:rPr>
          <w:rtl w:val="true"/>
        </w:rPr>
        <w:t>[</w:t>
      </w:r>
      <w:r>
        <w:rPr>
          <w:rtl w:val="true"/>
        </w:rPr>
        <w:t>الاستدلال بحدیث السلطنة و المناقشة فیه</w:t>
      </w:r>
      <w:r>
        <w:rPr>
          <w:rtl w:val="true"/>
        </w:rPr>
        <w:t>]</w:t>
      </w:r>
      <w:bookmarkEnd w:id="9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فلا دلالة فیه علی المدّعی؛لأنّ عمومه باعتبار أنواع السلطنة،فهو إنّما یجدی فیما إذا شکّ فی أنّ هذا النوع من السلطنة ثابتة للمالک،و ماضیة شرعاً فی حقّه،أم لا؟أمّا إذا قطعنا بأنّ </w:t>
      </w:r>
      <w:r>
        <w:rPr>
          <w:rStyle w:val="FootnoteAnchor"/>
          <w:rtl w:val="true"/>
        </w:rPr>
        <w:footnoteReference w:id="217"/>
      </w:r>
      <w:r>
        <w:rPr>
          <w:rFonts w:ascii="IRNazanin" w:hAnsi="IRNazanin" w:eastAsia="IRNazanin"/>
          <w:color w:val="111111"/>
          <w:sz w:val="28"/>
          <w:sz w:val="28"/>
          <w:szCs w:val="28"/>
          <w:rtl w:val="true"/>
          <w:lang w:bidi="fa-IR"/>
        </w:rPr>
        <w:t>سلطنة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کتملیک ماله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نافذة فی حقّه،ماضیة شرعاً،لکن شکّ فی أنّ هذا التملیک الخاصّ هل یحصل بمجرّد التعاطی مع القصد،أم لا بدّ من القول الدالّ علیه </w:t>
      </w:r>
      <w:r>
        <w:rPr>
          <w:rStyle w:val="FootnoteAnchor"/>
          <w:rtl w:val="true"/>
        </w:rPr>
        <w:footnoteReference w:id="218"/>
      </w:r>
      <w:r>
        <w:rPr>
          <w:rFonts w:ascii="IRNazanin" w:hAnsi="IRNazanin" w:eastAsia="IRNazanin"/>
          <w:color w:val="111111"/>
          <w:sz w:val="28"/>
          <w:sz w:val="28"/>
          <w:szCs w:val="28"/>
          <w:rtl w:val="true"/>
          <w:lang w:bidi="fa-IR"/>
        </w:rPr>
        <w:t>؟فلا یجوز الاستدلال علی سببیّة المعاطاة فی الشریعة للتملیک</w:t>
      </w:r>
      <w:bookmarkStart w:id="99" w:name="pg19763_247788"/>
    </w:p>
    <w:p>
      <w:pPr>
        <w:pStyle w:val="BookText"/>
        <w:rPr/>
      </w:pPr>
      <w:bookmarkEnd w:id="99"/>
      <w:r>
        <w:rPr>
          <w:rFonts w:ascii="IRNazanin" w:hAnsi="IRNazanin" w:eastAsia="IRNazanin"/>
          <w:color w:val="111111"/>
          <w:sz w:val="28"/>
          <w:sz w:val="28"/>
          <w:szCs w:val="28"/>
          <w:rtl w:val="true"/>
          <w:lang w:bidi="fa-IR"/>
        </w:rPr>
        <w:t>بعموم تسلّط الناس علی أموالهم،و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التمسّک به </w:t>
      </w:r>
      <w:r>
        <w:rPr>
          <w:rStyle w:val="FootnoteAnchor"/>
          <w:rtl w:val="true"/>
        </w:rPr>
        <w:footnoteReference w:id="219"/>
      </w:r>
      <w:r>
        <w:rPr>
          <w:rFonts w:ascii="IRNazanin" w:hAnsi="IRNazanin" w:eastAsia="IRNazanin"/>
          <w:color w:val="111111"/>
          <w:sz w:val="28"/>
          <w:sz w:val="28"/>
          <w:szCs w:val="28"/>
          <w:rtl w:val="true"/>
          <w:lang w:bidi="fa-IR"/>
        </w:rPr>
        <w:t>لما سیجیء من شروط الصیغة</w:t>
      </w:r>
      <w:r>
        <w:rPr>
          <w:rFonts w:eastAsia="IRNazanin" w:cs="IRNazanin"/>
          <w:color w:val="111111"/>
          <w:sz w:val="28"/>
          <w:szCs w:val="28"/>
          <w:rtl w:val="true"/>
          <w:lang w:bidi="fa-IR"/>
        </w:rPr>
        <w:t>.</w:t>
      </w:r>
    </w:p>
    <w:p>
      <w:pPr>
        <w:pStyle w:val="Heading5"/>
        <w:numPr>
          <w:ilvl w:val="4"/>
          <w:numId w:val="1"/>
        </w:numPr>
        <w:rPr/>
      </w:pPr>
      <w:bookmarkStart w:id="100" w:name="__RefHeading___Toc5082500_2314609296"/>
      <w:bookmarkStart w:id="101" w:name="_Toc41"/>
      <w:bookmarkEnd w:id="100"/>
      <w:r>
        <w:rPr>
          <w:rtl w:val="true"/>
        </w:rPr>
        <w:t>[</w:t>
      </w:r>
      <w:r>
        <w:rPr>
          <w:rtl w:val="true"/>
        </w:rPr>
        <w:t>المناقشة فی دلالة الآیتین</w:t>
      </w:r>
      <w:r>
        <w:rPr>
          <w:rtl w:val="true"/>
        </w:rPr>
        <w:t>]</w:t>
      </w:r>
      <w:bookmarkEnd w:id="101"/>
    </w:p>
    <w:p>
      <w:pPr>
        <w:pStyle w:val="BookText"/>
        <w:rPr/>
      </w:pPr>
      <w:r>
        <w:rPr>
          <w:rFonts w:ascii="IRNazanin" w:hAnsi="IRNazanin" w:eastAsia="IRNazanin"/>
          <w:color w:val="111111"/>
          <w:sz w:val="28"/>
          <w:sz w:val="28"/>
          <w:szCs w:val="28"/>
          <w:rtl w:val="true"/>
          <w:lang w:bidi="fa-IR"/>
        </w:rPr>
        <w:t>و کیف کان،ففی الآیتین مع السیرة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إنّهما لا تدلّان علی الملک،و إنّما تدلّان علی إباحة جمیع التصرّفات حتی المتوقّفة علی الملک،کالبیع و الوطء و العتق و الإیصاء،و إباحة هذه التصرّفات إنّما تستلزم الملک بالملازمة الشرعیّة الحاصلة فی سائر المقامات من الإجماع و عدم القول بالانفکاک،دون المقام الذی لا یعلم ذلک منهم،حیث أطلق القائلون بعدم الملک إباحة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من أجاز المعاطاة سوّغ جمیع التصرّفات </w:t>
      </w:r>
      <w:r>
        <w:rPr>
          <w:rStyle w:val="FootnoteAnchor"/>
          <w:rtl w:val="true"/>
        </w:rPr>
        <w:footnoteReference w:id="220"/>
      </w:r>
      <w:r>
        <w:rPr>
          <w:rFonts w:ascii="IRNazanin" w:hAnsi="IRNazanin" w:eastAsia="IRNazanin"/>
          <w:color w:val="111111"/>
          <w:sz w:val="28"/>
          <w:sz w:val="28"/>
          <w:szCs w:val="28"/>
          <w:rtl w:val="true"/>
          <w:lang w:bidi="fa-IR"/>
        </w:rPr>
        <w:t>،غایة الأمر أنّه لا بدّ من التزامهم بأنّ التصرّف المتوقّف علی الملک یکشف عن سبق الملک علیه آناً ما؛فإنّ الجمع بین إباحة هذه التصرّفات و بین توقّفها علی الملک یحصل بالتزام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یتوقّف علی الالتزام بالملک من أوّل الأمر </w:t>
      </w:r>
      <w:r>
        <w:rPr>
          <w:rStyle w:val="FootnoteAnchor"/>
          <w:rtl w:val="true"/>
        </w:rPr>
        <w:footnoteReference w:id="221"/>
      </w:r>
      <w:r>
        <w:rPr>
          <w:rFonts w:ascii="IRNazanin" w:hAnsi="IRNazanin" w:eastAsia="IRNazanin"/>
          <w:color w:val="111111"/>
          <w:sz w:val="28"/>
          <w:sz w:val="28"/>
          <w:szCs w:val="28"/>
          <w:rtl w:val="true"/>
          <w:lang w:bidi="fa-IR"/>
        </w:rPr>
        <w:t xml:space="preserve">لیقال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هذه الإباحة أیضاً إلی التملیک</w:t>
      </w:r>
      <w:r>
        <w:rPr>
          <w:rFonts w:eastAsia="IRNazanin" w:cs="IRNazanin"/>
          <w:color w:val="111111"/>
          <w:sz w:val="28"/>
          <w:szCs w:val="28"/>
          <w:rtl w:val="true"/>
          <w:lang w:bidi="fa-IR"/>
        </w:rPr>
        <w:t>.</w:t>
      </w:r>
    </w:p>
    <w:p>
      <w:pPr>
        <w:pStyle w:val="Heading5"/>
        <w:numPr>
          <w:ilvl w:val="4"/>
          <w:numId w:val="1"/>
        </w:numPr>
        <w:rPr/>
      </w:pPr>
      <w:bookmarkStart w:id="102" w:name="__RefHeading___Toc5082502_2314609296"/>
      <w:bookmarkStart w:id="103" w:name="_Toc42"/>
      <w:bookmarkEnd w:id="102"/>
      <w:r>
        <w:rPr>
          <w:rtl w:val="true"/>
        </w:rPr>
        <w:t>[</w:t>
      </w:r>
      <w:r>
        <w:rPr>
          <w:rtl w:val="true"/>
        </w:rPr>
        <w:t>المناقشة فی دلالة السیرة</w:t>
      </w:r>
      <w:r>
        <w:rPr>
          <w:rtl w:val="true"/>
        </w:rPr>
        <w:t>]</w:t>
      </w:r>
      <w:bookmarkEnd w:id="10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ثبوت </w:t>
      </w:r>
      <w:r>
        <w:rPr>
          <w:rStyle w:val="FootnoteAnchor"/>
          <w:rtl w:val="true"/>
        </w:rPr>
        <w:footnoteReference w:id="223"/>
      </w:r>
      <w:r>
        <w:rPr>
          <w:rFonts w:ascii="IRNazanin" w:hAnsi="IRNazanin" w:eastAsia="IRNazanin"/>
          <w:color w:val="111111"/>
          <w:sz w:val="28"/>
          <w:sz w:val="28"/>
          <w:szCs w:val="28"/>
          <w:rtl w:val="true"/>
          <w:lang w:bidi="fa-IR"/>
        </w:rPr>
        <w:t>السیرة و استمرارها علی التوریث،فهی کسائر سیراتهم الناشئة عن المسامحة و قلّة المبالاة فی الدین ممّا لا یحصی فی عباداتهم و معاملاتهم و سیاساتهم،کما لا یخفی</w:t>
      </w:r>
      <w:r>
        <w:rPr>
          <w:rFonts w:eastAsia="IRNazanin" w:cs="IRNazanin"/>
          <w:color w:val="111111"/>
          <w:sz w:val="28"/>
          <w:szCs w:val="28"/>
          <w:rtl w:val="true"/>
          <w:lang w:bidi="fa-IR"/>
        </w:rPr>
        <w:t>.</w:t>
      </w:r>
      <w:bookmarkStart w:id="104" w:name="pg19763_247789"/>
    </w:p>
    <w:p>
      <w:pPr>
        <w:pStyle w:val="BookText"/>
        <w:rPr/>
      </w:pPr>
      <w:bookmarkEnd w:id="104"/>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یعلم من القائل بالإباحة جواز مثل هذه التصرّفات المتوقّفة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المحکیّ عن حواشی الشهید علی القواعد من منع إخراج المأخوذ بالمعاطاة فی الخمس و الزکاة و ثمن الهدی،و عدم جواز وطء الجاریة المأخوذة بها </w:t>
      </w:r>
      <w:r>
        <w:rPr>
          <w:rStyle w:val="FootnoteAnchor"/>
          <w:rtl w:val="true"/>
        </w:rPr>
        <w:footnoteReference w:id="224"/>
      </w:r>
      <w:r>
        <w:rPr>
          <w:rFonts w:ascii="IRNazanin" w:hAnsi="IRNazanin" w:eastAsia="IRNazanin"/>
          <w:color w:val="111111"/>
          <w:sz w:val="28"/>
          <w:sz w:val="28"/>
          <w:szCs w:val="28"/>
          <w:rtl w:val="true"/>
          <w:lang w:bidi="fa-IR"/>
        </w:rPr>
        <w:t xml:space="preserve">،و قد صرّح الشیخ رحمه اللّه بالأخیر فی معاطاة الهدایا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فیتوجّه </w:t>
      </w:r>
      <w:r>
        <w:rPr>
          <w:rStyle w:val="FootnoteAnchor"/>
          <w:rtl w:val="true"/>
        </w:rPr>
        <w:footnoteReference w:id="226"/>
      </w:r>
      <w:r>
        <w:rPr>
          <w:rFonts w:ascii="IRNazanin" w:hAnsi="IRNazanin" w:eastAsia="IRNazanin"/>
          <w:color w:val="111111"/>
          <w:sz w:val="28"/>
          <w:sz w:val="28"/>
          <w:szCs w:val="28"/>
          <w:rtl w:val="true"/>
          <w:lang w:bidi="fa-IR"/>
        </w:rPr>
        <w:t>التمسّک حینئذٍ بعموم الآیة علی جوازها،فیثبت الملک، 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و إن لم یثبت ذلک،إلّا أنّه لم یثبت أنّ کلّ من قال بإباحة جمیع هذه التصرّفات قال بالملک من أوّل الأمر،فیجوز للفقیه حینئذٍ التزام إباحة جمیع التصرّفات مع التزام حصول الملک عند التصرّف المتوقّف علی الملک،لا من أوّل الأمر</w:t>
      </w:r>
      <w:r>
        <w:rPr>
          <w:rFonts w:eastAsia="IRNazanin" w:cs="IRNazanin"/>
          <w:color w:val="111111"/>
          <w:sz w:val="28"/>
          <w:szCs w:val="28"/>
          <w:rtl w:val="true"/>
          <w:lang w:bidi="fa-IR"/>
        </w:rPr>
        <w:t>.</w:t>
      </w:r>
    </w:p>
    <w:p>
      <w:pPr>
        <w:pStyle w:val="Heading5"/>
        <w:numPr>
          <w:ilvl w:val="4"/>
          <w:numId w:val="1"/>
        </w:numPr>
        <w:rPr/>
      </w:pPr>
      <w:bookmarkStart w:id="105" w:name="__RefHeading___Toc5082504_2314609296"/>
      <w:bookmarkStart w:id="106" w:name="_Toc43"/>
      <w:bookmarkEnd w:id="105"/>
      <w:r>
        <w:rPr>
          <w:rtl w:val="true"/>
        </w:rPr>
        <w:t>[</w:t>
      </w:r>
      <w:r>
        <w:rPr>
          <w:rtl w:val="true"/>
        </w:rPr>
        <w:t>الأولی فی الاستدلال علی المختار</w:t>
      </w:r>
      <w:r>
        <w:rPr>
          <w:rtl w:val="true"/>
        </w:rPr>
        <w:t>]</w:t>
      </w:r>
      <w:bookmarkEnd w:id="106"/>
    </w:p>
    <w:p>
      <w:pPr>
        <w:pStyle w:val="Heading6"/>
        <w:numPr>
          <w:ilvl w:val="5"/>
          <w:numId w:val="1"/>
        </w:numPr>
        <w:rPr/>
      </w:pPr>
      <w:bookmarkStart w:id="107" w:name="__RefHeading___Toc5082506_2314609296"/>
      <w:bookmarkStart w:id="108" w:name="_Toc44"/>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فالأولی حینئذٍ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التمسّک فی المطلب بأنّ المتبادر عرفاً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هذا،مع إمکان إثبات صحّة المعاطاة فی الهبة و الإجارة ببعض إطلاقاتهما،و تتمیمه فی البیع بالإجماع المرکّب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هذا،مع أنّ </w:t>
      </w:r>
      <w:r>
        <w:rPr>
          <w:rStyle w:val="FootnoteAnchor"/>
          <w:rtl w:val="true"/>
        </w:rPr>
        <w:footnoteReference w:id="227"/>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للفقیه </w:t>
      </w:r>
      <w:r>
        <w:rPr>
          <w:rStyle w:val="FootnoteAnchor"/>
          <w:rtl w:val="true"/>
        </w:rPr>
        <w:footnoteReference w:id="228"/>
      </w:r>
      <w:r>
        <w:rPr>
          <w:rFonts w:ascii="IRNazanin" w:hAnsi="IRNazanin" w:eastAsia="IRNazanin"/>
          <w:color w:val="111111"/>
          <w:sz w:val="28"/>
          <w:sz w:val="28"/>
          <w:szCs w:val="28"/>
          <w:rtl w:val="true"/>
          <w:lang w:bidi="fa-IR"/>
        </w:rPr>
        <w:t>التزام حدوث الملک عند التصرّف المتوقّف علیه،لا یلیق بالمتفقّه فضلاً عن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ذکر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9" w:name="__RefHeading___Toc5082508_2314609296"/>
      <w:bookmarkStart w:id="110" w:name="_Toc45"/>
      <w:bookmarkEnd w:id="109"/>
      <w:r>
        <w:rPr>
          <w:rtl w:val="true"/>
        </w:rPr>
        <w:t>[</w:t>
      </w:r>
      <w:r>
        <w:rPr>
          <w:rtl w:val="true"/>
        </w:rPr>
        <w:t>دعوی کاشف الغطاء أن القول بالإباحة یستلزم تأسیس قواعد جدیدة</w:t>
      </w:r>
      <w:r>
        <w:rPr>
          <w:rtl w:val="true"/>
        </w:rPr>
        <w:t>]</w:t>
      </w:r>
      <w:bookmarkEnd w:id="110"/>
    </w:p>
    <w:p>
      <w:pPr>
        <w:pStyle w:val="BookText"/>
        <w:rPr/>
      </w:pPr>
      <w:r>
        <w:rPr>
          <w:rFonts w:ascii="IRNazanin" w:hAnsi="IRNazanin" w:eastAsia="IRNazanin"/>
          <w:color w:val="111111"/>
          <w:sz w:val="28"/>
          <w:sz w:val="28"/>
          <w:szCs w:val="28"/>
          <w:rtl w:val="true"/>
          <w:lang w:bidi="fa-IR"/>
        </w:rPr>
        <w:t>بعض الأساطین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شرحه علی القواعد فی مقام الاستبعاد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القول بالإباحة المجرّدة،مع فرض </w:t>
      </w:r>
      <w:r>
        <w:rPr>
          <w:rStyle w:val="FootnoteAnchor"/>
          <w:rtl w:val="true"/>
        </w:rPr>
        <w:footnoteReference w:id="229"/>
      </w:r>
      <w:r>
        <w:rPr>
          <w:rFonts w:ascii="IRNazanin" w:hAnsi="IRNazanin" w:eastAsia="IRNazanin"/>
          <w:color w:val="111111"/>
          <w:sz w:val="28"/>
          <w:sz w:val="28"/>
          <w:szCs w:val="28"/>
          <w:rtl w:val="true"/>
          <w:lang w:bidi="fa-IR"/>
        </w:rPr>
        <w:t>قصد المتعاطیین التملیک و البیع،مستلزم لتأسیس قواعد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العقود و ما قام مقامها لا تتبع القصود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إرادة التصرّف من المملِّکات،فتملک </w:t>
      </w:r>
      <w:r>
        <w:rPr>
          <w:rStyle w:val="FootnoteAnchor"/>
          <w:rtl w:val="true"/>
        </w:rPr>
        <w:footnoteReference w:id="230"/>
      </w:r>
      <w:r>
        <w:rPr>
          <w:rFonts w:ascii="IRNazanin" w:hAnsi="IRNazanin" w:eastAsia="IRNazanin"/>
          <w:color w:val="111111"/>
          <w:sz w:val="28"/>
          <w:sz w:val="28"/>
          <w:szCs w:val="28"/>
          <w:rtl w:val="true"/>
          <w:lang w:bidi="fa-IR"/>
        </w:rPr>
        <w:t xml:space="preserve">العین أو المنفعة بإرادة التصرّف بهما </w:t>
      </w:r>
      <w:r>
        <w:rPr>
          <w:rStyle w:val="FootnoteAnchor"/>
          <w:rtl w:val="true"/>
        </w:rPr>
        <w:footnoteReference w:id="231"/>
      </w:r>
      <w:r>
        <w:rPr>
          <w:rFonts w:ascii="IRNazanin" w:hAnsi="IRNazanin" w:eastAsia="IRNazanin"/>
          <w:color w:val="111111"/>
          <w:sz w:val="28"/>
          <w:sz w:val="28"/>
          <w:szCs w:val="28"/>
          <w:rtl w:val="true"/>
          <w:lang w:bidi="fa-IR"/>
        </w:rPr>
        <w:t xml:space="preserve">،أو معه </w:t>
      </w:r>
      <w:r>
        <w:rPr>
          <w:rStyle w:val="FootnoteAnchor"/>
          <w:rtl w:val="true"/>
        </w:rPr>
        <w:footnoteReference w:id="232"/>
      </w:r>
      <w:r>
        <w:rPr>
          <w:rFonts w:ascii="IRNazanin" w:hAnsi="IRNazanin" w:eastAsia="IRNazanin"/>
          <w:color w:val="111111"/>
          <w:sz w:val="28"/>
          <w:sz w:val="28"/>
          <w:szCs w:val="28"/>
          <w:rtl w:val="true"/>
          <w:lang w:bidi="fa-IR"/>
        </w:rPr>
        <w:t xml:space="preserve">دفعة و إن لم یخطر ببال المالک الأوّل الإذن فی شیءٍ من هذه التصرّفات؛لأنّه قاصد للنقل من حین الدفع،و أنّه </w:t>
      </w:r>
      <w:r>
        <w:rPr>
          <w:rStyle w:val="FootnoteAnchor"/>
          <w:rtl w:val="true"/>
        </w:rPr>
        <w:footnoteReference w:id="233"/>
      </w:r>
      <w:r>
        <w:rPr>
          <w:rFonts w:ascii="IRNazanin" w:hAnsi="IRNazanin" w:eastAsia="IRNazanin"/>
          <w:color w:val="111111"/>
          <w:sz w:val="28"/>
          <w:sz w:val="28"/>
          <w:szCs w:val="28"/>
          <w:rtl w:val="true"/>
          <w:lang w:bidi="fa-IR"/>
        </w:rPr>
        <w:t>لا سلطان له بعد ذلک،بخلاف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عنّی،و تصدّق بمالی عنک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الأخماس و الزکوات و الاستطاعة و الدیون و النفقات و حقّ المقاسمة </w:t>
      </w:r>
      <w:r>
        <w:rPr>
          <w:rStyle w:val="FootnoteAnchor"/>
          <w:rtl w:val="true"/>
        </w:rPr>
        <w:footnoteReference w:id="234"/>
      </w:r>
      <w:r>
        <w:rPr>
          <w:rFonts w:ascii="IRNazanin" w:hAnsi="IRNazanin" w:eastAsia="IRNazanin"/>
          <w:color w:val="111111"/>
          <w:sz w:val="28"/>
          <w:sz w:val="28"/>
          <w:szCs w:val="28"/>
          <w:rtl w:val="true"/>
          <w:lang w:bidi="fa-IR"/>
        </w:rPr>
        <w:t xml:space="preserve">و الشفعة و المواریث و الربا و الوصایا تتعلّق بما </w:t>
      </w:r>
      <w:r>
        <w:rPr>
          <w:rStyle w:val="FootnoteAnchor"/>
          <w:rtl w:val="true"/>
        </w:rPr>
        <w:footnoteReference w:id="235"/>
      </w:r>
      <w:r>
        <w:rPr>
          <w:rFonts w:ascii="IRNazanin" w:hAnsi="IRNazanin" w:eastAsia="IRNazanin"/>
          <w:color w:val="111111"/>
          <w:sz w:val="28"/>
          <w:sz w:val="28"/>
          <w:szCs w:val="28"/>
          <w:rtl w:val="true"/>
          <w:lang w:bidi="fa-IR"/>
        </w:rPr>
        <w:t>فی الید، مع العلم ببقاء مقابله،و عدم التصرّف فیه،أو عدم العلم به،فینفی بالأصل،فتکون متعلّقة بغیر الأملاک،و أنّ صفة الغنی و الفقر تترتّب</w:t>
      </w:r>
    </w:p>
    <w:p>
      <w:pPr>
        <w:pStyle w:val="BookText"/>
        <w:rPr/>
      </w:pPr>
      <w:r>
        <w:rPr>
          <w:rFonts w:ascii="IRNazanin" w:hAnsi="IRNazanin" w:eastAsia="IRNazanin"/>
          <w:color w:val="111111"/>
          <w:sz w:val="28"/>
          <w:sz w:val="28"/>
          <w:szCs w:val="28"/>
          <w:rtl w:val="true"/>
          <w:lang w:bidi="fa-IR"/>
        </w:rPr>
        <w:t>علیه کذلک،فیصیر ما لیس من الأملاک بحکم الأملاک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التصرّف من جانبٍ مملّکاً للجانب الآخر،مضافاً إلی غرابة استناد الملک إلی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التلف السماوی من جانبٍ مملّکاً للجانب الآخر، و التلف من الجانبین </w:t>
      </w:r>
      <w:r>
        <w:rPr>
          <w:rStyle w:val="FootnoteAnchor"/>
          <w:rtl w:val="true"/>
        </w:rPr>
        <w:footnoteReference w:id="236"/>
      </w:r>
      <w:r>
        <w:rPr>
          <w:rFonts w:ascii="IRNazanin" w:hAnsi="IRNazanin" w:eastAsia="IRNazanin"/>
          <w:color w:val="111111"/>
          <w:sz w:val="28"/>
          <w:sz w:val="28"/>
          <w:szCs w:val="28"/>
          <w:rtl w:val="true"/>
          <w:lang w:bidi="fa-IR"/>
        </w:rPr>
        <w:t>معیّناً للمسمّی من الطرفین،و لا رجوع إلی قیمة المثل حتی یکون له الرجوع بالتفاوت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حصوله فی ید الغاصب أو تلفه فیها،فالقول بأنّه المطالب؛ لأنّه تملّک </w:t>
      </w:r>
      <w:r>
        <w:rPr>
          <w:rStyle w:val="FootnoteAnchor"/>
          <w:rtl w:val="true"/>
        </w:rPr>
        <w:footnoteReference w:id="237"/>
      </w:r>
      <w:r>
        <w:rPr>
          <w:rFonts w:ascii="IRNazanin" w:hAnsi="IRNazanin" w:eastAsia="IRNazanin"/>
          <w:color w:val="111111"/>
          <w:sz w:val="28"/>
          <w:sz w:val="28"/>
          <w:szCs w:val="28"/>
          <w:rtl w:val="true"/>
          <w:lang w:bidi="fa-IR"/>
        </w:rPr>
        <w:t>بالغصب أو التلف فی ید الغاصب،غریب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بعدم الملک بعید جدّاً،مع أنّ فی التلف القهری إن ملک التالف قبل التلف فهو عجیب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بعید؛لعدم قابلیّته </w:t>
      </w:r>
      <w:r>
        <w:rPr>
          <w:rStyle w:val="FootnoteAnchor"/>
          <w:rtl w:val="true"/>
        </w:rPr>
        <w:footnoteReference w:id="239"/>
      </w:r>
      <w:r>
        <w:rPr>
          <w:rFonts w:ascii="IRNazanin" w:hAnsi="IRNazanin" w:eastAsia="IRNazanin"/>
          <w:color w:val="111111"/>
          <w:sz w:val="28"/>
          <w:sz w:val="28"/>
          <w:szCs w:val="28"/>
          <w:rtl w:val="true"/>
          <w:lang w:bidi="fa-IR"/>
        </w:rPr>
        <w:t>،و بعده ملک معدوم،و مع عدم الدخول فی الملک یکون ملک الآخر بغیر عوض،و نفی الملک مخالف للسیرة و بناء المتعاطیین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التصرّف إن جعلناه من النواقل القهریة فلا یتوقّف علی النیّة،فهو بعید،و إن أوقفناه علیها کان الواطئ للجاریة من غیرها </w:t>
      </w:r>
      <w:r>
        <w:rPr>
          <w:rStyle w:val="FootnoteAnchor"/>
          <w:rtl w:val="true"/>
        </w:rPr>
        <w:footnoteReference w:id="240"/>
      </w:r>
      <w:r>
        <w:rPr>
          <w:rFonts w:ascii="IRNazanin" w:hAnsi="IRNazanin" w:eastAsia="IRNazanin"/>
          <w:color w:val="111111"/>
          <w:sz w:val="28"/>
          <w:sz w:val="28"/>
          <w:szCs w:val="28"/>
          <w:rtl w:val="true"/>
          <w:lang w:bidi="fa-IR"/>
        </w:rPr>
        <w:t xml:space="preserve">واطئاً بالشبهة،و الجانی علیه و المتلف </w:t>
      </w:r>
      <w:r>
        <w:rPr>
          <w:rStyle w:val="FootnoteAnchor"/>
          <w:rtl w:val="true"/>
        </w:rPr>
        <w:footnoteReference w:id="241"/>
      </w:r>
      <w:r>
        <w:rPr>
          <w:rFonts w:ascii="Amiri" w:hAnsi="Amiri" w:eastAsia="Amiri" w:cs="Amiri"/>
          <w:color w:val="111111"/>
          <w:sz w:val="28"/>
          <w:sz w:val="28"/>
          <w:szCs w:val="28"/>
          <w:rtl w:val="true"/>
          <w:lang w:bidi="ar-SA"/>
        </w:rPr>
        <w:t>جانیاً علی مال الغیر و متلِفاً له</w:t>
      </w:r>
      <w:r>
        <w:rPr>
          <w:rFonts w:eastAsia="Amiri" w:cs="Amiri" w:ascii="Amiri" w:hAnsi="Amiri"/>
          <w:color w:val="111111"/>
          <w:sz w:val="28"/>
          <w:szCs w:val="28"/>
          <w:rtl w:val="true"/>
          <w:lang w:bidi="ar-SA"/>
        </w:rPr>
        <w:t>.</w:t>
      </w:r>
      <w:bookmarkStart w:id="111" w:name="pg19763_247792"/>
    </w:p>
    <w:p>
      <w:pPr>
        <w:pStyle w:val="BookText"/>
        <w:rPr/>
      </w:pPr>
      <w:bookmarkEnd w:id="111"/>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النماء الحادث قبل التصرّف،إن جعلنا حدوثه مملّکاً له دون العین فبعید،أو معها فکذلک،و کلاهما منافٍ لظاهر الأکثر، و شمول الإذن له خفیّ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التملیک </w:t>
      </w:r>
      <w:r>
        <w:rPr>
          <w:rStyle w:val="FootnoteAnchor"/>
          <w:rtl w:val="true"/>
        </w:rPr>
        <w:footnoteReference w:id="243"/>
      </w:r>
      <w:r>
        <w:rPr>
          <w:rFonts w:ascii="IRNazanin" w:hAnsi="IRNazanin" w:eastAsia="IRNazanin"/>
          <w:color w:val="111111"/>
          <w:sz w:val="28"/>
          <w:sz w:val="28"/>
          <w:szCs w:val="28"/>
          <w:rtl w:val="true"/>
          <w:lang w:bidi="fa-IR"/>
        </w:rPr>
        <w:t xml:space="preserve">علی التصرّف مع الاستناد فیه إلی أنّ </w:t>
      </w:r>
      <w:r>
        <w:rPr>
          <w:rStyle w:val="FootnoteAnchor"/>
          <w:rtl w:val="true"/>
        </w:rPr>
        <w:footnoteReference w:id="244"/>
      </w:r>
      <w:r>
        <w:rPr>
          <w:rFonts w:ascii="IRNazanin" w:hAnsi="IRNazanin" w:eastAsia="IRNazanin"/>
          <w:color w:val="111111"/>
          <w:sz w:val="28"/>
          <w:sz w:val="28"/>
          <w:szCs w:val="28"/>
          <w:rtl w:val="true"/>
          <w:lang w:bidi="fa-IR"/>
        </w:rPr>
        <w:t xml:space="preserve">إذن المالک فیه إذن فی التملیک،فیرجع إلی کون المتصرّف فی تملیکه </w:t>
      </w:r>
      <w:r>
        <w:rPr>
          <w:rStyle w:val="FootnoteAnchor"/>
          <w:rtl w:val="true"/>
        </w:rPr>
        <w:footnoteReference w:id="245"/>
      </w:r>
      <w:r>
        <w:rPr>
          <w:rFonts w:ascii="IRNazanin" w:hAnsi="IRNazanin" w:eastAsia="IRNazanin"/>
          <w:color w:val="111111"/>
          <w:sz w:val="28"/>
          <w:sz w:val="28"/>
          <w:szCs w:val="28"/>
          <w:rtl w:val="true"/>
          <w:lang w:bidi="fa-IR"/>
        </w:rPr>
        <w:t xml:space="preserve">نفسه موجباً قابلاً،و ذلک جارٍ فی القبض،بل هو أولی منه؛لاقترانه بقصد التملیک،دونه </w:t>
      </w:r>
      <w:r>
        <w:rPr>
          <w:rStyle w:val="FootnoteAnchor"/>
          <w:rtl w:val="true"/>
        </w:rPr>
        <w:footnoteReference w:id="2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12" w:name="__RefHeading___Toc5082510_2314609296"/>
      <w:bookmarkStart w:id="113" w:name="_Toc46"/>
      <w:bookmarkEnd w:id="112"/>
      <w:r>
        <w:rPr>
          <w:rtl w:val="true"/>
        </w:rPr>
        <w:t>[</w:t>
      </w:r>
      <w:r>
        <w:rPr>
          <w:rtl w:val="true"/>
        </w:rPr>
        <w:t>المناقشة فیما ادعاه کاشف الغطاء</w:t>
      </w:r>
      <w:r>
        <w:rPr>
          <w:rtl w:val="true"/>
        </w:rPr>
        <w:t>]</w:t>
      </w:r>
      <w:bookmarkEnd w:id="113"/>
    </w:p>
    <w:p>
      <w:pPr>
        <w:pStyle w:val="BookText"/>
        <w:rPr/>
      </w:pPr>
      <w:r>
        <w:rPr>
          <w:rFonts w:ascii="IRNazanin" w:hAnsi="IRNazanin" w:eastAsia="IRNazanin"/>
          <w:color w:val="111111"/>
          <w:sz w:val="28"/>
          <w:sz w:val="28"/>
          <w:szCs w:val="28"/>
          <w:rtl w:val="true"/>
          <w:lang w:bidi="fa-IR"/>
        </w:rPr>
        <w:t xml:space="preserve">و المقصود من ذلک کلّه استبعاد هذا القول،لا أنّ الوجوه المذکورة تنهض </w:t>
      </w:r>
      <w:r>
        <w:rPr>
          <w:rStyle w:val="FootnoteAnchor"/>
          <w:rtl w:val="true"/>
        </w:rPr>
        <w:footnoteReference w:id="247"/>
      </w:r>
      <w:r>
        <w:rPr>
          <w:rFonts w:ascii="IRNazanin" w:hAnsi="IRNazanin" w:eastAsia="IRNazanin"/>
          <w:color w:val="111111"/>
          <w:sz w:val="28"/>
          <w:sz w:val="28"/>
          <w:szCs w:val="28"/>
          <w:rtl w:val="true"/>
          <w:lang w:bidi="fa-IR"/>
        </w:rPr>
        <w:t>فی مقابل الأُصول و العمومات؛إذ لیس فیها تأسیس قواعد جدیدة لتخالف القواعد المتداولة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حکایة تبعیّة العقود و ما قام مقامها للقصود،ففیها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المعاطاة لیست عند القائل بالإباحة المجرّدة من العقود، و لا من القائم مقامها شرعاً؛فإنّ تبعیة العقد للقصد و عدم انفکاکه عنه إنّما هو لأجل دلیل صحّة ذلک العقد،بمعنی ترتّب الأثر المقصود علیه، فلا یعقل حینئذٍ الحکم بالصحّة مع عدم ترتّب الأثر المقصود علیه،</w:t>
      </w:r>
    </w:p>
    <w:p>
      <w:pPr>
        <w:pStyle w:val="BookText"/>
        <w:rPr/>
      </w:pPr>
      <w:r>
        <w:rPr>
          <w:rFonts w:ascii="IRNazanin" w:hAnsi="IRNazanin" w:eastAsia="IRNazanin"/>
          <w:color w:val="111111"/>
          <w:sz w:val="28"/>
          <w:sz w:val="28"/>
          <w:szCs w:val="28"/>
          <w:rtl w:val="true"/>
          <w:lang w:bidi="fa-IR"/>
        </w:rPr>
        <w:t xml:space="preserve">أمّا المعاملات الفعلیّة التی لم یدلّ علی صحّتها دلیل،فلا یحکم بترتّب الأثر المقصود علیها،کما نبّه علیه الشهید فی کلامه المتقدّم </w:t>
      </w:r>
      <w:r>
        <w:rPr>
          <w:rStyle w:val="FootnoteAnchor"/>
          <w:rtl w:val="true"/>
        </w:rPr>
        <w:footnoteReference w:id="248"/>
      </w:r>
      <w:r>
        <w:rPr>
          <w:rFonts w:ascii="IRNazanin" w:hAnsi="IRNazanin" w:eastAsia="IRNazanin"/>
          <w:color w:val="111111"/>
          <w:sz w:val="28"/>
          <w:sz w:val="28"/>
          <w:szCs w:val="28"/>
          <w:rtl w:val="true"/>
          <w:lang w:bidi="fa-IR"/>
        </w:rPr>
        <w:t xml:space="preserve">من أنّ السبب الفعلی لا یقوم مقام السبب القولی فی المبایعات </w:t>
      </w:r>
      <w:r>
        <w:rPr>
          <w:rStyle w:val="FootnoteAnchor"/>
          <w:rtl w:val="true"/>
        </w:rPr>
        <w:footnoteReference w:id="249"/>
      </w:r>
      <w:r>
        <w:rPr>
          <w:rFonts w:ascii="IRNazanin" w:hAnsi="IRNazanin" w:eastAsia="IRNazanin"/>
          <w:color w:val="111111"/>
          <w:sz w:val="28"/>
          <w:sz w:val="28"/>
          <w:szCs w:val="28"/>
          <w:rtl w:val="true"/>
          <w:lang w:bidi="fa-IR"/>
        </w:rPr>
        <w:t xml:space="preserve">،نعم إذا دلّ الدلیل علی ترتّب أثر علیه حکم به </w:t>
      </w:r>
      <w:r>
        <w:rPr>
          <w:rStyle w:val="FootnoteAnchor"/>
          <w:rtl w:val="true"/>
        </w:rPr>
        <w:footnoteReference w:id="250"/>
      </w:r>
      <w:r>
        <w:rPr>
          <w:rFonts w:ascii="IRNazanin" w:hAnsi="IRNazanin" w:eastAsia="IRNazanin"/>
          <w:color w:val="111111"/>
          <w:sz w:val="28"/>
          <w:sz w:val="28"/>
          <w:szCs w:val="28"/>
          <w:rtl w:val="true"/>
          <w:lang w:bidi="fa-IR"/>
        </w:rPr>
        <w:t>و إن لم یکن مقصوداً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تخلّف العقد عن مقصود المتبایعین کثیر،فإنّهم أطبقوا علی أنّ عقد المعاوضة إذا کان فاسداً یؤثّر فی ضمان کلٍّ من العوضین القیمة </w:t>
      </w:r>
      <w:r>
        <w:rPr>
          <w:rStyle w:val="FootnoteAnchor"/>
          <w:rtl w:val="true"/>
        </w:rPr>
        <w:footnoteReference w:id="251"/>
      </w:r>
      <w:r>
        <w:rPr>
          <w:rFonts w:ascii="IRNazanin" w:hAnsi="IRNazanin" w:eastAsia="IRNazanin"/>
          <w:color w:val="111111"/>
          <w:sz w:val="28"/>
          <w:sz w:val="28"/>
          <w:szCs w:val="28"/>
          <w:rtl w:val="true"/>
          <w:lang w:bidi="fa-IR"/>
        </w:rPr>
        <w:t>لإفادة العقد الفاسد الضمان عندهم فیما یقتضیه صحیحه،مع أنّهما لم یقصدا إلّا ضمان کلٍّ منهما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دلیلهم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لم یذکر هذا الوجه إلّا بعضهم معطوفاً علی الوجه الأوّل،و هو إقدامهما علی الضمان،فلاحظ المسالک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الشرط الفاسد </w:t>
      </w:r>
      <w:r>
        <w:rPr>
          <w:rStyle w:val="FootnoteAnchor"/>
          <w:rtl w:val="true"/>
        </w:rPr>
        <w:footnoteReference w:id="253"/>
      </w:r>
      <w:r>
        <w:rPr>
          <w:rFonts w:ascii="IRNazanin" w:hAnsi="IRNazanin" w:eastAsia="IRNazanin"/>
          <w:color w:val="111111"/>
          <w:sz w:val="28"/>
          <w:sz w:val="28"/>
          <w:szCs w:val="28"/>
          <w:rtl w:val="true"/>
          <w:lang w:bidi="fa-IR"/>
        </w:rPr>
        <w:t xml:space="preserve">لم یقصد المعاملة إلّا </w:t>
      </w:r>
      <w:r>
        <w:rPr>
          <w:rStyle w:val="FootnoteAnchor"/>
          <w:rtl w:val="true"/>
        </w:rPr>
        <w:footnoteReference w:id="254"/>
      </w:r>
      <w:r>
        <w:rPr>
          <w:rFonts w:ascii="IRNazanin" w:hAnsi="IRNazanin" w:eastAsia="IRNazanin"/>
          <w:color w:val="111111"/>
          <w:sz w:val="28"/>
          <w:sz w:val="28"/>
          <w:szCs w:val="28"/>
          <w:rtl w:val="true"/>
          <w:lang w:bidi="fa-IR"/>
        </w:rPr>
        <w:t>مقرونة به غیر مفسد عند أکثر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بیع ما یملک و ما لا یملک صحیح عند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بیع الغاصب لنفسه یقع للمالک مع إجازته علی قول کثیر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ترک ذکر الأجل فی العقد المقصود به الانقطاع یجعله دائماً،علی قولٍ نسبه فی المسالک و کشف اللثام إلی المشهور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نعم،الفرق بین العقود و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التخلّف عن القصود </w:t>
      </w:r>
      <w:r>
        <w:rPr>
          <w:rStyle w:val="FootnoteAnchor"/>
          <w:rtl w:val="true"/>
        </w:rPr>
        <w:footnoteReference w:id="257"/>
      </w:r>
      <w:r>
        <w:rPr>
          <w:rFonts w:ascii="IRNazanin" w:hAnsi="IRNazanin" w:eastAsia="IRNazanin"/>
          <w:color w:val="111111"/>
          <w:sz w:val="28"/>
          <w:sz w:val="28"/>
          <w:szCs w:val="28"/>
          <w:rtl w:val="true"/>
          <w:lang w:bidi="fa-IR"/>
        </w:rPr>
        <w:t>یحتاج إلی الدلیل المخرج عن أدلّة صحّة العقود،و فیما نحن فیه عدم الترتّب مطابق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من لزوم کون إرادة التصرّف مملّکاً،فلا بأس بالتزامه إذا کان مقتضی الجمع بین الأصل و دلیل جواز التصرّف المطلق، و أدلّة توقّف بعض التصرّفات علی الملک،فیکون کتصرّف ذی الخیار و الواهب فیما انتقل عنهما بالوطء و البیع و العتق و شبهها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من تعلّق الأخماس و الزکوات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استبعاد محض،و دفعه بمخالفته </w:t>
      </w:r>
      <w:r>
        <w:rPr>
          <w:rStyle w:val="FootnoteAnchor"/>
          <w:rtl w:val="true"/>
        </w:rPr>
        <w:footnoteReference w:id="259"/>
      </w:r>
      <w:r>
        <w:rPr>
          <w:rFonts w:ascii="IRNazanin" w:hAnsi="IRNazanin" w:eastAsia="IRNazanin"/>
          <w:color w:val="111111"/>
          <w:sz w:val="28"/>
          <w:sz w:val="28"/>
          <w:szCs w:val="28"/>
          <w:rtl w:val="true"/>
          <w:lang w:bidi="fa-IR"/>
        </w:rPr>
        <w:t>للسیرة رجوع إلیها،مع أنّ تعلّق الاستطاعة الموجبة للحجّ،و تحقّق الغنی المانع عن استحقاق الزکاة، لا یتوقّفان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التصرّف مملّکاً للجانب الآخر،فقد ظهر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التلف مملّکاً للجانبین،فإن ثبت بإجماع أو 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کلٌّ من المالین مضموناً بعوضه،فیکون تلفه فی ید کلٍّ منهما من ماله مضموناً بعوضه،نظیر تلف المبیع قبل قبضه فی ید البائع؛ لأنّ هذا هو مقتضی الجمع بین هذا الإجماع و بین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و بین أصالة عدم الملک إلّا فی الزمان المتیقّن وقوعه </w:t>
      </w:r>
      <w:r>
        <w:rPr>
          <w:rStyle w:val="FootnoteAnchor"/>
          <w:rtl w:val="true"/>
        </w:rPr>
        <w:footnoteReference w:id="261"/>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الإجماع لمّا دلّ علی عدم ضمانه بمثله أو قیمته، حکم بکون التلف </w:t>
      </w:r>
      <w:r>
        <w:rPr>
          <w:rStyle w:val="FootnoteAnchor"/>
          <w:rtl w:val="true"/>
        </w:rPr>
        <w:footnoteReference w:id="262"/>
      </w:r>
      <w:r>
        <w:rPr>
          <w:rFonts w:ascii="IRNazanin" w:hAnsi="IRNazanin" w:eastAsia="IRNazanin"/>
          <w:color w:val="111111"/>
          <w:sz w:val="28"/>
          <w:sz w:val="28"/>
          <w:szCs w:val="28"/>
          <w:rtl w:val="true"/>
          <w:lang w:bidi="fa-IR"/>
        </w:rPr>
        <w:t>من مال ذی الید؛رعایةً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الإجماع مع العموم المذکور بمنزلة الروایة الواردة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 المبیع قبل قبضه من مال بائعه </w:t>
      </w:r>
      <w:r>
        <w:rPr>
          <w:rStyle w:val="FootnoteAnchor"/>
          <w:rtl w:val="true"/>
        </w:rPr>
        <w:footnoteReference w:id="263"/>
      </w:r>
      <w:r>
        <w:rPr>
          <w:rFonts w:ascii="IRNazanin" w:hAnsi="IRNazanin" w:eastAsia="IRNazanin"/>
          <w:color w:val="111111"/>
          <w:sz w:val="28"/>
          <w:sz w:val="28"/>
          <w:szCs w:val="28"/>
          <w:rtl w:val="true"/>
          <w:lang w:bidi="fa-IR"/>
        </w:rPr>
        <w:t xml:space="preserve">،فإذا قدّر التلف </w:t>
      </w:r>
      <w:r>
        <w:rPr>
          <w:rStyle w:val="FootnoteAnchor"/>
          <w:rtl w:val="true"/>
        </w:rPr>
        <w:footnoteReference w:id="264"/>
      </w:r>
      <w:r>
        <w:rPr>
          <w:rFonts w:ascii="IRNazanin" w:hAnsi="IRNazanin" w:eastAsia="IRNazanin"/>
          <w:color w:val="111111"/>
          <w:sz w:val="28"/>
          <w:sz w:val="28"/>
          <w:szCs w:val="28"/>
          <w:rtl w:val="true"/>
          <w:lang w:bidi="fa-IR"/>
        </w:rPr>
        <w:t xml:space="preserve">من مال ذی الید </w:t>
      </w:r>
      <w:r>
        <w:rPr>
          <w:rStyle w:val="FootnoteAnchor"/>
          <w:rtl w:val="true"/>
        </w:rPr>
        <w:footnoteReference w:id="265"/>
      </w:r>
      <w:r>
        <w:rPr>
          <w:rFonts w:ascii="IRNazanin" w:hAnsi="IRNazanin" w:eastAsia="IRNazanin"/>
          <w:color w:val="111111"/>
          <w:sz w:val="28"/>
          <w:sz w:val="28"/>
          <w:szCs w:val="28"/>
          <w:rtl w:val="true"/>
          <w:lang w:bidi="fa-IR"/>
        </w:rPr>
        <w:t>،فلا بدّ من أن یقدّر فی آخر أزمنة إمکان تقدیره؛رعایةً لأصالة عدم حدوث الملکیّة قبله،کما یقدّر ملکیة المبیع للبائع و فسخ البیع من حین التلف؛استصحاباً لأثر العقد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من صورة غصب المأخوذ بالمعاطاة،فالظاهر علی</w:t>
      </w:r>
    </w:p>
    <w:p>
      <w:pPr>
        <w:pStyle w:val="BookText"/>
        <w:rPr/>
      </w:pPr>
      <w:r>
        <w:rPr>
          <w:rFonts w:ascii="IRNazanin" w:hAnsi="IRNazanin" w:eastAsia="IRNazanin"/>
          <w:color w:val="111111"/>
          <w:sz w:val="28"/>
          <w:sz w:val="28"/>
          <w:szCs w:val="28"/>
          <w:rtl w:val="true"/>
          <w:lang w:bidi="fa-IR"/>
        </w:rPr>
        <w:t>القول بالإباحة أنّ لکلٍّ منهما المطالبة ما دام باقیاً،و إذا تلف،فظاهر إطلاقهم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التملّک </w:t>
      </w:r>
      <w:r>
        <w:rPr>
          <w:rStyle w:val="FootnoteAnchor"/>
          <w:rtl w:val="true"/>
        </w:rPr>
        <w:footnoteReference w:id="266"/>
      </w:r>
      <w:r>
        <w:rPr>
          <w:rFonts w:ascii="IRNazanin" w:hAnsi="IRNazanin" w:eastAsia="IRNazanin"/>
          <w:color w:val="111111"/>
          <w:sz w:val="28"/>
          <w:sz w:val="28"/>
          <w:szCs w:val="28"/>
          <w:rtl w:val="true"/>
          <w:lang w:bidi="fa-IR"/>
        </w:rPr>
        <w:t>بالتلف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 من مال المغصوب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قام إجماع کان تلفه من مال المالک لو لم یتلف عوضه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من حکم النماء،فظاهر المحکیّ عن بعضٍ أنّ القائل بالإباحة لا یقول بانتقال النماء إلی الآخذ </w:t>
      </w:r>
      <w:r>
        <w:rPr>
          <w:rStyle w:val="FootnoteAnchor"/>
          <w:rtl w:val="true"/>
        </w:rPr>
        <w:footnoteReference w:id="268"/>
      </w:r>
      <w:r>
        <w:rPr>
          <w:rFonts w:ascii="IRNazanin" w:hAnsi="IRNazanin" w:eastAsia="IRNazanin"/>
          <w:color w:val="111111"/>
          <w:sz w:val="28"/>
          <w:sz w:val="28"/>
          <w:szCs w:val="28"/>
          <w:rtl w:val="true"/>
          <w:lang w:bidi="fa-IR"/>
        </w:rPr>
        <w:t>،بل حکمه حکم أصله، و یحتمل أن یحدث النماء فی ملکه بمجرّد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 بملاحظة ما ذکرنا </w:t>
      </w:r>
      <w:r>
        <w:rPr>
          <w:rStyle w:val="FootnoteAnchor"/>
          <w:rtl w:val="true"/>
        </w:rPr>
        <w:footnoteReference w:id="269"/>
      </w:r>
      <w:r>
        <w:rPr>
          <w:rFonts w:ascii="IRNazanin" w:hAnsi="IRNazanin" w:eastAsia="IRNazanin"/>
          <w:color w:val="111111"/>
          <w:sz w:val="28"/>
          <w:sz w:val="28"/>
          <w:szCs w:val="28"/>
          <w:rtl w:val="true"/>
          <w:lang w:bidi="fa-IR"/>
        </w:rPr>
        <w:t>تقدر علی التخلّص عن سائر ما ذکره،مع أنّه رحمه اللّه لم یذکرها للاعتماد،و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استبعادات فی محلّها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بالجملة،فالخروج عن أصالة عدم الملک المعتضد بالشهرة المحقّقة إلی زمان المحقّق الثانی،و بالاتّفاق المدّعی فی الغنیة </w:t>
      </w:r>
      <w:r>
        <w:rPr>
          <w:rStyle w:val="FootnoteAnchor"/>
          <w:rtl w:val="true"/>
        </w:rPr>
        <w:footnoteReference w:id="270"/>
      </w:r>
      <w:r>
        <w:rPr>
          <w:rFonts w:ascii="IRNazanin" w:hAnsi="IRNazanin" w:eastAsia="IRNazanin"/>
          <w:color w:val="111111"/>
          <w:sz w:val="28"/>
          <w:sz w:val="28"/>
          <w:szCs w:val="28"/>
          <w:rtl w:val="true"/>
          <w:lang w:bidi="fa-IR"/>
        </w:rPr>
        <w:t xml:space="preserve">و القواعد </w:t>
      </w:r>
      <w:r>
        <w:rPr>
          <w:rStyle w:val="FootnoteAnchor"/>
          <w:rtl w:val="true"/>
        </w:rPr>
        <w:footnoteReference w:id="271"/>
      </w:r>
      <w:r>
        <w:rPr>
          <w:rFonts w:ascii="IRNazanin" w:hAnsi="IRNazanin" w:eastAsia="IRNazanin"/>
          <w:color w:val="111111"/>
          <w:sz w:val="28"/>
          <w:sz w:val="28"/>
          <w:szCs w:val="28"/>
          <w:rtl w:val="true"/>
          <w:lang w:bidi="fa-IR"/>
        </w:rPr>
        <w:t>هنا و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مسألة توقّف الهبة علی الإیجاب و القبول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مشکل،و رفع الید عن عموم أدلّة البیع و الهبة و نحوهما المعتضدة بالسیرة</w:t>
      </w:r>
      <w:bookmarkStart w:id="114" w:name="pg19763_247797"/>
    </w:p>
    <w:p>
      <w:pPr>
        <w:pStyle w:val="BookText"/>
        <w:rPr/>
      </w:pPr>
      <w:bookmarkEnd w:id="114"/>
      <w:r>
        <w:rPr>
          <w:rFonts w:ascii="IRNazanin" w:hAnsi="IRNazanin" w:eastAsia="IRNazanin"/>
          <w:color w:val="111111"/>
          <w:sz w:val="28"/>
          <w:sz w:val="28"/>
          <w:szCs w:val="28"/>
          <w:rtl w:val="true"/>
          <w:lang w:bidi="fa-IR"/>
        </w:rPr>
        <w:t xml:space="preserve">القطعیّة المستمرّة،و بدعوی الاتّفاق المتقدّم عن المحقّق الثانی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تأویله لکلمات القائلین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الثانی لا یخلو عن قوّة</w:t>
      </w:r>
      <w:r>
        <w:rPr>
          <w:rFonts w:eastAsia="IRNazanin" w:cs="IRNazanin"/>
          <w:color w:val="111111"/>
          <w:sz w:val="28"/>
          <w:szCs w:val="28"/>
          <w:rtl w:val="true"/>
          <w:lang w:bidi="fa-IR"/>
        </w:rPr>
        <w:t>.</w:t>
      </w:r>
    </w:p>
    <w:p>
      <w:pPr>
        <w:pStyle w:val="Heading4"/>
        <w:numPr>
          <w:ilvl w:val="3"/>
          <w:numId w:val="1"/>
        </w:numPr>
        <w:rPr/>
      </w:pPr>
      <w:bookmarkStart w:id="115" w:name="__RefHeading___Toc5082512_2314609296"/>
      <w:bookmarkStart w:id="116" w:name="_Toc47"/>
      <w:bookmarkEnd w:id="115"/>
      <w:r>
        <w:rPr>
          <w:rtl w:val="true"/>
        </w:rPr>
        <w:t>[</w:t>
      </w:r>
      <w:r>
        <w:rPr>
          <w:rtl w:val="true"/>
        </w:rPr>
        <w:t>هل المعاطاة لازمة أم جائزة</w:t>
      </w:r>
      <w:r>
        <w:rPr>
          <w:rtl w:val="true"/>
        </w:rPr>
        <w:t>]</w:t>
      </w:r>
      <w:bookmarkEnd w:id="116"/>
    </w:p>
    <w:p>
      <w:pPr>
        <w:pStyle w:val="Heading5"/>
        <w:numPr>
          <w:ilvl w:val="4"/>
          <w:numId w:val="1"/>
        </w:numPr>
        <w:rPr/>
      </w:pPr>
      <w:bookmarkStart w:id="117" w:name="__RefHeading___Toc5082514_2314609296"/>
      <w:bookmarkStart w:id="118" w:name="_Toc48"/>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و علیه،فهل هی لازمة ابتداءً مطلقاً؟کما حکی عن ظاهر المفید رحمه اللّه </w:t>
      </w:r>
      <w:r>
        <w:rPr>
          <w:rStyle w:val="FootnoteAnchor"/>
          <w:rtl w:val="true"/>
        </w:rPr>
        <w:footnoteReference w:id="274"/>
      </w:r>
      <w:r>
        <w:rPr>
          <w:rFonts w:ascii="IRNazanin" w:hAnsi="IRNazanin" w:eastAsia="IRNazanin"/>
          <w:color w:val="111111"/>
          <w:sz w:val="28"/>
          <w:sz w:val="28"/>
          <w:szCs w:val="28"/>
          <w:rtl w:val="true"/>
          <w:lang w:bidi="fa-IR"/>
        </w:rPr>
        <w:t xml:space="preserve">، أو بشرط کون الدالّ علی التراضی لفظاً؟کما حکی عن بعض معاصری الشهید الثانی </w:t>
      </w:r>
      <w:r>
        <w:rPr>
          <w:rStyle w:val="FootnoteAnchor"/>
          <w:rtl w:val="true"/>
        </w:rPr>
        <w:footnoteReference w:id="275"/>
      </w:r>
      <w:r>
        <w:rPr>
          <w:rFonts w:ascii="Amiri" w:hAnsi="Amiri" w:eastAsia="Amiri" w:cs="Amiri"/>
          <w:color w:val="111111"/>
          <w:sz w:val="28"/>
          <w:sz w:val="28"/>
          <w:szCs w:val="28"/>
          <w:rtl w:val="true"/>
          <w:lang w:bidi="ar-SA"/>
        </w:rPr>
        <w:t xml:space="preserve">،و قوّاه جماعة من متأخّری المحدّثین </w:t>
      </w:r>
      <w:r>
        <w:rPr>
          <w:rStyle w:val="FootnoteAnchor"/>
          <w:rtl w:val="true"/>
        </w:rPr>
        <w:footnoteReference w:id="276"/>
      </w:r>
      <w:r>
        <w:rPr>
          <w:rFonts w:ascii="IRNazanin" w:hAnsi="IRNazanin" w:eastAsia="IRNazanin"/>
          <w:color w:val="111111"/>
          <w:sz w:val="28"/>
          <w:sz w:val="28"/>
          <w:szCs w:val="28"/>
          <w:rtl w:val="true"/>
          <w:lang w:bidi="fa-IR"/>
        </w:rPr>
        <w:t>،أو هی غیر لازمة مطلقاً فیجوز لکلٍّ منهما الرجوع فی ماله؟کما علیه أکثر القائلین بالملک،بل کلّهم عدا من عرفت،وجوه</w:t>
      </w:r>
      <w:r>
        <w:rPr>
          <w:rFonts w:eastAsia="IRNazanin" w:cs="IRNazanin"/>
          <w:color w:val="111111"/>
          <w:sz w:val="28"/>
          <w:szCs w:val="28"/>
          <w:rtl w:val="true"/>
          <w:lang w:bidi="fa-IR"/>
        </w:rPr>
        <w:t>:</w:t>
      </w:r>
    </w:p>
    <w:p>
      <w:pPr>
        <w:pStyle w:val="Heading5"/>
        <w:numPr>
          <w:ilvl w:val="4"/>
          <w:numId w:val="1"/>
        </w:numPr>
        <w:rPr/>
      </w:pPr>
      <w:bookmarkStart w:id="119" w:name="__RefHeading___Toc5082516_2314609296"/>
      <w:bookmarkStart w:id="120" w:name="_Toc49"/>
      <w:bookmarkEnd w:id="119"/>
      <w:r>
        <w:rPr>
          <w:rtl w:val="true"/>
        </w:rPr>
        <w:t>[</w:t>
      </w:r>
      <w:r>
        <w:rPr>
          <w:rtl w:val="true"/>
        </w:rPr>
        <w:t>مقتضی القاعدة اللزوم</w:t>
      </w:r>
      <w:r>
        <w:rPr>
          <w:rtl w:val="true"/>
        </w:rPr>
        <w:t>]</w:t>
      </w:r>
      <w:bookmarkEnd w:id="120"/>
    </w:p>
    <w:p>
      <w:pPr>
        <w:pStyle w:val="Heading6"/>
        <w:numPr>
          <w:ilvl w:val="5"/>
          <w:numId w:val="1"/>
        </w:numPr>
        <w:rPr/>
      </w:pPr>
      <w:bookmarkStart w:id="121" w:name="__RefHeading___Toc5082518_2314609296"/>
      <w:bookmarkStart w:id="122" w:name="_Toc50"/>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أوفقها بالقواعد هو الأوّل؛بناءً علی أصالة اللزوم فی الملک؛ للشکّ فی زواله بمجرّد رجوع مالکه الأصلی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الثابت هو الملک المشترک بین المتزلزل و المستقرّ،و المفروض انتفاء الفرد الأوّل بعد الرجوع،و الفرد الثانی کان مشکوک الحدوث من أوّل الأمر،فلا ینفع الاستصحاب،بل ربما یزاد استصحاب بقاء علقة المالک الأوّل، 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إمکان دعوی کفایة تحقّق القدر المشترک فی الاستصحاب،فتأمّل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انقسام الملک إلی المتزلزل و المستقرّ لیس باعتبار اختلاف فی حقیقته،و إنّما هو باعتبار حکم الشارع علیه فی</w:t>
      </w:r>
    </w:p>
    <w:p>
      <w:pPr>
        <w:pStyle w:val="BookText"/>
        <w:rPr/>
      </w:pPr>
      <w:r>
        <w:rPr>
          <w:rFonts w:ascii="IRNazanin" w:hAnsi="IRNazanin" w:eastAsia="IRNazanin"/>
          <w:color w:val="111111"/>
          <w:sz w:val="28"/>
          <w:sz w:val="28"/>
          <w:szCs w:val="28"/>
          <w:rtl w:val="true"/>
          <w:lang w:bidi="fa-IR"/>
        </w:rPr>
        <w:t>بعض المقامات بالزوال برجوع المالک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هذا الاختلاف اختلاف حقیقة السبب المملّک،لا اختلاف حقیقة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فجواز الرجوع و عدمه من الأحکام الشرعیة للسبب،لا من الخصوصیات المأخوذة فی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یکفی فی الاستصحاب الشکّ فی أنّ اللزوم من خصوصیات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لوازم السبب المملّک،و مع أنّ المحسوس بالوجدان أنّ إنشاء الملک فی الهبة اللازمة و غیرها علی نهج </w:t>
      </w:r>
      <w:r>
        <w:rPr>
          <w:rStyle w:val="FootnoteAnchor"/>
          <w:rtl w:val="true"/>
        </w:rPr>
        <w:footnoteReference w:id="277"/>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اللزوم و الجواز لو کانا </w:t>
      </w:r>
      <w:r>
        <w:rPr>
          <w:rStyle w:val="FootnoteAnchor"/>
          <w:rtl w:val="true"/>
        </w:rPr>
        <w:footnoteReference w:id="278"/>
      </w:r>
      <w:r>
        <w:rPr>
          <w:rFonts w:ascii="IRNazanin" w:hAnsi="IRNazanin" w:eastAsia="IRNazanin"/>
          <w:color w:val="111111"/>
          <w:sz w:val="28"/>
          <w:sz w:val="28"/>
          <w:szCs w:val="28"/>
          <w:rtl w:val="true"/>
          <w:lang w:bidi="fa-IR"/>
        </w:rPr>
        <w:t>من خصوصیّات الملک،فإمّا أن یکون تخصیص القدر المشترک بإحدی الخصوصیّتین بجعل المالک،أو بحکم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الأوّل،کان اللازم التفصیل بین أقسام التملیک المختلفة بحسب </w:t>
      </w:r>
      <w:r>
        <w:rPr>
          <w:rStyle w:val="FootnoteAnchor"/>
          <w:rtl w:val="true"/>
        </w:rPr>
        <w:footnoteReference w:id="279"/>
      </w:r>
      <w:r>
        <w:rPr>
          <w:rFonts w:ascii="IRNazanin" w:hAnsi="IRNazanin" w:eastAsia="IRNazanin"/>
          <w:color w:val="111111"/>
          <w:sz w:val="28"/>
          <w:sz w:val="28"/>
          <w:szCs w:val="28"/>
          <w:rtl w:val="true"/>
          <w:lang w:bidi="fa-IR"/>
        </w:rPr>
        <w:t>قصد الرجوع،و قصد عدمه،أو عدم قصده،و هو بدیهی البطلان؛إذ لا تأثیر لقصد المالک فی الرجوع و عدمه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الثانی،لزم إمضاء الشارع العقد علی غیر ما قصده المنشئ،و هو باطل فی العقود؛لما تقدّم أنّ العقود المصحّحة </w:t>
      </w:r>
      <w:r>
        <w:rPr>
          <w:rStyle w:val="FootnoteAnchor"/>
          <w:rtl w:val="true"/>
        </w:rPr>
        <w:footnoteReference w:id="280"/>
      </w:r>
      <w:r>
        <w:rPr>
          <w:rFonts w:ascii="IRNazanin" w:hAnsi="IRNazanin" w:eastAsia="IRNazanin"/>
          <w:color w:val="111111"/>
          <w:sz w:val="28"/>
          <w:sz w:val="28"/>
          <w:szCs w:val="28"/>
          <w:rtl w:val="true"/>
          <w:lang w:bidi="fa-IR"/>
        </w:rPr>
        <w:t>عند الشارع تتبع القصود،و إن أمکن القول بالتخلّف هنا فی مسألة المعاطاة؛ بناءً علی ما ذکرنا سابقاً انتصاراً للقائل بعدم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وجوب</w:t>
      </w:r>
      <w:bookmarkStart w:id="123" w:name="pg19763_247799"/>
    </w:p>
    <w:p>
      <w:pPr>
        <w:pStyle w:val="BookText"/>
        <w:rPr/>
      </w:pPr>
      <w:bookmarkEnd w:id="123"/>
      <w:r>
        <w:rPr>
          <w:rFonts w:ascii="IRNazanin" w:hAnsi="IRNazanin" w:eastAsia="IRNazanin"/>
          <w:color w:val="111111"/>
          <w:sz w:val="28"/>
          <w:sz w:val="28"/>
          <w:szCs w:val="28"/>
          <w:rtl w:val="true"/>
          <w:lang w:bidi="fa-IR"/>
        </w:rPr>
        <w:t xml:space="preserve">إمضاء المعاملات الفعلیة علی طبق قصود المتعاطیین </w:t>
      </w:r>
      <w:r>
        <w:rPr>
          <w:rStyle w:val="FootnoteAnchor"/>
          <w:rtl w:val="true"/>
        </w:rPr>
        <w:footnoteReference w:id="281"/>
      </w:r>
      <w:r>
        <w:rPr>
          <w:rFonts w:ascii="IRNazanin" w:hAnsi="IRNazanin" w:eastAsia="IRNazanin"/>
          <w:color w:val="111111"/>
          <w:sz w:val="28"/>
          <w:sz w:val="28"/>
          <w:szCs w:val="28"/>
          <w:rtl w:val="true"/>
          <w:lang w:bidi="fa-IR"/>
        </w:rPr>
        <w:t xml:space="preserve">،لکنّ الکلام فی قاعدة اللزوم فی الملک یشمل </w:t>
      </w:r>
      <w:r>
        <w:rPr>
          <w:rStyle w:val="FootnoteAnchor"/>
          <w:rtl w:val="true"/>
        </w:rPr>
        <w:footnoteReference w:id="282"/>
      </w:r>
      <w:r>
        <w:rPr>
          <w:rFonts w:ascii="IRNazanin" w:hAnsi="IRNazanin" w:eastAsia="IRNazanin"/>
          <w:color w:val="111111"/>
          <w:sz w:val="28"/>
          <w:sz w:val="28"/>
          <w:szCs w:val="28"/>
          <w:rtl w:val="true"/>
          <w:lang w:bidi="fa-IR"/>
        </w:rPr>
        <w:t>العقود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بالجملة،فلا إشکال فی أصالة اللزوم فی کلّ عقدٍ شکّ فی لزومه شرعاً،و کذا لو شکّ فی أنّ الواقع فی الخارج هو العقد اللازم أو الجائز، کالصلح من دون عوض،و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تداعیا احتمل التحالف فی الجملة</w:t>
      </w:r>
      <w:r>
        <w:rPr>
          <w:rFonts w:eastAsia="IRNazanin" w:cs="IRNazanin"/>
          <w:color w:val="111111"/>
          <w:sz w:val="28"/>
          <w:szCs w:val="28"/>
          <w:rtl w:val="true"/>
          <w:lang w:bidi="fa-IR"/>
        </w:rPr>
        <w:t>.</w:t>
      </w:r>
    </w:p>
    <w:p>
      <w:pPr>
        <w:pStyle w:val="Heading6"/>
        <w:numPr>
          <w:ilvl w:val="5"/>
          <w:numId w:val="1"/>
        </w:numPr>
        <w:rPr/>
      </w:pPr>
      <w:bookmarkStart w:id="124" w:name="__RefHeading___Toc5082520_2314609296"/>
      <w:bookmarkStart w:id="125" w:name="_Toc51"/>
      <w:bookmarkEnd w:id="124"/>
      <w:r>
        <w:rPr>
          <w:rtl w:val="true"/>
        </w:rPr>
        <w:t>[</w:t>
      </w:r>
      <w:r>
        <w:rPr>
          <w:rtl w:val="true"/>
        </w:rPr>
        <w:t>ما یدل علی اللزوم من الکتاب و السنة</w:t>
      </w:r>
      <w:r>
        <w:rPr>
          <w:rtl w:val="true"/>
        </w:rPr>
        <w:t>]</w:t>
      </w:r>
      <w:bookmarkEnd w:id="125"/>
    </w:p>
    <w:p>
      <w:pPr>
        <w:pStyle w:val="BookText"/>
        <w:rPr/>
      </w:pPr>
      <w:r>
        <w:rPr>
          <w:rFonts w:ascii="IRNazanin" w:hAnsi="IRNazanin" w:eastAsia="IRNazanin"/>
          <w:color w:val="111111"/>
          <w:sz w:val="28"/>
          <w:sz w:val="28"/>
          <w:szCs w:val="28"/>
          <w:rtl w:val="true"/>
          <w:lang w:bidi="fa-IR"/>
        </w:rPr>
        <w:t>و یدلّ علی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قوله </w:t>
      </w:r>
      <w:r>
        <w:rPr>
          <w:rStyle w:val="FootnoteAnchor"/>
          <w:rtl w:val="true"/>
        </w:rPr>
        <w:footnoteReference w:id="283"/>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فإنّ مقتضی السلطنة أن لا یخرج عن ملکیّته </w:t>
      </w:r>
      <w:r>
        <w:rPr>
          <w:rStyle w:val="FootnoteAnchor"/>
          <w:rtl w:val="true"/>
        </w:rPr>
        <w:footnoteReference w:id="285"/>
      </w:r>
      <w:r>
        <w:rPr>
          <w:rFonts w:ascii="IRNazanin" w:hAnsi="IRNazanin" w:eastAsia="IRNazanin"/>
          <w:color w:val="111111"/>
          <w:sz w:val="28"/>
          <w:sz w:val="28"/>
          <w:szCs w:val="28"/>
          <w:rtl w:val="true"/>
          <w:lang w:bidi="fa-IR"/>
        </w:rPr>
        <w:t>بغیر اختیاره،فجواز تملّکه عنه بالرجوع فیه من دون رضاه منافٍ للسلطنة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فاندفع ما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غایة مدلول الروایة سلطنة الشخص علی ملکه،و لا نسلّم ملکیّته </w:t>
      </w:r>
      <w:r>
        <w:rPr>
          <w:rStyle w:val="FootnoteAnchor"/>
          <w:rtl w:val="true"/>
        </w:rPr>
        <w:footnoteReference w:id="286"/>
      </w:r>
      <w:r>
        <w:rPr>
          <w:rFonts w:ascii="IRNazanin" w:hAnsi="IRNazanin" w:eastAsia="IRNazanin"/>
          <w:color w:val="111111"/>
          <w:sz w:val="28"/>
          <w:sz w:val="28"/>
          <w:szCs w:val="28"/>
          <w:rtl w:val="true"/>
          <w:lang w:bidi="fa-IR"/>
        </w:rPr>
        <w:t>له بعد رجوع المالک الأصلی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w:t>
      </w:r>
      <w:r>
        <w:rPr>
          <w:rStyle w:val="FootnoteAnchor"/>
          <w:rtl w:val="true"/>
        </w:rPr>
        <w:footnoteReference w:id="287"/>
      </w:r>
      <w:r>
        <w:rPr>
          <w:rFonts w:ascii="IRNazanin" w:hAnsi="IRNazanin" w:eastAsia="IRNazanin"/>
          <w:color w:val="111111"/>
          <w:sz w:val="28"/>
          <w:sz w:val="28"/>
          <w:szCs w:val="28"/>
          <w:rtl w:val="true"/>
          <w:lang w:bidi="fa-IR"/>
        </w:rPr>
        <w:t>ذکرنا تمسّک المحقّق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لزوم القرض</w:t>
      </w:r>
    </w:p>
    <w:p>
      <w:pPr>
        <w:pStyle w:val="BookText"/>
        <w:rPr/>
      </w:pPr>
      <w:r>
        <w:rPr>
          <w:rFonts w:ascii="IRNazanin" w:hAnsi="IRNazanin" w:eastAsia="IRNazanin"/>
          <w:color w:val="111111"/>
          <w:sz w:val="28"/>
          <w:sz w:val="28"/>
          <w:szCs w:val="28"/>
          <w:rtl w:val="true"/>
          <w:lang w:bidi="fa-IR"/>
        </w:rPr>
        <w:t>بعد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فائدة الملک السلطنة </w:t>
      </w:r>
      <w:r>
        <w:rPr>
          <w:rStyle w:val="FootnoteAnchor"/>
          <w:rtl w:val="true"/>
        </w:rPr>
        <w:footnoteReference w:id="288"/>
      </w:r>
      <w:r>
        <w:rPr>
          <w:rFonts w:ascii="IRNazanin" w:hAnsi="IRNazanin" w:eastAsia="IRNazanin"/>
          <w:color w:val="111111"/>
          <w:sz w:val="28"/>
          <w:sz w:val="28"/>
          <w:szCs w:val="28"/>
          <w:rtl w:val="true"/>
          <w:lang w:bidi="fa-IR"/>
        </w:rPr>
        <w:t xml:space="preserve">،و نحوه العلّامة رحمه اللّه فی موضع </w:t>
      </w:r>
      <w:r>
        <w:rPr>
          <w:rStyle w:val="FootnoteAnchor"/>
          <w:rtl w:val="true"/>
        </w:rPr>
        <w:footnoteReference w:id="289"/>
      </w:r>
      <w:r>
        <w:rPr>
          <w:rFonts w:ascii="IRNazanin" w:hAnsi="IRNazanin" w:eastAsia="IRNazanin"/>
          <w:color w:val="111111"/>
          <w:sz w:val="28"/>
          <w:sz w:val="28"/>
          <w:szCs w:val="28"/>
          <w:rtl w:val="true"/>
          <w:lang w:bidi="fa-IR"/>
        </w:rPr>
        <w:t xml:space="preserve">آخر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یظهر جواز التمسّک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إلّا عن طیب نفسه</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حیث دلّ علی انحصار سبب حِلّ مال الغیر أو جزء سببه فی رضا المالک،فلا یحلّ بغیر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الحِلّ بمال الغیر،و کونه مال الغیر بعد الرجوع أوّل الکلام، 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تقدّم </w:t>
      </w:r>
      <w:r>
        <w:rPr>
          <w:rStyle w:val="FootnoteAnchor"/>
          <w:rtl w:val="true"/>
        </w:rPr>
        <w:footnoteReference w:id="292"/>
      </w:r>
      <w:r>
        <w:rPr>
          <w:rFonts w:ascii="Amiri" w:hAnsi="Amiri" w:eastAsia="Amiri" w:cs="Amiri"/>
          <w:color w:val="111111"/>
          <w:sz w:val="28"/>
          <w:sz w:val="28"/>
          <w:szCs w:val="28"/>
          <w:rtl w:val="true"/>
          <w:lang w:bidi="ar-SA"/>
        </w:rPr>
        <w:t xml:space="preserve">،مع أنّ </w:t>
      </w:r>
      <w:r>
        <w:rPr>
          <w:rStyle w:val="FootnoteAnchor"/>
          <w:rtl w:val="true"/>
        </w:rPr>
        <w:footnoteReference w:id="293"/>
      </w:r>
      <w:r>
        <w:rPr>
          <w:rFonts w:ascii="IRNazanin" w:hAnsi="IRNazanin" w:eastAsia="IRNazanin"/>
          <w:color w:val="111111"/>
          <w:sz w:val="28"/>
          <w:sz w:val="28"/>
          <w:szCs w:val="28"/>
          <w:rtl w:val="true"/>
          <w:lang w:bidi="fa-IR"/>
        </w:rPr>
        <w:t>تعلّق الحِلّ بالمال یفید العموم،بحیث یشمل التملّک أیضاً،فلا یحلّ التصرّف فیه و لا تملّکه إلّا بطیب نفس المالک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الاستدلال أیضاً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w:t>
      </w:r>
      <w:r>
        <w:rPr>
          <w:rStyle w:val="FootnoteAnchor"/>
          <w:rtl w:val="true"/>
        </w:rPr>
        <w:footnoteReference w:id="294"/>
      </w:r>
      <w:r>
        <w:rPr>
          <w:rFonts w:ascii="IRNazanin" w:hAnsi="IRNazanin" w:eastAsia="IRNazanin"/>
          <w:color w:val="111111"/>
          <w:sz w:val="28"/>
          <w:sz w:val="28"/>
          <w:szCs w:val="28"/>
          <w:rtl w:val="true"/>
          <w:lang w:bidi="fa-IR"/>
        </w:rPr>
        <w:t>،و لا ریب أنّ الرجوع</w:t>
      </w:r>
      <w:bookmarkStart w:id="126" w:name="pg19763_247801"/>
    </w:p>
    <w:p>
      <w:pPr>
        <w:pStyle w:val="BookText"/>
        <w:rPr/>
      </w:pPr>
      <w:bookmarkEnd w:id="126"/>
      <w:r>
        <w:rPr>
          <w:rFonts w:ascii="IRNazanin" w:hAnsi="IRNazanin" w:eastAsia="IRNazanin"/>
          <w:color w:val="111111"/>
          <w:sz w:val="28"/>
          <w:sz w:val="28"/>
          <w:szCs w:val="28"/>
          <w:rtl w:val="true"/>
          <w:lang w:bidi="fa-IR"/>
        </w:rPr>
        <w:t xml:space="preserve">لیست </w:t>
      </w:r>
      <w:r>
        <w:rPr>
          <w:rStyle w:val="FootnoteAnchor"/>
          <w:rtl w:val="true"/>
        </w:rPr>
        <w:footnoteReference w:id="295"/>
      </w:r>
      <w:r>
        <w:rPr>
          <w:rFonts w:ascii="IRNazanin" w:hAnsi="IRNazanin" w:eastAsia="IRNazanin"/>
          <w:color w:val="111111"/>
          <w:sz w:val="28"/>
          <w:sz w:val="28"/>
          <w:szCs w:val="28"/>
          <w:rtl w:val="true"/>
          <w:lang w:bidi="fa-IR"/>
        </w:rPr>
        <w:t>تجارة،و لا عن تراضٍ،فلا یجوز أکل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التوهّم المتقدّم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هنا؛لأنّ حصر مجوّز أکل المال فی التجارة إنّما یراد به أکله علی أن یکون ملکاً للآکل 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التمسّک أیضاً بالجملة المستثنی منها؛حیث إنّ أکل المال و نقله عن مالکه بغیر رضا المالک،أکل و تصرّف بالباطل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نعم،بعد إذن المالک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حکمه بالتسلّط </w:t>
      </w:r>
      <w:r>
        <w:rPr>
          <w:rStyle w:val="FootnoteAnchor"/>
          <w:rtl w:val="true"/>
        </w:rPr>
        <w:footnoteReference w:id="297"/>
      </w:r>
      <w:r>
        <w:rPr>
          <w:rFonts w:ascii="IRNazanin" w:hAnsi="IRNazanin" w:eastAsia="IRNazanin"/>
          <w:color w:val="111111"/>
          <w:sz w:val="28"/>
          <w:sz w:val="28"/>
          <w:szCs w:val="28"/>
          <w:rtl w:val="true"/>
          <w:lang w:bidi="fa-IR"/>
        </w:rPr>
        <w:t xml:space="preserve">علی فسخ المعاملة من دون رضا المالک یخرج عن </w:t>
      </w:r>
      <w:r>
        <w:rPr>
          <w:rStyle w:val="FootnoteAnchor"/>
          <w:rtl w:val="true"/>
        </w:rPr>
        <w:footnoteReference w:id="298"/>
      </w:r>
      <w:r>
        <w:rPr>
          <w:rFonts w:ascii="IRNazanin" w:hAnsi="IRNazanin" w:eastAsia="IRNazanin"/>
          <w:color w:val="111111"/>
          <w:sz w:val="28"/>
          <w:sz w:val="28"/>
          <w:szCs w:val="28"/>
          <w:rtl w:val="true"/>
          <w:lang w:bidi="fa-IR"/>
        </w:rPr>
        <w:t xml:space="preserve">البطلان؛و لذا کان أکل المارّة من الثمرة الممرور بها أکلاً بالباطل لو لا إذن المالک الحقیقی، و کذا الأخذ بالشفعة،و الفسخ بالخیار،و غیر ذلک من الأسباب </w:t>
      </w:r>
      <w:r>
        <w:rPr>
          <w:rStyle w:val="FootnoteAnchor"/>
          <w:rtl w:val="true"/>
        </w:rPr>
        <w:footnoteReference w:id="299"/>
      </w:r>
      <w:r>
        <w:rPr>
          <w:rFonts w:ascii="Amiri" w:hAnsi="Amiri" w:eastAsia="Amiri" w:cs="Amiri"/>
          <w:color w:val="111111"/>
          <w:sz w:val="28"/>
          <w:sz w:val="28"/>
          <w:szCs w:val="28"/>
          <w:rtl w:val="true"/>
          <w:lang w:bidi="ar-SA"/>
        </w:rPr>
        <w:t>القهریّة</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5082522_2314609296"/>
      <w:bookmarkStart w:id="128" w:name="_Toc52"/>
      <w:bookmarkEnd w:id="127"/>
      <w:r>
        <w:rPr>
          <w:rtl w:val="true"/>
        </w:rPr>
        <w:t>[</w:t>
      </w:r>
      <w:r>
        <w:rPr>
          <w:rtl w:val="true"/>
        </w:rPr>
        <w:t>الاستدلال بما یدل علی لزوم خصوص البیع</w:t>
      </w:r>
      <w:r>
        <w:rPr>
          <w:rtl w:val="true"/>
        </w:rPr>
        <w:t>]</w:t>
      </w:r>
      <w:bookmarkEnd w:id="12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کلّه،مضافاً إلی ما دلّ علی لزوم خصوص البیع،مثل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bookmarkStart w:id="129" w:name="pg19763_247802"/>
    </w:p>
    <w:p>
      <w:pPr>
        <w:pStyle w:val="BookText"/>
        <w:rPr/>
      </w:pPr>
      <w:bookmarkEnd w:id="129"/>
      <w:r>
        <w:rPr>
          <w:rFonts w:ascii="Amiri" w:hAnsi="Amiri" w:eastAsia="Amiri" w:cs="Amiri"/>
          <w:color w:val="111111"/>
          <w:sz w:val="28"/>
          <w:sz w:val="28"/>
          <w:szCs w:val="28"/>
          <w:rtl w:val="true"/>
          <w:lang w:bidi="ar-SA"/>
        </w:rPr>
        <w:t>و قد یستدلّ أیضاً بعموم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301"/>
      </w:r>
      <w:r>
        <w:rPr>
          <w:rFonts w:ascii="IRNazanin" w:hAnsi="IRNazanin" w:eastAsia="IRNazanin"/>
          <w:color w:val="111111"/>
          <w:sz w:val="28"/>
          <w:sz w:val="28"/>
          <w:szCs w:val="28"/>
          <w:rtl w:val="true"/>
          <w:lang w:bidi="fa-IR"/>
        </w:rPr>
        <w:t xml:space="preserve">بناءً علی أنّ العقد هو مطلق العهد،کما فی صحیحة عبد اللّه بن سنان </w:t>
      </w:r>
      <w:r>
        <w:rPr>
          <w:rStyle w:val="FootnoteAnchor"/>
          <w:rtl w:val="true"/>
        </w:rPr>
        <w:footnoteReference w:id="302"/>
      </w:r>
      <w:r>
        <w:rPr>
          <w:rFonts w:ascii="IRNazanin" w:hAnsi="IRNazanin" w:eastAsia="IRNazanin"/>
          <w:color w:val="111111"/>
          <w:sz w:val="28"/>
          <w:sz w:val="28"/>
          <w:szCs w:val="28"/>
          <w:rtl w:val="true"/>
          <w:lang w:bidi="fa-IR"/>
        </w:rPr>
        <w:t xml:space="preserve">، أو العهد المشدّد،کما عن بعض أهل اللغة </w:t>
      </w:r>
      <w:r>
        <w:rPr>
          <w:rStyle w:val="FootnoteAnchor"/>
          <w:rtl w:val="true"/>
        </w:rPr>
        <w:footnoteReference w:id="303"/>
      </w:r>
      <w:r>
        <w:rPr>
          <w:rFonts w:ascii="IRNazanin" w:hAnsi="IRNazanin" w:eastAsia="IRNazanin"/>
          <w:color w:val="111111"/>
          <w:sz w:val="28"/>
          <w:sz w:val="28"/>
          <w:szCs w:val="28"/>
          <w:rtl w:val="true"/>
          <w:lang w:bidi="fa-IR"/>
        </w:rPr>
        <w:t>،و کیف کان،فلا یختصّ باللفظ فیشمل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فإنّ الشرط لغةً مطلق الالتزام </w:t>
      </w:r>
      <w:r>
        <w:rPr>
          <w:rStyle w:val="FootnoteAnchor"/>
          <w:rtl w:val="true"/>
        </w:rPr>
        <w:footnoteReference w:id="305"/>
      </w:r>
      <w:r>
        <w:rPr>
          <w:rFonts w:ascii="IRNazanin" w:hAnsi="IRNazanin" w:eastAsia="IRNazanin"/>
          <w:color w:val="111111"/>
          <w:sz w:val="28"/>
          <w:sz w:val="28"/>
          <w:szCs w:val="28"/>
          <w:rtl w:val="true"/>
          <w:lang w:bidi="fa-IR"/>
        </w:rPr>
        <w:t>،فیشمل ما کان بغیر اللفظ</w:t>
      </w:r>
      <w:r>
        <w:rPr>
          <w:rFonts w:eastAsia="IRNazanin" w:cs="IRNazanin"/>
          <w:color w:val="111111"/>
          <w:sz w:val="28"/>
          <w:szCs w:val="28"/>
          <w:rtl w:val="true"/>
          <w:lang w:bidi="fa-IR"/>
        </w:rPr>
        <w:t>.</w:t>
      </w:r>
    </w:p>
    <w:p>
      <w:pPr>
        <w:pStyle w:val="Heading5"/>
        <w:numPr>
          <w:ilvl w:val="4"/>
          <w:numId w:val="1"/>
        </w:numPr>
        <w:rPr/>
      </w:pPr>
      <w:bookmarkStart w:id="130" w:name="__RefHeading___Toc5082524_2314609296"/>
      <w:bookmarkStart w:id="131" w:name="_Toc53"/>
      <w:bookmarkEnd w:id="130"/>
      <w:r>
        <w:rPr>
          <w:rtl w:val="true"/>
        </w:rPr>
        <w:t>[</w:t>
      </w:r>
      <w:r>
        <w:rPr>
          <w:rtl w:val="true"/>
        </w:rPr>
        <w:t>قیام الإجماع علی عدم لزوم المعاطاة</w:t>
      </w:r>
      <w:r>
        <w:rPr>
          <w:rtl w:val="true"/>
        </w:rPr>
        <w:t>]</w:t>
      </w:r>
      <w:bookmarkEnd w:id="131"/>
    </w:p>
    <w:p>
      <w:pPr>
        <w:pStyle w:val="Heading6"/>
        <w:numPr>
          <w:ilvl w:val="5"/>
          <w:numId w:val="1"/>
        </w:numPr>
        <w:rPr/>
      </w:pPr>
      <w:bookmarkStart w:id="132" w:name="__RefHeading___Toc5082526_2314609296"/>
      <w:bookmarkStart w:id="133" w:name="_Toc54"/>
      <w:bookmarkEnd w:id="132"/>
      <w:r>
        <w:rPr>
          <w:rtl w:val="true"/>
        </w:rPr>
        <w:t>اشاره</w:t>
      </w:r>
      <w:bookmarkEnd w:id="13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باللزوم فی مطلق الملک و فی خصوص البیع ممّا لا ینکر،إلّا أنّ الظاهر فیما نحن فیه قیام الإجماع علی عدم لزوم المعاطاة،بل ادّعاه صریحاً بعض الأساطین فی شرح القواعد </w:t>
      </w:r>
      <w:r>
        <w:rPr>
          <w:rStyle w:val="FootnoteAnchor"/>
          <w:rtl w:val="true"/>
        </w:rPr>
        <w:footnoteReference w:id="306"/>
      </w:r>
      <w:r>
        <w:rPr>
          <w:rFonts w:ascii="IRNazanin" w:hAnsi="IRNazanin" w:eastAsia="IRNazanin"/>
          <w:color w:val="111111"/>
          <w:sz w:val="28"/>
          <w:sz w:val="28"/>
          <w:szCs w:val="28"/>
          <w:rtl w:val="true"/>
          <w:lang w:bidi="fa-IR"/>
        </w:rPr>
        <w:t xml:space="preserve">،و یعضده الشهرة المحقّقة،بل لم یوجد به قائل إلی زمان بعض متأخّری المتأخّرین </w:t>
      </w:r>
      <w:r>
        <w:rPr>
          <w:rStyle w:val="FootnoteAnchor"/>
          <w:rtl w:val="true"/>
        </w:rPr>
        <w:footnoteReference w:id="307"/>
      </w:r>
      <w:r>
        <w:rPr>
          <w:rFonts w:ascii="IRNazanin" w:hAnsi="IRNazanin" w:eastAsia="IRNazanin"/>
          <w:color w:val="111111"/>
          <w:sz w:val="28"/>
          <w:sz w:val="28"/>
          <w:szCs w:val="28"/>
          <w:rtl w:val="true"/>
          <w:lang w:bidi="fa-IR"/>
        </w:rPr>
        <w:t xml:space="preserve">،فإنّ العبارة المحکیّة عن المفید رحمه اللّه </w:t>
      </w:r>
      <w:r>
        <w:rPr>
          <w:rStyle w:val="FootnoteAnchor"/>
          <w:rtl w:val="true"/>
        </w:rPr>
        <w:footnoteReference w:id="308"/>
      </w:r>
      <w:r>
        <w:rPr>
          <w:rFonts w:ascii="IRNazanin" w:hAnsi="IRNazanin" w:eastAsia="IRNazanin"/>
          <w:color w:val="111111"/>
          <w:sz w:val="28"/>
          <w:sz w:val="28"/>
          <w:szCs w:val="28"/>
          <w:rtl w:val="true"/>
          <w:lang w:bidi="fa-IR"/>
        </w:rPr>
        <w:t>فی المقنعة لا تدلّ</w:t>
      </w:r>
      <w:bookmarkStart w:id="134" w:name="pg19763_247803"/>
    </w:p>
    <w:p>
      <w:pPr>
        <w:pStyle w:val="BookText"/>
        <w:rPr/>
      </w:pPr>
      <w:bookmarkEnd w:id="134"/>
      <w:r>
        <w:rPr>
          <w:rFonts w:ascii="IRNazanin" w:hAnsi="IRNazanin" w:eastAsia="IRNazanin"/>
          <w:color w:val="111111"/>
          <w:sz w:val="28"/>
          <w:sz w:val="28"/>
          <w:szCs w:val="28"/>
          <w:rtl w:val="true"/>
          <w:lang w:bidi="fa-IR"/>
        </w:rPr>
        <w:t>علی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المختلف الاعتراف به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قال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ینعقد البیع علی تراضٍ بین الاثنین فیما یملکان التبایع له إذا عرفاه جمیعاً، و تراضیا بالبیع،و تقابضا،و افترقا بالأبدان </w:t>
      </w:r>
      <w:r>
        <w:rPr>
          <w:rStyle w:val="FootnoteAnchor"/>
          <w:rtl w:val="true"/>
        </w:rPr>
        <w:footnoteReference w:id="3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یقوی إرادة بیان شروط صحّة العقد الواقع بین اثنین و تأثیره فی اللزوم؛و کأنّه لذلک </w:t>
      </w:r>
      <w:r>
        <w:rPr>
          <w:rStyle w:val="FootnoteAnchor"/>
          <w:rtl w:val="true"/>
        </w:rPr>
        <w:footnoteReference w:id="312"/>
      </w:r>
      <w:r>
        <w:rPr>
          <w:rFonts w:ascii="IRNazanin" w:hAnsi="IRNazanin" w:eastAsia="IRNazanin"/>
          <w:color w:val="111111"/>
          <w:sz w:val="28"/>
          <w:sz w:val="28"/>
          <w:szCs w:val="28"/>
          <w:rtl w:val="true"/>
          <w:lang w:bidi="fa-IR"/>
        </w:rPr>
        <w:t>حکی کاشف الرموز عن المفید و الشیخ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لا بدّ فی البیع عندهما من لفظٍ مخصوص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دعوی الإجماع من الغنیة علی عدم کونها بیعاً </w:t>
      </w:r>
      <w:r>
        <w:rPr>
          <w:rStyle w:val="FootnoteAnchor"/>
          <w:rtl w:val="true"/>
        </w:rPr>
        <w:footnoteReference w:id="314"/>
      </w:r>
      <w:r>
        <w:rPr>
          <w:rFonts w:ascii="IRNazanin" w:hAnsi="IRNazanin" w:eastAsia="IRNazanin"/>
          <w:color w:val="111111"/>
          <w:sz w:val="28"/>
          <w:sz w:val="28"/>
          <w:szCs w:val="28"/>
          <w:rtl w:val="true"/>
          <w:lang w:bidi="fa-IR"/>
        </w:rPr>
        <w:t>،و هو نصّ فی عدم اللزوم،و لا یقدح کونه ظاهراً فی عدم الملکیّة الذی لا نقول به</w:t>
      </w:r>
      <w:r>
        <w:rPr>
          <w:rFonts w:eastAsia="IRNazanin" w:cs="IRNazanin"/>
          <w:color w:val="111111"/>
          <w:sz w:val="28"/>
          <w:szCs w:val="28"/>
          <w:rtl w:val="true"/>
          <w:lang w:bidi="fa-IR"/>
        </w:rPr>
        <w:t>.</w:t>
      </w:r>
    </w:p>
    <w:p>
      <w:pPr>
        <w:pStyle w:val="Heading6"/>
        <w:numPr>
          <w:ilvl w:val="5"/>
          <w:numId w:val="1"/>
        </w:numPr>
        <w:rPr/>
      </w:pPr>
      <w:bookmarkStart w:id="135" w:name="__RefHeading___Toc5082528_2314609296"/>
      <w:bookmarkStart w:id="136" w:name="_Toc55"/>
      <w:bookmarkEnd w:id="135"/>
      <w:r>
        <w:rPr>
          <w:rtl w:val="true"/>
        </w:rPr>
        <w:t>[</w:t>
      </w:r>
      <w:r>
        <w:rPr>
          <w:rtl w:val="true"/>
        </w:rPr>
        <w:t>التشکیک فی انعقاد الإجماع</w:t>
      </w:r>
      <w:r>
        <w:rPr>
          <w:rtl w:val="true"/>
        </w:rPr>
        <w:t>]</w:t>
      </w:r>
      <w:bookmarkEnd w:id="136"/>
    </w:p>
    <w:p>
      <w:pPr>
        <w:pStyle w:val="BookText"/>
        <w:rPr/>
      </w:pPr>
      <w:r>
        <w:rPr>
          <w:rFonts w:ascii="IRNazanin" w:hAnsi="IRNazanin" w:eastAsia="IRNazanin"/>
          <w:color w:val="111111"/>
          <w:sz w:val="28"/>
          <w:sz w:val="28"/>
          <w:szCs w:val="28"/>
          <w:rtl w:val="true"/>
          <w:lang w:bidi="fa-IR"/>
        </w:rPr>
        <w:t>و عن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یعتبر اللفظ فی العقود اللازمة بالإجماع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نعم،قول العلّامة رحمه اللّه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الأشهر عندنا أنّه لا بدّ</w:t>
      </w:r>
      <w:bookmarkStart w:id="137" w:name="pg19763_247804"/>
    </w:p>
    <w:p>
      <w:pPr>
        <w:pStyle w:val="BookText"/>
        <w:rPr/>
      </w:pPr>
      <w:bookmarkEnd w:id="137"/>
      <w:r>
        <w:rPr>
          <w:rFonts w:ascii="IRNazanin" w:hAnsi="IRNazanin" w:eastAsia="IRNazanin"/>
          <w:color w:val="111111"/>
          <w:sz w:val="28"/>
          <w:sz w:val="28"/>
          <w:szCs w:val="28"/>
          <w:rtl w:val="true"/>
          <w:lang w:bidi="fa-IR"/>
        </w:rPr>
        <w:t>من الصیغة</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یدلّ علی وجود الخلاف المعتدّ به فی المسألة،و لو کان المخالف شاذّا لعبّر بالمشهور،و کذلک نسبته فی المختلف إلی الأکثر </w:t>
      </w:r>
      <w:r>
        <w:rPr>
          <w:rStyle w:val="FootnoteAnchor"/>
          <w:rtl w:val="true"/>
        </w:rPr>
        <w:footnoteReference w:id="317"/>
      </w: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الأقوی أنّ المعاطاة غیر لازمة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 w:name="__RefHeading___Toc5082530_2314609296"/>
      <w:bookmarkStart w:id="139" w:name="_Toc56"/>
      <w:bookmarkEnd w:id="138"/>
      <w:r>
        <w:rPr>
          <w:rtl w:val="true"/>
        </w:rPr>
        <w:t>[</w:t>
      </w:r>
      <w:r>
        <w:rPr>
          <w:rtl w:val="true"/>
        </w:rPr>
        <w:t>عدم کشف هذا الإجماع عن رأی المعصوم علی فرض حصوله</w:t>
      </w:r>
      <w:r>
        <w:rPr>
          <w:rtl w:val="true"/>
        </w:rPr>
        <w:t>]</w:t>
      </w:r>
      <w:bookmarkEnd w:id="139"/>
    </w:p>
    <w:p>
      <w:pPr>
        <w:pStyle w:val="BookText"/>
        <w:rPr/>
      </w:pPr>
      <w:r>
        <w:rPr>
          <w:rFonts w:ascii="IRNazanin" w:hAnsi="IRNazanin" w:eastAsia="IRNazanin"/>
          <w:color w:val="111111"/>
          <w:sz w:val="28"/>
          <w:sz w:val="28"/>
          <w:szCs w:val="28"/>
          <w:rtl w:val="true"/>
          <w:lang w:bidi="fa-IR"/>
        </w:rPr>
        <w:t>ثمّ لو فرضنا الاتّفاق من العلماء علی عدم لزومها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ذهاب کثیرهم أو أکثرهم إلی أنّها لیست مملّکة،و إنّما تفید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هذا الاتّفاق کاشفاً؛إذ القول باللزوم فرع الملکیّة،و لم یقل بها إلّا بعض من تأخّر عن المحقّق الثانی </w:t>
      </w:r>
      <w:r>
        <w:rPr>
          <w:rStyle w:val="FootnoteAnchor"/>
          <w:rtl w:val="true"/>
        </w:rPr>
        <w:footnoteReference w:id="319"/>
      </w:r>
      <w:r>
        <w:rPr>
          <w:rFonts w:ascii="IRNazanin" w:hAnsi="IRNazanin" w:eastAsia="IRNazanin"/>
          <w:color w:val="111111"/>
          <w:sz w:val="28"/>
          <w:sz w:val="28"/>
          <w:szCs w:val="28"/>
          <w:rtl w:val="true"/>
          <w:lang w:bidi="fa-IR"/>
        </w:rPr>
        <w:t>تبعاً له،و هذا ممّا یوهن حصول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الاتّفاق المذکور؛لأنّ قول الأکثر بعدم اللزوم سالبة بانتفاء </w:t>
      </w:r>
      <w:r>
        <w:rPr>
          <w:rStyle w:val="FootnoteAnchor"/>
          <w:rtl w:val="true"/>
        </w:rPr>
        <w:footnoteReference w:id="320"/>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ثبوت الاتّفاق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أصحابنا بین قائلٍ بالملک الجائز،و بین قائلٍ بعدم الملک رأساً،فالقول بالملک اللازم قولٌ ثالث،فتأمّل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کان،فتحصیل الإجماع علی وجه استکشاف قول الإمام عن قول غیره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طریق </w:t>
      </w:r>
      <w:r>
        <w:rPr>
          <w:rStyle w:val="FootnoteAnchor"/>
          <w:rtl w:val="true"/>
        </w:rPr>
        <w:footnoteReference w:id="321"/>
      </w:r>
      <w:r>
        <w:rPr>
          <w:rFonts w:ascii="IRNazanin" w:hAnsi="IRNazanin" w:eastAsia="IRNazanin"/>
          <w:color w:val="111111"/>
          <w:sz w:val="28"/>
          <w:sz w:val="28"/>
          <w:szCs w:val="28"/>
          <w:rtl w:val="true"/>
          <w:lang w:bidi="fa-IR"/>
        </w:rPr>
        <w:t>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bookmarkStart w:id="140" w:name="pg19763_247805"/>
    </w:p>
    <w:p>
      <w:pPr>
        <w:pStyle w:val="BookText"/>
        <w:rPr/>
      </w:pPr>
      <w:bookmarkEnd w:id="140"/>
      <w:r>
        <w:rPr>
          <w:rFonts w:ascii="IRNazanin" w:hAnsi="IRNazanin" w:eastAsia="IRNazanin"/>
          <w:color w:val="111111"/>
          <w:sz w:val="28"/>
          <w:sz w:val="28"/>
          <w:szCs w:val="28"/>
          <w:rtl w:val="true"/>
          <w:lang w:bidi="fa-IR"/>
        </w:rPr>
        <w:t xml:space="preserve">لما ذکرنا </w:t>
      </w:r>
      <w:r>
        <w:rPr>
          <w:rStyle w:val="FootnoteAnchor"/>
          <w:rtl w:val="true"/>
        </w:rPr>
        <w:footnoteReference w:id="322"/>
      </w:r>
      <w:r>
        <w:rPr>
          <w:rFonts w:ascii="IRNazanin" w:hAnsi="IRNazanin" w:eastAsia="IRNazanin"/>
          <w:color w:val="111111"/>
          <w:sz w:val="28"/>
          <w:sz w:val="28"/>
          <w:szCs w:val="28"/>
          <w:rtl w:val="true"/>
          <w:lang w:bidi="fa-IR"/>
        </w:rPr>
        <w:t xml:space="preserve">و إن کان هذا لا یقدح فی الإجماع علی طریق القدماء،کما بُیِّن فی الأُصول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بالجملة،فما ذکره فی المسالک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ذکر قول من اعتبر </w:t>
      </w:r>
      <w:r>
        <w:rPr>
          <w:rStyle w:val="FootnoteAnchor"/>
          <w:rtl w:val="true"/>
        </w:rPr>
        <w:footnoteReference w:id="324"/>
      </w:r>
      <w:r>
        <w:rPr>
          <w:rFonts w:ascii="IRNazanin" w:hAnsi="IRNazanin" w:eastAsia="IRNazanin"/>
          <w:color w:val="111111"/>
          <w:sz w:val="28"/>
          <w:sz w:val="28"/>
          <w:szCs w:val="28"/>
          <w:rtl w:val="true"/>
          <w:lang w:bidi="fa-IR"/>
        </w:rPr>
        <w:t>مطلق اللفظ فی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أحسنه و أمتن </w:t>
      </w:r>
      <w:r>
        <w:rPr>
          <w:rStyle w:val="FootnoteAnchor"/>
          <w:rtl w:val="true"/>
        </w:rPr>
        <w:footnoteReference w:id="325"/>
      </w:r>
      <w:r>
        <w:rPr>
          <w:rFonts w:ascii="IRNazanin" w:hAnsi="IRNazanin" w:eastAsia="IRNazanin"/>
          <w:color w:val="111111"/>
          <w:sz w:val="28"/>
          <w:sz w:val="28"/>
          <w:szCs w:val="28"/>
          <w:rtl w:val="true"/>
          <w:lang w:bidi="fa-IR"/>
        </w:rPr>
        <w:t xml:space="preserve">دلیله إن لم یکن إجماع </w:t>
      </w:r>
      <w:r>
        <w:rPr>
          <w:rStyle w:val="FootnoteAnchor"/>
          <w:rtl w:val="true"/>
        </w:rPr>
        <w:footnoteReference w:id="326"/>
      </w:r>
      <w:r>
        <w:rPr>
          <w:rFonts w:ascii="IRNazanin" w:hAnsi="IRNazanin" w:eastAsia="IRNazanin"/>
          <w:color w:val="111111"/>
          <w:sz w:val="28"/>
          <w:sz w:val="28"/>
          <w:szCs w:val="28"/>
          <w:rtl w:val="true"/>
          <w:lang w:bidi="fa-IR"/>
        </w:rPr>
        <w:t>علی خلافه</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فی غایة الحسن و المتانة</w:t>
      </w:r>
      <w:r>
        <w:rPr>
          <w:rFonts w:eastAsia="IRNazanin" w:cs="IRNazanin"/>
          <w:color w:val="111111"/>
          <w:sz w:val="28"/>
          <w:szCs w:val="28"/>
          <w:rtl w:val="true"/>
          <w:lang w:bidi="fa-IR"/>
        </w:rPr>
        <w:t>.</w:t>
      </w:r>
    </w:p>
    <w:p>
      <w:pPr>
        <w:pStyle w:val="Heading5"/>
        <w:numPr>
          <w:ilvl w:val="4"/>
          <w:numId w:val="1"/>
        </w:numPr>
        <w:rPr/>
      </w:pPr>
      <w:bookmarkStart w:id="141" w:name="__RefHeading___Toc5082532_2314609296"/>
      <w:bookmarkStart w:id="142" w:name="_Toc57"/>
      <w:bookmarkEnd w:id="141"/>
      <w:r>
        <w:rPr>
          <w:rtl w:val="true"/>
        </w:rPr>
        <w:t>[</w:t>
      </w:r>
      <w:r>
        <w:rPr>
          <w:rtl w:val="true"/>
        </w:rPr>
        <w:t>ما یدل علی عدم لزوم المعاطاة</w:t>
      </w:r>
      <w:r>
        <w:rPr>
          <w:rtl w:val="true"/>
        </w:rPr>
        <w:t>]</w:t>
      </w:r>
      <w:bookmarkEnd w:id="142"/>
    </w:p>
    <w:p>
      <w:pPr>
        <w:pStyle w:val="Heading6"/>
        <w:numPr>
          <w:ilvl w:val="5"/>
          <w:numId w:val="1"/>
        </w:numPr>
        <w:rPr/>
      </w:pPr>
      <w:bookmarkStart w:id="143" w:name="__RefHeading___Toc5082534_2314609296"/>
      <w:bookmarkStart w:id="144" w:name="_Toc58"/>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و الإجماع و إن لم یکن محقّقاً علی وجه یوجب القطع،إلّا أنّ المظنون قویّاً تحقّقه علی عدم اللزوم،مع عدم لفظٍ دالٍّ علی إنشاء التملیک،سواء لم یوجد لفظ أصلاً أم وجد و لکن لم ینشأ التملیک به </w:t>
      </w:r>
      <w:r>
        <w:rPr>
          <w:rStyle w:val="FootnoteAnchor"/>
          <w:rtl w:val="true"/>
        </w:rPr>
        <w:footnoteReference w:id="328"/>
      </w:r>
      <w:r>
        <w:rPr>
          <w:rFonts w:ascii="IRNazanin" w:hAnsi="IRNazanin" w:eastAsia="IRNazanin"/>
          <w:color w:val="111111"/>
          <w:sz w:val="28"/>
          <w:sz w:val="28"/>
          <w:szCs w:val="28"/>
          <w:rtl w:val="true"/>
          <w:lang w:bidi="fa-IR"/>
        </w:rPr>
        <w:t>، بل کان من جملة القرائن علی قصد التملیک بالتقابض</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یظهر ذلک من غیر واحد من الأخبار </w:t>
      </w:r>
      <w:r>
        <w:rPr>
          <w:rStyle w:val="FootnoteAnchor"/>
          <w:rtl w:val="true"/>
        </w:rPr>
        <w:footnoteReference w:id="329"/>
      </w:r>
      <w:r>
        <w:rPr>
          <w:rFonts w:ascii="IRNazanin" w:hAnsi="IRNazanin" w:eastAsia="IRNazanin"/>
          <w:color w:val="111111"/>
          <w:sz w:val="28"/>
          <w:sz w:val="28"/>
          <w:szCs w:val="28"/>
          <w:rtl w:val="true"/>
          <w:lang w:bidi="fa-IR"/>
        </w:rPr>
        <w:t xml:space="preserve">،بل یظهر </w:t>
      </w:r>
      <w:r>
        <w:rPr>
          <w:rStyle w:val="FootnoteAnchor"/>
          <w:rtl w:val="true"/>
        </w:rPr>
        <w:footnoteReference w:id="330"/>
      </w:r>
      <w:r>
        <w:rPr>
          <w:rFonts w:ascii="IRNazanin" w:hAnsi="IRNazanin" w:eastAsia="IRNazanin"/>
          <w:color w:val="111111"/>
          <w:sz w:val="28"/>
          <w:sz w:val="28"/>
          <w:szCs w:val="28"/>
          <w:rtl w:val="true"/>
          <w:lang w:bidi="fa-IR"/>
        </w:rPr>
        <w:t>منها أنّ إیجاب البیع باللفظ دون مجرّد التعاطی کان متعارفاً بین أهل السوق و التجّار</w:t>
      </w:r>
      <w:r>
        <w:rPr>
          <w:rFonts w:eastAsia="IRNazanin" w:cs="IRNazanin"/>
          <w:color w:val="111111"/>
          <w:sz w:val="28"/>
          <w:szCs w:val="28"/>
          <w:rtl w:val="true"/>
          <w:lang w:bidi="fa-IR"/>
        </w:rPr>
        <w:t>.</w:t>
      </w:r>
      <w:bookmarkStart w:id="145" w:name="pg19763_247806"/>
    </w:p>
    <w:p>
      <w:pPr>
        <w:pStyle w:val="BookText"/>
        <w:rPr/>
      </w:pPr>
      <w:bookmarkEnd w:id="145"/>
      <w:r>
        <w:rPr>
          <w:rFonts w:ascii="IRNazanin" w:hAnsi="IRNazanin" w:eastAsia="IRNazanin"/>
          <w:color w:val="111111"/>
          <w:sz w:val="28"/>
          <w:sz w:val="28"/>
          <w:szCs w:val="28"/>
          <w:rtl w:val="true"/>
          <w:lang w:bidi="fa-IR"/>
        </w:rPr>
        <w:t>بل یمکن دعوی السیرة علی عدم الاکتفاء فی البیوع الخطیرة التی یراد بها عدم الرجوع بمجرّد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نعم،ربما یکتفون بالمصافقة، فیقول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بارک اللّه لک،أو ما أدّی هذا المعنی بالفارسیة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یکتفون بالتعاطی فی المحقّرات و لا یلتزمون بعدم جواز الرجوع فیها، بل ینکرون علی الممتنع عن الرجوع مع بقاء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نعم،الاکتفاء فی اللزوم </w:t>
      </w:r>
      <w:r>
        <w:rPr>
          <w:rStyle w:val="FootnoteAnchor"/>
          <w:rtl w:val="true"/>
        </w:rPr>
        <w:footnoteReference w:id="332"/>
      </w:r>
      <w:r>
        <w:rPr>
          <w:rFonts w:ascii="IRNazanin" w:hAnsi="IRNazanin" w:eastAsia="IRNazanin"/>
          <w:color w:val="111111"/>
          <w:sz w:val="28"/>
          <w:sz w:val="28"/>
          <w:szCs w:val="28"/>
          <w:rtl w:val="true"/>
          <w:lang w:bidi="fa-IR"/>
        </w:rPr>
        <w:t>بمطلق الإنشاء القولی غیر بعید؛للسیرة و لغیر واحدٍ من الأخبار،کما سیجیء إن شاء اللّه تعالی فی شروط الصیغة</w:t>
      </w:r>
      <w:r>
        <w:rPr>
          <w:rFonts w:eastAsia="IRNazanin" w:cs="IRNazanin"/>
          <w:color w:val="111111"/>
          <w:sz w:val="28"/>
          <w:szCs w:val="28"/>
          <w:rtl w:val="true"/>
          <w:lang w:bidi="fa-IR"/>
        </w:rPr>
        <w:t>.</w:t>
      </w:r>
    </w:p>
    <w:p>
      <w:pPr>
        <w:pStyle w:val="Heading6"/>
        <w:numPr>
          <w:ilvl w:val="5"/>
          <w:numId w:val="1"/>
        </w:numPr>
        <w:rPr/>
      </w:pPr>
      <w:bookmarkStart w:id="146" w:name="__RefHeading___Toc5082536_2314609296"/>
      <w:bookmarkStart w:id="147" w:name="_Toc59"/>
      <w:bookmarkEnd w:id="146"/>
      <w:r>
        <w:rPr>
          <w:rtl w:val="true"/>
        </w:rPr>
        <w:t>بقی الکلام فی الخبر الذی تُمُسِّک به فی باب المعاطاة،تارةً علی عدم إفادة المعاطاة إباحة التصرّف،و أُخری علی عدم إفادتها اللزوم؛</w:t>
      </w:r>
      <w:bookmarkEnd w:id="147"/>
    </w:p>
    <w:p>
      <w:pPr>
        <w:pStyle w:val="BookText"/>
        <w:rPr/>
      </w:pPr>
      <w:r>
        <w:rPr>
          <w:rFonts w:ascii="IRNazanin" w:hAnsi="IRNazanin" w:eastAsia="IRNazanin"/>
          <w:color w:val="111111"/>
          <w:sz w:val="28"/>
          <w:sz w:val="28"/>
          <w:szCs w:val="28"/>
          <w:rtl w:val="true"/>
          <w:lang w:bidi="fa-IR"/>
        </w:rPr>
        <w:t>جمعاً بینه و بین ما دلّ علی صحّة مطلق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صنعه فی الریاض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یحلّل الکلام و یحرّم الکلام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المراد منه یتوقّف علی بیان تمام الخبر،و هو ما رواه ثقة الإسلام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لیس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و النسیئة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عمیر،عن یحیی بن الحجّاج،عن خالد بن الحجّاج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ابن نجیح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bookmarkStart w:id="148" w:name="pg19763_247807"/>
    </w:p>
    <w:p>
      <w:pPr>
        <w:pStyle w:val="BookText"/>
        <w:rPr/>
      </w:pPr>
      <w:bookmarkEnd w:id="148"/>
      <w:r>
        <w:rPr>
          <w:rFonts w:ascii="IRNazanin" w:hAnsi="IRNazanin" w:eastAsia="IRNazanin"/>
          <w:color w:val="111111"/>
          <w:sz w:val="28"/>
          <w:sz w:val="28"/>
          <w:szCs w:val="28"/>
          <w:rtl w:val="true"/>
          <w:lang w:bidi="fa-IR"/>
        </w:rPr>
        <w:t>یجیئنی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هذا الثوب و أُربحک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إن شاء أخذ و إن شاء ترک؟قلت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بأس،إنّما یحلّل الکلام و یحرّم الکلام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بمضمون هذا الخبر روایات أُخر مجرّدة عن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،کلّها تدلّ علی أنّه لا بأس بهذه المواعدة و المقاولة ما لم یوجب بیع المتاع قبل أن یشتریه من صاحبه</w:t>
      </w:r>
      <w:r>
        <w:rPr>
          <w:rFonts w:eastAsia="IRNazanin" w:cs="IRNazanin"/>
          <w:color w:val="111111"/>
          <w:sz w:val="28"/>
          <w:szCs w:val="28"/>
          <w:rtl w:val="true"/>
          <w:lang w:bidi="fa-IR"/>
        </w:rPr>
        <w:t>.</w:t>
      </w:r>
    </w:p>
    <w:p>
      <w:pPr>
        <w:pStyle w:val="Heading6"/>
        <w:numPr>
          <w:ilvl w:val="5"/>
          <w:numId w:val="1"/>
        </w:numPr>
        <w:rPr/>
      </w:pPr>
      <w:bookmarkStart w:id="149" w:name="__RefHeading___Toc5082538_2314609296"/>
      <w:bookmarkStart w:id="150" w:name="_Toc60"/>
      <w:bookmarkEnd w:id="149"/>
      <w:r>
        <w:rPr>
          <w:rtl w:val="true"/>
        </w:rPr>
        <w:t>و نقول</w:t>
      </w:r>
      <w:r>
        <w:rPr>
          <w:rtl w:val="true"/>
        </w:rPr>
        <w:t>:</w:t>
      </w:r>
      <w:r>
        <w:rPr>
          <w:rtl w:val="true"/>
        </w:rPr>
        <w:t>إنّ هذه الفقرة</w:t>
      </w:r>
      <w:r>
        <w:rPr>
          <w:rtl w:val="true"/>
        </w:rPr>
        <w:t>-</w:t>
      </w:r>
      <w:r>
        <w:rPr>
          <w:rtl w:val="true"/>
        </w:rPr>
        <w:t>مع قطع النظر عن صدر الروایة</w:t>
      </w:r>
      <w:r>
        <w:rPr>
          <w:rtl w:val="true"/>
        </w:rPr>
        <w:t>-</w:t>
      </w:r>
      <w:r>
        <w:rPr>
          <w:rtl w:val="true"/>
        </w:rPr>
        <w:t>تحتمل وجوهاً</w:t>
      </w:r>
      <w:r>
        <w:rPr>
          <w:rtl w:val="true"/>
        </w:rPr>
        <w:t>:</w:t>
      </w:r>
      <w:bookmarkEnd w:id="150"/>
    </w:p>
    <w:p>
      <w:pPr>
        <w:pStyle w:val="Heading6"/>
        <w:numPr>
          <w:ilvl w:val="5"/>
          <w:numId w:val="1"/>
        </w:numPr>
        <w:rPr/>
      </w:pPr>
      <w:bookmarkStart w:id="151" w:name="__RefHeading___Toc5082540_2314609296"/>
      <w:bookmarkStart w:id="152" w:name="_Toc61"/>
      <w:bookmarkEnd w:id="151"/>
      <w:r>
        <w:rPr>
          <w:rtl w:val="true"/>
        </w:rPr>
        <w:t>الأوّل</w:t>
      </w:r>
      <w:r>
        <w:rPr>
          <w:rtl w:val="true"/>
        </w:rPr>
        <w:t>:</w:t>
      </w:r>
      <w:bookmarkEnd w:id="152"/>
    </w:p>
    <w:p>
      <w:pPr>
        <w:pStyle w:val="BookText"/>
        <w:rPr/>
      </w:pPr>
      <w:r>
        <w:rPr>
          <w:rFonts w:ascii="IRNazanin" w:hAnsi="IRNazanin" w:eastAsia="IRNazanin"/>
          <w:color w:val="111111"/>
          <w:sz w:val="28"/>
          <w:sz w:val="28"/>
          <w:szCs w:val="28"/>
          <w:rtl w:val="true"/>
          <w:lang w:bidi="fa-IR"/>
        </w:rPr>
        <w:t>أن یراد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المقامین اللفظ الدالّ علی التحلیل و التحریم </w:t>
      </w:r>
      <w:r>
        <w:rPr>
          <w:rStyle w:val="FootnoteAnchor"/>
          <w:rtl w:val="true"/>
        </w:rPr>
        <w:footnoteReference w:id="339"/>
      </w:r>
      <w:r>
        <w:rPr>
          <w:rFonts w:ascii="IRNazanin" w:hAnsi="IRNazanin" w:eastAsia="IRNazanin"/>
          <w:color w:val="111111"/>
          <w:sz w:val="28"/>
          <w:sz w:val="28"/>
          <w:szCs w:val="28"/>
          <w:rtl w:val="true"/>
          <w:lang w:bidi="fa-IR"/>
        </w:rPr>
        <w:t>،بمعنی أنّ تحریم شیءٍ و تحلیله لا یکون إلّا بالنطق بهما،فلا یتحقّق بالقصد المجرّد عن الکلام،و لا بالقصد المدلول علیه بالأفعال دون الأقوال</w:t>
      </w:r>
      <w:r>
        <w:rPr>
          <w:rFonts w:eastAsia="IRNazanin" w:cs="IRNazanin"/>
          <w:color w:val="111111"/>
          <w:sz w:val="28"/>
          <w:szCs w:val="28"/>
          <w:rtl w:val="true"/>
          <w:lang w:bidi="fa-IR"/>
        </w:rPr>
        <w:t>.</w:t>
      </w:r>
    </w:p>
    <w:p>
      <w:pPr>
        <w:pStyle w:val="Heading6"/>
        <w:numPr>
          <w:ilvl w:val="5"/>
          <w:numId w:val="1"/>
        </w:numPr>
        <w:rPr/>
      </w:pPr>
      <w:bookmarkStart w:id="153" w:name="__RefHeading___Toc5082542_2314609296"/>
      <w:bookmarkStart w:id="154" w:name="_Toc62"/>
      <w:bookmarkEnd w:id="153"/>
      <w:r>
        <w:rPr>
          <w:rtl w:val="true"/>
        </w:rPr>
        <w:t>الثانی</w:t>
      </w:r>
      <w:r>
        <w:rPr>
          <w:rtl w:val="true"/>
        </w:rPr>
        <w:t>:</w:t>
      </w:r>
      <w:bookmarkEnd w:id="154"/>
    </w:p>
    <w:p>
      <w:pPr>
        <w:pStyle w:val="BookText"/>
        <w:rPr/>
      </w:pPr>
      <w:r>
        <w:rPr>
          <w:rFonts w:ascii="IRNazanin" w:hAnsi="IRNazanin" w:eastAsia="IRNazanin"/>
          <w:color w:val="111111"/>
          <w:sz w:val="28"/>
          <w:sz w:val="28"/>
          <w:szCs w:val="28"/>
          <w:rtl w:val="true"/>
          <w:lang w:bidi="fa-IR"/>
        </w:rPr>
        <w:t>أن یراد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مع مضمونه،کما فی قولک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مجرّد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المطلب الواحد یختلف حکمه الشرعی حِلاّ و حرمة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باختلاف المضامین المؤدّاة بالکلام،مثلاً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الواحد،و هو التسلیط علی البضع مدّة معیّنة یتأتّی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بضعی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سلّطتک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أحللتها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متّعتک </w:t>
      </w:r>
      <w:r>
        <w:rPr>
          <w:rStyle w:val="FootnoteAnchor"/>
          <w:rtl w:val="true"/>
        </w:rPr>
        <w:footnoteReference w:id="342"/>
      </w:r>
      <w:r>
        <w:rPr>
          <w:rFonts w:ascii="IRNazanin" w:hAnsi="IRNazanin" w:eastAsia="IRNazanin"/>
          <w:color w:val="111111"/>
          <w:sz w:val="28"/>
          <w:sz w:val="28"/>
          <w:szCs w:val="28"/>
          <w:rtl w:val="true"/>
          <w:lang w:bidi="fa-IR"/>
        </w:rPr>
        <w:t>نفسی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عدا الأخیر موجب لتحریمه،و الأخیر محلّل، و بهذا </w:t>
      </w:r>
      <w:r>
        <w:rPr>
          <w:rStyle w:val="FootnoteAnchor"/>
          <w:rtl w:val="true"/>
        </w:rPr>
        <w:footnoteReference w:id="343"/>
      </w:r>
      <w:r>
        <w:rPr>
          <w:rFonts w:ascii="IRNazanin" w:hAnsi="IRNazanin" w:eastAsia="IRNazanin"/>
          <w:color w:val="111111"/>
          <w:sz w:val="28"/>
          <w:sz w:val="28"/>
          <w:szCs w:val="28"/>
          <w:rtl w:val="true"/>
          <w:lang w:bidi="fa-IR"/>
        </w:rPr>
        <w:t>المعنی ورد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یحرّم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عدّة من روایات المزارعة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التهذیب عن ابن محبوب،عن خالد بن جریر </w:t>
      </w:r>
      <w:r>
        <w:rPr>
          <w:rStyle w:val="FootnoteAnchor"/>
          <w:rtl w:val="true"/>
        </w:rPr>
        <w:footnoteReference w:id="345"/>
      </w:r>
      <w:r>
        <w:rPr>
          <w:rFonts w:ascii="IRNazanin" w:hAnsi="IRNazanin" w:eastAsia="IRNazanin"/>
          <w:color w:val="111111"/>
          <w:sz w:val="28"/>
          <w:sz w:val="28"/>
          <w:szCs w:val="28"/>
          <w:rtl w:val="true"/>
          <w:lang w:bidi="fa-IR"/>
        </w:rPr>
        <w:t>،عن أبی الربیع الشامی،عن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الرجل یزرع أرض رجلٍ آخر فیشترط علیه ثلثاً للبذر،و ثلثاً للبقر،فقال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 أن یسمّی بذراً و لا بقراً،و لکن یقول لصاحب الأرض</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أزرع فی أرضک و لک منها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نصف،أو ثلث،أو ما کان من شرط،و لا یسمّی بذراً و لا بقراً؛فإنّما یحرّم الکلام</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bookmarkStart w:id="155" w:name="pg19763_247809"/>
    </w:p>
    <w:p>
      <w:pPr>
        <w:pStyle w:val="Heading6"/>
        <w:numPr>
          <w:ilvl w:val="5"/>
          <w:numId w:val="1"/>
        </w:numPr>
        <w:rPr/>
      </w:pPr>
      <w:bookmarkStart w:id="156" w:name="__RefHeading___Toc5082544_2314609296"/>
      <w:bookmarkStart w:id="157" w:name="_Toc63"/>
      <w:bookmarkEnd w:id="155"/>
      <w:bookmarkEnd w:id="156"/>
      <w:r>
        <w:rPr>
          <w:rtl w:val="true"/>
        </w:rPr>
        <w:t>الثالث</w:t>
      </w:r>
      <w:r>
        <w:rPr>
          <w:rtl w:val="true"/>
        </w:rPr>
        <w:t>:</w:t>
      </w:r>
      <w:bookmarkEnd w:id="157"/>
    </w:p>
    <w:p>
      <w:pPr>
        <w:pStyle w:val="BookText"/>
        <w:rPr/>
      </w:pPr>
      <w:r>
        <w:rPr>
          <w:rFonts w:ascii="IRNazanin" w:hAnsi="IRNazanin" w:eastAsia="IRNazanin"/>
          <w:color w:val="111111"/>
          <w:sz w:val="28"/>
          <w:sz w:val="28"/>
          <w:szCs w:val="28"/>
          <w:rtl w:val="true"/>
          <w:lang w:bidi="fa-IR"/>
        </w:rPr>
        <w:t>أن یراد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الفقرتین الکلام الواحد،و یکون تحلیله و تحریمه </w:t>
      </w:r>
      <w:r>
        <w:rPr>
          <w:rStyle w:val="FootnoteAnchor"/>
          <w:rtl w:val="true"/>
        </w:rPr>
        <w:footnoteReference w:id="347"/>
      </w:r>
      <w:r>
        <w:rPr>
          <w:rFonts w:ascii="IRNazanin" w:hAnsi="IRNazanin" w:eastAsia="IRNazanin"/>
          <w:color w:val="111111"/>
          <w:sz w:val="28"/>
          <w:sz w:val="28"/>
          <w:szCs w:val="28"/>
          <w:rtl w:val="true"/>
          <w:lang w:bidi="fa-IR"/>
        </w:rPr>
        <w:t xml:space="preserve">باعتبار </w:t>
      </w:r>
      <w:r>
        <w:rPr>
          <w:rStyle w:val="FootnoteAnchor"/>
          <w:rtl w:val="true"/>
        </w:rPr>
        <w:footnoteReference w:id="348"/>
      </w:r>
      <w:r>
        <w:rPr>
          <w:rFonts w:ascii="Amiri" w:hAnsi="Amiri" w:eastAsia="Amiri" w:cs="Amiri"/>
          <w:color w:val="111111"/>
          <w:sz w:val="28"/>
          <w:sz w:val="28"/>
          <w:szCs w:val="28"/>
          <w:rtl w:val="true"/>
          <w:lang w:bidi="ar-SA"/>
        </w:rPr>
        <w:t>وجوده و عدمه،فیکون وجوده محلّلاً و عدمه محرّماً،أو بالعکس،أو باعتبار محلِّه و غیر محلِّه،فیُحِلّ فی محلِّه و یُحرِّم فی غیره؛و یحتمل هذا الوجه الروایات الواردة فی المزارعة</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5082546_2314609296"/>
      <w:bookmarkStart w:id="159" w:name="_Toc64"/>
      <w:bookmarkEnd w:id="158"/>
      <w:r>
        <w:rPr>
          <w:rtl w:val="true"/>
        </w:rPr>
        <w:t>الرابع</w:t>
      </w:r>
      <w:r>
        <w:rPr>
          <w:rtl w:val="true"/>
        </w:rPr>
        <w:t>:</w:t>
      </w:r>
      <w:bookmarkEnd w:id="159"/>
    </w:p>
    <w:p>
      <w:pPr>
        <w:pStyle w:val="BookText"/>
        <w:rPr/>
      </w:pPr>
      <w:r>
        <w:rPr>
          <w:rFonts w:ascii="IRNazanin" w:hAnsi="IRNazanin" w:eastAsia="IRNazanin"/>
          <w:color w:val="111111"/>
          <w:sz w:val="28"/>
          <w:sz w:val="28"/>
          <w:szCs w:val="28"/>
          <w:rtl w:val="true"/>
          <w:lang w:bidi="fa-IR"/>
        </w:rPr>
        <w:t>أن یراد من الکلام المحلِّل خصوص المقاولة و المواعدة، و من الکلام المحرِّم إیجاب البیع و إیقاعه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عدم إرادة المعنی الأوّل؛لأنّه مع لزوم تخصیص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ظاهره حصر أسباب التحلیل و التحریم فی الشریعة فی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عدم ارتباطه بالحکم المذکور فی الخبر جواباً عن السؤال،مع کونه کالتعلیل له؛لأنّ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کما یستفاد من عدّة روایات أُخر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تخصیص الجواز بما إذا لم یوجب البیع علی الرجل قبل شراء </w:t>
      </w:r>
      <w:r>
        <w:rPr>
          <w:rStyle w:val="FootnoteAnchor"/>
          <w:rtl w:val="true"/>
        </w:rPr>
        <w:footnoteReference w:id="350"/>
      </w:r>
      <w:r>
        <w:rPr>
          <w:rFonts w:ascii="IRNazanin" w:hAnsi="IRNazanin" w:eastAsia="IRNazanin"/>
          <w:color w:val="111111"/>
          <w:sz w:val="28"/>
          <w:sz w:val="28"/>
          <w:szCs w:val="28"/>
          <w:rtl w:val="true"/>
          <w:lang w:bidi="fa-IR"/>
        </w:rPr>
        <w:t>المتاع من مالکه،و لا دخل لاشتراط النطق فی التحلیل و التحریم فی هذا الحکم أصلاً،فکیف یعلّل به؟ و کذا المعنی الثانی؛إذ لیس هنا مطلب واحد حتی یکون تأدیته بمضمونٍ محلِّلاً،و بآخر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الثالث،و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الدالّ علی الالتزام بالبیع لا یحرِّم هذه المعاملة إلّا وجوده قبل شراء العین التی یریدها الرجل؛ لأنّه بیع ما لیس عنده،و لا یحلِّل إلّا عدمه؛إذ مع عدم الکلام الموجب لالتزام البیع لم یحصل إلّا التواعد بالمبایعة،و هو غیر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سبب التحلیل و التحریم فی هذه المعاملة منحصر فی الکلام عدماً و وجوداً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المعنی الرابع،و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المقاولة و المراضاة مع المشتری الثانی قبل اشتراء العین محلِّل للمعاملة،و إیجاب البیع معه محرّم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المعنیین یسقط الخبر عن الدلالة علی اعتبار الکلام فی التحلیل،کما هو المقصود فی مسألة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نعم،یمکن استظهار اعتبار الکلام فی إیجاب البیع بوجهٍ آخر بعد ما عرفت من أنّ </w:t>
      </w:r>
      <w:r>
        <w:rPr>
          <w:rStyle w:val="FootnoteAnchor"/>
          <w:rtl w:val="true"/>
        </w:rPr>
        <w:footnoteReference w:id="352"/>
      </w: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إیجاب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حصر المُحلِّل و المُحرِّم فی الکلام لا یتأتّی إلّا مع انحصار إیجاب البیع فی الکلام؛إذ لو وقع بغیر الکلام لم ینحصر المُحلِّل و المُحرِّم فی الکلام،إلّا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وجه انحصار إیجاب البیع فی الکلام فی مورد الروایة هو عدم إمکان المعاطاة فی خصوص المورد؛إذ المفروض أنّ المبیع عند مالکه الأوّل،فتأمّل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کان،فلا تخلو الروایة عن إشعار أو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یشعر به قوله علیه السلام فی روایة أُخری واردة فی هذا الحکم أیضاً،و هی روایة</w:t>
      </w:r>
    </w:p>
    <w:p>
      <w:pPr>
        <w:pStyle w:val="BookText"/>
        <w:rPr/>
      </w:pPr>
      <w:r>
        <w:rPr>
          <w:rFonts w:ascii="IRNazanin" w:hAnsi="IRNazanin" w:eastAsia="IRNazanin"/>
          <w:color w:val="111111"/>
          <w:sz w:val="28"/>
          <w:sz w:val="28"/>
          <w:szCs w:val="28"/>
          <w:rtl w:val="true"/>
          <w:lang w:bidi="fa-IR"/>
        </w:rPr>
        <w:t>یحیی بن الحجّاج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لی هذا الثوب أو هذه الدابّة،و بعنیها أُربحک </w:t>
      </w:r>
      <w:r>
        <w:rPr>
          <w:rStyle w:val="FootnoteAnchor"/>
          <w:rtl w:val="true"/>
        </w:rPr>
        <w:footnoteReference w:id="353"/>
      </w:r>
      <w:r>
        <w:rPr>
          <w:rFonts w:ascii="IRNazanin" w:hAnsi="IRNazanin" w:eastAsia="IRNazanin"/>
          <w:color w:val="111111"/>
          <w:sz w:val="28"/>
          <w:sz w:val="28"/>
          <w:szCs w:val="28"/>
          <w:rtl w:val="true"/>
          <w:lang w:bidi="fa-IR"/>
        </w:rPr>
        <w:t>فیها کذا و کذا؟قال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بذلک،اشترها،و لا تواجبه البیع قبل أن تستوجبها أو تشتریها</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فإنّ الظاهر أنّ المراد من مواجبة البیع لیس مجرّد إعطاء العین للمشتری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یشعر به أیضاً روایة العلاء الواردة فی نسبة الربح إلی أصل المال،قال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یرید أن یبیع بیعاً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أبیعک بده دوازده،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ده یازده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بأس،إنّما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جمع البیع جعله جملة واحدة</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فإنّ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فهمه بعض الشرّاح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یکره ذلک فی المقاولة التی قبل العقد، و إنّما یکره حین العقد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تبیع الرجل المتاع لیس عندک،تساومه ثمّ تشتری له نحو الذی طلب،ثمّ توجبه علی نفسک، ثمّ تبیعه منه بعد</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bookmarkStart w:id="160" w:name="pg19763_247812"/>
    </w:p>
    <w:p>
      <w:pPr>
        <w:pStyle w:val="Heading4"/>
        <w:numPr>
          <w:ilvl w:val="3"/>
          <w:numId w:val="1"/>
        </w:numPr>
        <w:rPr/>
      </w:pPr>
      <w:bookmarkStart w:id="161" w:name="__RefHeading___Toc5082548_2314609296"/>
      <w:bookmarkStart w:id="162" w:name="_Toc65"/>
      <w:bookmarkEnd w:id="160"/>
      <w:bookmarkEnd w:id="161"/>
      <w:r>
        <w:rPr>
          <w:rtl w:val="true"/>
        </w:rPr>
        <w:t>و ینبغی التنبیه علی أُمور</w:t>
      </w:r>
      <w:r>
        <w:rPr>
          <w:rtl w:val="true"/>
        </w:rPr>
        <w:t>:</w:t>
      </w:r>
      <w:bookmarkEnd w:id="162"/>
    </w:p>
    <w:p>
      <w:pPr>
        <w:pStyle w:val="Heading5"/>
        <w:numPr>
          <w:ilvl w:val="4"/>
          <w:numId w:val="1"/>
        </w:numPr>
        <w:rPr/>
      </w:pPr>
      <w:bookmarkStart w:id="163" w:name="__RefHeading___Toc5082550_2314609296"/>
      <w:bookmarkStart w:id="164" w:name="_Toc66"/>
      <w:bookmarkEnd w:id="163"/>
      <w:r>
        <w:rPr>
          <w:rtl w:val="true"/>
        </w:rPr>
        <w:t>الأوّل الظاهر</w:t>
      </w:r>
      <w:bookmarkEnd w:id="164"/>
    </w:p>
    <w:p>
      <w:pPr>
        <w:pStyle w:val="BookText"/>
        <w:rPr/>
      </w:pPr>
      <w:r>
        <w:rPr>
          <w:rFonts w:ascii="IRNazanin" w:hAnsi="IRNazanin" w:eastAsia="IRNazanin"/>
          <w:color w:val="111111"/>
          <w:sz w:val="28"/>
          <w:sz w:val="28"/>
          <w:szCs w:val="28"/>
          <w:rtl w:val="true"/>
          <w:lang w:bidi="fa-IR"/>
        </w:rPr>
        <w:t xml:space="preserve">الأوّل الظاهر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المعاطاة قبل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بإفادتها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p>
    <w:p>
      <w:pPr>
        <w:pStyle w:val="BookText"/>
        <w:rPr/>
      </w:pPr>
      <w:r>
        <w:rPr>
          <w:rFonts w:ascii="IRNazanin" w:hAnsi="IRNazanin" w:eastAsia="IRNazanin"/>
          <w:color w:val="111111"/>
          <w:sz w:val="28"/>
          <w:sz w:val="28"/>
          <w:szCs w:val="28"/>
          <w:rtl w:val="true"/>
          <w:lang w:bidi="fa-IR"/>
        </w:rPr>
        <w:t xml:space="preserve">بل الظاهر من کلام المحقّق الثانی فی جامع المقاصد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ممّا لا کلام فیه حتی عند القائلین بکونها فاسدة،کالعلّامة فی النهایة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 علی ذلک تمسّکهم له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علی القول بإفادتها للإباحة </w:t>
      </w:r>
      <w:r>
        <w:rPr>
          <w:rStyle w:val="FootnoteAnchor"/>
          <w:rtl w:val="true"/>
        </w:rPr>
        <w:footnoteReference w:id="364"/>
      </w: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w:t>
      </w:r>
      <w:r>
        <w:rPr>
          <w:rStyle w:val="FootnoteAnchor"/>
          <w:rtl w:val="true"/>
        </w:rPr>
        <w:footnoteReference w:id="365"/>
      </w:r>
      <w:r>
        <w:rPr>
          <w:rFonts w:ascii="IRNazanin" w:hAnsi="IRNazanin" w:eastAsia="IRNazanin"/>
          <w:color w:val="111111"/>
          <w:sz w:val="28"/>
          <w:sz w:val="28"/>
          <w:szCs w:val="28"/>
          <w:rtl w:val="true"/>
          <w:lang w:bidi="fa-IR"/>
        </w:rPr>
        <w:t xml:space="preserve">بیع عرفیّ لم یؤثّر شرعاً إلّا الإباحة،فنفی البیع عنها فی کلامهم </w:t>
      </w:r>
      <w:r>
        <w:rPr>
          <w:rStyle w:val="FootnoteAnchor"/>
          <w:rtl w:val="true"/>
        </w:rPr>
        <w:footnoteReference w:id="366"/>
      </w:r>
      <w:r>
        <w:rPr>
          <w:rFonts w:ascii="IRNazanin" w:hAnsi="IRNazanin" w:eastAsia="IRNazanin"/>
          <w:color w:val="111111"/>
          <w:sz w:val="28"/>
          <w:sz w:val="28"/>
          <w:szCs w:val="28"/>
          <w:rtl w:val="true"/>
          <w:lang w:bidi="fa-IR"/>
        </w:rPr>
        <w:t xml:space="preserve">و معاقد إجماعاتهم </w:t>
      </w:r>
      <w:r>
        <w:rPr>
          <w:rStyle w:val="FootnoteAnchor"/>
          <w:rtl w:val="true"/>
        </w:rPr>
        <w:footnoteReference w:id="367"/>
      </w:r>
      <w:r>
        <w:rPr>
          <w:rFonts w:ascii="IRNazanin" w:hAnsi="IRNazanin" w:eastAsia="IRNazanin"/>
          <w:color w:val="111111"/>
          <w:sz w:val="28"/>
          <w:sz w:val="28"/>
          <w:szCs w:val="28"/>
          <w:rtl w:val="true"/>
          <w:lang w:bidi="fa-IR"/>
        </w:rPr>
        <w:t>هو البیع المفید شرعاً اللزوم زیادةً علی الملک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علی ما اخترناه سابقاً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مقصود المتعاطیین فی</w:t>
      </w:r>
    </w:p>
    <w:p>
      <w:pPr>
        <w:pStyle w:val="BookText"/>
        <w:rPr/>
      </w:pPr>
      <w:r>
        <w:rPr>
          <w:rFonts w:ascii="IRNazanin" w:hAnsi="IRNazanin" w:eastAsia="IRNazanin"/>
          <w:color w:val="111111"/>
          <w:sz w:val="28"/>
          <w:sz w:val="28"/>
          <w:szCs w:val="28"/>
          <w:rtl w:val="true"/>
          <w:lang w:bidi="fa-IR"/>
        </w:rPr>
        <w:t xml:space="preserve">المعاطاة التملّک </w:t>
      </w:r>
      <w:r>
        <w:rPr>
          <w:rStyle w:val="FootnoteAnchor"/>
          <w:rtl w:val="true"/>
        </w:rPr>
        <w:footnoteReference w:id="369"/>
      </w:r>
      <w:r>
        <w:rPr>
          <w:rFonts w:ascii="IRNazanin" w:hAnsi="IRNazanin" w:eastAsia="IRNazanin"/>
          <w:color w:val="111111"/>
          <w:sz w:val="28"/>
          <w:sz w:val="28"/>
          <w:szCs w:val="28"/>
          <w:rtl w:val="true"/>
          <w:lang w:bidi="fa-IR"/>
        </w:rPr>
        <w:t xml:space="preserve">و البیع </w:t>
      </w:r>
      <w:r>
        <w:rPr>
          <w:rStyle w:val="FootnoteAnchor"/>
          <w:rtl w:val="true"/>
        </w:rPr>
        <w:footnoteReference w:id="370"/>
      </w:r>
      <w:r>
        <w:rPr>
          <w:rFonts w:ascii="IRNazanin" w:hAnsi="IRNazanin" w:eastAsia="IRNazanin"/>
          <w:color w:val="111111"/>
          <w:sz w:val="28"/>
          <w:sz w:val="28"/>
          <w:szCs w:val="28"/>
          <w:rtl w:val="true"/>
          <w:lang w:bidi="fa-IR"/>
        </w:rPr>
        <w:t xml:space="preserve">،و أمّا علی ما احتمله بعضهم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استظهره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محلّ الکلام هو ما إذا قصدا </w:t>
      </w:r>
      <w:r>
        <w:rPr>
          <w:rStyle w:val="FootnoteAnchor"/>
          <w:rtl w:val="true"/>
        </w:rPr>
        <w:footnoteReference w:id="373"/>
      </w:r>
      <w:r>
        <w:rPr>
          <w:rFonts w:ascii="IRNazanin" w:hAnsi="IRNazanin" w:eastAsia="IRNazanin"/>
          <w:color w:val="111111"/>
          <w:sz w:val="28"/>
          <w:sz w:val="28"/>
          <w:szCs w:val="28"/>
          <w:rtl w:val="true"/>
          <w:lang w:bidi="fa-IR"/>
        </w:rPr>
        <w:t>مجرّد الإباحة، فلا إشکال فی عدم کونها بیعاً عرفاً،و 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بدّ عند الشکّ فی اعتبار شرط فیها من الرجوع إلی الأدلّة الدالّة علی صحّة هذه الإباحة العوضیّة من خصوصٍ أو عموم،و حیث إنّ المناسب لهذا القول التمسّک فی مشروعیّته بعموم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کان مقتضی القاعدة هو نفی شرطیّة غیر ما ثبت شرطیّته،کما أنّه لو تمسّک لها بالسیرة کان مقتضی القاعدة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الشکّ فی شروطها،هی أدلّة هذه المعاملة،سواء اعتبرت فی البیع أم لا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الکلام فیما قصد </w:t>
      </w:r>
      <w:r>
        <w:rPr>
          <w:rStyle w:val="FootnoteAnchor"/>
          <w:rtl w:val="true"/>
        </w:rPr>
        <w:footnoteReference w:id="375"/>
      </w:r>
      <w:r>
        <w:rPr>
          <w:rFonts w:ascii="IRNazanin" w:hAnsi="IRNazanin" w:eastAsia="IRNazanin"/>
          <w:color w:val="111111"/>
          <w:sz w:val="28"/>
          <w:sz w:val="28"/>
          <w:szCs w:val="28"/>
          <w:rtl w:val="true"/>
          <w:lang w:bidi="fa-IR"/>
        </w:rPr>
        <w:t xml:space="preserve">به البیع،فهل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یشترط فیه شروط البیع مطلقاً،أم لا کذلک،أم یبتنی </w:t>
      </w:r>
      <w:r>
        <w:rPr>
          <w:rStyle w:val="FootnoteAnchor"/>
          <w:rtl w:val="true"/>
        </w:rPr>
        <w:footnoteReference w:id="377"/>
      </w:r>
      <w:r>
        <w:rPr>
          <w:rFonts w:ascii="IRNazanin" w:hAnsi="IRNazanin" w:eastAsia="IRNazanin"/>
          <w:color w:val="111111"/>
          <w:sz w:val="28"/>
          <w:sz w:val="28"/>
          <w:szCs w:val="28"/>
          <w:rtl w:val="true"/>
          <w:lang w:bidi="fa-IR"/>
        </w:rPr>
        <w:t xml:space="preserve">علی القول بإفادتها للملک،و القول بعدم إفادتها إلّا الإباحة </w:t>
      </w:r>
      <w:r>
        <w:rPr>
          <w:rStyle w:val="FootnoteAnchor"/>
          <w:rtl w:val="true"/>
        </w:rPr>
        <w:footnoteReference w:id="378"/>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یشهد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کونها بیعاً عرفاً،فیشترط </w:t>
      </w:r>
      <w:r>
        <w:rPr>
          <w:rStyle w:val="FootnoteAnchor"/>
          <w:rtl w:val="true"/>
        </w:rPr>
        <w:footnoteReference w:id="379"/>
      </w:r>
      <w:r>
        <w:rPr>
          <w:rFonts w:ascii="IRNazanin" w:hAnsi="IRNazanin" w:eastAsia="IRNazanin"/>
          <w:color w:val="111111"/>
          <w:sz w:val="28"/>
          <w:sz w:val="28"/>
          <w:szCs w:val="28"/>
          <w:rtl w:val="true"/>
          <w:lang w:bidi="fa-IR"/>
        </w:rPr>
        <w:t>فیها جمیع ما دلّ علی اشتراطه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النزاع بین العامّة و الخاصّة فی المعاطاة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الصیغة معتبرة فی البیع کسائر الشرائط،أم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یفصح عنه عنوان المسألة فی کتب کثیرٍ من الخاصّة و العامّة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انتفی فیه غیر الصیغة من شروط البیع،خارج عن هذا العنوان و إن فرض مشارکاً له فی الحکم؛و لذا ادّعی </w:t>
      </w:r>
      <w:r>
        <w:rPr>
          <w:rStyle w:val="FootnoteAnchor"/>
          <w:rtl w:val="true"/>
        </w:rPr>
        <w:footnoteReference w:id="381"/>
      </w:r>
      <w:r>
        <w:rPr>
          <w:rFonts w:ascii="IRNazanin" w:hAnsi="IRNazanin" w:eastAsia="IRNazanin"/>
          <w:color w:val="111111"/>
          <w:sz w:val="28"/>
          <w:sz w:val="28"/>
          <w:szCs w:val="28"/>
          <w:rtl w:val="true"/>
          <w:lang w:bidi="fa-IR"/>
        </w:rPr>
        <w:t>فی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المشهور بین القائلین بعدم لزوم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المعاطاة المذکورة إذا استکملت </w:t>
      </w:r>
      <w:r>
        <w:rPr>
          <w:rStyle w:val="FootnoteAnchor"/>
          <w:rtl w:val="true"/>
        </w:rPr>
        <w:footnoteReference w:id="382"/>
      </w:r>
      <w:r>
        <w:rPr>
          <w:rFonts w:ascii="IRNazanin" w:hAnsi="IRNazanin" w:eastAsia="IRNazanin"/>
          <w:color w:val="111111"/>
          <w:sz w:val="28"/>
          <w:sz w:val="28"/>
          <w:szCs w:val="28"/>
          <w:rtl w:val="true"/>
          <w:lang w:bidi="fa-IR"/>
        </w:rPr>
        <w:t xml:space="preserve">شروط البیع غیر الصیغة المخصوصة،و أنّها تفید إباحة تصرّف کلٍّ منهما فیما صار إلیه من العوض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مقابل المشهور فی کلامه،قول العلّامة رحمه اللّه فی النهایة بفساد المعاطاة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کلامه موهماً لثبوت</w:t>
      </w:r>
    </w:p>
    <w:p>
      <w:pPr>
        <w:pStyle w:val="BookText"/>
        <w:rPr/>
      </w:pPr>
      <w:r>
        <w:rPr>
          <w:rFonts w:ascii="IRNazanin" w:hAnsi="IRNazanin" w:eastAsia="IRNazanin"/>
          <w:color w:val="111111"/>
          <w:sz w:val="28"/>
          <w:sz w:val="28"/>
          <w:szCs w:val="28"/>
          <w:rtl w:val="true"/>
          <w:lang w:bidi="fa-IR"/>
        </w:rPr>
        <w:t>الخلاف فی اشتراط صحّة المعاطاة باستجماع شرائط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فی النصّ و الفتوی ظاهر فیما حکم فیه باللزوم،و ثبت له الخیار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القول بالإباحة،فواضح؛لأنّ المعاطاة لیست علی هذا القول بیعاً فی نظر الشارع و المتشرّعة؛إذ لا نقل فیه عند الشارع، فإذا ثبت إطلاق الشارع علیه فی مقام </w:t>
      </w:r>
      <w:r>
        <w:rPr>
          <w:rStyle w:val="FootnoteAnchor"/>
          <w:rtl w:val="true"/>
        </w:rPr>
        <w:footnoteReference w:id="385"/>
      </w:r>
      <w:r>
        <w:rPr>
          <w:rFonts w:ascii="IRNazanin" w:hAnsi="IRNazanin" w:eastAsia="IRNazanin"/>
          <w:color w:val="111111"/>
          <w:sz w:val="28"/>
          <w:sz w:val="28"/>
          <w:szCs w:val="28"/>
          <w:rtl w:val="true"/>
          <w:lang w:bidi="fa-IR"/>
        </w:rPr>
        <w:t>،فنحمله علی الجری علی ما هو بیع باعتقاد العرف،لاشتماله علی النقل فی نظرهم،و قد تقدّم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تصحیح دعوی الإجماع علی عدم کون المعاطاة بیعاً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بالملک،فلأنّ المطلق ینصرف إلی الفرد المحکوم باللزوم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البیع اللزوم،و الخیار إنّما ثبت 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البیع بقول مطلق </w:t>
      </w:r>
      <w:r>
        <w:rPr>
          <w:rStyle w:val="FootnoteAnchor"/>
          <w:rtl w:val="true"/>
        </w:rPr>
        <w:footnoteReference w:id="387"/>
      </w:r>
      <w:r>
        <w:rPr>
          <w:rFonts w:ascii="IRNazanin" w:hAnsi="IRNazanin" w:eastAsia="IRNazanin"/>
          <w:color w:val="111111"/>
          <w:sz w:val="28"/>
          <w:sz w:val="28"/>
          <w:szCs w:val="28"/>
          <w:rtl w:val="true"/>
          <w:lang w:bidi="fa-IR"/>
        </w:rPr>
        <w:t>من العقود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هو العقد الدالّ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بالجملة،فلا یبقی للمتأمّل شکّ فی أنّ إطلاق البیع فی النصّ و الفتوی یراد به ما لا یجوز فسخه إلّا بفسخ عقده بخیار أو بتقایل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للثانی علی القول بالإباحة،من سلب</w:t>
      </w:r>
    </w:p>
    <w:p>
      <w:pPr>
        <w:pStyle w:val="BookText"/>
        <w:rPr/>
      </w:pPr>
      <w:r>
        <w:rPr>
          <w:rFonts w:ascii="IRNazanin" w:hAnsi="IRNazanin" w:eastAsia="IRNazanin"/>
          <w:color w:val="111111"/>
          <w:sz w:val="28"/>
          <w:sz w:val="28"/>
          <w:szCs w:val="28"/>
          <w:rtl w:val="true"/>
          <w:lang w:bidi="fa-IR"/>
        </w:rPr>
        <w:t>البیع عنه،و للأوّل علی القول بالملک،من صدق البیع علیه حینئذٍ و إن لم یکن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الفرق بین الشرط الذی ثبت اعتباره فی البیع من النصّ، فیحمل علی البیع العرفی و إن لم یفد عند الشارع إلّا الإباحة،و بین ما ثبت بالإجماع علی اعتباره فی البیع بناءً علی 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کلمات المجمعین إلی العقد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الأوّل لا یخلو عن قوّة؛لکونها بیعاً ظاهراً علی القول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عرفت من جامع المقاصد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بالإباحة؛ فلأنها لم تثبت إلّا فی المعاملة الفاقدة للصیغة فقط،فلا تشمل الفاقدة للشرط الآخر أیضاً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حکی عن الشهید رحمه اللّه فی حواشیه علی القواعد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منع من إخراج المأخوذ بالمعاطاة فی الخمس و الزکاة و ثمن الهدی إلّا بعد تلف العین،یعنی العین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یجوز أن یکون الثمن و المثمن فی المعاطاة مجهولین؛لأنّها لیست عقداً،و کذا جهالة الأجل،و أنّه لو اشتری أمةً بالمعاطاة لم یجز له </w:t>
      </w:r>
      <w:r>
        <w:rPr>
          <w:rStyle w:val="FootnoteAnchor"/>
          <w:rtl w:val="true"/>
        </w:rPr>
        <w:footnoteReference w:id="390"/>
      </w:r>
      <w:r>
        <w:rPr>
          <w:rFonts w:ascii="IRNazanin" w:hAnsi="IRNazanin" w:eastAsia="IRNazanin"/>
          <w:color w:val="111111"/>
          <w:sz w:val="28"/>
          <w:sz w:val="28"/>
          <w:szCs w:val="28"/>
          <w:rtl w:val="true"/>
          <w:lang w:bidi="fa-IR"/>
        </w:rPr>
        <w:t xml:space="preserve">نکاحها قبل تلف الثمن </w:t>
      </w:r>
      <w:r>
        <w:rPr>
          <w:rStyle w:val="FootnoteAnchor"/>
          <w:rtl w:val="true"/>
        </w:rPr>
        <w:footnoteReference w:id="3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عنه فی باب الصرف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یعتبر التقابض فی المجلس فی معاطاة النقدین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حکمه قدّس سرّه بعدم جواز إخراج المأخوذ بالمعاطاة فی الصدقات الواجبة و عدم جواز نکاح المأخوذ بها،صریح فی عدم </w:t>
      </w:r>
      <w:r>
        <w:rPr>
          <w:rStyle w:val="FootnoteAnchor"/>
          <w:rtl w:val="true"/>
        </w:rPr>
        <w:footnoteReference w:id="393"/>
      </w:r>
      <w:r>
        <w:rPr>
          <w:rFonts w:ascii="IRNazanin" w:hAnsi="IRNazanin" w:eastAsia="IRNazanin"/>
          <w:color w:val="111111"/>
          <w:sz w:val="28"/>
          <w:sz w:val="28"/>
          <w:szCs w:val="28"/>
          <w:rtl w:val="true"/>
          <w:lang w:bidi="fa-IR"/>
        </w:rPr>
        <w:t xml:space="preserve">إفادتها للملک،إلّا أنّ حکمه رحمه اللّه بعدم اعتبار الشروط المذکورة </w:t>
      </w:r>
      <w:r>
        <w:rPr>
          <w:rStyle w:val="FootnoteAnchor"/>
          <w:rtl w:val="true"/>
        </w:rPr>
        <w:footnoteReference w:id="394"/>
      </w:r>
      <w:r>
        <w:rPr>
          <w:rFonts w:ascii="IRNazanin" w:hAnsi="IRNazanin" w:eastAsia="IRNazanin"/>
          <w:color w:val="111111"/>
          <w:sz w:val="28"/>
          <w:sz w:val="28"/>
          <w:szCs w:val="28"/>
          <w:rtl w:val="true"/>
          <w:lang w:bidi="fa-IR"/>
        </w:rPr>
        <w:t>للبیع و الصرف معلِّلاً بأنّ المعاطاة لیست عقداً،یحتمل أن یکون باعتبار عدم الملک؛حیث إنّ المفید للملک منحصرٌ فی العقد،و أن یکون باعتبار عدم اللزوم؛حیث إنّ الشروط المذکورة شرائط للبیع العقدی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اعتبارها و إن قلنا بالإباحة؛لأنّها بیع عرفی و إن لم یفد شرعاً إلّا الإباحة،و مورد الأدلّة الدالّة علی اعتبار تلک الشروط هو البیع العرفی لا خصوص العقدی،بل تقییدها بالبیع العقدی تقیید بغیر الغالب؛و لِما عرفت من أنّ الأصل فی المعاطاة بعد القول بعدم الملک، الفساد و عدم تأثیره شیئاً،خرج ما هو محلّ الخلاف بین العلماء من حیث اللزوم و العدم،و هو المعاملة الجامعة للشروط عدا الصیغة،و بقی الباقی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ذکرنا یظهر وجه تحریم الربا فیها </w:t>
      </w:r>
      <w:r>
        <w:rPr>
          <w:rStyle w:val="FootnoteAnchor"/>
          <w:rtl w:val="true"/>
        </w:rPr>
        <w:footnoteReference w:id="395"/>
      </w:r>
      <w:r>
        <w:rPr>
          <w:rFonts w:ascii="IRNazanin" w:hAnsi="IRNazanin" w:eastAsia="IRNazanin"/>
          <w:color w:val="111111"/>
          <w:sz w:val="28"/>
          <w:sz w:val="28"/>
          <w:szCs w:val="28"/>
          <w:rtl w:val="true"/>
          <w:lang w:bidi="fa-IR"/>
        </w:rPr>
        <w:t xml:space="preserve">أیضاً و إن خصصنا الحکم بالبیع،بل الظاهر التحریم حتّی عند من لا یراها </w:t>
      </w:r>
      <w:r>
        <w:rPr>
          <w:rStyle w:val="FootnoteAnchor"/>
          <w:rtl w:val="true"/>
        </w:rPr>
        <w:footnoteReference w:id="396"/>
      </w:r>
      <w:r>
        <w:rPr>
          <w:rFonts w:ascii="IRNazanin" w:hAnsi="IRNazanin" w:eastAsia="IRNazanin"/>
          <w:color w:val="111111"/>
          <w:sz w:val="28"/>
          <w:sz w:val="28"/>
          <w:szCs w:val="28"/>
          <w:rtl w:val="true"/>
          <w:lang w:bidi="fa-IR"/>
        </w:rPr>
        <w:t xml:space="preserve">مفیدة للملک؛لأنّها معاوضة عرفیّة و إن لم تفد الملک،بل معاوضة شرعیّة،کما </w:t>
      </w:r>
      <w:r>
        <w:rPr>
          <w:rStyle w:val="FootnoteAnchor"/>
          <w:rtl w:val="true"/>
        </w:rPr>
        <w:footnoteReference w:id="397"/>
      </w:r>
      <w:r>
        <w:rPr>
          <w:rFonts w:ascii="IRNazanin" w:hAnsi="IRNazanin" w:eastAsia="IRNazanin"/>
          <w:color w:val="111111"/>
          <w:sz w:val="28"/>
          <w:sz w:val="28"/>
          <w:szCs w:val="28"/>
          <w:rtl w:val="true"/>
          <w:lang w:bidi="fa-IR"/>
        </w:rPr>
        <w:t>اعترف بها</w:t>
      </w:r>
    </w:p>
    <w:p>
      <w:pPr>
        <w:pStyle w:val="BookText"/>
        <w:rPr/>
      </w:pPr>
      <w:r>
        <w:rPr>
          <w:rFonts w:ascii="IRNazanin" w:hAnsi="IRNazanin" w:eastAsia="IRNazanin"/>
          <w:color w:val="111111"/>
          <w:sz w:val="28"/>
          <w:sz w:val="28"/>
          <w:szCs w:val="28"/>
          <w:rtl w:val="true"/>
          <w:lang w:bidi="fa-IR"/>
        </w:rPr>
        <w:t>الشهید رحمه اللّه فی موضعٍ من الحواشی؛حیث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المعاطاة معاوضة مستقلّة جائزة أو لازمة </w:t>
      </w:r>
      <w:r>
        <w:rPr>
          <w:rStyle w:val="FootnoteAnchor"/>
          <w:rtl w:val="true"/>
        </w:rPr>
        <w:footnoteReference w:id="39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قلنا بأنّ المقصود للمتعاطیین </w:t>
      </w:r>
      <w:r>
        <w:rPr>
          <w:rStyle w:val="FootnoteAnchor"/>
          <w:rtl w:val="true"/>
        </w:rPr>
        <w:footnoteReference w:id="399"/>
      </w:r>
      <w:r>
        <w:rPr>
          <w:rFonts w:ascii="IRNazanin" w:hAnsi="IRNazanin" w:eastAsia="IRNazanin"/>
          <w:color w:val="111111"/>
          <w:sz w:val="28"/>
          <w:sz w:val="28"/>
          <w:szCs w:val="28"/>
          <w:rtl w:val="true"/>
          <w:lang w:bidi="fa-IR"/>
        </w:rPr>
        <w:t xml:space="preserve">الإباحة لا الملک،فلا یبعد أیضاً جریان الربا؛لکونها معاوضة عرفاً،فتأمّل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حکم جریان الخیار فیها قبل اللزوم،فیمکن نفیه علی المشهور؛لأنّها إباحة </w:t>
      </w:r>
      <w:r>
        <w:rPr>
          <w:rStyle w:val="FootnoteAnchor"/>
          <w:rtl w:val="true"/>
        </w:rPr>
        <w:footnoteReference w:id="401"/>
      </w:r>
      <w:r>
        <w:rPr>
          <w:rFonts w:ascii="IRNazanin" w:hAnsi="IRNazanin" w:eastAsia="IRNazanin"/>
          <w:color w:val="111111"/>
          <w:sz w:val="28"/>
          <w:sz w:val="28"/>
          <w:szCs w:val="28"/>
          <w:rtl w:val="true"/>
          <w:lang w:bidi="fa-IR"/>
        </w:rPr>
        <w:t xml:space="preserve">عندهم،فلا معنی للخیار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قلنا بإفادة الملک،فیمکن القول بثبوت الخیار فیه </w:t>
      </w:r>
      <w:r>
        <w:rPr>
          <w:rStyle w:val="FootnoteAnchor"/>
          <w:rtl w:val="true"/>
        </w:rPr>
        <w:footnoteReference w:id="403"/>
      </w:r>
      <w:r>
        <w:rPr>
          <w:rFonts w:ascii="IRNazanin" w:hAnsi="IRNazanin" w:eastAsia="IRNazanin"/>
          <w:color w:val="111111"/>
          <w:sz w:val="28"/>
          <w:sz w:val="28"/>
          <w:szCs w:val="28"/>
          <w:rtl w:val="true"/>
          <w:lang w:bidi="fa-IR"/>
        </w:rPr>
        <w:t>مطلقاً؛ بناءً علی صیرورتها بیعاً بعد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عند تعرّض الملزمات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فالخیار موجود من زمان المعاطاة،إلّا أنّ أثره یظهر بعد اللزوم،و علی هذا فیصحّ إسقاطه و المصالحة علیه قبل اللزوم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یفصّل بین الخیارات المختصّة بالبیع،فلا تجری؛ لاختصاص أدلّتها بما وضع علی اللزوم من غیر جهة الخیار </w:t>
      </w:r>
      <w:r>
        <w:rPr>
          <w:rStyle w:val="FootnoteAnchor"/>
          <w:rtl w:val="true"/>
        </w:rPr>
        <w:footnoteReference w:id="404"/>
      </w:r>
      <w:r>
        <w:rPr>
          <w:rFonts w:ascii="IRNazanin" w:hAnsi="IRNazanin" w:eastAsia="IRNazanin"/>
          <w:color w:val="111111"/>
          <w:sz w:val="28"/>
          <w:sz w:val="28"/>
          <w:szCs w:val="28"/>
          <w:rtl w:val="true"/>
          <w:lang w:bidi="fa-IR"/>
        </w:rPr>
        <w:t>،و بین</w:t>
      </w:r>
    </w:p>
    <w:p>
      <w:pPr>
        <w:pStyle w:val="BookText"/>
        <w:rPr/>
      </w:pP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کخیار الغبن و العیب بالنسبة إلی الردّ دون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فتجری </w:t>
      </w:r>
      <w:r>
        <w:rPr>
          <w:rStyle w:val="FootnoteAnchor"/>
          <w:rtl w:val="true"/>
        </w:rPr>
        <w:footnoteReference w:id="405"/>
      </w:r>
      <w:r>
        <w:rPr>
          <w:rFonts w:ascii="IRNazanin" w:hAnsi="IRNazanin" w:eastAsia="IRNazanin"/>
          <w:color w:val="111111"/>
          <w:sz w:val="28"/>
          <w:sz w:val="28"/>
          <w:szCs w:val="28"/>
          <w:rtl w:val="true"/>
          <w:lang w:bidi="fa-IR"/>
        </w:rPr>
        <w:t>لعموم أدلّتها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حکم الخیار بعد اللزوم،فسیأتی </w:t>
      </w:r>
      <w:r>
        <w:rPr>
          <w:rStyle w:val="FootnoteAnchor"/>
          <w:rtl w:val="true"/>
        </w:rPr>
        <w:footnoteReference w:id="406"/>
      </w:r>
      <w:r>
        <w:rPr>
          <w:rFonts w:ascii="IRNazanin" w:hAnsi="IRNazanin" w:eastAsia="IRNazanin"/>
          <w:color w:val="111111"/>
          <w:sz w:val="28"/>
          <w:sz w:val="28"/>
          <w:szCs w:val="28"/>
          <w:rtl w:val="true"/>
          <w:lang w:bidi="fa-IR"/>
        </w:rPr>
        <w:t xml:space="preserve">بعد ذکر الملزمات إن شاء اللّه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bookmarkStart w:id="165" w:name="pg19763_247820"/>
    </w:p>
    <w:p>
      <w:pPr>
        <w:pStyle w:val="Heading5"/>
        <w:numPr>
          <w:ilvl w:val="4"/>
          <w:numId w:val="1"/>
        </w:numPr>
        <w:rPr/>
      </w:pPr>
      <w:bookmarkStart w:id="166" w:name="__RefHeading___Toc5082552_2314609296"/>
      <w:bookmarkStart w:id="167" w:name="_Toc67"/>
      <w:bookmarkEnd w:id="165"/>
      <w:bookmarkEnd w:id="166"/>
      <w:r>
        <w:rPr>
          <w:rtl w:val="true"/>
        </w:rPr>
        <w:t>الأمر الثانی إنّ المتیقّن من مورد المعاطاة</w:t>
      </w:r>
      <w:r>
        <w:rPr>
          <w:rtl w:val="true"/>
        </w:rPr>
        <w:t>:</w:t>
      </w:r>
      <w:r>
        <w:rPr>
          <w:rtl w:val="true"/>
        </w:rPr>
        <w:t>هو حصول التعاطی فعلاً من الطرفین،</w:t>
      </w:r>
      <w:bookmarkEnd w:id="16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فالملک أو الإباحة فی کلٍّ منهما بالإعطاء،فلو حصل الإعطاء من جانبٍ واحدٍ لم یحصل ما یوجب إباحة الآخر أو ملکیّته، فلا یتحقّق المعاوضة و لا الإباحة رأساً؛لأنّ کلاّ منهما ملکٌ أو مباح فی مقابل ملکیّة </w:t>
      </w:r>
      <w:r>
        <w:rPr>
          <w:rStyle w:val="FootnoteAnchor"/>
          <w:rtl w:val="true"/>
        </w:rPr>
        <w:footnoteReference w:id="408"/>
      </w:r>
      <w:r>
        <w:rPr>
          <w:rFonts w:ascii="IRNazanin" w:hAnsi="IRNazanin" w:eastAsia="IRNazanin"/>
          <w:color w:val="111111"/>
          <w:sz w:val="28"/>
          <w:sz w:val="28"/>
          <w:szCs w:val="28"/>
          <w:rtl w:val="true"/>
          <w:lang w:bidi="fa-IR"/>
        </w:rPr>
        <w:t xml:space="preserve">الآخر أو إباحته،إلّا أنّ الظاهر من جماعة من متأخّری المتأخّرین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للشهید فی الدروس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w:t>
      </w:r>
      <w:r>
        <w:rPr>
          <w:rStyle w:val="FootnoteAnchor"/>
          <w:rtl w:val="true"/>
        </w:rPr>
        <w:footnoteReference w:id="411"/>
      </w:r>
      <w:r>
        <w:rPr>
          <w:rFonts w:ascii="IRNazanin" w:hAnsi="IRNazanin" w:eastAsia="IRNazanin"/>
          <w:color w:val="111111"/>
          <w:sz w:val="28"/>
          <w:sz w:val="28"/>
          <w:szCs w:val="28"/>
          <w:rtl w:val="true"/>
          <w:lang w:bidi="fa-IR"/>
        </w:rPr>
        <w:t xml:space="preserve">من المعاطاة،و لا ریب أنّه لا یصدق معنی المعاطاة،لکنّ هذا لا یقدح فی جریان حکمها علیه؛بناءً علی عموم الحکم لکلّ بیعٍ فعلیٍّ،فیکون إقباض أحد العوضین من مالکه تملیکاً له بعوض،أو مبیحاً </w:t>
      </w:r>
      <w:r>
        <w:rPr>
          <w:rStyle w:val="FootnoteAnchor"/>
          <w:rtl w:val="true"/>
        </w:rPr>
        <w:footnoteReference w:id="412"/>
      </w:r>
      <w:r>
        <w:rPr>
          <w:rFonts w:ascii="IRNazanin" w:hAnsi="IRNazanin" w:eastAsia="IRNazanin"/>
          <w:color w:val="111111"/>
          <w:sz w:val="28"/>
          <w:sz w:val="28"/>
          <w:szCs w:val="28"/>
          <w:rtl w:val="true"/>
          <w:lang w:bidi="fa-IR"/>
        </w:rPr>
        <w:t>له به،و أخذ الآخر له تملّکاً له بالعوض،أو إباحة له بإزائه،فلو کان المعطی هو الثمن کان</w:t>
      </w:r>
    </w:p>
    <w:p>
      <w:pPr>
        <w:pStyle w:val="BookText"/>
        <w:rPr/>
      </w:pPr>
      <w:r>
        <w:rPr>
          <w:rFonts w:ascii="IRNazanin" w:hAnsi="IRNazanin" w:eastAsia="IRNazanin"/>
          <w:color w:val="111111"/>
          <w:sz w:val="28"/>
          <w:sz w:val="28"/>
          <w:szCs w:val="28"/>
          <w:rtl w:val="true"/>
          <w:lang w:bidi="fa-IR"/>
        </w:rPr>
        <w:t xml:space="preserve">دفعه علی القول بالملک و البیع </w:t>
      </w:r>
      <w:r>
        <w:rPr>
          <w:rStyle w:val="FootnoteAnchor"/>
          <w:rtl w:val="true"/>
        </w:rPr>
        <w:footnoteReference w:id="413"/>
      </w:r>
      <w:r>
        <w:rPr>
          <w:rFonts w:ascii="IRNazanin" w:hAnsi="IRNazanin" w:eastAsia="IRNazanin"/>
          <w:color w:val="111111"/>
          <w:sz w:val="28"/>
          <w:sz w:val="28"/>
          <w:szCs w:val="28"/>
          <w:rtl w:val="true"/>
          <w:lang w:bidi="fa-IR"/>
        </w:rPr>
        <w:t xml:space="preserve">اشتراءً،و أخذه بیعاً للمثمن به،فیحصل الإیجاب و القبول الفعلیّان </w:t>
      </w:r>
      <w:r>
        <w:rPr>
          <w:rStyle w:val="FootnoteAnchor"/>
          <w:rtl w:val="true"/>
        </w:rPr>
        <w:footnoteReference w:id="414"/>
      </w:r>
      <w:r>
        <w:rPr>
          <w:rFonts w:ascii="Amiri" w:hAnsi="Amiri" w:eastAsia="Amiri" w:cs="Amiri"/>
          <w:color w:val="111111"/>
          <w:sz w:val="28"/>
          <w:sz w:val="28"/>
          <w:szCs w:val="28"/>
          <w:rtl w:val="true"/>
          <w:lang w:bidi="ar-SA"/>
        </w:rPr>
        <w:t>بفعلٍ واحدٍ فی زمانٍ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صحّة هذا علی القول بکون المعاطاة بیعاً مملِّکاً واضحة؛إذ یدلّ علیها ما دلّ علی صحّة المعاطاة من الطرفین،و أمّا علی القول بالإباحة،فیشکل بأنّه بعد عدم حصول الملک بها لا دلیل علی تأثیرها فی الإباحة،اللّهم إلّا أن یدّعی قیام السیرة علیها،کقیامها علی المعاطاة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یدّعی انعقاد المعاطاة بمجرّد إیصال الثمن و أخذ المثمن من غیر صدق إعطاءٍ أصلاً،فضلاً عن التعاطی،کما تعارف أخذ الماء مع غیبة السقّاء،و وضع الفلس فی المکان المعدّ له إذا علم من حال السقّاء الرضا بذلک،و کذا غیر الماء من المحقّرات کالخضروات </w:t>
      </w:r>
      <w:r>
        <w:rPr>
          <w:rStyle w:val="FootnoteAnchor"/>
          <w:rtl w:val="true"/>
        </w:rPr>
        <w:footnoteReference w:id="415"/>
      </w:r>
      <w:r>
        <w:rPr>
          <w:rFonts w:ascii="IRNazanin" w:hAnsi="IRNazanin" w:eastAsia="IRNazanin"/>
          <w:color w:val="111111"/>
          <w:sz w:val="28"/>
          <w:sz w:val="28"/>
          <w:szCs w:val="28"/>
          <w:rtl w:val="true"/>
          <w:lang w:bidi="fa-IR"/>
        </w:rPr>
        <w:t>و نحوها،و من هذا القبیل الدخول فی الحمّام و وضع الأُجرة فی کوز صاحب الحمّام مع غیبته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فالمعیار فی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العوضین،أو أحدهما </w:t>
      </w:r>
      <w:r>
        <w:rPr>
          <w:rStyle w:val="FootnoteAnchor"/>
          <w:rtl w:val="true"/>
        </w:rPr>
        <w:footnoteReference w:id="416"/>
      </w:r>
      <w:r>
        <w:rPr>
          <w:rFonts w:ascii="IRNazanin" w:hAnsi="IRNazanin" w:eastAsia="IRNazanin"/>
          <w:color w:val="111111"/>
          <w:sz w:val="28"/>
          <w:sz w:val="28"/>
          <w:szCs w:val="28"/>
          <w:rtl w:val="true"/>
          <w:lang w:bidi="fa-IR"/>
        </w:rPr>
        <w:t xml:space="preserve">مع الرضا بالتصرّف،و یظهر ذلک من المحقّق الأردبیلی رحمه اللّه أیضاً فی مسألة المعاطاة </w:t>
      </w:r>
      <w:r>
        <w:rPr>
          <w:rStyle w:val="FootnoteAnchor"/>
          <w:rtl w:val="true"/>
        </w:rPr>
        <w:footnoteReference w:id="417"/>
      </w:r>
      <w:r>
        <w:rPr>
          <w:rFonts w:ascii="IRNazanin" w:hAnsi="IRNazanin" w:eastAsia="IRNazanin"/>
          <w:color w:val="111111"/>
          <w:sz w:val="28"/>
          <w:sz w:val="28"/>
          <w:szCs w:val="28"/>
          <w:rtl w:val="true"/>
          <w:lang w:bidi="fa-IR"/>
        </w:rPr>
        <w:t xml:space="preserve">،و سیأتی توضیح ذلک فی مقامه </w:t>
      </w:r>
      <w:r>
        <w:rPr>
          <w:rStyle w:val="FootnoteAnchor"/>
          <w:rtl w:val="true"/>
        </w:rPr>
        <w:footnoteReference w:id="418"/>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قلنا بأنّ اللفظ الغیر المعتبر فی العقد کالفعل فی انعقاد المعاطاة،أمکن خلوّ المعاطاة من الإعطاء و الإیصال رأساً،فیتقاولان علی مبادلة شیءٍ بشیءٍ من غیر إیصال،و لا یبعد صحّته مع صدق البیع علیه بناءً علی الملک،و أمّا علی القول بالإباحة،فالإشکال المتقدّم هنا آکد</w:t>
      </w:r>
      <w:r>
        <w:rPr>
          <w:rFonts w:eastAsia="IRNazanin" w:cs="IRNazanin"/>
          <w:color w:val="111111"/>
          <w:sz w:val="28"/>
          <w:szCs w:val="28"/>
          <w:rtl w:val="true"/>
          <w:lang w:bidi="fa-IR"/>
        </w:rPr>
        <w:t>.</w:t>
      </w:r>
      <w:bookmarkStart w:id="168" w:name="pg19763_247823"/>
    </w:p>
    <w:p>
      <w:pPr>
        <w:pStyle w:val="BookText"/>
        <w:rPr/>
      </w:pPr>
      <w:bookmarkEnd w:id="168"/>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5082554_2314609296"/>
      <w:bookmarkStart w:id="170" w:name="_Toc68"/>
      <w:bookmarkEnd w:id="169"/>
      <w:r>
        <w:rPr>
          <w:rtl w:val="true"/>
        </w:rPr>
        <w:t>الأمر</w:t>
      </w:r>
      <w:bookmarkEnd w:id="170"/>
    </w:p>
    <w:p>
      <w:pPr>
        <w:pStyle w:val="BookText"/>
        <w:rPr/>
      </w:pPr>
      <w:r>
        <w:rPr>
          <w:rFonts w:ascii="IRNazanin" w:hAnsi="IRNazanin" w:eastAsia="IRNazanin"/>
          <w:color w:val="111111"/>
          <w:sz w:val="28"/>
          <w:sz w:val="28"/>
          <w:szCs w:val="28"/>
          <w:rtl w:val="true"/>
          <w:lang w:bidi="fa-IR"/>
        </w:rPr>
        <w:t xml:space="preserve">الأمر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تمیّز البائع من المشتری فی المعاطاة الفعلیّة</w:t>
      </w:r>
    </w:p>
    <w:p>
      <w:pPr>
        <w:pStyle w:val="BookText"/>
        <w:rPr/>
      </w:pPr>
      <w:r>
        <w:rPr>
          <w:rFonts w:ascii="IRNazanin" w:hAnsi="IRNazanin" w:eastAsia="IRNazanin"/>
          <w:color w:val="111111"/>
          <w:sz w:val="28"/>
          <w:sz w:val="28"/>
          <w:szCs w:val="28"/>
          <w:rtl w:val="true"/>
          <w:lang w:bidi="fa-IR"/>
        </w:rPr>
        <w:t>مع کون أحد العوضین ممّا تعارف جعله ثمناً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کالدراهم و الدنانیر و الفلوس المسکوکة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فإنّ صاحب الثمن هو المشتری ما لم یصرّح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 کون العوضین من غیرها،فالثمن ما قصدا </w:t>
      </w:r>
      <w:r>
        <w:rPr>
          <w:rStyle w:val="FootnoteAnchor"/>
          <w:rtl w:val="true"/>
        </w:rPr>
        <w:footnoteReference w:id="420"/>
      </w:r>
      <w:r>
        <w:rPr>
          <w:rFonts w:ascii="IRNazanin" w:hAnsi="IRNazanin" w:eastAsia="IRNazanin"/>
          <w:color w:val="111111"/>
          <w:sz w:val="28"/>
          <w:sz w:val="28"/>
          <w:szCs w:val="28"/>
          <w:rtl w:val="true"/>
          <w:lang w:bidi="fa-IR"/>
        </w:rPr>
        <w:t xml:space="preserve">قیامه مقام الثمن </w:t>
      </w:r>
      <w:r>
        <w:rPr>
          <w:rStyle w:val="FootnoteAnchor"/>
          <w:rtl w:val="true"/>
        </w:rPr>
        <w:footnoteReference w:id="421"/>
      </w:r>
      <w:r>
        <w:rPr>
          <w:rFonts w:ascii="IRNazanin" w:hAnsi="IRNazanin" w:eastAsia="IRNazanin"/>
          <w:color w:val="111111"/>
          <w:sz w:val="28"/>
          <w:sz w:val="28"/>
          <w:szCs w:val="28"/>
          <w:rtl w:val="true"/>
          <w:lang w:bidi="fa-IR"/>
        </w:rPr>
        <w:t xml:space="preserve">فی العوضیّة،فإذا أعطی الحنطة فی مقابل اللحم قاصداً إنّ هذا المقدار </w:t>
      </w:r>
      <w:r>
        <w:rPr>
          <w:rStyle w:val="FootnoteAnchor"/>
          <w:rtl w:val="true"/>
        </w:rPr>
        <w:footnoteReference w:id="422"/>
      </w:r>
      <w:r>
        <w:rPr>
          <w:rFonts w:ascii="IRNazanin" w:hAnsi="IRNazanin" w:eastAsia="IRNazanin"/>
          <w:color w:val="111111"/>
          <w:sz w:val="28"/>
          <w:sz w:val="28"/>
          <w:szCs w:val="28"/>
          <w:rtl w:val="true"/>
          <w:lang w:bidi="fa-IR"/>
        </w:rPr>
        <w:t xml:space="preserve">من الحنطة یسوی درهماً هو ثمن اللحم،فیصدق عرفاً </w:t>
      </w:r>
      <w:r>
        <w:rPr>
          <w:rStyle w:val="FootnoteAnchor"/>
          <w:rtl w:val="true"/>
        </w:rPr>
        <w:footnoteReference w:id="423"/>
      </w:r>
      <w:r>
        <w:rPr>
          <w:rFonts w:ascii="IRNazanin" w:hAnsi="IRNazanin" w:eastAsia="IRNazanin"/>
          <w:color w:val="111111"/>
          <w:sz w:val="28"/>
          <w:sz w:val="28"/>
          <w:szCs w:val="28"/>
          <w:rtl w:val="true"/>
          <w:lang w:bidi="fa-IR"/>
        </w:rPr>
        <w:t xml:space="preserve">أنّه اشتری اللحم بالحنطة،و إذا انعکس انعکس الصدق،فیکون المدفوع بنیّة البدلیّة عن الدرهم و الدینار هو الثمن،و صاحبه هو </w:t>
      </w:r>
      <w:r>
        <w:rPr>
          <w:rStyle w:val="FootnoteAnchor"/>
          <w:rtl w:val="true"/>
        </w:rPr>
        <w:footnoteReference w:id="424"/>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یلاحظ إلّا کون أحدهما بدلاً عن الآخر من دون نیّة قیام أحدهما مقام الثمن فی العوضیّة،أو لوحظ القیمة فی کلیهما،بأن لوحظ کون المقدار من اللحم بدرهم،و ذلک المقدار </w:t>
      </w:r>
      <w:r>
        <w:rPr>
          <w:rStyle w:val="FootnoteAnchor"/>
          <w:rtl w:val="true"/>
        </w:rPr>
        <w:footnoteReference w:id="425"/>
      </w:r>
      <w:r>
        <w:rPr>
          <w:rFonts w:ascii="Amiri" w:hAnsi="Amiri" w:eastAsia="Amiri" w:cs="Amiri"/>
          <w:color w:val="111111"/>
          <w:sz w:val="28"/>
          <w:sz w:val="28"/>
          <w:szCs w:val="28"/>
          <w:rtl w:val="true"/>
          <w:lang w:bidi="ar-SA"/>
        </w:rPr>
        <w:t>من الحنطة بدرهم،</w:t>
      </w:r>
    </w:p>
    <w:p>
      <w:pPr>
        <w:pStyle w:val="BookText"/>
        <w:rPr/>
      </w:pPr>
      <w:r>
        <w:rPr>
          <w:rFonts w:ascii="IRNazanin" w:hAnsi="IRNazanin" w:eastAsia="IRNazanin"/>
          <w:color w:val="111111"/>
          <w:sz w:val="28"/>
          <w:sz w:val="28"/>
          <w:szCs w:val="28"/>
          <w:rtl w:val="true"/>
          <w:lang w:bidi="fa-IR"/>
        </w:rPr>
        <w:t>فتعاطیا من غیر سبق مقاولة تدلّ علی کون أحدهما بالخصوص بائعاً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کونه بیعاً و شراءً بالنسبة إلی کلٍّ منهما؛بناءً علی أنّ البیع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مالٍ بمال،و الاشتراء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شیءٍ و الأخذ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بعض أهل اللغة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فیصدق علی صاحب اللحم أنّه باعه بحنطة،و أنّه اشتری الحنطة،فیحنث لو حلف علی عدم بیع اللحم و عدم شراء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نعم،لا یترتّب علیهما أحکام البائع و لا المشتری؛ لانصرافهما فی أدلّة تلک الأحکام إلی من اختصّ بصفة </w:t>
      </w:r>
      <w:r>
        <w:rPr>
          <w:rStyle w:val="FootnoteAnchor"/>
          <w:rtl w:val="true"/>
        </w:rPr>
        <w:footnoteReference w:id="427"/>
      </w:r>
      <w:r>
        <w:rPr>
          <w:rFonts w:ascii="IRNazanin" w:hAnsi="IRNazanin" w:eastAsia="IRNazanin"/>
          <w:color w:val="111111"/>
          <w:sz w:val="28"/>
          <w:sz w:val="28"/>
          <w:szCs w:val="28"/>
          <w:rtl w:val="true"/>
          <w:lang w:bidi="fa-IR"/>
        </w:rPr>
        <w:t>البیع أو الشراء،فلا یعمّ من کان فی معاملة واحدة مصداقاً لهما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کونه بیعاً بالنسبة إلی من یعطی أوّلاً؛لصدق الموجب علیه، و شراءً بالنسبة إلی الآخذ؛لکونه قابلاً عرفاً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کونها </w:t>
      </w:r>
      <w:r>
        <w:rPr>
          <w:rStyle w:val="FootnoteAnchor"/>
          <w:rtl w:val="true"/>
        </w:rPr>
        <w:footnoteReference w:id="428"/>
      </w:r>
      <w:r>
        <w:rPr>
          <w:rFonts w:ascii="IRNazanin" w:hAnsi="IRNazanin" w:eastAsia="IRNazanin"/>
          <w:color w:val="111111"/>
          <w:sz w:val="28"/>
          <w:sz w:val="28"/>
          <w:szCs w:val="28"/>
          <w:rtl w:val="true"/>
          <w:lang w:bidi="fa-IR"/>
        </w:rPr>
        <w:t>معاطاة مصالحة؛لأنّها بمعنی التسالم علی شیء؛و لذا حملوا الروایة الواردة فی قول أحد الشریکین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 عندک، و لی ما عندی</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علی الصلح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کونها معاوضة مستقلّة لا یدخل تحت العناوین المتعارفة، وجوه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یخلو ثانیها عن قوّة؛لصدق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عرفاً علی الدافع أوّلاً،دون الآخر،و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الآخذ أوّلاً،دون الآخر،فتدبّر</w:t>
      </w:r>
      <w:r>
        <w:rPr>
          <w:rFonts w:eastAsia="IRNazanin" w:cs="IRNazanin"/>
          <w:color w:val="111111"/>
          <w:sz w:val="28"/>
          <w:szCs w:val="28"/>
          <w:rtl w:val="true"/>
          <w:lang w:bidi="fa-IR"/>
        </w:rPr>
        <w:t>.</w:t>
      </w:r>
      <w:bookmarkStart w:id="171" w:name="pg19763_247826"/>
    </w:p>
    <w:p>
      <w:pPr>
        <w:pStyle w:val="BookText"/>
        <w:rPr/>
      </w:pPr>
      <w:bookmarkEnd w:id="171"/>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5082556_2314609296"/>
      <w:bookmarkStart w:id="173" w:name="_Toc69"/>
      <w:bookmarkEnd w:id="172"/>
      <w:r>
        <w:rPr>
          <w:rtl w:val="true"/>
        </w:rPr>
        <w:t>الأمر</w:t>
      </w:r>
      <w:bookmarkEnd w:id="173"/>
    </w:p>
    <w:p>
      <w:pPr>
        <w:pStyle w:val="Heading6"/>
        <w:numPr>
          <w:ilvl w:val="5"/>
          <w:numId w:val="1"/>
        </w:numPr>
        <w:rPr/>
      </w:pPr>
      <w:bookmarkStart w:id="174" w:name="__RefHeading___Toc5082558_2314609296"/>
      <w:bookmarkStart w:id="175" w:name="_Toc70"/>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 xml:space="preserve">الأمر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أنّ أصل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إعطاء کلٍّ منهما الآخر </w:t>
      </w:r>
      <w:r>
        <w:rPr>
          <w:rStyle w:val="FootnoteAnchor"/>
          <w:rtl w:val="true"/>
        </w:rPr>
        <w:footnoteReference w:id="432"/>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بحسب قصد المتعاطیین علی وجوه</w:t>
      </w:r>
      <w:r>
        <w:rPr>
          <w:rFonts w:eastAsia="IRNazanin" w:cs="IRNazanin"/>
          <w:color w:val="111111"/>
          <w:sz w:val="28"/>
          <w:szCs w:val="28"/>
          <w:rtl w:val="true"/>
          <w:lang w:bidi="fa-IR"/>
        </w:rPr>
        <w:t>:</w:t>
      </w:r>
    </w:p>
    <w:p>
      <w:pPr>
        <w:pStyle w:val="Heading6"/>
        <w:numPr>
          <w:ilvl w:val="5"/>
          <w:numId w:val="1"/>
        </w:numPr>
        <w:rPr/>
      </w:pPr>
      <w:bookmarkStart w:id="176" w:name="__RefHeading___Toc5082560_2314609296"/>
      <w:bookmarkStart w:id="177" w:name="_Toc71"/>
      <w:bookmarkEnd w:id="176"/>
      <w:r>
        <w:rPr>
          <w:rtl w:val="true"/>
        </w:rPr>
        <w:t>أحدها</w:t>
      </w:r>
      <w:r>
        <w:rPr>
          <w:rtl w:val="true"/>
        </w:rPr>
        <w:t xml:space="preserve">: </w:t>
      </w:r>
      <w:r>
        <w:rPr>
          <w:rtl w:val="true"/>
        </w:rPr>
        <w:t>أن یقصد کلٌّ منهما تملیک ماله بمال الآخر،</w:t>
      </w:r>
      <w:bookmarkEnd w:id="17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الآخر </w:t>
      </w:r>
      <w:r>
        <w:rPr>
          <w:rStyle w:val="FootnoteAnchor"/>
          <w:rtl w:val="true"/>
        </w:rPr>
        <w:footnoteReference w:id="433"/>
      </w:r>
      <w:r>
        <w:rPr>
          <w:rFonts w:ascii="Amiri" w:hAnsi="Amiri" w:eastAsia="Amiri" w:cs="Amiri"/>
          <w:color w:val="111111"/>
          <w:sz w:val="28"/>
          <w:sz w:val="28"/>
          <w:szCs w:val="28"/>
          <w:rtl w:val="true"/>
          <w:lang w:bidi="ar-SA"/>
        </w:rPr>
        <w:t xml:space="preserve">فی أخذه قابلاً و متملّکاً </w:t>
      </w:r>
      <w:r>
        <w:rPr>
          <w:rStyle w:val="FootnoteAnchor"/>
          <w:rtl w:val="true"/>
        </w:rPr>
        <w:footnoteReference w:id="434"/>
      </w:r>
      <w:r>
        <w:rPr>
          <w:rFonts w:ascii="IRNazanin" w:hAnsi="IRNazanin" w:eastAsia="IRNazanin"/>
          <w:color w:val="111111"/>
          <w:sz w:val="28"/>
          <w:sz w:val="28"/>
          <w:szCs w:val="28"/>
          <w:rtl w:val="true"/>
          <w:lang w:bidi="fa-IR"/>
        </w:rPr>
        <w:t xml:space="preserve">بإزاء ما یدفعه،فلا یکون فی دفعه العوض إنشاء تملیکٍ،بل دفع لما التزمه علی نفسه بإزاء ما تملّکه، فیکون الإیجاب و القبول </w:t>
      </w:r>
      <w:r>
        <w:rPr>
          <w:rStyle w:val="FootnoteAnchor"/>
          <w:rtl w:val="true"/>
        </w:rPr>
        <w:footnoteReference w:id="435"/>
      </w:r>
      <w:r>
        <w:rPr>
          <w:rFonts w:ascii="IRNazanin" w:hAnsi="IRNazanin" w:eastAsia="IRNazanin"/>
          <w:color w:val="111111"/>
          <w:sz w:val="28"/>
          <w:sz w:val="28"/>
          <w:szCs w:val="28"/>
          <w:rtl w:val="true"/>
          <w:lang w:bidi="fa-IR"/>
        </w:rPr>
        <w:t xml:space="preserve">بدفع العین الاُولی و قبضها،فدفع العین الثانی </w:t>
      </w:r>
      <w:r>
        <w:rPr>
          <w:rStyle w:val="FootnoteAnchor"/>
          <w:rtl w:val="true"/>
        </w:rPr>
        <w:footnoteReference w:id="436"/>
      </w:r>
      <w:r>
        <w:rPr>
          <w:rFonts w:ascii="IRNazanin" w:hAnsi="IRNazanin" w:eastAsia="IRNazanin"/>
          <w:color w:val="111111"/>
          <w:sz w:val="28"/>
          <w:sz w:val="28"/>
          <w:szCs w:val="28"/>
          <w:rtl w:val="true"/>
          <w:lang w:bidi="fa-IR"/>
        </w:rPr>
        <w:t xml:space="preserve">خارج عن حقیقة المعاطاة،فلو مات الآخذ قبل دفع ماله مات بعد تمام المعاطاة؛و بهذا الوجه صحّحنا سابقاً </w:t>
      </w:r>
      <w:r>
        <w:rPr>
          <w:rStyle w:val="FootnoteAnchor"/>
          <w:rtl w:val="true"/>
        </w:rPr>
        <w:footnoteReference w:id="437"/>
      </w:r>
      <w:r>
        <w:rPr>
          <w:rFonts w:ascii="IRNazanin" w:hAnsi="IRNazanin" w:eastAsia="IRNazanin"/>
          <w:color w:val="111111"/>
          <w:sz w:val="28"/>
          <w:sz w:val="28"/>
          <w:szCs w:val="28"/>
          <w:rtl w:val="true"/>
          <w:lang w:bidi="fa-IR"/>
        </w:rPr>
        <w:t>عدم توقّف المعاطاة علی قبض کلا العوضین،فیکون إطلاق المعاطاة علیه من حیث حصول المعاملة فیه بالعطاء دون القول،لا من حیث کونها متقوّمة</w:t>
      </w:r>
      <w:bookmarkStart w:id="178" w:name="pg19763_247827"/>
    </w:p>
    <w:p>
      <w:pPr>
        <w:pStyle w:val="BookText"/>
        <w:rPr/>
      </w:pPr>
      <w:bookmarkEnd w:id="178"/>
      <w:r>
        <w:rPr>
          <w:rFonts w:ascii="IRNazanin" w:hAnsi="IRNazanin" w:eastAsia="IRNazanin"/>
          <w:color w:val="111111"/>
          <w:sz w:val="28"/>
          <w:sz w:val="28"/>
          <w:szCs w:val="28"/>
          <w:rtl w:val="true"/>
          <w:lang w:bidi="fa-IR"/>
        </w:rPr>
        <w:t>بالعطاء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هذا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غیرها،و بهذا الإطلاق یستعمل المعاطاة فی الرهن و القرض و الهبة،و ربما یستعمل فی المعاملة الحاصلة بالفعل و لو لم یکن عطاء،و فی صحّته تأمّل</w:t>
      </w:r>
      <w:r>
        <w:rPr>
          <w:rFonts w:eastAsia="IRNazanin" w:cs="IRNazanin"/>
          <w:color w:val="111111"/>
          <w:sz w:val="28"/>
          <w:szCs w:val="28"/>
          <w:rtl w:val="true"/>
          <w:lang w:bidi="fa-IR"/>
        </w:rPr>
        <w:t>.</w:t>
      </w:r>
    </w:p>
    <w:p>
      <w:pPr>
        <w:pStyle w:val="Heading6"/>
        <w:numPr>
          <w:ilvl w:val="5"/>
          <w:numId w:val="1"/>
        </w:numPr>
        <w:rPr/>
      </w:pPr>
      <w:bookmarkStart w:id="179" w:name="__RefHeading___Toc5082562_2314609296"/>
      <w:bookmarkStart w:id="180" w:name="_Toc72"/>
      <w:bookmarkEnd w:id="179"/>
      <w:r>
        <w:rPr>
          <w:rtl w:val="true"/>
        </w:rPr>
        <w:t>ثانیها</w:t>
      </w:r>
      <w:bookmarkEnd w:id="180"/>
    </w:p>
    <w:p>
      <w:pPr>
        <w:pStyle w:val="BookText"/>
        <w:rPr/>
      </w:pPr>
      <w:r>
        <w:rPr>
          <w:rFonts w:ascii="IRNazanin" w:hAnsi="IRNazanin" w:eastAsia="IRNazanin"/>
          <w:color w:val="111111"/>
          <w:sz w:val="28"/>
          <w:sz w:val="28"/>
          <w:szCs w:val="28"/>
          <w:rtl w:val="true"/>
          <w:lang w:bidi="fa-IR"/>
        </w:rPr>
        <w:t xml:space="preserve">ثانیها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کلّ منهما تملیک الآخر ماله بإزاء تملیک ماله إیّاه،</w:t>
      </w:r>
    </w:p>
    <w:p>
      <w:pPr>
        <w:pStyle w:val="BookText"/>
        <w:rPr/>
      </w:pPr>
      <w:r>
        <w:rPr>
          <w:rFonts w:ascii="IRNazanin" w:hAnsi="IRNazanin" w:eastAsia="IRNazanin"/>
          <w:color w:val="111111"/>
          <w:sz w:val="28"/>
          <w:sz w:val="28"/>
          <w:szCs w:val="28"/>
          <w:rtl w:val="true"/>
          <w:lang w:bidi="fa-IR"/>
        </w:rPr>
        <w:t xml:space="preserve">فیکون تملیکاً </w:t>
      </w:r>
      <w:r>
        <w:rPr>
          <w:rStyle w:val="FootnoteAnchor"/>
          <w:rtl w:val="true"/>
        </w:rPr>
        <w:footnoteReference w:id="439"/>
      </w:r>
      <w:r>
        <w:rPr>
          <w:rFonts w:ascii="IRNazanin" w:hAnsi="IRNazanin" w:eastAsia="IRNazanin"/>
          <w:color w:val="111111"/>
          <w:sz w:val="28"/>
          <w:sz w:val="28"/>
          <w:szCs w:val="28"/>
          <w:rtl w:val="true"/>
          <w:lang w:bidi="fa-IR"/>
        </w:rPr>
        <w:t xml:space="preserve">بإزاء تملیک،فالمقاولة بین التملیکین لا الملکین، و المعاملة متقوّمة بالعطاء من الطرفین </w:t>
      </w:r>
      <w:r>
        <w:rPr>
          <w:rStyle w:val="FootnoteAnchor"/>
          <w:rtl w:val="true"/>
        </w:rPr>
        <w:footnoteReference w:id="440"/>
      </w:r>
      <w:r>
        <w:rPr>
          <w:rFonts w:ascii="IRNazanin" w:hAnsi="IRNazanin" w:eastAsia="IRNazanin"/>
          <w:color w:val="111111"/>
          <w:sz w:val="28"/>
          <w:sz w:val="28"/>
          <w:szCs w:val="28"/>
          <w:rtl w:val="true"/>
          <w:lang w:bidi="fa-IR"/>
        </w:rPr>
        <w:t>،فلو مات الثانی قبل الدفع لم یتحقّق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بعید عن معنی البیع و قریب إلی الهبة المعوّضة؛لکون کلٍّ من المالین خالیاً عن العوض،لکن إجراء حکم الهبة المعوّضة علیه مشکل؛إذ لو لم یملکه الثانی هنا لم یتحقّق التملیک من الأوّل؛لأنّه إنّما ملکه بإزاء تملیکه،فما لم یتحقّق تملیک الثانی لم یتحقّق تملیکه </w:t>
      </w:r>
      <w:r>
        <w:rPr>
          <w:rStyle w:val="FootnoteAnchor"/>
          <w:rtl w:val="true"/>
        </w:rPr>
        <w:footnoteReference w:id="441"/>
      </w:r>
      <w:r>
        <w:rPr>
          <w:rFonts w:ascii="IRNazanin" w:hAnsi="IRNazanin" w:eastAsia="IRNazanin"/>
          <w:color w:val="111111"/>
          <w:sz w:val="28"/>
          <w:sz w:val="28"/>
          <w:szCs w:val="28"/>
          <w:rtl w:val="true"/>
          <w:lang w:bidi="fa-IR"/>
        </w:rPr>
        <w:t>،إلّا أن یکون تملیک الآخر له ملحوظاً عند تملیک الأوّل علی نحو الداعی، لا العوض،فلا یقدح تخلّفه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مصالحة و تسالم علی أمرٍ معیّن أو معاوضة مستقلّة</w:t>
      </w:r>
      <w:r>
        <w:rPr>
          <w:rFonts w:eastAsia="IRNazanin" w:cs="IRNazanin"/>
          <w:color w:val="111111"/>
          <w:sz w:val="28"/>
          <w:szCs w:val="28"/>
          <w:rtl w:val="true"/>
          <w:lang w:bidi="fa-IR"/>
        </w:rPr>
        <w:t>.</w:t>
      </w:r>
      <w:bookmarkStart w:id="181" w:name="pg19763_247828"/>
    </w:p>
    <w:p>
      <w:pPr>
        <w:pStyle w:val="Heading6"/>
        <w:numPr>
          <w:ilvl w:val="5"/>
          <w:numId w:val="1"/>
        </w:numPr>
        <w:rPr/>
      </w:pPr>
      <w:bookmarkStart w:id="182" w:name="__RefHeading___Toc5082564_2314609296"/>
      <w:bookmarkStart w:id="183" w:name="_Toc73"/>
      <w:bookmarkEnd w:id="181"/>
      <w:bookmarkEnd w:id="182"/>
      <w:r>
        <w:rPr>
          <w:rtl w:val="true"/>
        </w:rPr>
        <w:t>ثالثها</w:t>
      </w:r>
      <w:r>
        <w:rPr>
          <w:rtl w:val="true"/>
        </w:rPr>
        <w:t xml:space="preserve">: </w:t>
      </w:r>
      <w:r>
        <w:rPr>
          <w:rtl w:val="true"/>
        </w:rPr>
        <w:t>أن یقصد الأوّل إباحة ماله بعوض،</w:t>
      </w:r>
      <w:bookmarkEnd w:id="183"/>
    </w:p>
    <w:p>
      <w:pPr>
        <w:pStyle w:val="BookText"/>
        <w:rPr/>
      </w:pPr>
      <w:r>
        <w:rPr>
          <w:rFonts w:ascii="IRNazanin" w:hAnsi="IRNazanin" w:eastAsia="IRNazanin"/>
          <w:color w:val="111111"/>
          <w:sz w:val="28"/>
          <w:sz w:val="28"/>
          <w:szCs w:val="28"/>
          <w:rtl w:val="true"/>
          <w:lang w:bidi="fa-IR"/>
        </w:rPr>
        <w:t>فیقبل الآخر بأخذه إیّاه،فیکون الصادر من الأوّل الإباحة بالعوض،و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بقبوله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التملیک،کما لو صرّح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 لک کذا بدرهم</w:t>
      </w:r>
      <w:r>
        <w:rPr>
          <w:rFonts w:eastAsia="IRNazanin" w:cs="IRNazanin"/>
          <w:color w:val="111111"/>
          <w:sz w:val="28"/>
          <w:szCs w:val="28"/>
          <w:rtl w:val="true"/>
          <w:lang w:bidi="fa-IR"/>
        </w:rPr>
        <w:t>.</w:t>
      </w:r>
    </w:p>
    <w:p>
      <w:pPr>
        <w:pStyle w:val="Heading6"/>
        <w:numPr>
          <w:ilvl w:val="5"/>
          <w:numId w:val="1"/>
        </w:numPr>
        <w:rPr/>
      </w:pPr>
      <w:bookmarkStart w:id="184" w:name="__RefHeading___Toc5082566_2314609296"/>
      <w:bookmarkStart w:id="185" w:name="_Toc74"/>
      <w:bookmarkEnd w:id="184"/>
      <w:r>
        <w:rPr>
          <w:rtl w:val="true"/>
        </w:rPr>
        <w:t>رابعها</w:t>
      </w:r>
      <w:r>
        <w:rPr>
          <w:rtl w:val="true"/>
        </w:rPr>
        <w:t xml:space="preserve">: </w:t>
      </w:r>
      <w:r>
        <w:rPr>
          <w:rtl w:val="true"/>
        </w:rPr>
        <w:t>أن یقصد کلّ منهما الإباحة بإزاء إباحة الآخر</w:t>
      </w:r>
      <w:bookmarkEnd w:id="185"/>
    </w:p>
    <w:p>
      <w:pPr>
        <w:pStyle w:val="BookText"/>
        <w:rPr/>
      </w:pP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إباحة بإزاء إباحة،أو إباحة بداعی </w:t>
      </w:r>
      <w:r>
        <w:rPr>
          <w:rStyle w:val="FootnoteAnchor"/>
          <w:rtl w:val="true"/>
        </w:rPr>
        <w:footnoteReference w:id="443"/>
      </w:r>
      <w:r>
        <w:rPr>
          <w:rFonts w:ascii="IRNazanin" w:hAnsi="IRNazanin" w:eastAsia="IRNazanin"/>
          <w:color w:val="111111"/>
          <w:sz w:val="28"/>
          <w:sz w:val="28"/>
          <w:szCs w:val="28"/>
          <w:rtl w:val="true"/>
          <w:lang w:bidi="fa-IR"/>
        </w:rPr>
        <w:t>إباحة،علی ما تقدّم نظیره فی الوجه الثانی من إمکان تصوّره علی نحو الداعی،و علی نحو العوضیة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کان،فالإشکال فی حکم القسمین الأخیرین علی فرض قصد المتعاطیین لهما،و منشأ الإشکال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الإشکال فی صحّة إباحة </w:t>
      </w:r>
      <w:r>
        <w:rPr>
          <w:rStyle w:val="FootnoteAnchor"/>
          <w:rtl w:val="true"/>
        </w:rPr>
        <w:footnoteReference w:id="444"/>
      </w:r>
      <w:r>
        <w:rPr>
          <w:rFonts w:ascii="IRNazanin" w:hAnsi="IRNazanin" w:eastAsia="IRNazanin"/>
          <w:color w:val="111111"/>
          <w:sz w:val="28"/>
          <w:sz w:val="28"/>
          <w:szCs w:val="28"/>
          <w:rtl w:val="true"/>
          <w:lang w:bidi="fa-IR"/>
        </w:rPr>
        <w:t>جمیع التصرّفات حتی المتوقّفة علی ملکیّة المتصرّف،بأن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 لک کلّ تصرّف،من دون أن یملّکه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فی صحّة الإباحة بالعوض،الراجعة إلی عقد مرکّب من إباحة و تملیک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إباحة جمیع التصرّفات حتی المتوقّفة علی الملک، فالظاهر </w:t>
      </w:r>
      <w:r>
        <w:rPr>
          <w:rStyle w:val="FootnoteAnchor"/>
          <w:rtl w:val="true"/>
        </w:rPr>
        <w:footnoteReference w:id="445"/>
      </w:r>
      <w:r>
        <w:rPr>
          <w:rFonts w:ascii="Amiri" w:hAnsi="Amiri" w:eastAsia="Amiri" w:cs="Amiri"/>
          <w:color w:val="111111"/>
          <w:sz w:val="28"/>
          <w:sz w:val="28"/>
          <w:szCs w:val="28"/>
          <w:rtl w:val="true"/>
          <w:lang w:bidi="ar-SA"/>
        </w:rPr>
        <w:t xml:space="preserve">أنّها </w:t>
      </w:r>
      <w:r>
        <w:rPr>
          <w:rStyle w:val="FootnoteAnchor"/>
          <w:rtl w:val="true"/>
        </w:rPr>
        <w:footnoteReference w:id="446"/>
      </w:r>
      <w:r>
        <w:rPr>
          <w:rFonts w:ascii="IRNazanin" w:hAnsi="IRNazanin" w:eastAsia="IRNazanin"/>
          <w:color w:val="111111"/>
          <w:sz w:val="28"/>
          <w:sz w:val="28"/>
          <w:szCs w:val="28"/>
          <w:rtl w:val="true"/>
          <w:lang w:bidi="fa-IR"/>
        </w:rPr>
        <w:t>لا تجوز؛إذ التصرّف الموقوف علی الملک لا یسوغ</w:t>
      </w:r>
    </w:p>
    <w:p>
      <w:pPr>
        <w:pStyle w:val="BookText"/>
        <w:rPr/>
      </w:pPr>
      <w:r>
        <w:rPr>
          <w:rFonts w:ascii="IRNazanin" w:hAnsi="IRNazanin" w:eastAsia="IRNazanin"/>
          <w:color w:val="111111"/>
          <w:sz w:val="28"/>
          <w:sz w:val="28"/>
          <w:szCs w:val="28"/>
          <w:rtl w:val="true"/>
          <w:lang w:bidi="fa-IR"/>
        </w:rPr>
        <w:t>لغیر المالک بمجرّد إذن المالک؛فإنّ إذن المالک لیس مشرّعاً،و إنّما یمضی فیما یجوز شرعاً،فإذا کان بیع الإنسان مال غیره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یملک الثمن مع خروج المبیع عن ملک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العلّامة فی القواعد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یجوز للمالک أن یأذن فیه؟ نعم،یصحّ ذلک بأحد وجهین،کلاهما فی المقام مفقود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المبیح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 لک أن تبیع مالی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ینشأ </w:t>
      </w:r>
      <w:r>
        <w:rPr>
          <w:rStyle w:val="FootnoteAnchor"/>
          <w:rtl w:val="true"/>
        </w:rPr>
        <w:footnoteReference w:id="449"/>
      </w:r>
      <w:r>
        <w:rPr>
          <w:rFonts w:ascii="IRNazanin" w:hAnsi="IRNazanin" w:eastAsia="IRNazanin"/>
          <w:color w:val="111111"/>
          <w:sz w:val="28"/>
          <w:sz w:val="28"/>
          <w:szCs w:val="28"/>
          <w:rtl w:val="true"/>
          <w:lang w:bidi="fa-IR"/>
        </w:rPr>
        <w:t>توکیلاً له فی بیع ماله له،ثمّ نقل الثمن إلی نفسه بالهبة،أو فی نقله أوّلاً إلی نفسه ثمّ بیعه،أو تملیکاً له بنفس هذه الإباحة،فیکون إنشاء تملیک له،و یکون بیع المخاطب بمنزلة قبوله،کما صرّح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قول الرجل </w:t>
      </w:r>
      <w:r>
        <w:rPr>
          <w:rStyle w:val="FootnoteAnchor"/>
          <w:rtl w:val="true"/>
        </w:rPr>
        <w:footnoteReference w:id="450"/>
      </w:r>
      <w:r>
        <w:rPr>
          <w:rFonts w:ascii="IRNazanin" w:hAnsi="IRNazanin" w:eastAsia="IRNazanin"/>
          <w:color w:val="111111"/>
          <w:sz w:val="28"/>
          <w:sz w:val="28"/>
          <w:szCs w:val="28"/>
          <w:rtl w:val="true"/>
          <w:lang w:bidi="fa-IR"/>
        </w:rPr>
        <w:t>لمالک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استدعاءٌ لتملیکه،و إعتاق المولی عنه جواب لذلک الاستدعاء </w:t>
      </w:r>
      <w:r>
        <w:rPr>
          <w:rStyle w:val="FootnoteAnchor"/>
          <w:rtl w:val="true"/>
        </w:rPr>
        <w:footnoteReference w:id="451"/>
      </w:r>
      <w:r>
        <w:rPr>
          <w:rFonts w:ascii="IRNazanin" w:hAnsi="IRNazanin" w:eastAsia="IRNazanin"/>
          <w:color w:val="111111"/>
          <w:sz w:val="28"/>
          <w:sz w:val="28"/>
          <w:szCs w:val="28"/>
          <w:rtl w:val="true"/>
          <w:lang w:bidi="fa-IR"/>
        </w:rPr>
        <w:t>، فیحصل النقل و الانتقال بهذا الاستدعاء و الجواب،و یقدّر وقوعه قبل العتق آناً ما،فیکون هذا بیعاً ضمنیاً لا یحتاج إلی الشروط المقرّرة</w:t>
      </w:r>
    </w:p>
    <w:p>
      <w:pPr>
        <w:pStyle w:val="BookText"/>
        <w:rPr/>
      </w:pPr>
      <w:r>
        <w:rPr>
          <w:rFonts w:ascii="IRNazanin" w:hAnsi="IRNazanin" w:eastAsia="IRNazanin"/>
          <w:color w:val="111111"/>
          <w:sz w:val="28"/>
          <w:sz w:val="28"/>
          <w:szCs w:val="28"/>
          <w:rtl w:val="true"/>
          <w:lang w:bidi="fa-IR"/>
        </w:rPr>
        <w:t xml:space="preserve">لعقد البیع،و لا شکّ أنّ المقصود فیما نحن فیه لیس الإذن فی نقل المال إلی نفسه أوّلاً،و لا فی نقل الثمن إلیه ثانیاً،و لا قصد التملیک بالإباحة المذکورة،و لا قصد المخاطب التملّک </w:t>
      </w:r>
      <w:r>
        <w:rPr>
          <w:rStyle w:val="FootnoteAnchor"/>
          <w:rtl w:val="true"/>
        </w:rPr>
        <w:footnoteReference w:id="452"/>
      </w:r>
      <w:r>
        <w:rPr>
          <w:rFonts w:ascii="IRNazanin" w:hAnsi="IRNazanin" w:eastAsia="IRNazanin"/>
          <w:color w:val="111111"/>
          <w:sz w:val="28"/>
          <w:sz w:val="28"/>
          <w:szCs w:val="28"/>
          <w:rtl w:val="true"/>
          <w:lang w:bidi="fa-IR"/>
        </w:rPr>
        <w:t xml:space="preserve">عند البیع حتی یتحقّق تملیک </w:t>
      </w:r>
      <w:r>
        <w:rPr>
          <w:rStyle w:val="FootnoteAnchor"/>
          <w:rtl w:val="true"/>
        </w:rPr>
        <w:footnoteReference w:id="453"/>
      </w:r>
      <w:r>
        <w:rPr>
          <w:rFonts w:ascii="IRNazanin" w:hAnsi="IRNazanin" w:eastAsia="IRNazanin"/>
          <w:color w:val="111111"/>
          <w:sz w:val="28"/>
          <w:sz w:val="28"/>
          <w:szCs w:val="28"/>
          <w:rtl w:val="true"/>
          <w:lang w:bidi="fa-IR"/>
        </w:rPr>
        <w:t xml:space="preserve">ضمنیّ مقصود للمتکلّم و المخاطب،کما کان مقصوداً و لو إجمالاً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عدّ </w:t>
      </w:r>
      <w:r>
        <w:rPr>
          <w:rStyle w:val="FootnoteAnchor"/>
          <w:rtl w:val="true"/>
        </w:rPr>
        <w:footnoteReference w:id="454"/>
      </w:r>
      <w:r>
        <w:rPr>
          <w:rFonts w:ascii="IRNazanin" w:hAnsi="IRNazanin" w:eastAsia="IRNazanin"/>
          <w:color w:val="111111"/>
          <w:sz w:val="28"/>
          <w:sz w:val="28"/>
          <w:szCs w:val="28"/>
          <w:rtl w:val="true"/>
          <w:lang w:bidi="fa-IR"/>
        </w:rPr>
        <w:t>العامّة و الخاصّة من الأُصولیین دلالة هذا الکلام علی التملیک من دلالة الاقتضاء التی عرّفوها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دلالة مقصودة للمتکلّم یتوقّف صحّة الکلام عقلاً أو شرعاً علیه،فمثّلوا للعقلیّ </w:t>
      </w:r>
      <w:r>
        <w:rPr>
          <w:rStyle w:val="FootnoteAnchor"/>
          <w:rtl w:val="true"/>
        </w:rPr>
        <w:footnoteReference w:id="455"/>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w:t>
      </w:r>
      <w:r>
        <w:rPr>
          <w:rStyle w:val="FootnoteAnchor"/>
          <w:rtl w:val="true"/>
        </w:rPr>
        <w:footnoteReference w:id="456"/>
      </w:r>
      <w:r>
        <w:rPr>
          <w:rFonts w:ascii="IRNazanin" w:hAnsi="IRNazanin" w:eastAsia="IRNazanin"/>
          <w:color w:val="111111"/>
          <w:sz w:val="28"/>
          <w:sz w:val="28"/>
          <w:szCs w:val="28"/>
          <w:rtl w:val="true"/>
          <w:lang w:bidi="fa-IR"/>
        </w:rPr>
        <w:t xml:space="preserve">،و للشرعی </w:t>
      </w:r>
      <w:r>
        <w:rPr>
          <w:rStyle w:val="FootnoteAnchor"/>
          <w:rtl w:val="true"/>
        </w:rPr>
        <w:footnoteReference w:id="457"/>
      </w:r>
      <w:r>
        <w:rPr>
          <w:rFonts w:ascii="IRNazanin" w:hAnsi="IRNazanin" w:eastAsia="IRNazanin"/>
          <w:color w:val="111111"/>
          <w:sz w:val="28"/>
          <w:sz w:val="28"/>
          <w:szCs w:val="28"/>
          <w:rtl w:val="true"/>
          <w:lang w:bidi="fa-IR"/>
        </w:rPr>
        <w:t xml:space="preserve">بهذا المثال </w:t>
      </w:r>
      <w:r>
        <w:rPr>
          <w:rStyle w:val="FootnoteAnchor"/>
          <w:rtl w:val="true"/>
        </w:rPr>
        <w:footnoteReference w:id="458"/>
      </w:r>
      <w:r>
        <w:rPr>
          <w:rFonts w:ascii="IRNazanin" w:hAnsi="IRNazanin" w:eastAsia="IRNazanin"/>
          <w:color w:val="111111"/>
          <w:sz w:val="28"/>
          <w:sz w:val="28"/>
          <w:szCs w:val="28"/>
          <w:rtl w:val="true"/>
          <w:lang w:bidi="fa-IR"/>
        </w:rPr>
        <w:t xml:space="preserve">،و من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فیما نحن فیه لیس إلّا مجرّد الإباحة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یدلّ دلیل شرعیّ علی حصول الملکیّة للمباح له بمجرّد الإباحة،فیکون کاشفاً عن ثبوت الملک له عند إرادة البیع آناً ما،فیقع البیع فی ملکه </w:t>
      </w:r>
      <w:r>
        <w:rPr>
          <w:rStyle w:val="FootnoteAnchor"/>
          <w:rtl w:val="true"/>
        </w:rPr>
        <w:footnoteReference w:id="459"/>
      </w:r>
      <w:r>
        <w:rPr>
          <w:rFonts w:ascii="IRNazanin" w:hAnsi="IRNazanin" w:eastAsia="IRNazanin"/>
          <w:color w:val="111111"/>
          <w:sz w:val="28"/>
          <w:sz w:val="28"/>
          <w:szCs w:val="28"/>
          <w:rtl w:val="true"/>
          <w:lang w:bidi="fa-IR"/>
        </w:rPr>
        <w:t>،أو یدلّ دلیلٌ شرعیّ علی انتقال الثمن عن المبیح</w:t>
      </w:r>
    </w:p>
    <w:p>
      <w:pPr>
        <w:pStyle w:val="BookText"/>
        <w:rPr/>
      </w:pPr>
      <w:r>
        <w:rPr>
          <w:rFonts w:ascii="IRNazanin" w:hAnsi="IRNazanin" w:eastAsia="IRNazanin"/>
          <w:color w:val="111111"/>
          <w:sz w:val="28"/>
          <w:sz w:val="28"/>
          <w:szCs w:val="28"/>
          <w:rtl w:val="true"/>
          <w:lang w:bidi="fa-IR"/>
        </w:rPr>
        <w:t>بلا فصل بعد البیع،فیکون ذلک شبه دخول العمودین فی ملک الشخص آناً ما لا یقبل غیر العتق؛فإنّه حینئذٍ یقال بالملک المقدّر آناً ما؛للجمع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الوجه مفقود فیما نحن فیه؛إذ المفروض أنّه لم یدلّ دلیل بالخصوص علی صحّة هذه الإباحة العامّة،و إثبات صحّته بعموم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یتوقّف علی عدم مخالفة مؤدّاها لقواعد أُخر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انتقال الثمن إلی الشخص علی کون المثمن مالاً له، و توقّف صحّة العتق علی الملک،و صحّة الوطء علی التحلیل بصیغة خاصّة،لا بمجرّد الإذن فی مطلق التصرّف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ما ذکرنا صرّح المشهور،بل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یوجد خلاف </w:t>
      </w:r>
      <w:r>
        <w:rPr>
          <w:rStyle w:val="FootnoteAnchor"/>
          <w:rtl w:val="true"/>
        </w:rPr>
        <w:footnoteReference w:id="461"/>
      </w:r>
      <w:r>
        <w:rPr>
          <w:rFonts w:ascii="IRNazanin" w:hAnsi="IRNazanin" w:eastAsia="IRNazanin"/>
          <w:color w:val="111111"/>
          <w:sz w:val="28"/>
          <w:sz w:val="28"/>
          <w:szCs w:val="28"/>
          <w:rtl w:val="true"/>
          <w:lang w:bidi="fa-IR"/>
        </w:rPr>
        <w:t>، فی أنّه لو دفع إلی غیره مالاً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 لنفسک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قصد الإذن فی اقتراض المال قبل الشراء،أو اقتراض الطعام، أو استیفاء الدین منه بعد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یصحّ،کما صرّح به فی مواضع من القواعد </w:t>
      </w:r>
      <w:r>
        <w:rPr>
          <w:rStyle w:val="FootnoteAnchor"/>
          <w:rtl w:val="true"/>
        </w:rPr>
        <w:footnoteReference w:id="462"/>
      </w:r>
      <w:r>
        <w:rPr>
          <w:rFonts w:ascii="IRNazanin" w:hAnsi="IRNazanin" w:eastAsia="IRNazanin"/>
          <w:color w:val="111111"/>
          <w:sz w:val="28"/>
          <w:sz w:val="28"/>
          <w:szCs w:val="28"/>
          <w:rtl w:val="true"/>
          <w:lang w:bidi="fa-IR"/>
        </w:rPr>
        <w:t xml:space="preserve">،و علّله فی بعضها </w:t>
      </w:r>
      <w:r>
        <w:rPr>
          <w:rStyle w:val="FootnoteAnchor"/>
          <w:rtl w:val="true"/>
        </w:rPr>
        <w:footnoteReference w:id="463"/>
      </w:r>
      <w:r>
        <w:rPr>
          <w:rFonts w:ascii="IRNazanin" w:hAnsi="IRNazanin" w:eastAsia="IRNazanin"/>
          <w:color w:val="111111"/>
          <w:sz w:val="28"/>
          <w:sz w:val="28"/>
          <w:szCs w:val="28"/>
          <w:rtl w:val="true"/>
          <w:lang w:bidi="fa-IR"/>
        </w:rPr>
        <w:t>بأنّه لا یعقل شراء شیءٍ لنفسه</w:t>
      </w:r>
    </w:p>
    <w:p>
      <w:pPr>
        <w:pStyle w:val="BookText"/>
        <w:rPr/>
      </w:pPr>
      <w:r>
        <w:rPr>
          <w:rFonts w:ascii="IRNazanin" w:hAnsi="IRNazanin" w:eastAsia="IRNazanin"/>
          <w:color w:val="111111"/>
          <w:sz w:val="28"/>
          <w:sz w:val="28"/>
          <w:szCs w:val="28"/>
          <w:rtl w:val="true"/>
          <w:lang w:bidi="fa-IR"/>
        </w:rPr>
        <w:t xml:space="preserve">بمال الغیر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کذلک؛فإنّ مقتضی مفهوم المعاوضة و المبادلة دخول العوض فی ملک من خرج المعوّض </w:t>
      </w:r>
      <w:r>
        <w:rPr>
          <w:rStyle w:val="FootnoteAnchor"/>
          <w:rtl w:val="true"/>
        </w:rPr>
        <w:footnoteReference w:id="465"/>
      </w:r>
      <w:r>
        <w:rPr>
          <w:rFonts w:ascii="IRNazanin" w:hAnsi="IRNazanin" w:eastAsia="IRNazanin"/>
          <w:color w:val="111111"/>
          <w:sz w:val="28"/>
          <w:sz w:val="28"/>
          <w:szCs w:val="28"/>
          <w:rtl w:val="true"/>
          <w:lang w:bidi="fa-IR"/>
        </w:rPr>
        <w:t xml:space="preserve">عن ملکه،و إلّا لم یکن عوضاً و بدلاً؛و لما ذکرنا حکم الشیخ </w:t>
      </w:r>
      <w:r>
        <w:rPr>
          <w:rStyle w:val="FootnoteAnchor"/>
          <w:rtl w:val="true"/>
        </w:rPr>
        <w:footnoteReference w:id="466"/>
      </w:r>
      <w:r>
        <w:rPr>
          <w:rFonts w:ascii="IRNazanin" w:hAnsi="IRNazanin" w:eastAsia="IRNazanin"/>
          <w:color w:val="111111"/>
          <w:sz w:val="28"/>
          <w:sz w:val="28"/>
          <w:szCs w:val="28"/>
          <w:rtl w:val="true"/>
          <w:lang w:bidi="fa-IR"/>
        </w:rPr>
        <w:t xml:space="preserve">و غیره </w:t>
      </w:r>
      <w:r>
        <w:rPr>
          <w:rStyle w:val="FootnoteAnchor"/>
          <w:rtl w:val="true"/>
        </w:rPr>
        <w:footnoteReference w:id="467"/>
      </w:r>
      <w:r>
        <w:rPr>
          <w:rFonts w:ascii="IRNazanin" w:hAnsi="IRNazanin" w:eastAsia="IRNazanin"/>
          <w:color w:val="111111"/>
          <w:sz w:val="28"/>
          <w:sz w:val="28"/>
          <w:szCs w:val="28"/>
          <w:rtl w:val="true"/>
          <w:lang w:bidi="fa-IR"/>
        </w:rPr>
        <w:t>بأنّ الهبة الخالیة عن الصیغة تفید إباحة التصرّف،لکن لا یجوز وطء الجاریة مع أنّ الإباحة المتحقّقة من الواهب تعمّ جمیع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الشهید فی الحواشی لم یجوّز إخراج المأخوذ بالمعاطاة فی الخمس و الزکاة و ثمن الهدی،و لا وطء الجاریة </w:t>
      </w:r>
      <w:r>
        <w:rPr>
          <w:rStyle w:val="FootnoteAnchor"/>
          <w:rtl w:val="true"/>
        </w:rPr>
        <w:footnoteReference w:id="468"/>
      </w:r>
      <w:r>
        <w:rPr>
          <w:rFonts w:ascii="IRNazanin" w:hAnsi="IRNazanin" w:eastAsia="IRNazanin"/>
          <w:color w:val="111111"/>
          <w:sz w:val="28"/>
          <w:sz w:val="28"/>
          <w:szCs w:val="28"/>
          <w:rtl w:val="true"/>
          <w:lang w:bidi="fa-IR"/>
        </w:rPr>
        <w:t>،مع أنّ مقصود المتعاطیین الإباحة المطلقة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الملک التقدیری هنا أیضاً لا یتوقّف علی دلالة دلیلٍ خاصّ،بل یکفی الدلالة بمجرّد </w:t>
      </w:r>
      <w:r>
        <w:rPr>
          <w:rStyle w:val="FootnoteAnchor"/>
          <w:rtl w:val="true"/>
        </w:rPr>
        <w:footnoteReference w:id="469"/>
      </w:r>
      <w:r>
        <w:rPr>
          <w:rFonts w:ascii="IRNazanin" w:hAnsi="IRNazanin" w:eastAsia="IRNazanin"/>
          <w:color w:val="111111"/>
          <w:sz w:val="28"/>
          <w:sz w:val="28"/>
          <w:szCs w:val="28"/>
          <w:rtl w:val="true"/>
          <w:lang w:bidi="fa-IR"/>
        </w:rPr>
        <w:t>الجمع بین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الدالّ علی جواز هذه الإباحة المطلقة،و بین أدلّة توقّف مثل العتق و البیع علی الملک </w:t>
      </w:r>
      <w:r>
        <w:rPr>
          <w:rStyle w:val="FootnoteAnchor"/>
          <w:rtl w:val="true"/>
        </w:rPr>
        <w:footnoteReference w:id="471"/>
      </w:r>
      <w:r>
        <w:rPr>
          <w:rFonts w:ascii="IRNazanin" w:hAnsi="IRNazanin" w:eastAsia="IRNazanin"/>
          <w:color w:val="111111"/>
          <w:sz w:val="28"/>
          <w:sz w:val="28"/>
          <w:szCs w:val="28"/>
          <w:rtl w:val="true"/>
          <w:lang w:bidi="fa-IR"/>
        </w:rPr>
        <w:t>،نظیر الجمع بین الأدلّة فی الملک التقدیری،</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یدلّ علی تسلّط الناس علی أموالهم لا علی أحکامهم،فمقتضاه إمضاء الشارع لإباحة المالک کل تصرّفٍ جائز شرعاً،فالإباحة و إن کانت مطلقة،إلّا أنّه لا یباح بتلک الإباحة المطلقة إلّا ما هو جائز بذاته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 الإنسان مال غیره لنفسه غیر جائز بمقتضی العقل و النقل الدالّ علی لزوم دخول العوض فی ملک مالک المعوض، فلا یشمله العموم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یثبت التنافی بینه و بین الأدلّة الدالّة علی توقّف البیع علی الملک،فیجمع بینهما بالتزام الملک التقدیری آناً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بالجملة،دلیل عدم جواز بیع ملک الغیر أو عتقه لنفسه حاکم علی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الدالّ علی إمضاء الإباحة المطلقة من المالک علی إطلاقها،نظیر حکومة دلیل عدم جواز عتق مال الغیر علی عموم </w:t>
      </w:r>
      <w:r>
        <w:rPr>
          <w:rStyle w:val="FootnoteAnchor"/>
          <w:rtl w:val="true"/>
        </w:rPr>
        <w:footnoteReference w:id="472"/>
      </w:r>
      <w:r>
        <w:rPr>
          <w:rFonts w:ascii="IRNazanin" w:hAnsi="IRNazanin" w:eastAsia="IRNazanin"/>
          <w:color w:val="111111"/>
          <w:sz w:val="28"/>
          <w:sz w:val="28"/>
          <w:szCs w:val="28"/>
          <w:rtl w:val="true"/>
          <w:lang w:bidi="fa-IR"/>
        </w:rPr>
        <w:t>وجوب الوفاء بالنذر و العهد إذا نذر عتق عبد غیره له أو لنفسه،فلا یتوهّم الجمع بینهما بالملک القهری للناذر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کان هناک تعارض و تزاحم من </w:t>
      </w:r>
      <w:r>
        <w:rPr>
          <w:rStyle w:val="FootnoteAnchor"/>
          <w:rtl w:val="true"/>
        </w:rPr>
        <w:footnoteReference w:id="473"/>
      </w:r>
      <w:r>
        <w:rPr>
          <w:rFonts w:ascii="IRNazanin" w:hAnsi="IRNazanin" w:eastAsia="IRNazanin"/>
          <w:color w:val="111111"/>
          <w:sz w:val="28"/>
          <w:sz w:val="28"/>
          <w:szCs w:val="28"/>
          <w:rtl w:val="true"/>
          <w:lang w:bidi="fa-IR"/>
        </w:rPr>
        <w:t>الطرفین،بحیث أمکن تخصیص کلٍّ منهما لأجل الآخر،أمکن الجمع بینهما بالقول بحصول الملک القهری آناً ما،فتأمّل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حصول الملک فی الآن المتعقّب بالبیع و العتق،فیما إذا باع الواهب عبده الموهوب أو أعتقه،فلیس ملکاً تقدیریاً نظیر الملک التقدیری فی الدیة بالنسبة إلی المیّت،أو شراء العبد المعتق علیه،بل هو ملک حقیقیّ حاصل قبل البیع من جهة کشف البیع عن الرجوع قبله فی الآن المتّصل؛بناءً علی الاکتفاء بمثل هذا فی الرجوع،و لیس کذلک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بالجملة،فما نحن فیه لا ینطبق علی التملیک الضمنی المذکور أوّلاً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؛لتوقّفه علی القصد،و لا علی الملک المذکور ثانیاً فی شراء من ینعتق علیه؛لتوقّفه علی التنافی بین دلیل التسلّط و دلیل توقّف العتق علی الملک،و عدم حکومة الثانی علی الأوّل،و لا علی التملیک الضمنی المذکور </w:t>
      </w:r>
      <w:r>
        <w:rPr>
          <w:rStyle w:val="FootnoteAnchor"/>
          <w:rtl w:val="true"/>
        </w:rPr>
        <w:footnoteReference w:id="474"/>
      </w:r>
      <w:r>
        <w:rPr>
          <w:rFonts w:ascii="IRNazanin" w:hAnsi="IRNazanin" w:eastAsia="IRNazanin"/>
          <w:color w:val="111111"/>
          <w:sz w:val="28"/>
          <w:sz w:val="28"/>
          <w:szCs w:val="28"/>
          <w:rtl w:val="true"/>
          <w:lang w:bidi="fa-IR"/>
        </w:rPr>
        <w:t>ثالثاً فی بیع الواهب و ذی الخیار؛لعدم تحقّق سبب الملک هنا سابقاً بحیث یکشف البیع عنه،فلم یبقَ إلّا الحکم ببطلان الإذن فی بیع ماله لغیره،سواء صرّح بذلک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مالی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بمالی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أدخله فی عموم قوله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 لک کلّ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باع المباح له علی هذا الوجه وقع البیع للمالک إمّا لازماً؛بناءً علی أنّ قصد </w:t>
      </w:r>
      <w:r>
        <w:rPr>
          <w:rStyle w:val="FootnoteAnchor"/>
          <w:rtl w:val="true"/>
        </w:rPr>
        <w:footnoteReference w:id="475"/>
      </w:r>
      <w:r>
        <w:rPr>
          <w:rFonts w:ascii="IRNazanin" w:hAnsi="IRNazanin" w:eastAsia="IRNazanin"/>
          <w:color w:val="111111"/>
          <w:sz w:val="28"/>
          <w:sz w:val="28"/>
          <w:szCs w:val="28"/>
          <w:rtl w:val="true"/>
          <w:lang w:bidi="fa-IR"/>
        </w:rPr>
        <w:t xml:space="preserve">البائع البیع </w:t>
      </w:r>
      <w:r>
        <w:rPr>
          <w:rStyle w:val="FootnoteAnchor"/>
          <w:rtl w:val="true"/>
        </w:rPr>
        <w:footnoteReference w:id="476"/>
      </w:r>
      <w:r>
        <w:rPr>
          <w:rFonts w:ascii="IRNazanin" w:hAnsi="IRNazanin" w:eastAsia="IRNazanin"/>
          <w:color w:val="111111"/>
          <w:sz w:val="28"/>
          <w:sz w:val="28"/>
          <w:szCs w:val="28"/>
          <w:rtl w:val="true"/>
          <w:lang w:bidi="fa-IR"/>
        </w:rPr>
        <w:t xml:space="preserve">لنفسه غیر مؤثّر </w:t>
      </w:r>
      <w:r>
        <w:rPr>
          <w:rStyle w:val="FootnoteAnchor"/>
          <w:rtl w:val="true"/>
        </w:rPr>
        <w:footnoteReference w:id="477"/>
      </w:r>
      <w:r>
        <w:rPr>
          <w:rFonts w:ascii="IRNazanin" w:hAnsi="IRNazanin" w:eastAsia="IRNazanin"/>
          <w:color w:val="111111"/>
          <w:sz w:val="28"/>
          <w:sz w:val="28"/>
          <w:szCs w:val="28"/>
          <w:rtl w:val="true"/>
          <w:lang w:bidi="fa-IR"/>
        </w:rPr>
        <w:t>، أو موقوفاً علی الإجازة؛بناءً علی أنّ المالک لم ینوِ تملّک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الذی یظهر من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قطب الدین </w:t>
      </w:r>
      <w:r>
        <w:rPr>
          <w:rStyle w:val="FootnoteAnchor"/>
          <w:rtl w:val="true"/>
        </w:rPr>
        <w:footnoteReference w:id="478"/>
      </w:r>
      <w:r>
        <w:rPr>
          <w:rFonts w:ascii="IRNazanin" w:hAnsi="IRNazanin" w:eastAsia="IRNazanin"/>
          <w:color w:val="111111"/>
          <w:sz w:val="28"/>
          <w:sz w:val="28"/>
          <w:szCs w:val="28"/>
          <w:rtl w:val="true"/>
          <w:lang w:bidi="fa-IR"/>
        </w:rPr>
        <w:t>و الشهید 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بیع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تسلیط المشتری للبائع الغاصب علی الثمن و الإذن فی إتلافه یوجب جواز شراء الغاصب به شیئاً،و أنّه یملک الثمن </w:t>
      </w:r>
      <w:r>
        <w:rPr>
          <w:rStyle w:val="FootnoteAnchor"/>
          <w:rtl w:val="true"/>
        </w:rPr>
        <w:footnoteReference w:id="479"/>
      </w:r>
      <w:r>
        <w:rPr>
          <w:rFonts w:ascii="IRNazanin" w:hAnsi="IRNazanin" w:eastAsia="IRNazanin"/>
          <w:color w:val="111111"/>
          <w:sz w:val="28"/>
          <w:sz w:val="28"/>
          <w:szCs w:val="28"/>
          <w:rtl w:val="true"/>
          <w:lang w:bidi="fa-IR"/>
        </w:rPr>
        <w:t xml:space="preserve">بدفعه إلیه،فلیس للمالک إجازة هذا الشراء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أیضاً من محکیّ المختلف،حیث استظهر من کلامه فیما لو اشتری جاریة بعین مغصوبة أنّ له وطء الجاریة مع علم البائع بغصبیّة الثمن،فراجع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تسلیط الشخص لغیره علی ماله و إن لم یکن علی وجه الملکیّة یوجب جواز التصرّفات المتوقّفة علی الملک،فتأمّل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توضیحه فی مسألة الفضولی إن شاء اللّه تعالی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صحّة الإباحة بالعوض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صحّحنا إباحة التصرّفات المتوقّفة علی الملک أم خصّصنا الإباحة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النحو من الإباحة المعوّضة لیست معاوضة مالیّة لیدخل کلّ من العوضین فی ملک مالک العوض الآخر،بل کلاهما ملک للمبیح،إلّا أنّ</w:t>
      </w:r>
    </w:p>
    <w:p>
      <w:pPr>
        <w:pStyle w:val="BookText"/>
        <w:rPr/>
      </w:pPr>
      <w:r>
        <w:rPr>
          <w:rFonts w:ascii="IRNazanin" w:hAnsi="IRNazanin" w:eastAsia="IRNazanin"/>
          <w:color w:val="111111"/>
          <w:sz w:val="28"/>
          <w:sz w:val="28"/>
          <w:szCs w:val="28"/>
          <w:rtl w:val="true"/>
          <w:lang w:bidi="fa-IR"/>
        </w:rPr>
        <w:t xml:space="preserve">المباح له یستحقّ التصرّف؛فیشکل الأمر فیه </w:t>
      </w:r>
      <w:r>
        <w:rPr>
          <w:rStyle w:val="FootnoteAnchor"/>
          <w:rtl w:val="true"/>
        </w:rPr>
        <w:footnoteReference w:id="482"/>
      </w:r>
      <w:r>
        <w:rPr>
          <w:rFonts w:ascii="IRNazanin" w:hAnsi="IRNazanin" w:eastAsia="IRNazanin"/>
          <w:color w:val="111111"/>
          <w:sz w:val="28"/>
          <w:sz w:val="28"/>
          <w:szCs w:val="28"/>
          <w:rtl w:val="true"/>
          <w:lang w:bidi="fa-IR"/>
        </w:rPr>
        <w:t xml:space="preserve">من جهة خروجه عن المعاوضات المعهودة شرعاً و عرفاً،مع التأمّل فی صدق التجارة علیها </w:t>
      </w:r>
      <w:r>
        <w:rPr>
          <w:rStyle w:val="FootnoteAnchor"/>
          <w:rtl w:val="true"/>
        </w:rPr>
        <w:footnoteReference w:id="483"/>
      </w:r>
      <w:r>
        <w:rPr>
          <w:rFonts w:ascii="IRNazanin" w:hAnsi="IRNazanin" w:eastAsia="IRNazanin"/>
          <w:color w:val="111111"/>
          <w:sz w:val="28"/>
          <w:sz w:val="28"/>
          <w:szCs w:val="28"/>
          <w:rtl w:val="true"/>
          <w:lang w:bidi="fa-IR"/>
        </w:rPr>
        <w:t xml:space="preserve">، فضلاً عن البیع،إلّا أن یکون نوعاً من الصلح،لمناسبة </w:t>
      </w:r>
      <w:r>
        <w:rPr>
          <w:rStyle w:val="FootnoteAnchor"/>
          <w:rtl w:val="true"/>
        </w:rPr>
        <w:footnoteReference w:id="484"/>
      </w:r>
      <w:r>
        <w:rPr>
          <w:rFonts w:ascii="IRNazanin" w:hAnsi="IRNazanin" w:eastAsia="IRNazanin"/>
          <w:color w:val="111111"/>
          <w:sz w:val="28"/>
          <w:sz w:val="28"/>
          <w:szCs w:val="28"/>
          <w:rtl w:val="true"/>
          <w:lang w:bidi="fa-IR"/>
        </w:rPr>
        <w:t>له لغةً؛لأنّه فی معنی التسالم علی أمرٍ بناءً علی أنّه لا یشترط فیه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یستفاد من بعض الأخبار الدالّة علی صحّته بقول المتصالحین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 عندک و لی ما عندی</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،و نحوه ما ورد فی مصالحة الزوجین </w:t>
      </w:r>
      <w:r>
        <w:rPr>
          <w:rStyle w:val="FootnoteAnchor"/>
          <w:rtl w:val="true"/>
        </w:rPr>
        <w:footnoteReference w:id="486"/>
      </w:r>
      <w:r>
        <w:rPr>
          <w:rFonts w:ascii="IRNazanin" w:hAnsi="IRNazanin" w:eastAsia="IRNazanin"/>
          <w:color w:val="111111"/>
          <w:sz w:val="28"/>
          <w:sz w:val="28"/>
          <w:szCs w:val="28"/>
          <w:rtl w:val="true"/>
          <w:lang w:bidi="fa-IR"/>
        </w:rPr>
        <w:t>، و لو کانت معاملة مستقلّة کفی فیها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تقدیر الصحّة،ففی لزومها مطلقاً؛لعموم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طرف المباح له؛حیث إنّه یخرج ماله عن ملکه، دون المبیح؛حیث إنّ ماله باقٍ علی ملکه،فهو مسلّط علیه،أو جوازها مطلقاً،وجوه،أقواها أوّلها،ثمّ أوسطها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حکم الإباحة بالإباحة،فالإشکال فیه أیضاً یظهر ممّا ذکرنا فی سابقه،و الأقوی فیها أیضاً الصحّة و اللزوم؛للعموم،أو الجواز من الطرفین؛لأصالة التسلّط</w:t>
      </w:r>
      <w:r>
        <w:rPr>
          <w:rFonts w:eastAsia="IRNazanin" w:cs="IRNazanin"/>
          <w:color w:val="111111"/>
          <w:sz w:val="28"/>
          <w:szCs w:val="28"/>
          <w:rtl w:val="true"/>
          <w:lang w:bidi="fa-IR"/>
        </w:rPr>
        <w:t>.</w:t>
      </w:r>
      <w:bookmarkStart w:id="186" w:name="pg19763_247837"/>
    </w:p>
    <w:p>
      <w:pPr>
        <w:pStyle w:val="BookText"/>
        <w:rPr/>
      </w:pPr>
      <w:bookmarkEnd w:id="186"/>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5082568_2314609296"/>
      <w:bookmarkStart w:id="188" w:name="_Toc75"/>
      <w:bookmarkEnd w:id="187"/>
      <w:r>
        <w:rPr>
          <w:rtl w:val="true"/>
        </w:rPr>
        <w:t>الأمر</w:t>
      </w:r>
      <w:bookmarkEnd w:id="188"/>
    </w:p>
    <w:p>
      <w:pPr>
        <w:pStyle w:val="BookText"/>
        <w:rPr/>
      </w:pPr>
      <w:r>
        <w:rPr>
          <w:rFonts w:ascii="IRNazanin" w:hAnsi="IRNazanin" w:eastAsia="IRNazanin"/>
          <w:color w:val="111111"/>
          <w:sz w:val="28"/>
          <w:sz w:val="28"/>
          <w:szCs w:val="28"/>
          <w:rtl w:val="true"/>
          <w:lang w:bidi="fa-IR"/>
        </w:rPr>
        <w:t xml:space="preserve">الأمر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فی حکم جریان المعاطاة فی غیر البیع من العقود و عدمه</w:t>
      </w:r>
    </w:p>
    <w:p>
      <w:pPr>
        <w:pStyle w:val="BookText"/>
        <w:rPr/>
      </w:pPr>
      <w:r>
        <w:rPr>
          <w:rFonts w:ascii="IRNazanin" w:hAnsi="IRNazanin" w:eastAsia="IRNazanin"/>
          <w:color w:val="111111"/>
          <w:sz w:val="28"/>
          <w:sz w:val="28"/>
          <w:szCs w:val="28"/>
          <w:rtl w:val="true"/>
          <w:lang w:bidi="fa-IR"/>
        </w:rPr>
        <w:t>إعلم أنّه ذکر المحقّق الثانی رحمه اللّه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 کلام بعضهم ما یقتضی اعتبار المعاطاة فی الإجارة،و کذا فی </w:t>
      </w:r>
      <w:r>
        <w:rPr>
          <w:rStyle w:val="FootnoteAnchor"/>
          <w:rtl w:val="true"/>
        </w:rPr>
        <w:footnoteReference w:id="490"/>
      </w:r>
      <w:r>
        <w:rPr>
          <w:rFonts w:ascii="IRNazanin" w:hAnsi="IRNazanin" w:eastAsia="IRNazanin"/>
          <w:color w:val="111111"/>
          <w:sz w:val="28"/>
          <w:sz w:val="28"/>
          <w:szCs w:val="28"/>
          <w:rtl w:val="true"/>
          <w:lang w:bidi="fa-IR"/>
        </w:rPr>
        <w:t xml:space="preserve">الهبة؛و ذلک لأنّه </w:t>
      </w:r>
      <w:r>
        <w:rPr>
          <w:rStyle w:val="FootnoteAnchor"/>
          <w:rtl w:val="true"/>
        </w:rPr>
        <w:footnoteReference w:id="491"/>
      </w:r>
      <w:r>
        <w:rPr>
          <w:rFonts w:ascii="Amiri" w:hAnsi="Amiri" w:eastAsia="Amiri" w:cs="Amiri"/>
          <w:color w:val="111111"/>
          <w:sz w:val="28"/>
          <w:sz w:val="28"/>
          <w:szCs w:val="28"/>
          <w:rtl w:val="true"/>
          <w:lang w:bidi="ar-SA"/>
        </w:rPr>
        <w:t xml:space="preserve">إذا أمره بعملٍ علی عوضٍ معیّن فعمله استحقّ </w:t>
      </w:r>
      <w:r>
        <w:rPr>
          <w:rStyle w:val="FootnoteAnchor"/>
          <w:rtl w:val="true"/>
        </w:rPr>
        <w:footnoteReference w:id="492"/>
      </w:r>
      <w:r>
        <w:rPr>
          <w:rFonts w:ascii="IRNazanin" w:hAnsi="IRNazanin" w:eastAsia="IRNazanin"/>
          <w:color w:val="111111"/>
          <w:sz w:val="28"/>
          <w:sz w:val="28"/>
          <w:szCs w:val="28"/>
          <w:rtl w:val="true"/>
          <w:lang w:bidi="fa-IR"/>
        </w:rPr>
        <w:t xml:space="preserve">الأُجرة،و لو کانت هذه إجارة فاسدة لم یجز له العمل،و لم یستحقّ اجرة مع علمه بالفساد،و ظاهرهم الجواز بذلک،و کذا لو وهب بغیر عقد؛فإنّ ظاهرهم جواز الإتلاف،و لو کانت هبة فاسدة لم یجز، بل منع </w:t>
      </w:r>
      <w:r>
        <w:rPr>
          <w:rStyle w:val="FootnoteAnchor"/>
          <w:rtl w:val="true"/>
        </w:rPr>
        <w:footnoteReference w:id="493"/>
      </w:r>
      <w:r>
        <w:rPr>
          <w:rFonts w:ascii="IRNazanin" w:hAnsi="IRNazanin" w:eastAsia="IRNazanin"/>
          <w:color w:val="111111"/>
          <w:sz w:val="28"/>
          <w:sz w:val="28"/>
          <w:szCs w:val="28"/>
          <w:rtl w:val="true"/>
          <w:lang w:bidi="fa-IR"/>
        </w:rPr>
        <w:t xml:space="preserve">من مطلق التصرّف،و هی ملحظ </w:t>
      </w:r>
      <w:r>
        <w:rPr>
          <w:rStyle w:val="FootnoteAnchor"/>
          <w:rtl w:val="true"/>
        </w:rPr>
        <w:footnoteReference w:id="494"/>
      </w:r>
      <w:r>
        <w:rPr>
          <w:rFonts w:ascii="IRNazanin" w:hAnsi="IRNazanin" w:eastAsia="IRNazanin"/>
          <w:color w:val="111111"/>
          <w:sz w:val="28"/>
          <w:sz w:val="28"/>
          <w:szCs w:val="28"/>
          <w:rtl w:val="true"/>
          <w:lang w:bidi="fa-IR"/>
        </w:rPr>
        <w:t xml:space="preserve">وجیه </w:t>
      </w:r>
      <w:r>
        <w:rPr>
          <w:rStyle w:val="FootnoteAnchor"/>
          <w:rtl w:val="true"/>
        </w:rPr>
        <w:footnoteReference w:id="4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جریان المعاطاة فی الإجارة علی مذهب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بملک المأمور </w:t>
      </w:r>
      <w:r>
        <w:rPr>
          <w:rStyle w:val="FootnoteAnchor"/>
          <w:rtl w:val="true"/>
        </w:rPr>
        <w:footnoteReference w:id="496"/>
      </w:r>
      <w:r>
        <w:rPr>
          <w:rFonts w:ascii="IRNazanin" w:hAnsi="IRNazanin" w:eastAsia="IRNazanin"/>
          <w:color w:val="111111"/>
          <w:sz w:val="28"/>
          <w:sz w:val="28"/>
          <w:szCs w:val="28"/>
          <w:rtl w:val="true"/>
          <w:lang w:bidi="fa-IR"/>
        </w:rPr>
        <w:t>الأجر المعیّن علی الآمر،و ملک الآمر العمل</w:t>
      </w:r>
    </w:p>
    <w:p>
      <w:pPr>
        <w:pStyle w:val="BookText"/>
        <w:rPr/>
      </w:pPr>
      <w:r>
        <w:rPr>
          <w:rFonts w:ascii="IRNazanin" w:hAnsi="IRNazanin" w:eastAsia="IRNazanin"/>
          <w:color w:val="111111"/>
          <w:sz w:val="28"/>
          <w:sz w:val="28"/>
          <w:szCs w:val="28"/>
          <w:rtl w:val="true"/>
          <w:lang w:bidi="fa-IR"/>
        </w:rPr>
        <w:t>المعیّن علی المأمور به،و لم نجد من صرّح به فی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إجارة فاسدة لم یجز له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فموضع </w:t>
      </w:r>
      <w:r>
        <w:rPr>
          <w:rStyle w:val="FootnoteAnchor"/>
          <w:rtl w:val="true"/>
        </w:rPr>
        <w:footnoteReference w:id="497"/>
      </w:r>
      <w:r>
        <w:rPr>
          <w:rFonts w:ascii="IRNazanin" w:hAnsi="IRNazanin" w:eastAsia="IRNazanin"/>
          <w:color w:val="111111"/>
          <w:sz w:val="28"/>
          <w:sz w:val="28"/>
          <w:szCs w:val="28"/>
          <w:rtl w:val="true"/>
          <w:lang w:bidi="fa-IR"/>
        </w:rPr>
        <w:t xml:space="preserve">نظر؛ لأنّ فساد المعاملة لا یوجب منعه عن </w:t>
      </w:r>
      <w:r>
        <w:rPr>
          <w:rStyle w:val="FootnoteAnchor"/>
          <w:rtl w:val="true"/>
        </w:rPr>
        <w:footnoteReference w:id="498"/>
      </w:r>
      <w:r>
        <w:rPr>
          <w:rFonts w:ascii="IRNazanin" w:hAnsi="IRNazanin" w:eastAsia="IRNazanin"/>
          <w:color w:val="111111"/>
          <w:sz w:val="28"/>
          <w:sz w:val="28"/>
          <w:szCs w:val="28"/>
          <w:rtl w:val="true"/>
          <w:lang w:bidi="fa-IR"/>
        </w:rPr>
        <w:t xml:space="preserve">العمل،سیّما إذا لم یکن العمل تصرّفاً </w:t>
      </w:r>
      <w:r>
        <w:rPr>
          <w:rStyle w:val="FootnoteAnchor"/>
          <w:rtl w:val="true"/>
        </w:rPr>
        <w:footnoteReference w:id="499"/>
      </w:r>
      <w:r>
        <w:rPr>
          <w:rFonts w:ascii="IRNazanin" w:hAnsi="IRNazanin" w:eastAsia="IRNazanin"/>
          <w:color w:val="111111"/>
          <w:sz w:val="28"/>
          <w:sz w:val="28"/>
          <w:szCs w:val="28"/>
          <w:rtl w:val="true"/>
          <w:lang w:bidi="fa-IR"/>
        </w:rPr>
        <w:t>فی عینٍ من أموال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یستحقّ اجرة مع علمه بالفساد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،ممنوع؛لأنّ الظاهر ثبوت اجرة المثل؛لأنّه لم یقصد التبرّع و إنّما قصد عوضاً لم یسلّم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مسألة الهبة،فالحکم فیها بجواز إتلاف الموهوب لا یدلّ علی جریان المعاطاة فیها </w:t>
      </w:r>
      <w:r>
        <w:rPr>
          <w:rStyle w:val="FootnoteAnchor"/>
          <w:rtl w:val="true"/>
        </w:rPr>
        <w:footnoteReference w:id="500"/>
      </w:r>
      <w:r>
        <w:rPr>
          <w:rFonts w:ascii="IRNazanin" w:hAnsi="IRNazanin" w:eastAsia="IRNazanin"/>
          <w:color w:val="111111"/>
          <w:sz w:val="28"/>
          <w:sz w:val="28"/>
          <w:szCs w:val="28"/>
          <w:rtl w:val="true"/>
          <w:lang w:bidi="fa-IR"/>
        </w:rPr>
        <w:t xml:space="preserve">،إلّا إذا قلنا فی المعاطاة بالإباحة؛فإنّ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کالشیخ </w:t>
      </w:r>
      <w:r>
        <w:rPr>
          <w:rStyle w:val="FootnoteAnchor"/>
          <w:rtl w:val="true"/>
        </w:rPr>
        <w:footnoteReference w:id="501"/>
      </w:r>
      <w:r>
        <w:rPr>
          <w:rFonts w:ascii="Amiri" w:hAnsi="Amiri" w:eastAsia="Amiri" w:cs="Amiri"/>
          <w:color w:val="111111"/>
          <w:sz w:val="28"/>
          <w:sz w:val="28"/>
          <w:szCs w:val="28"/>
          <w:rtl w:val="true"/>
          <w:lang w:bidi="ar-SA"/>
        </w:rPr>
        <w:t xml:space="preserve">و الحلّی </w:t>
      </w:r>
      <w:r>
        <w:rPr>
          <w:rStyle w:val="FootnoteAnchor"/>
          <w:rtl w:val="true"/>
        </w:rPr>
        <w:footnoteReference w:id="502"/>
      </w:r>
      <w:r>
        <w:rPr>
          <w:rFonts w:ascii="Amiri" w:hAnsi="Amiri" w:eastAsia="Amiri" w:cs="Amiri"/>
          <w:color w:val="111111"/>
          <w:sz w:val="28"/>
          <w:sz w:val="28"/>
          <w:szCs w:val="28"/>
          <w:rtl w:val="true"/>
          <w:lang w:bidi="ar-SA"/>
        </w:rPr>
        <w:t xml:space="preserve">و العلّامة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صرّحوا بأنّ إعطاء الهدیّة من دون الصیغة یفید الإباحة دون الملک،لکنّ المحقّق الثانی رحمه اللّه ممّن لا یری </w:t>
      </w:r>
      <w:r>
        <w:rPr>
          <w:rStyle w:val="FootnoteAnchor"/>
          <w:rtl w:val="true"/>
        </w:rPr>
        <w:footnoteReference w:id="504"/>
      </w:r>
      <w:r>
        <w:rPr>
          <w:rFonts w:ascii="IRNazanin" w:hAnsi="IRNazanin" w:eastAsia="IRNazanin"/>
          <w:color w:val="111111"/>
          <w:sz w:val="28"/>
          <w:sz w:val="28"/>
          <w:szCs w:val="28"/>
          <w:rtl w:val="true"/>
          <w:lang w:bidi="fa-IR"/>
        </w:rPr>
        <w:t xml:space="preserve">کون </w:t>
      </w:r>
      <w:r>
        <w:rPr>
          <w:rStyle w:val="FootnoteAnchor"/>
          <w:rtl w:val="true"/>
        </w:rPr>
        <w:footnoteReference w:id="505"/>
      </w:r>
      <w:r>
        <w:rPr>
          <w:rFonts w:ascii="IRNazanin" w:hAnsi="IRNazanin" w:eastAsia="IRNazanin"/>
          <w:color w:val="111111"/>
          <w:sz w:val="28"/>
          <w:sz w:val="28"/>
          <w:szCs w:val="28"/>
          <w:rtl w:val="true"/>
          <w:lang w:bidi="fa-IR"/>
        </w:rPr>
        <w:t xml:space="preserve">المعاطاة عند القائلین بها مفیداً للإباحة المجرّدة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توقّف الملک فی الهبة علی الإیجاب و القبول کاد أن یکون متّفقاً</w:t>
      </w:r>
    </w:p>
    <w:p>
      <w:pPr>
        <w:pStyle w:val="BookText"/>
        <w:rPr/>
      </w:pPr>
      <w:r>
        <w:rPr>
          <w:rFonts w:ascii="IRNazanin" w:hAnsi="IRNazanin" w:eastAsia="IRNazanin"/>
          <w:color w:val="111111"/>
          <w:sz w:val="28"/>
          <w:sz w:val="28"/>
          <w:szCs w:val="28"/>
          <w:rtl w:val="true"/>
          <w:lang w:bidi="fa-IR"/>
        </w:rPr>
        <w:t xml:space="preserve">علیه کما یظهر من المسالک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 المنع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لکنّ الأظهر بناءً علی جریان المعاطاة فی البیع جریانها فی غیره من الإجارة و الهبة؛لکون الفعل مفیداً للتملیک فیهما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المحکیّ عن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القول بالفصل بین البیع و غیره؛ حیث قال فی باب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الخلاف فی الاکتفاء فیه بالمعاطاة و الاستیجاب و الإیجاب علیه المذکورة </w:t>
      </w:r>
      <w:r>
        <w:rPr>
          <w:rStyle w:val="FootnoteAnchor"/>
          <w:rtl w:val="true"/>
        </w:rPr>
        <w:footnoteReference w:id="509"/>
      </w:r>
      <w:r>
        <w:rPr>
          <w:rFonts w:ascii="IRNazanin" w:hAnsi="IRNazanin" w:eastAsia="IRNazanin"/>
          <w:color w:val="111111"/>
          <w:sz w:val="28"/>
          <w:sz w:val="28"/>
          <w:szCs w:val="28"/>
          <w:rtl w:val="true"/>
          <w:lang w:bidi="fa-IR"/>
        </w:rPr>
        <w:t xml:space="preserve">فی البیع آتٍ هنا </w:t>
      </w:r>
      <w:r>
        <w:rPr>
          <w:rStyle w:val="FootnoteAnchor"/>
          <w:rtl w:val="true"/>
        </w:rPr>
        <w:footnoteReference w:id="5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استشکله فی محکیّ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البیع ثبت فیه حکم المعاطاة بالإجماع،بخلاف ما هنا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وجه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تأتّی المعاطاة بالإجماع فی الرهن علی النحو الذی أجروها فی البیع؛لأنّها هناک إمّا مفیدة للإباحة أو الملکیّة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 غیر متصوّر هنا،و أمّا الجواز </w:t>
      </w:r>
      <w:r>
        <w:rPr>
          <w:rStyle w:val="FootnoteAnchor"/>
          <w:rtl w:val="true"/>
        </w:rPr>
        <w:footnoteReference w:id="512"/>
      </w:r>
      <w:r>
        <w:rPr>
          <w:rFonts w:ascii="IRNazanin" w:hAnsi="IRNazanin" w:eastAsia="IRNazanin"/>
          <w:color w:val="111111"/>
          <w:sz w:val="28"/>
          <w:sz w:val="28"/>
          <w:szCs w:val="28"/>
          <w:rtl w:val="true"/>
          <w:lang w:bidi="fa-IR"/>
        </w:rPr>
        <w:t>فکذلک؛ لأنّه ینافی الوثوق الذی به قوام مفهوم الرهن،خصوصاً بملاحظة أنّه لا یتصوّر هنا ما یوجب رجوعها إلی اللزوم،لیحصل به الوثیقة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جعلناها مفیدة للّزوم،کان مخالفاً لما أطبقوا علیه من توقّف العقود اللازمة علی اللفظ،و کأنّ هذا هو الذی دعا المحقّق الثانی إلی الجزم بجریان المعاطاة فی مثل الإجارة و الهبة و القرض </w:t>
      </w:r>
      <w:r>
        <w:rPr>
          <w:rStyle w:val="FootnoteAnchor"/>
          <w:rtl w:val="true"/>
        </w:rPr>
        <w:footnoteReference w:id="513"/>
      </w:r>
      <w:r>
        <w:rPr>
          <w:rFonts w:ascii="IRNazanin" w:hAnsi="IRNazanin" w:eastAsia="IRNazanin"/>
          <w:color w:val="111111"/>
          <w:sz w:val="28"/>
          <w:sz w:val="28"/>
          <w:szCs w:val="28"/>
          <w:rtl w:val="true"/>
          <w:lang w:bidi="fa-IR"/>
        </w:rPr>
        <w:t>،و الاستشکال فی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نعم،من لا یبالی مخالفة ما هو المشهور،بل المتّفق علیه بینهم، من توقّف العقود اللازمة علی اللفظ،أو حمل تلک العقود علی اللازمة من الطرفین،فلا یشمل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جوّز بعضهم </w:t>
      </w:r>
      <w:r>
        <w:rPr>
          <w:rStyle w:val="FootnoteAnchor"/>
          <w:rtl w:val="true"/>
        </w:rPr>
        <w:footnoteReference w:id="514"/>
      </w:r>
      <w:r>
        <w:rPr>
          <w:rFonts w:ascii="IRNazanin" w:hAnsi="IRNazanin" w:eastAsia="IRNazanin"/>
          <w:color w:val="111111"/>
          <w:sz w:val="28"/>
          <w:sz w:val="28"/>
          <w:szCs w:val="28"/>
          <w:rtl w:val="true"/>
          <w:lang w:bidi="fa-IR"/>
        </w:rPr>
        <w:t>الإیجاب بلفظ الأمر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الجملة الخبریة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أمکن أن یقول بإفادة المعاطاة فی الرهن اللزوم؛لإطلاق بعض أدلّة الرهن </w:t>
      </w:r>
      <w:r>
        <w:rPr>
          <w:rStyle w:val="FootnoteAnchor"/>
          <w:rtl w:val="true"/>
        </w:rPr>
        <w:footnoteReference w:id="515"/>
      </w:r>
      <w:r>
        <w:rPr>
          <w:rFonts w:ascii="IRNazanin" w:hAnsi="IRNazanin" w:eastAsia="IRNazanin"/>
          <w:color w:val="111111"/>
          <w:sz w:val="28"/>
          <w:sz w:val="28"/>
          <w:szCs w:val="28"/>
          <w:rtl w:val="true"/>
          <w:lang w:bidi="fa-IR"/>
        </w:rPr>
        <w:t>،و لم یقم هنا إجماع علی عدم اللزوم کما قام فی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ما ذکرنا فی الرهن یمنع من جریان المعاطاة فی الوقف بأن یکتفی فیه بالإقباض؛لأنّ القول فیه باللزوم منافٍ لما اشتهر بینهم من توقّف اللزوم علی اللفظ،و الجواز غیر معروف فی الوقف من الشارع، فتأمّل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نعم،احتمل </w:t>
      </w:r>
      <w:r>
        <w:rPr>
          <w:rStyle w:val="FootnoteAnchor"/>
          <w:rtl w:val="true"/>
        </w:rPr>
        <w:footnoteReference w:id="516"/>
      </w:r>
      <w:r>
        <w:rPr>
          <w:rFonts w:ascii="IRNazanin" w:hAnsi="IRNazanin" w:eastAsia="IRNazanin"/>
          <w:color w:val="111111"/>
          <w:sz w:val="28"/>
          <w:sz w:val="28"/>
          <w:szCs w:val="28"/>
          <w:rtl w:val="true"/>
          <w:lang w:bidi="fa-IR"/>
        </w:rPr>
        <w:t>الاکتفاء بغیر اللفظ فی باب وقف المساجد من</w:t>
      </w:r>
    </w:p>
    <w:p>
      <w:pPr>
        <w:pStyle w:val="BookText"/>
        <w:rPr/>
      </w:pPr>
      <w:r>
        <w:rPr>
          <w:rFonts w:ascii="IRNazanin" w:hAnsi="IRNazanin" w:eastAsia="IRNazanin"/>
          <w:color w:val="111111"/>
          <w:sz w:val="28"/>
          <w:sz w:val="28"/>
          <w:szCs w:val="28"/>
          <w:rtl w:val="true"/>
          <w:lang w:bidi="fa-IR"/>
        </w:rPr>
        <w:t xml:space="preserve">الذکری </w:t>
      </w:r>
      <w:r>
        <w:rPr>
          <w:rStyle w:val="FootnoteAnchor"/>
          <w:rtl w:val="true"/>
        </w:rPr>
        <w:footnoteReference w:id="517"/>
      </w:r>
      <w:r>
        <w:rPr>
          <w:rFonts w:ascii="Amiri" w:hAnsi="Amiri" w:eastAsia="Amiri" w:cs="Amiri"/>
          <w:color w:val="111111"/>
          <w:sz w:val="28"/>
          <w:sz w:val="28"/>
          <w:szCs w:val="28"/>
          <w:rtl w:val="true"/>
          <w:lang w:bidi="ar-SA"/>
        </w:rPr>
        <w:t xml:space="preserve">تبعاً للشیخ رحمه اللّه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الملزم للمعاطاة فیما تجری فیه من العقود الأُخر هو الملزم فی باب البیع،کما سننبّه به بعد هذا الأمر</w:t>
      </w:r>
      <w:r>
        <w:rPr>
          <w:rFonts w:eastAsia="IRNazanin" w:cs="IRNazanin"/>
          <w:color w:val="111111"/>
          <w:sz w:val="28"/>
          <w:szCs w:val="28"/>
          <w:rtl w:val="true"/>
          <w:lang w:bidi="fa-IR"/>
        </w:rPr>
        <w:t>.</w:t>
      </w:r>
      <w:bookmarkStart w:id="189" w:name="pg19763_247842"/>
    </w:p>
    <w:p>
      <w:pPr>
        <w:pStyle w:val="Heading5"/>
        <w:numPr>
          <w:ilvl w:val="4"/>
          <w:numId w:val="1"/>
        </w:numPr>
        <w:rPr/>
      </w:pPr>
      <w:bookmarkStart w:id="190" w:name="__RefHeading___Toc5082570_2314609296"/>
      <w:bookmarkStart w:id="191" w:name="_Toc76"/>
      <w:bookmarkEnd w:id="189"/>
      <w:bookmarkEnd w:id="190"/>
      <w:r>
        <w:rPr>
          <w:rtl w:val="true"/>
        </w:rPr>
        <w:t>الأمر السادس فی ملزمات المعاطاة علی کلٍّ من القول بالملک و القول بالإباحة</w:t>
      </w:r>
      <w:bookmarkEnd w:id="191"/>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الأصل علی القول بالملک اللزوم؛لما عرفت من الوجوه الثمانیة المتقدّمة </w:t>
      </w:r>
      <w:r>
        <w:rPr>
          <w:rStyle w:val="FootnoteAnchor"/>
          <w:rtl w:val="true"/>
        </w:rPr>
        <w:footnoteReference w:id="519"/>
      </w:r>
      <w:r>
        <w:rPr>
          <w:rFonts w:ascii="IRNazanin" w:hAnsi="IRNazanin" w:eastAsia="IRNazanin"/>
          <w:color w:val="111111"/>
          <w:sz w:val="28"/>
          <w:sz w:val="28"/>
          <w:szCs w:val="28"/>
          <w:rtl w:val="true"/>
          <w:lang w:bidi="fa-IR"/>
        </w:rPr>
        <w:t>،و أمّا علی القول بالإباحة فالأصل عدم اللزوم؛لقاعدة تسلّط الناس علی أموالهم،و أصالة سلطنة المالک الثابتة قبل المعاطاة، و هی حاکمة علی أصالة بقاء الإباحة الثابتة قبل رجوع المالک لو سلّم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تلف العوضین ملزم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الظاهر المصرّح به فی بعض العبائر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علی القول بالإباحة فواضح؛ لأنّ تلفه من مال مالکه و لم یحصل ما یوجب ضمان کلٍّ منهما مال صاحبه،و توهّم جریان قاعدة الضمان بالید هنا مندفعٌ بما سیجیء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القول بالملک،فلما عرفت </w:t>
      </w:r>
      <w:r>
        <w:rPr>
          <w:rStyle w:val="FootnoteAnchor"/>
          <w:rtl w:val="true"/>
        </w:rPr>
        <w:footnoteReference w:id="522"/>
      </w:r>
      <w:r>
        <w:rPr>
          <w:rFonts w:ascii="IRNazanin" w:hAnsi="IRNazanin" w:eastAsia="IRNazanin"/>
          <w:color w:val="111111"/>
          <w:sz w:val="28"/>
          <w:sz w:val="28"/>
          <w:szCs w:val="28"/>
          <w:rtl w:val="true"/>
          <w:lang w:bidi="fa-IR"/>
        </w:rPr>
        <w:t>من أصالة اللزوم،و المتیقّن</w:t>
      </w:r>
    </w:p>
    <w:p>
      <w:pPr>
        <w:pStyle w:val="BookText"/>
        <w:rPr/>
      </w:pPr>
      <w:r>
        <w:rPr>
          <w:rFonts w:ascii="IRNazanin" w:hAnsi="IRNazanin" w:eastAsia="IRNazanin"/>
          <w:color w:val="111111"/>
          <w:sz w:val="28"/>
          <w:sz w:val="28"/>
          <w:szCs w:val="28"/>
          <w:rtl w:val="true"/>
          <w:lang w:bidi="fa-IR"/>
        </w:rPr>
        <w:t xml:space="preserve">من مخالفتها جواز ترادّ العینین </w:t>
      </w:r>
      <w:r>
        <w:rPr>
          <w:rStyle w:val="FootnoteAnchor"/>
          <w:rtl w:val="true"/>
        </w:rPr>
        <w:footnoteReference w:id="523"/>
      </w:r>
      <w:r>
        <w:rPr>
          <w:rFonts w:ascii="IRNazanin" w:hAnsi="IRNazanin" w:eastAsia="IRNazanin"/>
          <w:color w:val="111111"/>
          <w:sz w:val="28"/>
          <w:sz w:val="28"/>
          <w:szCs w:val="28"/>
          <w:rtl w:val="true"/>
          <w:lang w:bidi="fa-IR"/>
        </w:rPr>
        <w:t xml:space="preserve">،و حیث ارتفع مورد الترادّ امتنع، و لم یثبت قبل التلف جواز المعاملة علی نحو جواز البیع الخیاری حتی یستصحب بعد التلف؛لأنّ ذلک الجواز من عوارض العقد لا العوضین، فلا مانع من بقائه،بل لا دلیل علی ارتفاعه بعد تلفهما </w:t>
      </w:r>
      <w:r>
        <w:rPr>
          <w:rStyle w:val="FootnoteAnchor"/>
          <w:rtl w:val="true"/>
        </w:rPr>
        <w:footnoteReference w:id="524"/>
      </w:r>
      <w:r>
        <w:rPr>
          <w:rFonts w:ascii="IRNazanin" w:hAnsi="IRNazanin" w:eastAsia="IRNazanin"/>
          <w:color w:val="111111"/>
          <w:sz w:val="28"/>
          <w:sz w:val="28"/>
          <w:szCs w:val="28"/>
          <w:rtl w:val="true"/>
          <w:lang w:bidi="fa-IR"/>
        </w:rPr>
        <w:t xml:space="preserve">،بخلاف ما نحن فیه؛فإنّ الجواز فیه هنا بمعنی جواز الرجوع فی العین،نظیر جواز الرجوع فی العین الموهوبة،فلا یبقی بعد التلف متعلّق الجواز </w:t>
      </w:r>
      <w:r>
        <w:rPr>
          <w:rStyle w:val="FootnoteAnchor"/>
          <w:rtl w:val="true"/>
        </w:rPr>
        <w:footnoteReference w:id="525"/>
      </w:r>
      <w:r>
        <w:rPr>
          <w:rFonts w:ascii="IRNazanin" w:hAnsi="IRNazanin" w:eastAsia="IRNazanin"/>
          <w:color w:val="111111"/>
          <w:sz w:val="28"/>
          <w:sz w:val="28"/>
          <w:szCs w:val="28"/>
          <w:rtl w:val="true"/>
          <w:lang w:bidi="fa-IR"/>
        </w:rPr>
        <w:t xml:space="preserve">، بل الجواز هنا یتعلّق </w:t>
      </w:r>
      <w:r>
        <w:rPr>
          <w:rStyle w:val="FootnoteAnchor"/>
          <w:rtl w:val="true"/>
        </w:rPr>
        <w:footnoteReference w:id="526"/>
      </w:r>
      <w:r>
        <w:rPr>
          <w:rFonts w:ascii="IRNazanin" w:hAnsi="IRNazanin" w:eastAsia="IRNazanin"/>
          <w:color w:val="111111"/>
          <w:sz w:val="28"/>
          <w:sz w:val="28"/>
          <w:szCs w:val="28"/>
          <w:rtl w:val="true"/>
          <w:lang w:bidi="fa-IR"/>
        </w:rPr>
        <w:t>بموضوع الترادّ،لا مطلق الرجوع الثابت فی الهبة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هذا،مع أنّ الشکّ فی أنّ متعلّق الجواز هل هو أصل </w:t>
      </w:r>
      <w:r>
        <w:rPr>
          <w:rStyle w:val="FootnoteAnchor"/>
          <w:rtl w:val="true"/>
        </w:rPr>
        <w:footnoteReference w:id="527"/>
      </w:r>
      <w:r>
        <w:rPr>
          <w:rFonts w:ascii="IRNazanin" w:hAnsi="IRNazanin" w:eastAsia="IRNazanin"/>
          <w:color w:val="111111"/>
          <w:sz w:val="28"/>
          <w:sz w:val="28"/>
          <w:szCs w:val="28"/>
          <w:rtl w:val="true"/>
          <w:lang w:bidi="fa-IR"/>
        </w:rPr>
        <w:t>المعاملة أو الرجوع فی العین،أو ترادّ العینین؟یمنع من استصحابه؛فإنّ المتیقّن تعلّقه بالترادّ؛إذ لا دلیل فی مقابلة أصالة اللزوم علی ثبوت أزید من جواز ترادّ العینین الذی لا یتحقّق إلّا مع بقائهما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حکم ما لو تلف إحدی العینین أو بعضها علی القول بالملک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القول بالإباحة،فقد استوجه بعض مشایخنا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w:t>
      </w:r>
    </w:p>
    <w:p>
      <w:pPr>
        <w:pStyle w:val="BookText"/>
        <w:rPr/>
      </w:pPr>
      <w:r>
        <w:rPr>
          <w:rFonts w:ascii="IRNazanin" w:hAnsi="IRNazanin" w:eastAsia="IRNazanin"/>
          <w:color w:val="111111"/>
          <w:sz w:val="28"/>
          <w:sz w:val="28"/>
          <w:szCs w:val="28"/>
          <w:rtl w:val="true"/>
          <w:lang w:bidi="fa-IR"/>
        </w:rPr>
        <w:t xml:space="preserve">لبعض معاصریه </w:t>
      </w:r>
      <w:r>
        <w:rPr>
          <w:rStyle w:val="FootnoteAnchor"/>
          <w:rtl w:val="true"/>
        </w:rPr>
        <w:footnoteReference w:id="529"/>
      </w:r>
      <w:r>
        <w:rPr>
          <w:rFonts w:ascii="IRNazanin" w:hAnsi="IRNazanin" w:eastAsia="IRNazanin"/>
          <w:color w:val="111111"/>
          <w:sz w:val="28"/>
          <w:sz w:val="28"/>
          <w:szCs w:val="28"/>
          <w:rtl w:val="true"/>
          <w:lang w:bidi="fa-IR"/>
        </w:rPr>
        <w:t xml:space="preserve">،تبعاً للمسالک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اللزوم؛لأصالة بقاء سلطنة مالک العین الموجودة،و ملکه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معارضة بأصالة براءة ذمّته عن مثل التالف </w:t>
      </w:r>
      <w:r>
        <w:rPr>
          <w:rStyle w:val="FootnoteAnchor"/>
          <w:rtl w:val="true"/>
        </w:rPr>
        <w:footnoteReference w:id="531"/>
      </w:r>
      <w:r>
        <w:rPr>
          <w:rFonts w:ascii="IRNazanin" w:hAnsi="IRNazanin" w:eastAsia="IRNazanin"/>
          <w:color w:val="111111"/>
          <w:sz w:val="28"/>
          <w:sz w:val="28"/>
          <w:szCs w:val="28"/>
          <w:rtl w:val="true"/>
          <w:lang w:bidi="fa-IR"/>
        </w:rPr>
        <w:t>أو قیمته، و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فی غیر محلّه،بعد القطع بأنّ هذه الید قبل تلف العین لم تکن ید ضمان،بل و لا بعده إذا بنی مالک العین الموجودة علی إمضاء المعاطاة و لم یرد الرجوع،إنّما الکلام فی الضمان إذا أراد الرجوع،و لیس هذا من مقتضی الید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أصالة بقاء السلطنة حاکمة علی أصالة عدم الضمان بالمثل أو القیمة،مع أنّ ضمان </w:t>
      </w:r>
      <w:r>
        <w:rPr>
          <w:rStyle w:val="FootnoteAnchor"/>
          <w:rtl w:val="true"/>
        </w:rPr>
        <w:footnoteReference w:id="532"/>
      </w:r>
      <w:r>
        <w:rPr>
          <w:rFonts w:ascii="IRNazanin" w:hAnsi="IRNazanin" w:eastAsia="IRNazanin"/>
          <w:color w:val="111111"/>
          <w:sz w:val="28"/>
          <w:sz w:val="28"/>
          <w:szCs w:val="28"/>
          <w:rtl w:val="true"/>
          <w:lang w:bidi="fa-IR"/>
        </w:rPr>
        <w:t>التالف ببدله معلوم، إلّا أنّ الکلام فی أنّ البدل هو البدل الحقیقی،أعنی المثل أو القیمة، أو البدل الجعلی،أعنی العین الموجودة،فلا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ما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السلطنة علی المال الموجود بأخذه،و علی المال التالف بأخذ بدله الحقیقی،و هو المثل أو القیمة،فتدبّر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أحد العوضین دیناً فی ذمّة أحد المتعاطیین،فعلی القول بالملک یملکه من فی ذمّته،فیسقط عنه،و الظاهر أنّه فی حکم التلف؛</w:t>
      </w:r>
    </w:p>
    <w:p>
      <w:pPr>
        <w:pStyle w:val="BookText"/>
        <w:rPr/>
      </w:pPr>
      <w:r>
        <w:rPr>
          <w:rFonts w:ascii="IRNazanin" w:hAnsi="IRNazanin" w:eastAsia="IRNazanin"/>
          <w:color w:val="111111"/>
          <w:sz w:val="28"/>
          <w:sz w:val="28"/>
          <w:szCs w:val="28"/>
          <w:rtl w:val="true"/>
          <w:lang w:bidi="fa-IR"/>
        </w:rPr>
        <w:t>لأنّ الساقط لا یعود،و یحتمل العود،و هو ضعیف،و الظاهر أنّ الحکم کذلک علی القول بالإباحة،فافهم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نقل العینان </w:t>
      </w:r>
      <w:r>
        <w:rPr>
          <w:rStyle w:val="FootnoteAnchor"/>
          <w:rtl w:val="true"/>
        </w:rPr>
        <w:footnoteReference w:id="533"/>
      </w:r>
      <w:r>
        <w:rPr>
          <w:rFonts w:ascii="IRNazanin" w:hAnsi="IRNazanin" w:eastAsia="IRNazanin"/>
          <w:color w:val="111111"/>
          <w:sz w:val="28"/>
          <w:sz w:val="28"/>
          <w:szCs w:val="28"/>
          <w:rtl w:val="true"/>
          <w:lang w:bidi="fa-IR"/>
        </w:rPr>
        <w:t xml:space="preserve">أو إحداهما </w:t>
      </w:r>
      <w:r>
        <w:rPr>
          <w:rStyle w:val="FootnoteAnchor"/>
          <w:rtl w:val="true"/>
        </w:rPr>
        <w:footnoteReference w:id="534"/>
      </w:r>
      <w:r>
        <w:rPr>
          <w:rFonts w:ascii="IRNazanin" w:hAnsi="IRNazanin" w:eastAsia="IRNazanin"/>
          <w:color w:val="111111"/>
          <w:sz w:val="28"/>
          <w:sz w:val="28"/>
          <w:szCs w:val="28"/>
          <w:rtl w:val="true"/>
          <w:lang w:bidi="fa-IR"/>
        </w:rPr>
        <w:t>بعقدٍ لازم،فهو کالتلف علی القول بالملک؛لامتناع الترادّ،و کذا علی القول بالإباحة إذا قلنا بإباحة التصرّفات الناقلة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عادت العین بفسخ،ففی جواز الترادّ علی القول بالملک؛ لإمکانه فیستصحب،و عدمه؛لأنّ المتیقّن من الترادّ هو المحقّق قبل خروج العین عن ملک مالکه،وجهان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أجودهما ذلک؛إذ لم یثبت فی مقابلة أصالة اللزوم جواز الترادّ بقولٍ مطلق،بل المتیقّن منه غیر ذلک، فالموضوع غیر محرز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علی القول بالإباحة؛لأنّ التصرّف الناقل یکشف عن سبق الملک للمتصرّف،فیرجع بالفسخ إلی ملک الثانی،فلا دلیل علی زواله، بل الحکم هنا أولی منه علی القول بالملک؛لعدم تحقّق جواز الترادّ فی السابق هنا حتی یستصحب،بل المحقّق أصالة بقاء سلطنة المالک الأوّل المقطوع بانتفائها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الکاشف عن الملک هو العقد الناقل،فإذا فرضنا ارتفاعه بالفسخ عاد الملک إلی المالک الأوّل و إن کان مباحاً لغیره ما لم یستردّ عوضه،کان مقتضی قاعدة السلطنة جواز الترادّ لو فرض کون العوض الآخر باقیاً علی ملک مالکه الأوّل،أو عائداً </w:t>
      </w:r>
      <w:r>
        <w:rPr>
          <w:rStyle w:val="FootnoteAnchor"/>
          <w:rtl w:val="true"/>
        </w:rPr>
        <w:footnoteReference w:id="535"/>
      </w:r>
      <w:r>
        <w:rPr>
          <w:rFonts w:ascii="IRNazanin" w:hAnsi="IRNazanin" w:eastAsia="IRNazanin"/>
          <w:color w:val="111111"/>
          <w:sz w:val="28"/>
          <w:sz w:val="28"/>
          <w:szCs w:val="28"/>
          <w:rtl w:val="true"/>
          <w:lang w:bidi="fa-IR"/>
        </w:rPr>
        <w:t>إلیه بفسخ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Style w:val="FootnoteAnchor"/>
          <w:rtl w:val="true"/>
        </w:rPr>
        <w:footnoteReference w:id="536"/>
      </w:r>
      <w:r>
        <w:rPr>
          <w:rFonts w:ascii="IRNazanin" w:hAnsi="IRNazanin" w:eastAsia="IRNazanin"/>
          <w:color w:val="111111"/>
          <w:sz w:val="28"/>
          <w:sz w:val="28"/>
          <w:szCs w:val="28"/>
          <w:rtl w:val="true"/>
          <w:lang w:bidi="fa-IR"/>
        </w:rPr>
        <w:t xml:space="preserve">البیع لا یتوقّف علی سبق الملک،بل یکفی فیه إباحة التصرّف و الإتلاف،و یملک الثمن بالبیع،کما تقدّم استظهاره عن جماعة فی الأمر الرابع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الوجهین </w:t>
      </w:r>
      <w:r>
        <w:rPr>
          <w:rStyle w:val="FootnoteAnchor"/>
          <w:rtl w:val="true"/>
        </w:rPr>
        <w:footnoteReference w:id="538"/>
      </w:r>
      <w:r>
        <w:rPr>
          <w:rFonts w:ascii="IRNazanin" w:hAnsi="IRNazanin" w:eastAsia="IRNazanin"/>
          <w:color w:val="111111"/>
          <w:sz w:val="28"/>
          <w:sz w:val="28"/>
          <w:szCs w:val="28"/>
          <w:rtl w:val="true"/>
          <w:lang w:bidi="fa-IR"/>
        </w:rPr>
        <w:t>ضعیفان،بل الأقوی رجوعه بالفسخ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الناقل عقداً جائزاً لم یکن لمالک العین الباقیة إلزام الناقل بالرجوع فیه،و لا رجوعه بنفسه إلی عینه،فالترادّ غیر متحقّق، و تحصیله غیر واجب،و کذا علی القول بالإباحة؛لکون المعاوضة کاشفة عن سبق الملک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کان غیر معاوضة کالهبة،و قلنا بأنّ التصرّف فی مثله لا یکشف </w:t>
      </w:r>
      <w:r>
        <w:rPr>
          <w:rStyle w:val="FootnoteAnchor"/>
          <w:rtl w:val="true"/>
        </w:rPr>
        <w:footnoteReference w:id="539"/>
      </w:r>
      <w:r>
        <w:rPr>
          <w:rFonts w:ascii="IRNazanin" w:hAnsi="IRNazanin" w:eastAsia="IRNazanin"/>
          <w:color w:val="111111"/>
          <w:sz w:val="28"/>
          <w:sz w:val="28"/>
          <w:szCs w:val="28"/>
          <w:rtl w:val="true"/>
          <w:lang w:bidi="fa-IR"/>
        </w:rPr>
        <w:t>عن سبق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لا عوض فیه حتی لا یعقل کون العوض مالاً لواحد و انتقال المعوّض </w:t>
      </w:r>
      <w:r>
        <w:rPr>
          <w:rStyle w:val="FootnoteAnchor"/>
          <w:rtl w:val="true"/>
        </w:rPr>
        <w:footnoteReference w:id="540"/>
      </w:r>
      <w:r>
        <w:rPr>
          <w:rFonts w:ascii="IRNazanin" w:hAnsi="IRNazanin" w:eastAsia="IRNazanin"/>
          <w:color w:val="111111"/>
          <w:sz w:val="28"/>
          <w:sz w:val="28"/>
          <w:szCs w:val="28"/>
          <w:rtl w:val="true"/>
          <w:lang w:bidi="fa-IR"/>
        </w:rPr>
        <w:t xml:space="preserve">إلی الآخر </w:t>
      </w:r>
      <w:r>
        <w:rPr>
          <w:rStyle w:val="FootnoteAnchor"/>
          <w:rtl w:val="true"/>
        </w:rPr>
        <w:footnoteReference w:id="541"/>
      </w:r>
      <w:r>
        <w:rPr>
          <w:rFonts w:ascii="IRNazanin" w:hAnsi="IRNazanin" w:eastAsia="IRNazanin"/>
          <w:color w:val="111111"/>
          <w:sz w:val="28"/>
          <w:sz w:val="28"/>
          <w:szCs w:val="28"/>
          <w:rtl w:val="true"/>
          <w:lang w:bidi="fa-IR"/>
        </w:rPr>
        <w:t xml:space="preserve">،بل الهبة ناقلة للملک </w:t>
      </w:r>
      <w:r>
        <w:rPr>
          <w:rStyle w:val="FootnoteAnchor"/>
          <w:rtl w:val="true"/>
        </w:rPr>
        <w:footnoteReference w:id="542"/>
      </w:r>
      <w:r>
        <w:rPr>
          <w:rFonts w:ascii="IRNazanin" w:hAnsi="IRNazanin" w:eastAsia="IRNazanin"/>
          <w:color w:val="111111"/>
          <w:sz w:val="28"/>
          <w:sz w:val="28"/>
          <w:szCs w:val="28"/>
          <w:rtl w:val="true"/>
          <w:lang w:bidi="fa-IR"/>
        </w:rPr>
        <w:t>عن ملک المالک إلی المتّهب فیتحقّق حکم جواز الرجوع بالنسبة إلی المالک لا الواهب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اتّجه الحکم بجواز الترادّ مع بقاء العین</w:t>
      </w:r>
    </w:p>
    <w:p>
      <w:pPr>
        <w:pStyle w:val="BookText"/>
        <w:rPr/>
      </w:pPr>
      <w:r>
        <w:rPr>
          <w:rFonts w:ascii="IRNazanin" w:hAnsi="IRNazanin" w:eastAsia="IRNazanin"/>
          <w:color w:val="111111"/>
          <w:sz w:val="28"/>
          <w:sz w:val="28"/>
          <w:szCs w:val="28"/>
          <w:rtl w:val="true"/>
          <w:lang w:bidi="fa-IR"/>
        </w:rPr>
        <w:t xml:space="preserve">الأُخری أو عودها إلی مالکها </w:t>
      </w:r>
      <w:r>
        <w:rPr>
          <w:rStyle w:val="FootnoteAnchor"/>
          <w:rtl w:val="true"/>
        </w:rPr>
        <w:footnoteReference w:id="543"/>
      </w:r>
      <w:r>
        <w:rPr>
          <w:rFonts w:ascii="IRNazanin" w:hAnsi="IRNazanin" w:eastAsia="IRNazanin"/>
          <w:color w:val="111111"/>
          <w:sz w:val="28"/>
          <w:sz w:val="28"/>
          <w:szCs w:val="28"/>
          <w:rtl w:val="true"/>
          <w:lang w:bidi="fa-IR"/>
        </w:rPr>
        <w:t xml:space="preserve">بهذا النحو من العود؛إذ لو عادت </w:t>
      </w:r>
      <w:r>
        <w:rPr>
          <w:rStyle w:val="FootnoteAnchor"/>
          <w:rtl w:val="true"/>
        </w:rPr>
        <w:footnoteReference w:id="544"/>
      </w:r>
      <w:r>
        <w:rPr>
          <w:rFonts w:ascii="IRNazanin" w:hAnsi="IRNazanin" w:eastAsia="IRNazanin"/>
          <w:color w:val="111111"/>
          <w:sz w:val="28"/>
          <w:sz w:val="28"/>
          <w:szCs w:val="28"/>
          <w:rtl w:val="true"/>
          <w:lang w:bidi="fa-IR"/>
        </w:rPr>
        <w:t>بوجهٍ آخر کان حکمه حکم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العین ثالث فضولاً،فأجاز المالک الأوّل،علی القول بالملک،لم یبعد کون إجازته رجوعاً کبیعه و سائر تصرّفاته الناقلة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أجاز المالک الثانی،نفذ بغیر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ینعکس الحکم إشکالاً و وضوحاً علی القول بالإباحة،و لکلٍّ منهما ردّه قبل إجازة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رجع الأوّل فأجاز الثانی،فإن جعلنا الإجازة کاشفة لغی الرجوع،و یحتمل عدمه؛لأنّه رجوع قبل تصرّف الآخر فینفذ </w:t>
      </w:r>
      <w:r>
        <w:rPr>
          <w:rStyle w:val="FootnoteAnchor"/>
          <w:rtl w:val="true"/>
        </w:rPr>
        <w:footnoteReference w:id="545"/>
      </w:r>
      <w:r>
        <w:rPr>
          <w:rFonts w:ascii="IRNazanin" w:hAnsi="IRNazanin" w:eastAsia="IRNazanin"/>
          <w:color w:val="111111"/>
          <w:sz w:val="28"/>
          <w:sz w:val="28"/>
          <w:szCs w:val="28"/>
          <w:rtl w:val="true"/>
          <w:lang w:bidi="fa-IR"/>
        </w:rPr>
        <w:t>و یلغو الإجازة،و إن جعلناها ناقلة لغت الإجازة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امتزجت العینان أو إحداهما،سقط الرجوع علی القول بالملک؛لامتناع الترادّ،و یحتمل الشرکة،و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بالإباحة،فالأصل بقاء التسلّط علی ماله الممتزج بمال الغیر،فیصیر المالک شریکاً مع مالک الممتزج به،نعم لو کان المزج مُلحِقاً له بالإتلاف جری علیه حکم التلف</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تصرّف فی العین تصرّفاً مغیّراً للصورة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کطحن الحنطة و فصل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لزوم علی القول بالإباحة،و علی القول بالملک،ففی اللزوم</w:t>
      </w:r>
    </w:p>
    <w:p>
      <w:pPr>
        <w:pStyle w:val="BookText"/>
        <w:rPr/>
      </w:pPr>
      <w:r>
        <w:rPr>
          <w:rFonts w:ascii="IRNazanin" w:hAnsi="IRNazanin" w:eastAsia="IRNazanin"/>
          <w:color w:val="111111"/>
          <w:sz w:val="28"/>
          <w:sz w:val="28"/>
          <w:szCs w:val="28"/>
          <w:rtl w:val="true"/>
          <w:lang w:bidi="fa-IR"/>
        </w:rPr>
        <w:t>وجهان مبنیّان علی جریان استصحاب جواز الترادّ،و منشأ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الموضوع فی الاستصحاب عرفیّ أو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 ممّا ذکرنا أنّه لیس جواز الرجوع فی مسألة المعاطاة نظیر الفسخ فی العقود اللازمة حتی یورّث بالموت و یسقط بالإسقاط ابتداءً أو فی ضمن المعاملة،بل هو علی القول بالملک نظیر الرجوع فی الهبة،و علی القول بالإباحة نظیر الرجوع فی إباحة الطعام، بحیث یناط الحکم فیه بالرضا الباطنی،بحیث لو علم کراهة المالک باطناً لم یجز له التصرّف،فلو مات أحد المالکین لم یجز لوارثه الرجوع علی القول بالملک للأصل؛لأنّ مَن له و إلیه الرجوع هو المالک الأصلی، و لا یجری الاستصحاب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جُنّ أحدهما،فالظاهر قیام ولیّه مقامه فی الرجوع علی القولین</w:t>
      </w:r>
      <w:r>
        <w:rPr>
          <w:rFonts w:eastAsia="IRNazanin" w:cs="IRNazanin"/>
          <w:color w:val="111111"/>
          <w:sz w:val="28"/>
          <w:szCs w:val="28"/>
          <w:rtl w:val="true"/>
          <w:lang w:bidi="fa-IR"/>
        </w:rPr>
        <w:t>.</w:t>
      </w:r>
      <w:bookmarkStart w:id="192" w:name="pg19763_247849"/>
    </w:p>
    <w:p>
      <w:pPr>
        <w:pStyle w:val="BookText"/>
        <w:rPr/>
      </w:pPr>
      <w:bookmarkEnd w:id="192"/>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5082572_2314609296"/>
      <w:bookmarkStart w:id="194" w:name="_Toc77"/>
      <w:bookmarkEnd w:id="193"/>
      <w:r>
        <w:rPr>
          <w:rtl w:val="true"/>
        </w:rPr>
        <w:t>الأمر</w:t>
      </w:r>
      <w:bookmarkEnd w:id="194"/>
    </w:p>
    <w:p>
      <w:pPr>
        <w:pStyle w:val="BookText"/>
        <w:rPr/>
      </w:pPr>
      <w:r>
        <w:rPr>
          <w:rFonts w:ascii="IRNazanin" w:hAnsi="IRNazanin" w:eastAsia="IRNazanin"/>
          <w:color w:val="111111"/>
          <w:sz w:val="28"/>
          <w:sz w:val="28"/>
          <w:szCs w:val="28"/>
          <w:rtl w:val="true"/>
          <w:lang w:bidi="fa-IR"/>
        </w:rPr>
        <w:t xml:space="preserve">الأمر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أنّ الشهید الثانی ذکر فی المسالک وجهین فی صیرورة المعاطاة بیعاً بعد التلف أو معاوضة مستقلّة،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الأوّل؛لأنّ المعاوضات محصورة و لیست إحداها،و کونها معاوضة برأسها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الثانی؛لإطباقهم علی أنّها لیست بیعاً حال وقوعها،فکیف تصیر بیعاً بعد التلف؟و تظهر الفائدة فی ترتّب الأحکام المختصّة بالبیع علیها،کخیار الحیوان،لو کان التالف الثمن أو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ثبوته،فهل الثلاثة من حین المعاطاة،أو من حین اللزوم؟کلّ محتمل، و یشکل الأوّل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بأنّ التصرّف لیس معاوضة بنفسها </w:t>
      </w:r>
      <w:r>
        <w:rPr>
          <w:rStyle w:val="FootnoteAnchor"/>
          <w:rtl w:val="true"/>
        </w:rPr>
        <w:footnoteReference w:id="547"/>
      </w:r>
      <w:r>
        <w:rPr>
          <w:rFonts w:ascii="IRNazanin" w:hAnsi="IRNazanin" w:eastAsia="IRNazanin"/>
          <w:color w:val="111111"/>
          <w:sz w:val="28"/>
          <w:sz w:val="28"/>
          <w:szCs w:val="28"/>
          <w:rtl w:val="true"/>
          <w:lang w:bidi="fa-IR"/>
        </w:rPr>
        <w:t>،اللّهم إلّا أن یجعل المعاطاة جزء السبب و التلف 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عدم ثبوت خیار الحیوان هنا؛بناءً علی أنّها لیست لازمة،و إنّما یتمّ علی قول المفید و من تبعه </w:t>
      </w:r>
      <w:r>
        <w:rPr>
          <w:rStyle w:val="FootnoteAnchor"/>
          <w:rtl w:val="true"/>
        </w:rPr>
        <w:footnoteReference w:id="548"/>
      </w:r>
      <w:r>
        <w:rPr>
          <w:rFonts w:ascii="IRNazanin" w:hAnsi="IRNazanin" w:eastAsia="IRNazanin"/>
          <w:color w:val="111111"/>
          <w:sz w:val="28"/>
          <w:sz w:val="28"/>
          <w:szCs w:val="28"/>
          <w:rtl w:val="true"/>
          <w:lang w:bidi="fa-IR"/>
        </w:rPr>
        <w:t xml:space="preserve">،و أمّا خیار العیب و الغبن فیثبتان علی التقدیرین کما أنّ خیار المجلس منتفٍ </w:t>
      </w:r>
      <w:r>
        <w:rPr>
          <w:rStyle w:val="FootnoteAnchor"/>
          <w:rtl w:val="true"/>
        </w:rPr>
        <w:footnoteReference w:id="5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هذا تفریع علی القول بالإباحة فی المعاطاة،و أمّا علی</w:t>
      </w:r>
    </w:p>
    <w:p>
      <w:pPr>
        <w:pStyle w:val="BookText"/>
        <w:rPr/>
      </w:pPr>
      <w:r>
        <w:rPr>
          <w:rFonts w:ascii="IRNazanin" w:hAnsi="IRNazanin" w:eastAsia="IRNazanin"/>
          <w:color w:val="111111"/>
          <w:sz w:val="28"/>
          <w:sz w:val="28"/>
          <w:szCs w:val="28"/>
          <w:rtl w:val="true"/>
          <w:lang w:bidi="fa-IR"/>
        </w:rPr>
        <w:t xml:space="preserve">القول بکونها </w:t>
      </w:r>
      <w:r>
        <w:rPr>
          <w:rStyle w:val="FootnoteAnchor"/>
          <w:rtl w:val="true"/>
        </w:rPr>
        <w:footnoteReference w:id="550"/>
      </w:r>
      <w:r>
        <w:rPr>
          <w:rFonts w:ascii="IRNazanin" w:hAnsi="IRNazanin" w:eastAsia="IRNazanin"/>
          <w:color w:val="111111"/>
          <w:sz w:val="28"/>
          <w:sz w:val="28"/>
          <w:szCs w:val="28"/>
          <w:rtl w:val="true"/>
          <w:lang w:bidi="fa-IR"/>
        </w:rPr>
        <w:t xml:space="preserve">مفیدة للملک المتزلزل،فیلغی </w:t>
      </w:r>
      <w:r>
        <w:rPr>
          <w:rStyle w:val="FootnoteAnchor"/>
          <w:rtl w:val="true"/>
        </w:rPr>
        <w:footnoteReference w:id="551"/>
      </w:r>
      <w:r>
        <w:rPr>
          <w:rFonts w:ascii="IRNazanin" w:hAnsi="IRNazanin" w:eastAsia="IRNazanin"/>
          <w:color w:val="111111"/>
          <w:sz w:val="28"/>
          <w:sz w:val="28"/>
          <w:szCs w:val="28"/>
          <w:rtl w:val="true"/>
          <w:lang w:bidi="fa-IR"/>
        </w:rPr>
        <w:t xml:space="preserve">الکلام فی کونها معاوضة مستقلّة أو بیعاً متزلزلاً قبل اللزوم،حتی یتبعه حکمها </w:t>
      </w:r>
      <w:r>
        <w:rPr>
          <w:rStyle w:val="FootnoteAnchor"/>
          <w:rtl w:val="true"/>
        </w:rPr>
        <w:footnoteReference w:id="552"/>
      </w:r>
      <w:r>
        <w:rPr>
          <w:rFonts w:ascii="IRNazanin" w:hAnsi="IRNazanin" w:eastAsia="IRNazanin"/>
          <w:color w:val="111111"/>
          <w:sz w:val="28"/>
          <w:sz w:val="28"/>
          <w:szCs w:val="28"/>
          <w:rtl w:val="true"/>
          <w:lang w:bidi="fa-IR"/>
        </w:rPr>
        <w:t xml:space="preserve">بعد اللزوم؛ إذ الظاهر أنّه </w:t>
      </w:r>
      <w:r>
        <w:rPr>
          <w:rStyle w:val="FootnoteAnchor"/>
          <w:rtl w:val="true"/>
        </w:rPr>
        <w:footnoteReference w:id="553"/>
      </w:r>
      <w:r>
        <w:rPr>
          <w:rFonts w:ascii="IRNazanin" w:hAnsi="IRNazanin" w:eastAsia="IRNazanin"/>
          <w:color w:val="111111"/>
          <w:sz w:val="28"/>
          <w:sz w:val="28"/>
          <w:szCs w:val="28"/>
          <w:rtl w:val="true"/>
          <w:lang w:bidi="fa-IR"/>
        </w:rPr>
        <w:t xml:space="preserve">عند القائلین بالملک المتزلزل بیع بلا إشکال </w:t>
      </w:r>
      <w:r>
        <w:rPr>
          <w:rStyle w:val="FootnoteAnchor"/>
          <w:rtl w:val="true"/>
        </w:rPr>
        <w:footnoteReference w:id="554"/>
      </w:r>
      <w:r>
        <w:rPr>
          <w:rFonts w:ascii="IRNazanin" w:hAnsi="IRNazanin" w:eastAsia="IRNazanin"/>
          <w:color w:val="111111"/>
          <w:sz w:val="28"/>
          <w:sz w:val="28"/>
          <w:szCs w:val="28"/>
          <w:rtl w:val="true"/>
          <w:lang w:bidi="fa-IR"/>
        </w:rPr>
        <w:t>فی ذلک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تقدّم من المحقّق الثانی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لزم صار بیعاً لازماً، فیلحقه أحکام البیع عدا ما استفید من دلیله ثبوته للبیع العقدی الذی مبناه علی اللزوم لو لا الخیار،و قد تقدّم </w:t>
      </w:r>
      <w:r>
        <w:rPr>
          <w:rStyle w:val="FootnoteAnchor"/>
          <w:rtl w:val="true"/>
        </w:rPr>
        <w:footnoteReference w:id="556"/>
      </w:r>
      <w:r>
        <w:rPr>
          <w:rFonts w:ascii="IRNazanin" w:hAnsi="IRNazanin" w:eastAsia="IRNazanin"/>
          <w:color w:val="111111"/>
          <w:sz w:val="28"/>
          <w:sz w:val="28"/>
          <w:szCs w:val="28"/>
          <w:rtl w:val="true"/>
          <w:lang w:bidi="fa-IR"/>
        </w:rPr>
        <w:t>أنّ الجواز هنا لا یراد به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کان،فالأقوی أنّها علی القول بالإباحة بیع عرفیّ لم یصحّحه الشارع و لم یمضه إلّا بعد تلف إحدی العینین أو ما فی حکمه،و بعد التلف یترتّب علیه أحکام البیع عدا ما اختصّ دلیله بالبیع الواقع صحیحاً من أوّل الأمر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المحکیّ عن حواشی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المعاطاة معاوضة مستقلّة جائزة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لازمة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أراد التفریع علی مذهبه من الإباحة و کونها معاوضة قبل اللزوم،من جهة کون کلٍّ من العینین مباحاً عوضاً عن الأُخری،لکن لزوم </w:t>
      </w:r>
      <w:r>
        <w:rPr>
          <w:rStyle w:val="FootnoteAnchor"/>
          <w:rtl w:val="true"/>
        </w:rPr>
        <w:footnoteReference w:id="558"/>
      </w:r>
      <w:r>
        <w:rPr>
          <w:rFonts w:ascii="IRNazanin" w:hAnsi="IRNazanin" w:eastAsia="IRNazanin"/>
          <w:color w:val="111111"/>
          <w:sz w:val="28"/>
          <w:sz w:val="28"/>
          <w:szCs w:val="28"/>
          <w:rtl w:val="true"/>
          <w:lang w:bidi="fa-IR"/>
        </w:rPr>
        <w:t>هذه المعاوضة لا یقتضی حدوث الملک کما لا یخفی،فلا بدّ أن یقول بالإباحة اللازمة،فافهم</w:t>
      </w:r>
      <w:r>
        <w:rPr>
          <w:rFonts w:eastAsia="IRNazanin" w:cs="IRNazanin"/>
          <w:color w:val="111111"/>
          <w:sz w:val="28"/>
          <w:szCs w:val="28"/>
          <w:rtl w:val="true"/>
          <w:lang w:bidi="fa-IR"/>
        </w:rPr>
        <w:t>.</w:t>
      </w:r>
      <w:bookmarkStart w:id="195" w:name="pg19763_247852"/>
    </w:p>
    <w:p>
      <w:pPr>
        <w:pStyle w:val="BookText"/>
        <w:rPr/>
      </w:pPr>
      <w:bookmarkEnd w:id="195"/>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5082574_2314609296"/>
      <w:bookmarkStart w:id="197" w:name="_Toc78"/>
      <w:bookmarkEnd w:id="196"/>
      <w:r>
        <w:rPr>
          <w:rtl w:val="true"/>
        </w:rPr>
        <w:t>الأمر</w:t>
      </w:r>
      <w:bookmarkEnd w:id="197"/>
    </w:p>
    <w:p>
      <w:pPr>
        <w:pStyle w:val="BookText"/>
        <w:rPr/>
      </w:pPr>
      <w:r>
        <w:rPr>
          <w:rFonts w:ascii="IRNazanin" w:hAnsi="IRNazanin" w:eastAsia="IRNazanin"/>
          <w:color w:val="111111"/>
          <w:sz w:val="28"/>
          <w:sz w:val="28"/>
          <w:szCs w:val="28"/>
          <w:rtl w:val="true"/>
          <w:lang w:bidi="fa-IR"/>
        </w:rPr>
        <w:t xml:space="preserve">الأمر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لا إشکال فی تحقّق المعاطاة المصطلحة التی هی معرکة الآراء بین الخاصّة و العامّة</w:t>
      </w:r>
    </w:p>
    <w:p>
      <w:pPr>
        <w:pStyle w:val="BookText"/>
        <w:rPr/>
      </w:pPr>
      <w:r>
        <w:rPr>
          <w:rFonts w:ascii="IRNazanin" w:hAnsi="IRNazanin" w:eastAsia="IRNazanin"/>
          <w:color w:val="111111"/>
          <w:sz w:val="28"/>
          <w:sz w:val="28"/>
          <w:szCs w:val="28"/>
          <w:rtl w:val="true"/>
          <w:lang w:bidi="fa-IR"/>
        </w:rPr>
        <w:t>بما إذا تحقّق إنشاء التملیک أو الإباحة بالفعل،و هو قبض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حصل بالقول الغیر الجامع لشرائط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قلنا بعدم اشتراط اللزوم بشیءٍ زائد علی الإنشاء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قوّیناه سابقاً </w:t>
      </w:r>
      <w:r>
        <w:rPr>
          <w:rStyle w:val="FootnoteAnchor"/>
          <w:rtl w:val="true"/>
        </w:rPr>
        <w:footnoteReference w:id="560"/>
      </w:r>
      <w:r>
        <w:rPr>
          <w:rFonts w:ascii="IRNazanin" w:hAnsi="IRNazanin" w:eastAsia="IRNazanin"/>
          <w:color w:val="111111"/>
          <w:sz w:val="28"/>
          <w:sz w:val="28"/>
          <w:szCs w:val="28"/>
          <w:rtl w:val="true"/>
          <w:lang w:bidi="fa-IR"/>
        </w:rPr>
        <w:t>بناءً علی التخلّص بذلک عن اتّفاقهم علی توقّف العقود اللازمة علی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صیرورة المعاملة بذلک عقداً لازماً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قلنا بمقالة المشهور من اعتبار أُمور زائدة علی اللفظ،فهل یرجع ذلک الإنشاء القولی إلی حکم المعاطاة مطلقاً،أو بشرط تحقّق قبض العین معه،أو لا یتحقّق </w:t>
      </w:r>
      <w:r>
        <w:rPr>
          <w:rStyle w:val="FootnoteAnchor"/>
          <w:rtl w:val="true"/>
        </w:rPr>
        <w:footnoteReference w:id="561"/>
      </w:r>
      <w:r>
        <w:rPr>
          <w:rFonts w:ascii="IRNazanin" w:hAnsi="IRNazanin" w:eastAsia="IRNazanin"/>
          <w:color w:val="111111"/>
          <w:sz w:val="28"/>
          <w:sz w:val="28"/>
          <w:szCs w:val="28"/>
          <w:rtl w:val="true"/>
          <w:lang w:bidi="fa-IR"/>
        </w:rPr>
        <w:t>به مطلقاً؟ نعم،إذا حصل إنشاء آخر بالقبض المتحقّق بعده تحقّق المعاطاة، فالإنشاء القولی السابق کالعدم،لا عبرة به و لا بوقوع القبض بعده خالیاً عن قصد الإنشاء،بل بانیاً علی کونه حقّا لازماً لکونه من آثار الإنشاء القولی السابق،نظیر القبض فی العقد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کلام غیر واحدٍ من مشایخنا المعاصرین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الأوّل،تبعاً لما یستفاد من ظاهر کلام المحقّق و الشهید الثانیین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صیغ عقوده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حکی عنه بعد ذکره الشروط المعتبرة فی الصیغة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لو أوقع البیع بغیر ما قلناه،و علم التراضی منهما کان معاطاة </w:t>
      </w:r>
      <w:r>
        <w:rPr>
          <w:rStyle w:val="FootnoteAnchor"/>
          <w:rtl w:val="true"/>
        </w:rPr>
        <w:footnoteReference w:id="5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عدم کفایة الإشارة مع القدرة علی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تفید المعاطاة مع الإفهام الصریح </w:t>
      </w:r>
      <w:r>
        <w:rPr>
          <w:rStyle w:val="FootnoteAnchor"/>
          <w:rtl w:val="true"/>
        </w:rPr>
        <w:footnoteReference w:id="5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الکلامین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وقوع الإنشاء بغیر القبض،بل یکون القبض من آثاره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تصریح </w:t>
      </w:r>
      <w:r>
        <w:rPr>
          <w:rStyle w:val="FootnoteAnchor"/>
          <w:rtl w:val="true"/>
        </w:rPr>
        <w:footnoteReference w:id="566"/>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المحقّق </w:t>
      </w:r>
      <w:r>
        <w:rPr>
          <w:rStyle w:val="FootnoteAnchor"/>
          <w:rtl w:val="true"/>
        </w:rPr>
        <w:footnoteReference w:id="567"/>
      </w:r>
      <w:r>
        <w:rPr>
          <w:rFonts w:ascii="Amiri" w:hAnsi="Amiri" w:eastAsia="Amiri" w:cs="Amiri"/>
          <w:color w:val="111111"/>
          <w:sz w:val="28"/>
          <w:sz w:val="28"/>
          <w:szCs w:val="28"/>
          <w:rtl w:val="true"/>
          <w:lang w:bidi="ar-SA"/>
        </w:rPr>
        <w:t xml:space="preserve">و العلّامة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 قبض ما ابتاعه بالعقد الفاسد لم یملک و کان مضموناً علیه،هو الوجه الأخیر؛ لأنّ مرادهم بالعقد الفاسد إمّا خصوص ما کان فساده من جهة مجرّد </w:t>
      </w:r>
      <w:r>
        <w:rPr>
          <w:rStyle w:val="FootnoteAnchor"/>
          <w:rtl w:val="true"/>
        </w:rPr>
        <w:footnoteReference w:id="569"/>
      </w:r>
      <w:r>
        <w:rPr>
          <w:rFonts w:ascii="IRNazanin" w:hAnsi="IRNazanin" w:eastAsia="IRNazanin"/>
          <w:color w:val="111111"/>
          <w:sz w:val="28"/>
          <w:sz w:val="28"/>
          <w:szCs w:val="28"/>
          <w:rtl w:val="true"/>
          <w:lang w:bidi="fa-IR"/>
        </w:rPr>
        <w:t>اختلال شروط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ربما یشهد به ذکر هذا الکلام بعد شروط</w:t>
      </w:r>
    </w:p>
    <w:p>
      <w:pPr>
        <w:pStyle w:val="BookText"/>
        <w:rPr/>
      </w:pPr>
      <w:r>
        <w:rPr>
          <w:rFonts w:ascii="IRNazanin" w:hAnsi="IRNazanin" w:eastAsia="IRNazanin"/>
          <w:color w:val="111111"/>
          <w:sz w:val="28"/>
          <w:sz w:val="28"/>
          <w:szCs w:val="28"/>
          <w:rtl w:val="true"/>
          <w:lang w:bidi="fa-IR"/>
        </w:rPr>
        <w:t>الصیغة،و قبل شروط العوضین و المتعاقدین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w:t>
      </w:r>
      <w:r>
        <w:rPr>
          <w:rStyle w:val="FootnoteAnchor"/>
          <w:rtl w:val="true"/>
        </w:rPr>
        <w:footnoteReference w:id="570"/>
      </w:r>
      <w:r>
        <w:rPr>
          <w:rFonts w:ascii="IRNazanin" w:hAnsi="IRNazanin" w:eastAsia="IRNazanin"/>
          <w:color w:val="111111"/>
          <w:sz w:val="28"/>
          <w:sz w:val="28"/>
          <w:szCs w:val="28"/>
          <w:rtl w:val="true"/>
          <w:lang w:bidi="fa-IR"/>
        </w:rPr>
        <w:t>ما یشمل هذا و غیره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کان،فالصورة الأُولی داخلةٌ قطعاً،و لا یخفی أنّ الحکم فیها بالضمان منافٍ لجریان حکم المعاطاة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یجمع </w:t>
      </w:r>
      <w:r>
        <w:rPr>
          <w:rStyle w:val="FootnoteAnchor"/>
          <w:rtl w:val="true"/>
        </w:rPr>
        <w:footnoteReference w:id="571"/>
      </w:r>
      <w:r>
        <w:rPr>
          <w:rFonts w:ascii="IRNazanin" w:hAnsi="IRNazanin" w:eastAsia="IRNazanin"/>
          <w:color w:val="111111"/>
          <w:sz w:val="28"/>
          <w:sz w:val="28"/>
          <w:szCs w:val="28"/>
          <w:rtl w:val="true"/>
          <w:lang w:bidi="fa-IR"/>
        </w:rPr>
        <w:t>بین هذا الکلام و ما تقدّم من المحقّق و الشهید الثانیین،فیقال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موضوع المسألة فی عدم جواز التصرّف بالعقد الفاسد ما إذا علم عدم الرضا إلّا بزعم صحّة المعاملة،فإذا انتفت الصحّة انتفی </w:t>
      </w:r>
      <w:r>
        <w:rPr>
          <w:rStyle w:val="FootnoteAnchor"/>
          <w:rtl w:val="true"/>
        </w:rPr>
        <w:footnoteReference w:id="572"/>
      </w:r>
      <w:r>
        <w:rPr>
          <w:rFonts w:ascii="IRNazanin" w:hAnsi="IRNazanin" w:eastAsia="IRNazanin"/>
          <w:color w:val="111111"/>
          <w:sz w:val="28"/>
          <w:sz w:val="28"/>
          <w:szCs w:val="28"/>
          <w:rtl w:val="true"/>
          <w:lang w:bidi="fa-IR"/>
        </w:rPr>
        <w:t xml:space="preserve">الإذن؛لترتّبه </w:t>
      </w:r>
      <w:r>
        <w:rPr>
          <w:rStyle w:val="FootnoteAnchor"/>
          <w:rtl w:val="true"/>
        </w:rPr>
        <w:footnoteReference w:id="573"/>
      </w:r>
      <w:r>
        <w:rPr>
          <w:rFonts w:ascii="IRNazanin" w:hAnsi="IRNazanin" w:eastAsia="IRNazanin"/>
          <w:color w:val="111111"/>
          <w:sz w:val="28"/>
          <w:sz w:val="28"/>
          <w:szCs w:val="28"/>
          <w:rtl w:val="true"/>
          <w:lang w:bidi="fa-IR"/>
        </w:rPr>
        <w:t>علی زعم الصحّة،فکان التصرّف تصرّفاً بغیر إذن و أکلاً للمال بالباطل؛لانحصار وجه الحِلّ فی کون المعاملة بیعاً أو تجارة عن تراضٍ أو هبة،أو نحوها من وجوه الرضا بأکل المال من غیر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الأوّلان قد انتفیا بمقتضی الفرض،و کذا البواقی؛للقطع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زعمهما صحّة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الرضا بالتصرّف مع عدم بذل شیء فی المقابل،فالرضا المقدّم کالعدم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تراضیا بالعوضین بعد العلم بالفساد و استمرّ رضاهما فلا کلام فی صحّة المعاملة،و رجعت إلی المعاطاة،کما إذا علم الرضا من أوّل الأمر بإباحتهما التصرّف بأیّ وجهٍ اتّفق،سواء صحّت المعاملة أم فسدت؛فإنّ ذلک لیس من البیع الفاسد</w:t>
      </w:r>
    </w:p>
    <w:p>
      <w:pPr>
        <w:pStyle w:val="BookText"/>
        <w:rPr/>
      </w:pPr>
      <w:r>
        <w:rPr>
          <w:rFonts w:ascii="IRNazanin" w:hAnsi="IRNazanin" w:eastAsia="IRNazanin"/>
          <w:color w:val="111111"/>
          <w:sz w:val="28"/>
          <w:sz w:val="28"/>
          <w:szCs w:val="28"/>
          <w:rtl w:val="true"/>
          <w:lang w:bidi="fa-IR"/>
        </w:rPr>
        <w:t xml:space="preserve">فی شیء </w:t>
      </w:r>
      <w:r>
        <w:rPr>
          <w:rStyle w:val="FootnoteAnchor"/>
          <w:rtl w:val="true"/>
        </w:rPr>
        <w:footnoteReference w:id="574"/>
      </w:r>
      <w:r>
        <w:rPr>
          <w:rFonts w:ascii="IRNazanin" w:hAnsi="IRNazanin" w:eastAsia="IRNazanin"/>
          <w:color w:val="111111"/>
          <w:sz w:val="28"/>
          <w:sz w:val="28"/>
          <w:szCs w:val="28"/>
          <w:rtl w:val="true"/>
          <w:lang w:bidi="fa-IR"/>
        </w:rPr>
        <w:t xml:space="preserve">،انتهی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أنّ الصیغة الفاقدة لبعض الشرائط لا تتضمّن إلّا إنشاءً واحداً هو التملیک،و من المعلوم أنّ هذا المقدار لا یوجب بقاء الإذن الحاصل فی ضمن التملیک بعد فرض انتفاء التملیک،و الموجود بعده إن کان إنشاءً آخر فی ضمن التقابض خرج عن محلّ الکلام؛لأنّ المعاطاة حینئذٍ إنّما تحصل به،لا بالعقد الفاقد للشرائط،مع أنّک عرفت أنّ ظاهر کلام الشهید و المحقّق الثانیین حصول المعاوضة و المراضاة بنفس الإشارة المفهمة بقصد البیع و بنفس الصیغة الخالیة عن الشرائط، لا بالتقابض الحاصل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ما ذکره من حصول المعاطاة بتراضٍ جدید بعد العقد غیر مبنیّ علی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من التراضی الجدید بعد العلم بالفساد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اختصاصه بما إذا علما بالفساد،دون غیره من الصور،مع أنّ کلام الجمیع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التراضی إن کان تراضیاً آخر حادثاً بعد العقد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w:t>
      </w:r>
      <w:r>
        <w:rPr>
          <w:rStyle w:val="FootnoteAnchor"/>
          <w:rtl w:val="true"/>
        </w:rPr>
        <w:footnoteReference w:id="576"/>
      </w:r>
      <w:r>
        <w:rPr>
          <w:rFonts w:ascii="IRNazanin" w:hAnsi="IRNazanin" w:eastAsia="IRNazanin"/>
          <w:color w:val="111111"/>
          <w:sz w:val="28"/>
          <w:sz w:val="28"/>
          <w:szCs w:val="28"/>
          <w:rtl w:val="true"/>
          <w:lang w:bidi="fa-IR"/>
        </w:rPr>
        <w:t>لا علی وجه المعاطاة،بل کلّ منهما رضی بتصرّف الآخر فی ماله من دون ملاحظة رضا صاحبه بتصرّفه فی ماله،فهذا لیس من المعاطاة،بل هی إباحة مجّانیة من الطرفین تبقی ما دام العلم</w:t>
      </w:r>
    </w:p>
    <w:p>
      <w:pPr>
        <w:pStyle w:val="BookText"/>
        <w:rPr/>
      </w:pPr>
      <w:r>
        <w:rPr>
          <w:rFonts w:ascii="IRNazanin" w:hAnsi="IRNazanin" w:eastAsia="IRNazanin"/>
          <w:color w:val="111111"/>
          <w:sz w:val="28"/>
          <w:sz w:val="28"/>
          <w:szCs w:val="28"/>
          <w:rtl w:val="true"/>
          <w:lang w:bidi="fa-IR"/>
        </w:rPr>
        <w:t xml:space="preserve">بالرضا،و لا یکفی فیه عدم العلم بالرجوع </w:t>
      </w:r>
      <w:r>
        <w:rPr>
          <w:rStyle w:val="FootnoteAnchor"/>
          <w:rtl w:val="true"/>
        </w:rPr>
        <w:footnoteReference w:id="577"/>
      </w:r>
      <w:r>
        <w:rPr>
          <w:rFonts w:ascii="IRNazanin" w:hAnsi="IRNazanin" w:eastAsia="IRNazanin"/>
          <w:color w:val="111111"/>
          <w:sz w:val="28"/>
          <w:sz w:val="28"/>
          <w:szCs w:val="28"/>
          <w:rtl w:val="true"/>
          <w:lang w:bidi="fa-IR"/>
        </w:rPr>
        <w:t>لأنّه کالإذن الحاصل من شاهد الحال،و لا یترتّب علیه أثر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اللزوم بتلف إحدی العینین،أو جواز التصرّف إلی حین العلم بالرجوع </w:t>
      </w:r>
      <w:r>
        <w:rPr>
          <w:rStyle w:val="FootnoteAnchor"/>
          <w:rtl w:val="true"/>
        </w:rPr>
        <w:footnoteReference w:id="578"/>
      </w:r>
      <w:r>
        <w:rPr>
          <w:rFonts w:ascii="IRNazanin" w:hAnsi="IRNazanin" w:eastAsia="IRNazanin"/>
          <w:color w:val="111111"/>
          <w:sz w:val="28"/>
          <w:sz w:val="28"/>
          <w:szCs w:val="28"/>
          <w:rtl w:val="true"/>
          <w:lang w:bidi="fa-IR"/>
        </w:rPr>
        <w:t xml:space="preserve">،و إن کان علی وجه المعاطاة فهذا لیس إلّا التراضی السابق علی ملکیة کلٍّ منهما لمالک الآخر </w:t>
      </w:r>
      <w:r>
        <w:rPr>
          <w:rStyle w:val="FootnoteAnchor"/>
          <w:rtl w:val="true"/>
        </w:rPr>
        <w:footnoteReference w:id="579"/>
      </w:r>
      <w:r>
        <w:rPr>
          <w:rFonts w:ascii="Amiri" w:hAnsi="Amiri" w:eastAsia="Amiri" w:cs="Amiri"/>
          <w:color w:val="111111"/>
          <w:sz w:val="28"/>
          <w:sz w:val="28"/>
          <w:szCs w:val="28"/>
          <w:rtl w:val="true"/>
          <w:lang w:bidi="ar-SA"/>
        </w:rPr>
        <w:t xml:space="preserve">،و لیس تراضیاً جدیداً؛بناءً </w:t>
      </w:r>
      <w:r>
        <w:rPr>
          <w:rStyle w:val="FootnoteAnchor"/>
          <w:rtl w:val="true"/>
        </w:rPr>
        <w:footnoteReference w:id="580"/>
      </w:r>
      <w:r>
        <w:rPr>
          <w:rFonts w:ascii="IRNazanin" w:hAnsi="IRNazanin" w:eastAsia="IRNazanin"/>
          <w:color w:val="111111"/>
          <w:sz w:val="28"/>
          <w:sz w:val="28"/>
          <w:szCs w:val="28"/>
          <w:rtl w:val="true"/>
          <w:lang w:bidi="fa-IR"/>
        </w:rPr>
        <w:t xml:space="preserve">علی أنّ المقصود بالمعاطاة التملیک کما عرفته من کلام المشهور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المحقّق الثانی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له أن یرید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عن صیغ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الصیغة الفاقدة للشرائط مع التراضی تدخل فی المعاطاة</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التراضی </w:t>
      </w:r>
      <w:r>
        <w:rPr>
          <w:rStyle w:val="FootnoteAnchor"/>
          <w:rtl w:val="true"/>
        </w:rPr>
        <w:footnoteReference w:id="584"/>
      </w:r>
      <w:r>
        <w:rPr>
          <w:rFonts w:ascii="IRNazanin" w:hAnsi="IRNazanin" w:eastAsia="IRNazanin"/>
          <w:color w:val="111111"/>
          <w:sz w:val="28"/>
          <w:sz w:val="28"/>
          <w:szCs w:val="28"/>
          <w:rtl w:val="true"/>
          <w:lang w:bidi="fa-IR"/>
        </w:rPr>
        <w:t>الجدید الحاصل بعد العقد، لا علی وجه المعاوضة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المتعاملین بالعقد الفاقد لبعض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یقع تقابضهما بغیر رضاً من کلٍّ منهما فی تصرّف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حصل قهراً علیهما أو علی أحدهما،و إجباراً علی العمل بمقتضی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حرمة التصرّف فی المقبوض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وقع علی وجه الرضا الناشئ عن بناء کلٍّ منهما علی ملکیة الآخر اعتقاداً أو تشریعاً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کلّ قبض وقع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حیثیّة کون القابض مالکاً مستحقّاً لما یقبضه </w:t>
      </w:r>
      <w:r>
        <w:rPr>
          <w:rStyle w:val="FootnoteAnchor"/>
          <w:rtl w:val="true"/>
        </w:rPr>
        <w:footnoteReference w:id="585"/>
      </w:r>
      <w:r>
        <w:rPr>
          <w:rFonts w:ascii="IRNazanin" w:hAnsi="IRNazanin" w:eastAsia="IRNazanin"/>
          <w:color w:val="111111"/>
          <w:sz w:val="28"/>
          <w:sz w:val="28"/>
          <w:szCs w:val="28"/>
          <w:rtl w:val="true"/>
          <w:lang w:bidi="fa-IR"/>
        </w:rPr>
        <w:t>جهة تقییدیة مأخوذة فی الرضا ینتفی بانتفائها فی الواقع،کما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هذان الوجهان ممّا لا إشکال فیه </w:t>
      </w:r>
      <w:r>
        <w:rPr>
          <w:rStyle w:val="FootnoteAnchor"/>
          <w:rtl w:val="true"/>
        </w:rPr>
        <w:footnoteReference w:id="586"/>
      </w:r>
      <w:r>
        <w:rPr>
          <w:rFonts w:ascii="IRNazanin" w:hAnsi="IRNazanin" w:eastAsia="IRNazanin"/>
          <w:color w:val="111111"/>
          <w:sz w:val="28"/>
          <w:sz w:val="28"/>
          <w:szCs w:val="28"/>
          <w:rtl w:val="true"/>
          <w:lang w:bidi="fa-IR"/>
        </w:rPr>
        <w:t>فی حرمة التصرّف فی العوضین،کما أنّه لا إشکال فی الجواز إذا أعرضا عن أثر العقد و تقابضا بقصد إنشاء التملیک لیکون معاطاة صحیحة عقیب عقد فاسد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وقع </w:t>
      </w:r>
      <w:r>
        <w:rPr>
          <w:rStyle w:val="FootnoteAnchor"/>
          <w:rtl w:val="true"/>
        </w:rPr>
        <w:footnoteReference w:id="587"/>
      </w:r>
      <w:r>
        <w:rPr>
          <w:rFonts w:ascii="IRNazanin" w:hAnsi="IRNazanin" w:eastAsia="IRNazanin"/>
          <w:color w:val="111111"/>
          <w:sz w:val="28"/>
          <w:sz w:val="28"/>
          <w:szCs w:val="28"/>
          <w:rtl w:val="true"/>
          <w:lang w:bidi="fa-IR"/>
        </w:rPr>
        <w:t xml:space="preserve">الرضا بالتصرّف بعد العقد من دون ابتنائه علی استحقاقه بالعقد السابق و لا قصدٍ لإنشاء التملیک </w:t>
      </w:r>
      <w:r>
        <w:rPr>
          <w:rStyle w:val="FootnoteAnchor"/>
          <w:rtl w:val="true"/>
        </w:rPr>
        <w:footnoteReference w:id="588"/>
      </w:r>
      <w:r>
        <w:rPr>
          <w:rFonts w:ascii="IRNazanin" w:hAnsi="IRNazanin" w:eastAsia="IRNazanin"/>
          <w:color w:val="111111"/>
          <w:sz w:val="28"/>
          <w:sz w:val="28"/>
          <w:szCs w:val="28"/>
          <w:rtl w:val="true"/>
          <w:lang w:bidi="fa-IR"/>
        </w:rPr>
        <w:t xml:space="preserve">،بل وقع مقارناً لاعتقاد </w:t>
      </w:r>
      <w:r>
        <w:rPr>
          <w:rStyle w:val="FootnoteAnchor"/>
          <w:rtl w:val="true"/>
        </w:rPr>
        <w:footnoteReference w:id="589"/>
      </w:r>
      <w:r>
        <w:rPr>
          <w:rFonts w:ascii="IRNazanin" w:hAnsi="IRNazanin" w:eastAsia="IRNazanin"/>
          <w:color w:val="111111"/>
          <w:sz w:val="28"/>
          <w:sz w:val="28"/>
          <w:szCs w:val="28"/>
          <w:rtl w:val="true"/>
          <w:lang w:bidi="fa-IR"/>
        </w:rPr>
        <w:t>الملکیة الحاصلة،بحیث لولاها لکان الرضا أیضاً موجوداً، و کان المقصود الأصلی من المعاملة التصرّف،و أوقعا العقد الفاسد وسیلةً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یکشف عنه أنّه لو سئل کلّ منهما عن رضاه </w:t>
      </w:r>
      <w:r>
        <w:rPr>
          <w:rStyle w:val="FootnoteAnchor"/>
          <w:rtl w:val="true"/>
        </w:rPr>
        <w:footnoteReference w:id="590"/>
      </w:r>
      <w:r>
        <w:rPr>
          <w:rFonts w:ascii="IRNazanin" w:hAnsi="IRNazanin" w:eastAsia="IRNazanin"/>
          <w:color w:val="111111"/>
          <w:sz w:val="28"/>
          <w:sz w:val="28"/>
          <w:szCs w:val="28"/>
          <w:rtl w:val="true"/>
          <w:lang w:bidi="fa-IR"/>
        </w:rPr>
        <w:t>بتصرّف صاحبه علی تقدیر عدم التملیک،أو بعد تنبیهه علی عدم حصول الملک کان راضیاً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فإدخال هذا فی المعاطاة یتوقّف علی أمرین</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هذا الرضا المرکوز فی النفس،بل الرضا الشأنی؛ لأنّ الموجود بالفعل هو رضاه من حیث کونه مالکاً فی نظره،و قد صرّح بعض من قارَب عصرنا بکفایة ذلک </w:t>
      </w:r>
      <w:r>
        <w:rPr>
          <w:rStyle w:val="FootnoteAnchor"/>
          <w:rtl w:val="true"/>
        </w:rPr>
        <w:footnoteReference w:id="591"/>
      </w:r>
      <w:r>
        <w:rPr>
          <w:rFonts w:ascii="IRNazanin" w:hAnsi="IRNazanin" w:eastAsia="IRNazanin"/>
          <w:color w:val="111111"/>
          <w:sz w:val="28"/>
          <w:sz w:val="28"/>
          <w:szCs w:val="28"/>
          <w:rtl w:val="true"/>
          <w:lang w:bidi="fa-IR"/>
        </w:rPr>
        <w:t xml:space="preserve">،و لا یبعد رجوع الکلام المتقدّم ذکره </w:t>
      </w:r>
      <w:r>
        <w:rPr>
          <w:rStyle w:val="FootnoteAnchor"/>
          <w:rtl w:val="true"/>
        </w:rPr>
        <w:footnoteReference w:id="592"/>
      </w:r>
      <w:r>
        <w:rPr>
          <w:rFonts w:ascii="IRNazanin" w:hAnsi="IRNazanin" w:eastAsia="IRNazanin"/>
          <w:color w:val="111111"/>
          <w:sz w:val="28"/>
          <w:sz w:val="28"/>
          <w:szCs w:val="28"/>
          <w:rtl w:val="true"/>
          <w:lang w:bidi="fa-IR"/>
        </w:rPr>
        <w:t>إلی هذا؛و لعلّه لصدق طیب النفس علی هذا الأمر المرکوز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یشترط فی المعاطاة </w:t>
      </w:r>
      <w:r>
        <w:rPr>
          <w:rStyle w:val="FootnoteAnchor"/>
          <w:rtl w:val="true"/>
        </w:rPr>
        <w:footnoteReference w:id="593"/>
      </w:r>
      <w:r>
        <w:rPr>
          <w:rFonts w:ascii="IRNazanin" w:hAnsi="IRNazanin" w:eastAsia="IRNazanin"/>
          <w:color w:val="111111"/>
          <w:sz w:val="28"/>
          <w:sz w:val="28"/>
          <w:szCs w:val="28"/>
          <w:rtl w:val="true"/>
          <w:lang w:bidi="fa-IR"/>
        </w:rPr>
        <w:t xml:space="preserve">إنشاء الإباحة أو التملیک بالقبض،بل و لا بمطلق الفعل،بل یکفی وصول کلٍّ من العوضین إلی مالک </w:t>
      </w:r>
      <w:r>
        <w:rPr>
          <w:rStyle w:val="FootnoteAnchor"/>
          <w:rtl w:val="true"/>
        </w:rPr>
        <w:footnoteReference w:id="594"/>
      </w:r>
      <w:r>
        <w:rPr>
          <w:rFonts w:ascii="IRNazanin" w:hAnsi="IRNazanin" w:eastAsia="IRNazanin"/>
          <w:color w:val="111111"/>
          <w:sz w:val="28"/>
          <w:sz w:val="28"/>
          <w:szCs w:val="28"/>
          <w:rtl w:val="true"/>
          <w:lang w:bidi="fa-IR"/>
        </w:rPr>
        <w:t>الآخر،و الرضا بالتصرّف قبله أو بعده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أنّ ظاهر محلّ النزاع بین العامّة و الخاصّة هو العقد الفعلی کما ینبئ عنه قول العلّامة رحمه اللّه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 کفایة المعاطاة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الأفعال قاصرة عن إفادة المقاصد </w:t>
      </w:r>
      <w:r>
        <w:rPr>
          <w:rStyle w:val="FootnoteAnchor"/>
          <w:rtl w:val="true"/>
        </w:rPr>
        <w:footnoteReference w:id="596"/>
      </w:r>
      <w:r>
        <w:rPr>
          <w:rFonts w:ascii="IRNazanin" w:hAnsi="IRNazanin" w:eastAsia="IRNazanin"/>
          <w:color w:val="111111"/>
          <w:sz w:val="28"/>
          <w:sz w:val="28"/>
          <w:szCs w:val="28"/>
          <w:rtl w:val="true"/>
          <w:lang w:bidi="fa-IR"/>
        </w:rPr>
        <w:t>،و کذا استدلال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لزومها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الأفعال لیست کالأقوال فی صراحة الدلالة </w:t>
      </w:r>
      <w:r>
        <w:rPr>
          <w:rStyle w:val="FootnoteAnchor"/>
          <w:rtl w:val="true"/>
        </w:rPr>
        <w:footnoteReference w:id="597"/>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ما تقدّم من الشهید رحمه اللّه فی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الفعل فی المعاطاة لا یقوم مقام القول،و إنّما یفید الإباحة </w:t>
      </w:r>
      <w:r>
        <w:rPr>
          <w:rStyle w:val="FootnoteAnchor"/>
          <w:rtl w:val="true"/>
        </w:rPr>
        <w:footnoteReference w:id="598"/>
      </w:r>
      <w:r>
        <w:rPr>
          <w:rFonts w:ascii="IRNazanin" w:hAnsi="IRNazanin" w:eastAsia="IRNazanin"/>
          <w:color w:val="111111"/>
          <w:sz w:val="28"/>
          <w:sz w:val="28"/>
          <w:szCs w:val="28"/>
          <w:rtl w:val="true"/>
          <w:lang w:bidi="fa-IR"/>
        </w:rPr>
        <w:t xml:space="preserve">،إلی غیر ذلک من کلماتهم الظاهرة فی أنّ محلّ الکلام هو الإنشاء الحاصل بالتقابض،و کذا کلمات العامّة،فقد ذکر بعضهم أنّ البیع ینعقد بالإیجاب و القبول و بالتعاطی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أنّ الظاهر أنّ عنوان التعاطی </w:t>
      </w:r>
      <w:r>
        <w:rPr>
          <w:rStyle w:val="FootnoteAnchor"/>
          <w:rtl w:val="true"/>
        </w:rPr>
        <w:footnoteReference w:id="600"/>
      </w:r>
      <w:r>
        <w:rPr>
          <w:rFonts w:ascii="IRNazanin" w:hAnsi="IRNazanin" w:eastAsia="IRNazanin"/>
          <w:color w:val="111111"/>
          <w:sz w:val="28"/>
          <w:sz w:val="28"/>
          <w:szCs w:val="28"/>
          <w:rtl w:val="true"/>
          <w:lang w:bidi="fa-IR"/>
        </w:rPr>
        <w:t xml:space="preserve">فی کلماتهم لمجرّد الدلالة علی الرضا،و أنّ عمدة الدلیل علی ذلک هی </w:t>
      </w:r>
      <w:r>
        <w:rPr>
          <w:rStyle w:val="FootnoteAnchor"/>
          <w:rtl w:val="true"/>
        </w:rPr>
        <w:footnoteReference w:id="601"/>
      </w:r>
      <w:r>
        <w:rPr>
          <w:rFonts w:ascii="IRNazanin" w:hAnsi="IRNazanin" w:eastAsia="IRNazanin"/>
          <w:color w:val="111111"/>
          <w:sz w:val="28"/>
          <w:sz w:val="28"/>
          <w:szCs w:val="28"/>
          <w:rtl w:val="true"/>
          <w:lang w:bidi="fa-IR"/>
        </w:rPr>
        <w:t xml:space="preserve">السیرة؛و لذا تعدّوا إلی ما إذا لم یحصل إلّا قبض أحد العوضین،و السیرة موجودة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بناء الناس علی أخذ الماء و البقل و غیر ذلک من الجزئیات من دکاکین أربابها </w:t>
      </w:r>
      <w:r>
        <w:rPr>
          <w:rStyle w:val="FootnoteAnchor"/>
          <w:rtl w:val="true"/>
        </w:rPr>
        <w:footnoteReference w:id="603"/>
      </w:r>
      <w:r>
        <w:rPr>
          <w:rFonts w:ascii="IRNazanin" w:hAnsi="IRNazanin" w:eastAsia="IRNazanin"/>
          <w:color w:val="111111"/>
          <w:sz w:val="28"/>
          <w:sz w:val="28"/>
          <w:szCs w:val="28"/>
          <w:rtl w:val="true"/>
          <w:lang w:bidi="fa-IR"/>
        </w:rPr>
        <w:t xml:space="preserve">مع عدم حضورهم و وضعهم </w:t>
      </w:r>
      <w:r>
        <w:rPr>
          <w:rStyle w:val="FootnoteAnchor"/>
          <w:rtl w:val="true"/>
        </w:rPr>
        <w:footnoteReference w:id="604"/>
      </w:r>
      <w:r>
        <w:rPr>
          <w:rFonts w:ascii="IRNazanin" w:hAnsi="IRNazanin" w:eastAsia="IRNazanin"/>
          <w:color w:val="111111"/>
          <w:sz w:val="28"/>
          <w:sz w:val="28"/>
          <w:szCs w:val="28"/>
          <w:rtl w:val="true"/>
          <w:lang w:bidi="fa-IR"/>
        </w:rPr>
        <w:t xml:space="preserve">الفلوس فی الموضع المعدّ له </w:t>
      </w:r>
      <w:r>
        <w:rPr>
          <w:rStyle w:val="FootnoteAnchor"/>
          <w:rtl w:val="true"/>
        </w:rPr>
        <w:footnoteReference w:id="605"/>
      </w:r>
      <w:r>
        <w:rPr>
          <w:rFonts w:ascii="IRNazanin" w:hAnsi="IRNazanin" w:eastAsia="IRNazanin"/>
          <w:color w:val="111111"/>
          <w:sz w:val="28"/>
          <w:sz w:val="28"/>
          <w:szCs w:val="28"/>
          <w:rtl w:val="true"/>
          <w:lang w:bidi="fa-IR"/>
        </w:rPr>
        <w:t>،و علی دخول الحمّام مع عدم حضور صاحبه و وضع الفلوس فی کوز الحمامی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فالمعیار فی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Style w:val="FootnoteAnchor"/>
          <w:rtl w:val="true"/>
        </w:rPr>
        <w:footnoteReference w:id="606"/>
      </w:r>
      <w:r>
        <w:rPr>
          <w:rFonts w:ascii="IRNazanin" w:hAnsi="IRNazanin" w:eastAsia="IRNazanin"/>
          <w:color w:val="111111"/>
          <w:sz w:val="28"/>
          <w:sz w:val="28"/>
          <w:szCs w:val="28"/>
          <w:rtl w:val="true"/>
          <w:lang w:bidi="fa-IR"/>
        </w:rPr>
        <w:t>المالین أو أحدهما مع التراضی بالتصرّف،و هذا لیس ببعید علی القول بالإباحة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عقد البیع</w:t>
      </w:r>
      <w:r>
        <w:rPr>
          <w:rFonts w:eastAsia="IRNazanin" w:cs="IRNazanin"/>
          <w:color w:val="111111"/>
          <w:sz w:val="28"/>
          <w:szCs w:val="28"/>
          <w:rtl w:val="true"/>
          <w:lang w:bidi="fa-IR"/>
        </w:rPr>
        <w:t>]</w:t>
      </w:r>
      <w:bookmarkStart w:id="198" w:name="pg19763_247863"/>
    </w:p>
    <w:p>
      <w:pPr>
        <w:pStyle w:val="Heading3"/>
        <w:numPr>
          <w:ilvl w:val="2"/>
          <w:numId w:val="1"/>
        </w:numPr>
        <w:rPr/>
      </w:pPr>
      <w:bookmarkStart w:id="199" w:name="__RefHeading___Toc5082576_2314609296"/>
      <w:bookmarkStart w:id="200" w:name="_Toc79"/>
      <w:bookmarkEnd w:id="198"/>
      <w:bookmarkEnd w:id="199"/>
      <w:r>
        <w:rPr>
          <w:rtl w:val="true"/>
        </w:rPr>
        <w:t>مقدّمة فی خصوص ألفاظ عقد البیع</w:t>
      </w:r>
      <w:bookmarkEnd w:id="200"/>
    </w:p>
    <w:p>
      <w:pPr>
        <w:pStyle w:val="Heading4"/>
        <w:numPr>
          <w:ilvl w:val="3"/>
          <w:numId w:val="1"/>
        </w:numPr>
        <w:rPr/>
      </w:pPr>
      <w:bookmarkStart w:id="201" w:name="__RefHeading___Toc5082578_2314609296"/>
      <w:bookmarkStart w:id="202" w:name="_Toc80"/>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مقدّمة فی خصوص ألفاظ عقد البیع </w:t>
      </w:r>
      <w:r>
        <w:rPr>
          <w:rStyle w:val="FootnoteAnchor"/>
          <w:rtl w:val="true"/>
        </w:rPr>
        <w:footnoteReference w:id="607"/>
      </w:r>
    </w:p>
    <w:p>
      <w:pPr>
        <w:pStyle w:val="Heading4"/>
        <w:numPr>
          <w:ilvl w:val="3"/>
          <w:numId w:val="1"/>
        </w:numPr>
        <w:rPr/>
      </w:pPr>
      <w:bookmarkStart w:id="203" w:name="__RefHeading___Toc5082580_2314609296"/>
      <w:bookmarkStart w:id="204" w:name="_Toc81"/>
      <w:bookmarkEnd w:id="203"/>
      <w:r>
        <w:rPr>
          <w:rtl w:val="true"/>
        </w:rPr>
        <w:t>[</w:t>
      </w:r>
      <w:r>
        <w:rPr>
          <w:rtl w:val="true"/>
        </w:rPr>
        <w:t>اعتبار اللفظ فی العقود و کفایة الإشارة أو الکتابة مع العجز عن التلفظ</w:t>
      </w:r>
      <w:r>
        <w:rPr>
          <w:rtl w:val="true"/>
        </w:rPr>
        <w:t>]</w:t>
      </w:r>
      <w:bookmarkEnd w:id="20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اعتبار اللفظ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جمیع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نقل علیه </w:t>
      </w:r>
      <w:r>
        <w:rPr>
          <w:rStyle w:val="FootnoteAnchor"/>
          <w:rtl w:val="true"/>
        </w:rPr>
        <w:footnoteReference w:id="608"/>
      </w:r>
      <w:r>
        <w:rPr>
          <w:rFonts w:ascii="IRNazanin" w:hAnsi="IRNazanin" w:eastAsia="IRNazanin"/>
          <w:color w:val="111111"/>
          <w:sz w:val="28"/>
          <w:sz w:val="28"/>
          <w:szCs w:val="28"/>
          <w:rtl w:val="true"/>
          <w:lang w:bidi="fa-IR"/>
        </w:rPr>
        <w:t xml:space="preserve">الإجماع </w:t>
      </w:r>
      <w:r>
        <w:rPr>
          <w:rStyle w:val="FootnoteAnchor"/>
          <w:rtl w:val="true"/>
        </w:rPr>
        <w:footnoteReference w:id="609"/>
      </w:r>
      <w:r>
        <w:rPr>
          <w:rFonts w:ascii="IRNazanin" w:hAnsi="IRNazanin" w:eastAsia="IRNazanin"/>
          <w:color w:val="111111"/>
          <w:sz w:val="28"/>
          <w:sz w:val="28"/>
          <w:szCs w:val="28"/>
          <w:rtl w:val="true"/>
          <w:lang w:bidi="fa-IR"/>
        </w:rPr>
        <w:t xml:space="preserve">و تحقّق فیه الشهرة العظیمة،مع الإشارة إلیه فی بعض النصوص </w:t>
      </w:r>
      <w:r>
        <w:rPr>
          <w:rStyle w:val="FootnoteAnchor"/>
          <w:rtl w:val="true"/>
        </w:rPr>
        <w:footnoteReference w:id="610"/>
      </w:r>
      <w:r>
        <w:rPr>
          <w:rFonts w:ascii="Amiri" w:hAnsi="Amiri" w:eastAsia="Amiri" w:cs="Amiri"/>
          <w:color w:val="111111"/>
          <w:sz w:val="28"/>
          <w:sz w:val="28"/>
          <w:szCs w:val="28"/>
          <w:rtl w:val="true"/>
          <w:lang w:bidi="ar-SA"/>
        </w:rPr>
        <w:t xml:space="preserve">،لکنّ هذا یختصّ </w:t>
      </w:r>
      <w:r>
        <w:rPr>
          <w:rStyle w:val="FootnoteAnchor"/>
          <w:rtl w:val="true"/>
        </w:rPr>
        <w:footnoteReference w:id="611"/>
      </w:r>
      <w:r>
        <w:rPr>
          <w:rFonts w:ascii="IRNazanin" w:hAnsi="IRNazanin" w:eastAsia="IRNazanin"/>
          <w:color w:val="111111"/>
          <w:sz w:val="28"/>
          <w:sz w:val="28"/>
          <w:szCs w:val="28"/>
          <w:rtl w:val="true"/>
          <w:lang w:bidi="fa-IR"/>
        </w:rPr>
        <w:t>بصورة القدرة،أمّا مع العجز عنه کالأخرس،فمع عدم القدرة علی التوکیل لا إشکال و لا خلاف فی عدم اعتبار اللفظ و قیام الإشارة مقامه،و کذا مع القدرة علی التوکیل، لا لأصالة عدم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قیل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الوجوب بمعنی الاشتراط</w:t>
      </w:r>
      <w:bookmarkStart w:id="205" w:name="pg19763_247864"/>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الأصل،بل لفحوی ما ورد من عدم اعتبار اللفظ فی طلاق الأخرس </w:t>
      </w:r>
      <w:r>
        <w:rPr>
          <w:rStyle w:val="FootnoteAnchor"/>
          <w:rtl w:val="true"/>
        </w:rPr>
        <w:footnoteReference w:id="613"/>
      </w:r>
      <w:r>
        <w:rPr>
          <w:rFonts w:ascii="IRNazanin" w:hAnsi="IRNazanin" w:eastAsia="IRNazanin"/>
          <w:color w:val="111111"/>
          <w:sz w:val="28"/>
          <w:sz w:val="28"/>
          <w:szCs w:val="28"/>
          <w:rtl w:val="true"/>
          <w:lang w:bidi="fa-IR"/>
        </w:rPr>
        <w:t>،فإنّ حمله علی صورة عجزه عن التوکیل حمل المطلق علی الفرد النادر،مع أنّ الظاهر عدم الخلاف فی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الأصل فی المعاطاة اللزوم بعد القول بإفادتها الملکیّة </w:t>
      </w:r>
      <w:r>
        <w:rPr>
          <w:rStyle w:val="FootnoteAnchor"/>
          <w:rtl w:val="true"/>
        </w:rPr>
        <w:footnoteReference w:id="614"/>
      </w:r>
      <w:r>
        <w:rPr>
          <w:rFonts w:ascii="IRNazanin" w:hAnsi="IRNazanin" w:eastAsia="IRNazanin"/>
          <w:color w:val="111111"/>
          <w:sz w:val="28"/>
          <w:sz w:val="28"/>
          <w:szCs w:val="28"/>
          <w:rtl w:val="true"/>
          <w:lang w:bidi="fa-IR"/>
        </w:rPr>
        <w:t>،فالقدر المخرج صورة قدرة المتبایعین علی مباشرة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الکتابة مع العجز عن الإشارة؛لفحوی ما ورد من النصّ علی جوازها فی الطلاق </w:t>
      </w:r>
      <w:r>
        <w:rPr>
          <w:rStyle w:val="FootnoteAnchor"/>
          <w:rtl w:val="true"/>
        </w:rPr>
        <w:footnoteReference w:id="615"/>
      </w:r>
      <w:r>
        <w:rPr>
          <w:rFonts w:ascii="IRNazanin" w:hAnsi="IRNazanin" w:eastAsia="IRNazanin"/>
          <w:color w:val="111111"/>
          <w:sz w:val="28"/>
          <w:sz w:val="28"/>
          <w:szCs w:val="28"/>
          <w:rtl w:val="true"/>
          <w:lang w:bidi="fa-IR"/>
        </w:rPr>
        <w:t>،مع أنّ الظاهر عدم الخلاف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مع القدرة علی الإشارة فقد رجّح بعض </w:t>
      </w:r>
      <w:r>
        <w:rPr>
          <w:rStyle w:val="FootnoteAnchor"/>
          <w:rtl w:val="true"/>
        </w:rPr>
        <w:footnoteReference w:id="616"/>
      </w:r>
      <w:r>
        <w:rPr>
          <w:rFonts w:ascii="IRNazanin" w:hAnsi="IRNazanin" w:eastAsia="IRNazanin"/>
          <w:color w:val="111111"/>
          <w:sz w:val="28"/>
          <w:sz w:val="28"/>
          <w:szCs w:val="28"/>
          <w:rtl w:val="true"/>
          <w:lang w:bidi="fa-IR"/>
        </w:rPr>
        <w:t>الإشارة؛ و لعلّه لأنّها أصرح فی الإنشاء من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روایات الطلاق ما یدلّ علی العکس </w:t>
      </w:r>
      <w:r>
        <w:rPr>
          <w:rStyle w:val="FootnoteAnchor"/>
          <w:rtl w:val="true"/>
        </w:rPr>
        <w:footnoteReference w:id="617"/>
      </w:r>
      <w:r>
        <w:rPr>
          <w:rFonts w:ascii="IRNazanin" w:hAnsi="IRNazanin" w:eastAsia="IRNazanin"/>
          <w:color w:val="111111"/>
          <w:sz w:val="28"/>
          <w:sz w:val="28"/>
          <w:szCs w:val="28"/>
          <w:rtl w:val="true"/>
          <w:lang w:bidi="fa-IR"/>
        </w:rPr>
        <w:t xml:space="preserve">،و إلیه ذهب الحلّی رحمه اللّه هناک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5082582_2314609296"/>
      <w:bookmarkStart w:id="207" w:name="_Toc82"/>
      <w:bookmarkEnd w:id="206"/>
      <w:r>
        <w:rPr>
          <w:rtl w:val="true"/>
        </w:rPr>
        <w:t>ثمّ الکلام فی الخصوصیات المعتبرة فی اللفظ</w:t>
      </w:r>
      <w:r>
        <w:rPr>
          <w:rtl w:val="true"/>
        </w:rPr>
        <w:t>:</w:t>
      </w:r>
      <w:bookmarkEnd w:id="207"/>
    </w:p>
    <w:p>
      <w:pPr>
        <w:pStyle w:val="Heading5"/>
        <w:numPr>
          <w:ilvl w:val="4"/>
          <w:numId w:val="1"/>
        </w:numPr>
        <w:rPr/>
      </w:pPr>
      <w:bookmarkStart w:id="208" w:name="__RefHeading___Toc5082584_2314609296"/>
      <w:bookmarkStart w:id="209" w:name="_Toc83"/>
      <w:bookmarkEnd w:id="208"/>
      <w:r>
        <w:rPr>
          <w:rtl w:val="true"/>
        </w:rPr>
        <w:t>اشاره</w:t>
      </w:r>
      <w:bookmarkEnd w:id="20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یقع فی موادّ الألفاظ من حیث إفادة المعنی بالصراحة</w:t>
      </w:r>
      <w:bookmarkStart w:id="210" w:name="pg19763_247865"/>
    </w:p>
    <w:p>
      <w:pPr>
        <w:pStyle w:val="BookText"/>
        <w:rPr/>
      </w:pPr>
      <w:bookmarkEnd w:id="210"/>
      <w:r>
        <w:rPr>
          <w:rFonts w:ascii="IRNazanin" w:hAnsi="IRNazanin" w:eastAsia="IRNazanin"/>
          <w:color w:val="111111"/>
          <w:sz w:val="28"/>
          <w:sz w:val="28"/>
          <w:szCs w:val="28"/>
          <w:rtl w:val="true"/>
          <w:lang w:bidi="fa-IR"/>
        </w:rPr>
        <w:t xml:space="preserve">و الظهور و الحقیقة و المجاز و الکنایة،و من حیث اللغة المستعملة فی معنی المعاملة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أُخری فی هیئة کلٍّ من الإیجاب و القبول،من حیث اعتبار کونه بالجملة الفعلیّة،و کونه بالماضی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فی هیئة ترکیب الإیجاب و القبول من حیث الترتیب و الموالاة</w:t>
      </w:r>
      <w:r>
        <w:rPr>
          <w:rFonts w:eastAsia="IRNazanin" w:cs="IRNazanin"/>
          <w:color w:val="111111"/>
          <w:sz w:val="28"/>
          <w:szCs w:val="28"/>
          <w:rtl w:val="true"/>
          <w:lang w:bidi="fa-IR"/>
        </w:rPr>
        <w:t>.</w:t>
      </w:r>
    </w:p>
    <w:p>
      <w:pPr>
        <w:pStyle w:val="Heading5"/>
        <w:numPr>
          <w:ilvl w:val="4"/>
          <w:numId w:val="1"/>
        </w:numPr>
        <w:rPr/>
      </w:pPr>
      <w:bookmarkStart w:id="211" w:name="__RefHeading___Toc5082586_2314609296"/>
      <w:bookmarkStart w:id="212" w:name="_Toc84"/>
      <w:bookmarkEnd w:id="211"/>
      <w:r>
        <w:rPr>
          <w:rtl w:val="true"/>
        </w:rPr>
        <w:t>[</w:t>
      </w:r>
      <w:r>
        <w:rPr>
          <w:rtl w:val="true"/>
        </w:rPr>
        <w:t>المشهور عدم جواز الإنشاء بالألفاظ الکنائیة و المجازیة</w:t>
      </w:r>
      <w:r>
        <w:rPr>
          <w:rtl w:val="true"/>
        </w:rPr>
        <w:t>]</w:t>
      </w:r>
      <w:bookmarkEnd w:id="212"/>
    </w:p>
    <w:p>
      <w:pPr>
        <w:pStyle w:val="BookText"/>
        <w:rPr/>
      </w:pPr>
      <w:r>
        <w:rPr>
          <w:rFonts w:ascii="IRNazanin" w:hAnsi="IRNazanin" w:eastAsia="IRNazanin"/>
          <w:color w:val="111111"/>
          <w:sz w:val="28"/>
          <w:sz w:val="28"/>
          <w:szCs w:val="28"/>
          <w:rtl w:val="true"/>
          <w:lang w:bidi="fa-IR"/>
        </w:rPr>
        <w:t>أمّا الکلام من حیث المادّة،فالمشهور عدم وقوع العقد بالکنایات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من شروط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التصریح </w:t>
      </w:r>
      <w:r>
        <w:rPr>
          <w:rStyle w:val="FootnoteAnchor"/>
          <w:rtl w:val="true"/>
        </w:rPr>
        <w:footnoteReference w:id="620"/>
      </w:r>
      <w:r>
        <w:rPr>
          <w:rFonts w:ascii="IRNazanin" w:hAnsi="IRNazanin" w:eastAsia="IRNazanin"/>
          <w:color w:val="111111"/>
          <w:sz w:val="28"/>
          <w:sz w:val="28"/>
          <w:szCs w:val="28"/>
          <w:rtl w:val="true"/>
          <w:lang w:bidi="fa-IR"/>
        </w:rPr>
        <w:t>،فلا یقع بالکنایة بیعٌ البتّة،مثل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أدخلته فی ملکک،أو جعلته لک،أو خذه منّی بکذا </w:t>
      </w:r>
      <w:r>
        <w:rPr>
          <w:rStyle w:val="FootnoteAnchor"/>
          <w:rtl w:val="true"/>
        </w:rPr>
        <w:footnoteReference w:id="621"/>
      </w:r>
      <w:r>
        <w:rPr>
          <w:rFonts w:ascii="IRNazanin" w:hAnsi="IRNazanin" w:eastAsia="IRNazanin"/>
          <w:color w:val="111111"/>
          <w:sz w:val="28"/>
          <w:sz w:val="28"/>
          <w:szCs w:val="28"/>
          <w:rtl w:val="true"/>
          <w:lang w:bidi="fa-IR"/>
        </w:rPr>
        <w:t xml:space="preserve">،أو سلّطتک علیه بکذا؛عملاً بأصالة بقاء الملک،و لأنّ المخاطب لا یدری بِمَ خوطب </w:t>
      </w:r>
      <w:r>
        <w:rPr>
          <w:rStyle w:val="FootnoteAnchor"/>
          <w:rtl w:val="true"/>
        </w:rPr>
        <w:footnoteReference w:id="6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زاد فی غایة المراد علی الأمثلة مثل </w:t>
      </w:r>
      <w:r>
        <w:rPr>
          <w:rStyle w:val="FootnoteAnchor"/>
          <w:rtl w:val="true"/>
        </w:rPr>
        <w:footnoteReference w:id="623"/>
      </w:r>
      <w:r>
        <w:rPr>
          <w:rFonts w:ascii="IRNazanin" w:hAnsi="IRNazanin" w:eastAsia="IRNazanin"/>
          <w:color w:val="111111"/>
          <w:sz w:val="28"/>
          <w:sz w:val="28"/>
          <w:szCs w:val="28"/>
          <w:rtl w:val="true"/>
          <w:lang w:bidi="fa-IR"/>
        </w:rPr>
        <w:t xml:space="preserve">قوله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أعطیتکه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علیه بکذا</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bookmarkStart w:id="213" w:name="pg19763_247866"/>
    </w:p>
    <w:p>
      <w:pPr>
        <w:pStyle w:val="BookText"/>
        <w:rPr/>
      </w:pPr>
      <w:bookmarkEnd w:id="213"/>
      <w:r>
        <w:rPr>
          <w:rFonts w:ascii="IRNazanin" w:hAnsi="IRNazanin" w:eastAsia="IRNazanin"/>
          <w:color w:val="111111"/>
          <w:sz w:val="28"/>
          <w:sz w:val="28"/>
          <w:szCs w:val="28"/>
          <w:rtl w:val="true"/>
          <w:lang w:bidi="fa-IR"/>
        </w:rPr>
        <w:t>و ربما یبدّل هذا باشتراط الحقیقة فی الصیغة،فلا ینعقد بالمجازات، حتی صرّح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الفرق بین المجاز القریب و البعید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جماعة من الخاصّة </w:t>
      </w:r>
      <w:r>
        <w:rPr>
          <w:rStyle w:val="FootnoteAnchor"/>
          <w:rtl w:val="true"/>
        </w:rPr>
        <w:footnoteReference w:id="627"/>
      </w:r>
      <w:r>
        <w:rPr>
          <w:rFonts w:ascii="Amiri" w:hAnsi="Amiri" w:eastAsia="Amiri" w:cs="Amiri"/>
          <w:color w:val="111111"/>
          <w:sz w:val="28"/>
          <w:sz w:val="28"/>
          <w:szCs w:val="28"/>
          <w:rtl w:val="true"/>
          <w:lang w:bidi="ar-SA"/>
        </w:rPr>
        <w:t xml:space="preserve">و العامّة </w:t>
      </w:r>
      <w:r>
        <w:rPr>
          <w:rStyle w:val="FootnoteAnchor"/>
          <w:rtl w:val="true"/>
        </w:rPr>
        <w:footnoteReference w:id="628"/>
      </w:r>
      <w:r>
        <w:rPr>
          <w:rFonts w:ascii="IRNazanin" w:hAnsi="IRNazanin" w:eastAsia="IRNazanin"/>
          <w:color w:val="111111"/>
          <w:sz w:val="28"/>
          <w:sz w:val="28"/>
          <w:szCs w:val="28"/>
          <w:rtl w:val="true"/>
          <w:lang w:bidi="fa-IR"/>
        </w:rPr>
        <w:t>فی باب الطلاق،و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موضوعاً لعنوان </w:t>
      </w:r>
      <w:r>
        <w:rPr>
          <w:rStyle w:val="FootnoteAnchor"/>
          <w:rtl w:val="true"/>
        </w:rPr>
        <w:footnoteReference w:id="629"/>
      </w:r>
      <w:r>
        <w:rPr>
          <w:rFonts w:ascii="IRNazanin" w:hAnsi="IRNazanin" w:eastAsia="IRNazanin"/>
          <w:color w:val="111111"/>
          <w:sz w:val="28"/>
          <w:sz w:val="28"/>
          <w:szCs w:val="28"/>
          <w:rtl w:val="true"/>
          <w:lang w:bidi="fa-IR"/>
        </w:rPr>
        <w:t>ذلک العقد لغةً أو شرعاً، و من 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 لازم ذلک العقد بحسب الوضع،فیفید إرادة نفسه بالقرائن،و هی علی قسمین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جلیّة و خفیّة</w:t>
      </w:r>
      <w:r>
        <w:rPr>
          <w:rFonts w:eastAsia="IRNazanin" w:cs="IRNazanin"/>
          <w:color w:val="111111"/>
          <w:sz w:val="28"/>
          <w:szCs w:val="28"/>
          <w:rtl w:val="true"/>
          <w:lang w:bidi="fa-IR"/>
        </w:rPr>
        <w:t>.</w:t>
      </w:r>
    </w:p>
    <w:p>
      <w:pPr>
        <w:pStyle w:val="Heading5"/>
        <w:numPr>
          <w:ilvl w:val="4"/>
          <w:numId w:val="1"/>
        </w:numPr>
        <w:rPr/>
      </w:pPr>
      <w:bookmarkStart w:id="214" w:name="__RefHeading___Toc5082588_2314609296"/>
      <w:bookmarkStart w:id="215" w:name="_Toc85"/>
      <w:bookmarkEnd w:id="214"/>
      <w:r>
        <w:rPr>
          <w:rtl w:val="true"/>
        </w:rPr>
        <w:t>[</w:t>
      </w:r>
      <w:r>
        <w:rPr>
          <w:rtl w:val="true"/>
        </w:rPr>
        <w:t>الظاهر جواز الإنشاء بکل لفظ له ظهور عرفی فی المعنی المقصود</w:t>
      </w:r>
      <w:r>
        <w:rPr>
          <w:rtl w:val="true"/>
        </w:rPr>
        <w:t>]</w:t>
      </w:r>
      <w:bookmarkEnd w:id="21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یظهر من النصوص المتفرّقة فی أبواب العقود اللازمة </w:t>
      </w:r>
      <w:r>
        <w:rPr>
          <w:rStyle w:val="FootnoteAnchor"/>
          <w:rtl w:val="true"/>
        </w:rPr>
        <w:footnoteReference w:id="630"/>
      </w:r>
      <w:r>
        <w:rPr>
          <w:rFonts w:ascii="IRNazanin" w:hAnsi="IRNazanin" w:eastAsia="IRNazanin"/>
          <w:color w:val="111111"/>
          <w:sz w:val="28"/>
          <w:sz w:val="28"/>
          <w:szCs w:val="28"/>
          <w:rtl w:val="true"/>
          <w:lang w:bidi="fa-IR"/>
        </w:rPr>
        <w:t xml:space="preserve">و الفتاوی المتعرّضة لصیغها فی البیع بقولٍ مطلق و فی بعض أنواعه و فی غیر البیع من العقود اللازمة </w:t>
      </w:r>
      <w:r>
        <w:rPr>
          <w:rStyle w:val="FootnoteAnchor"/>
          <w:rtl w:val="true"/>
        </w:rPr>
        <w:footnoteReference w:id="631"/>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بکلّ لفظٍ له ظهور عرفیّ معتدّ به فی المعنی المقصود،فلا 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ملّکت،و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إلی ملکک،أو جعلته ملکاً لک بکذا،و هذا هو الذی قوّاه جماعة من متأخّری المتأخّرین</w:t>
      </w:r>
      <w:r>
        <w:rPr>
          <w:rFonts w:eastAsia="IRNazanin" w:cs="IRNazanin"/>
          <w:color w:val="111111"/>
          <w:sz w:val="28"/>
          <w:szCs w:val="28"/>
          <w:rtl w:val="true"/>
          <w:lang w:bidi="fa-IR"/>
        </w:rPr>
        <w:t>.</w:t>
      </w:r>
      <w:bookmarkStart w:id="216" w:name="pg19763_247867"/>
    </w:p>
    <w:p>
      <w:pPr>
        <w:pStyle w:val="BookText"/>
        <w:rPr/>
      </w:pPr>
      <w:bookmarkEnd w:id="216"/>
      <w:r>
        <w:rPr>
          <w:rFonts w:ascii="IRNazanin" w:hAnsi="IRNazanin" w:eastAsia="IRNazanin"/>
          <w:color w:val="111111"/>
          <w:sz w:val="28"/>
          <w:sz w:val="28"/>
          <w:szCs w:val="28"/>
          <w:rtl w:val="true"/>
          <w:lang w:bidi="fa-IR"/>
        </w:rPr>
        <w:t>و حکی عن جماعة ممّن تقدّمهم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کالمحقّق علی ما حکی عن تلمیذه کاشف الرموز،أنّه حکی عن شیخه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عقد البیع لا یلزم فیه لفظٌ مخصوص،و أنّه اختاره أیضاً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5082590_2314609296"/>
      <w:bookmarkStart w:id="218" w:name="_Toc86"/>
      <w:bookmarkEnd w:id="217"/>
      <w:r>
        <w:rPr>
          <w:rtl w:val="true"/>
        </w:rPr>
        <w:t>[</w:t>
      </w:r>
      <w:r>
        <w:rPr>
          <w:rtl w:val="true"/>
        </w:rPr>
        <w:t>ظهور کلمات الفقهاء فی وقوع البیع بکل لفظ یدل علیه</w:t>
      </w:r>
      <w:r>
        <w:rPr>
          <w:rtl w:val="true"/>
        </w:rPr>
        <w:t>]</w:t>
      </w:r>
      <w:bookmarkEnd w:id="218"/>
    </w:p>
    <w:p>
      <w:pPr>
        <w:pStyle w:val="BookText"/>
        <w:rPr/>
      </w:pPr>
      <w:r>
        <w:rPr>
          <w:rFonts w:ascii="IRNazanin" w:hAnsi="IRNazanin" w:eastAsia="IRNazanin"/>
          <w:color w:val="111111"/>
          <w:sz w:val="28"/>
          <w:sz w:val="28"/>
          <w:szCs w:val="28"/>
          <w:rtl w:val="true"/>
          <w:lang w:bidi="fa-IR"/>
        </w:rPr>
        <w:t>و حکی عن الشهید رحمه اللّه فی حواشیه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جوّز البیع بکلّ لفظ دلّ علیه،مثل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سلّمت </w:t>
      </w:r>
      <w:r>
        <w:rPr>
          <w:rStyle w:val="FootnoteAnchor"/>
          <w:rtl w:val="true"/>
        </w:rPr>
        <w:footnoteReference w:id="633"/>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عاوضتک</w:t>
      </w:r>
      <w:r>
        <w:rPr>
          <w:rFonts w:eastAsia="IRNazanin" w:cs="IRNazanin"/>
          <w:color w:val="111111"/>
          <w:sz w:val="28"/>
          <w:szCs w:val="28"/>
          <w:rtl w:val="true"/>
          <w:lang w:bidi="fa-IR"/>
        </w:rPr>
        <w:t xml:space="preserve">»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حکاه فی المسالک عن بعض مشایخه المعاصرین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ظاهر العلّامة رحمه اللّه فی التحریر،حیث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الإیجاب اللفظ الدالّ علی النقل،مثل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 یقوم مقامهما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المحکیّ عن التبصرة و الإرشاد </w:t>
      </w:r>
      <w:r>
        <w:rPr>
          <w:rStyle w:val="FootnoteAnchor"/>
          <w:rtl w:val="true"/>
        </w:rPr>
        <w:footnoteReference w:id="637"/>
      </w:r>
      <w:r>
        <w:rPr>
          <w:rFonts w:ascii="IRNazanin" w:hAnsi="IRNazanin" w:eastAsia="IRNazanin"/>
          <w:color w:val="111111"/>
          <w:sz w:val="28"/>
          <w:sz w:val="28"/>
          <w:szCs w:val="28"/>
          <w:rtl w:val="true"/>
          <w:lang w:bidi="fa-IR"/>
        </w:rPr>
        <w:t xml:space="preserve">و شرحه لفخر الإسلام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الإیجاب هو اللفظ الدالّ علی النقل،فکیف لا ینعقد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نقلته إلی ملکک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ملکاً لک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w:t>
      </w:r>
    </w:p>
    <w:p>
      <w:pPr>
        <w:pStyle w:val="BookText"/>
        <w:rPr/>
      </w:pPr>
      <w:r>
        <w:rPr>
          <w:rFonts w:ascii="Amiri" w:hAnsi="Amiri" w:eastAsia="Amiri" w:cs="Amiri"/>
          <w:color w:val="111111"/>
          <w:sz w:val="28"/>
          <w:sz w:val="28"/>
          <w:szCs w:val="28"/>
          <w:rtl w:val="true"/>
          <w:lang w:bidi="ar-SA"/>
        </w:rPr>
        <w:t xml:space="preserve">یدّعی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ظاهر کلّ من أطلق اعتبار الإیجاب و القبول فیه من دون ذکر لفظ خاصٍّ،کالشیخ </w:t>
      </w:r>
      <w:r>
        <w:rPr>
          <w:rStyle w:val="FootnoteAnchor"/>
          <w:rtl w:val="true"/>
        </w:rPr>
        <w:footnoteReference w:id="640"/>
      </w:r>
      <w:r>
        <w:rPr>
          <w:rFonts w:ascii="IRNazanin" w:hAnsi="IRNazanin" w:eastAsia="IRNazanin"/>
          <w:color w:val="111111"/>
          <w:sz w:val="28"/>
          <w:sz w:val="28"/>
          <w:szCs w:val="28"/>
          <w:rtl w:val="true"/>
          <w:lang w:bidi="fa-IR"/>
        </w:rPr>
        <w:t xml:space="preserve">و أتباعه </w:t>
      </w:r>
      <w:r>
        <w:rPr>
          <w:rStyle w:val="FootnoteAnchor"/>
          <w:rtl w:val="true"/>
        </w:rPr>
        <w:footnoteReference w:id="641"/>
      </w:r>
      <w:r>
        <w:rPr>
          <w:rFonts w:ascii="Amiri" w:hAnsi="Amiri" w:eastAsia="Amiri" w:cs="Amiri"/>
          <w:color w:val="111111"/>
          <w:sz w:val="28"/>
          <w:sz w:val="28"/>
          <w:szCs w:val="28"/>
          <w:rtl w:val="true"/>
          <w:lang w:bidi="ar-SA"/>
        </w:rPr>
        <w:t xml:space="preserve">،فتأمّل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حکی عن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تجویز البیع حالاّ بلفظ السلم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جماعة أیضاً فی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بانعقاده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 العقد</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 السلعة</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،و التشریک فی المبیع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شرّکتک</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مسألة تقبّل </w:t>
      </w:r>
      <w:r>
        <w:rPr>
          <w:rStyle w:val="FootnoteAnchor"/>
          <w:rtl w:val="true"/>
        </w:rPr>
        <w:footnoteReference w:id="647"/>
      </w:r>
      <w:r>
        <w:rPr>
          <w:rFonts w:ascii="IRNazanin" w:hAnsi="IRNazanin" w:eastAsia="IRNazanin"/>
          <w:color w:val="111111"/>
          <w:sz w:val="28"/>
          <w:sz w:val="28"/>
          <w:szCs w:val="28"/>
          <w:rtl w:val="true"/>
          <w:lang w:bidi="fa-IR"/>
        </w:rPr>
        <w:t>أحد الشریکین فی النخل حصّة صاحبه بشیءٍ معلومٍ من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الأصحاب جواز ذلک بلفظ التقبیل </w:t>
      </w:r>
      <w:r>
        <w:rPr>
          <w:rStyle w:val="FootnoteAnchor"/>
          <w:rtl w:val="true"/>
        </w:rPr>
        <w:footnoteReference w:id="648"/>
      </w:r>
      <w:r>
        <w:rPr>
          <w:rFonts w:ascii="IRNazanin" w:hAnsi="IRNazanin" w:eastAsia="IRNazanin"/>
          <w:color w:val="111111"/>
          <w:sz w:val="28"/>
          <w:sz w:val="28"/>
          <w:szCs w:val="28"/>
          <w:rtl w:val="true"/>
          <w:lang w:bidi="fa-IR"/>
        </w:rPr>
        <w:t>،مع أنّه لا یخرج عن البیع أو الصلح أو معاملة ثالثة لازمة</w:t>
      </w:r>
      <w:bookmarkStart w:id="219" w:name="pg19763_247869"/>
    </w:p>
    <w:p>
      <w:pPr>
        <w:pStyle w:val="BookText"/>
        <w:rPr/>
      </w:pPr>
      <w:bookmarkEnd w:id="219"/>
      <w:r>
        <w:rPr>
          <w:rFonts w:ascii="Amiri" w:hAnsi="Amiri" w:eastAsia="Amiri" w:cs="Amiri"/>
          <w:color w:val="111111"/>
          <w:sz w:val="28"/>
          <w:sz w:val="28"/>
          <w:szCs w:val="28"/>
          <w:rtl w:val="true"/>
          <w:lang w:bidi="ar-SA"/>
        </w:rPr>
        <w:t xml:space="preserve">عند جماعة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حضرنی من کلماتهم فی البیع</w:t>
      </w:r>
      <w:r>
        <w:rPr>
          <w:rFonts w:eastAsia="IRNazanin" w:cs="IRNazanin"/>
          <w:color w:val="111111"/>
          <w:sz w:val="28"/>
          <w:szCs w:val="28"/>
          <w:rtl w:val="true"/>
          <w:lang w:bidi="fa-IR"/>
        </w:rPr>
        <w:t>.</w:t>
      </w:r>
    </w:p>
    <w:p>
      <w:pPr>
        <w:pStyle w:val="Heading5"/>
        <w:numPr>
          <w:ilvl w:val="4"/>
          <w:numId w:val="1"/>
        </w:numPr>
        <w:rPr/>
      </w:pPr>
      <w:bookmarkStart w:id="220" w:name="__RefHeading___Toc5082592_2314609296"/>
      <w:bookmarkStart w:id="221" w:name="_Toc87"/>
      <w:bookmarkEnd w:id="220"/>
      <w:r>
        <w:rPr>
          <w:rtl w:val="true"/>
        </w:rPr>
        <w:t>[</w:t>
      </w:r>
      <w:r>
        <w:rPr>
          <w:rtl w:val="true"/>
        </w:rPr>
        <w:t>ظهور کلمات الفقهاء فی وقوع غیر البیع بکل لفظ یدل علیه أیضا</w:t>
      </w:r>
      <w:r>
        <w:rPr>
          <w:rtl w:val="true"/>
        </w:rPr>
        <w:t>]</w:t>
      </w:r>
      <w:bookmarkEnd w:id="221"/>
    </w:p>
    <w:p>
      <w:pPr>
        <w:pStyle w:val="BookText"/>
        <w:rPr/>
      </w:pPr>
      <w:r>
        <w:rPr>
          <w:rFonts w:ascii="IRNazanin" w:hAnsi="IRNazanin" w:eastAsia="IRNazanin"/>
          <w:color w:val="111111"/>
          <w:sz w:val="28"/>
          <w:sz w:val="28"/>
          <w:szCs w:val="28"/>
          <w:rtl w:val="true"/>
          <w:lang w:bidi="fa-IR"/>
        </w:rPr>
        <w:t xml:space="preserve">و أمّا فی غیره،فظاهر جماعة </w:t>
      </w:r>
      <w:r>
        <w:rPr>
          <w:rStyle w:val="FootnoteAnchor"/>
          <w:rtl w:val="true"/>
        </w:rPr>
        <w:footnoteReference w:id="650"/>
      </w:r>
      <w:r>
        <w:rPr>
          <w:rFonts w:ascii="IRNazanin" w:hAnsi="IRNazanin" w:eastAsia="IRNazanin"/>
          <w:color w:val="111111"/>
          <w:sz w:val="28"/>
          <w:sz w:val="28"/>
          <w:szCs w:val="28"/>
          <w:rtl w:val="true"/>
          <w:lang w:bidi="fa-IR"/>
        </w:rPr>
        <w:t>فی القرض عدم اختصاصه بلفظٍ خاصّ،فجوّزوه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انتفع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ردّ 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ممّا عدّوا مثله فی البیع من الکنایات،مع أنّ القرض من العقود اللازمة علی حسب لزوم البیع 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عن جماعة </w:t>
      </w:r>
      <w:r>
        <w:rPr>
          <w:rStyle w:val="FootnoteAnchor"/>
          <w:rtl w:val="true"/>
        </w:rPr>
        <w:footnoteReference w:id="651"/>
      </w:r>
      <w:r>
        <w:rPr>
          <w:rFonts w:ascii="IRNazanin" w:hAnsi="IRNazanin" w:eastAsia="IRNazanin"/>
          <w:color w:val="111111"/>
          <w:sz w:val="28"/>
          <w:sz w:val="28"/>
          <w:szCs w:val="28"/>
          <w:rtl w:val="true"/>
          <w:lang w:bidi="fa-IR"/>
        </w:rPr>
        <w:t>فی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إیجابه یؤدّی بکلّ لفظٍ یدلّ علیه،مثل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وثیقة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الدروس تجویزه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أمسکه بمالک</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عن غیر واحد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إیجاب الضمان الذی هو من العقود اللازمة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654"/>
      </w:r>
      <w:r>
        <w:rPr>
          <w:rFonts w:ascii="Amiri" w:hAnsi="Amiri" w:eastAsia="Amiri" w:cs="Amiri"/>
          <w:color w:val="111111"/>
          <w:sz w:val="28"/>
          <w:sz w:val="28"/>
          <w:szCs w:val="28"/>
          <w:rtl w:val="true"/>
          <w:lang w:bidi="ar-SA"/>
        </w:rPr>
        <w:t xml:space="preserve">ذکر المحقّق </w:t>
      </w:r>
      <w:r>
        <w:rPr>
          <w:rStyle w:val="FootnoteAnchor"/>
          <w:rtl w:val="true"/>
        </w:rPr>
        <w:footnoteReference w:id="655"/>
      </w:r>
      <w:r>
        <w:rPr>
          <w:rFonts w:ascii="Amiri" w:hAnsi="Amiri" w:eastAsia="Amiri" w:cs="Amiri"/>
          <w:color w:val="111111"/>
          <w:sz w:val="28"/>
          <w:sz w:val="28"/>
          <w:szCs w:val="28"/>
          <w:rtl w:val="true"/>
          <w:lang w:bidi="ar-SA"/>
        </w:rPr>
        <w:t xml:space="preserve">و جماعة ممّن تأخّر عنه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الإجارة بلفظ العاریة؛معلّلین بتحقّق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تردّد جماعة </w:t>
      </w:r>
      <w:r>
        <w:rPr>
          <w:rStyle w:val="FootnoteAnchor"/>
          <w:rtl w:val="true"/>
        </w:rPr>
        <w:footnoteReference w:id="657"/>
      </w:r>
      <w:r>
        <w:rPr>
          <w:rFonts w:ascii="IRNazanin" w:hAnsi="IRNazanin" w:eastAsia="IRNazanin"/>
          <w:color w:val="111111"/>
          <w:sz w:val="28"/>
          <w:sz w:val="28"/>
          <w:szCs w:val="28"/>
          <w:rtl w:val="true"/>
          <w:lang w:bidi="fa-IR"/>
        </w:rPr>
        <w:t>فی انعقاد الإجارة بلفظ بیع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جماعة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المزارعة بکلّ لفظٍ یدلّ علی تسلیم الأرض للمزارعة،و عن مجمع البرهان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غیره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خلاف فی جوازها بکلّ لفظٍ یدلّ علی المطلوب،مع کونه ماضیاً، و عن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جوّز جماعة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القرینة الدالّة علی إرادة الوقف،مثل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یباع و لا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غیر واحد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أنّهما من الکنایات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جوّز جماعة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النکاح الدائم بلفظ التمتّع مع أنّه لیس صریحاً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هذه الکلمات،کیف یجوز أن یسند </w:t>
      </w:r>
      <w:r>
        <w:rPr>
          <w:rStyle w:val="FootnoteAnchor"/>
          <w:rtl w:val="true"/>
        </w:rPr>
        <w:footnoteReference w:id="665"/>
      </w:r>
      <w:r>
        <w:rPr>
          <w:rFonts w:ascii="IRNazanin" w:hAnsi="IRNazanin" w:eastAsia="IRNazanin"/>
          <w:color w:val="111111"/>
          <w:sz w:val="28"/>
          <w:sz w:val="28"/>
          <w:szCs w:val="28"/>
          <w:rtl w:val="true"/>
          <w:lang w:bidi="fa-IR"/>
        </w:rPr>
        <w:t>إلی العلماء أو أکثرهم وجوب إیقاع العقد باللفظ الموضوع له،و أنّه لا یجوز بالألفاظ المجازیة؟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مع تعمیمها للقریبة </w:t>
      </w:r>
      <w:r>
        <w:rPr>
          <w:rStyle w:val="FootnoteAnchor"/>
          <w:rtl w:val="true"/>
        </w:rPr>
        <w:footnoteReference w:id="666"/>
      </w:r>
      <w:r>
        <w:rPr>
          <w:rFonts w:ascii="IRNazanin" w:hAnsi="IRNazanin" w:eastAsia="IRNazanin"/>
          <w:color w:val="111111"/>
          <w:sz w:val="28"/>
          <w:sz w:val="28"/>
          <w:szCs w:val="28"/>
          <w:rtl w:val="true"/>
          <w:lang w:bidi="fa-IR"/>
        </w:rPr>
        <w:t xml:space="preserve">و البعیدة </w:t>
      </w:r>
      <w:r>
        <w:rPr>
          <w:rStyle w:val="FootnoteAnchor"/>
          <w:rtl w:val="true"/>
        </w:rPr>
        <w:footnoteReference w:id="667"/>
      </w:r>
      <w:r>
        <w:rPr>
          <w:rFonts w:ascii="IRNazanin" w:hAnsi="IRNazanin" w:eastAsia="IRNazanin"/>
          <w:color w:val="111111"/>
          <w:sz w:val="28"/>
          <w:sz w:val="28"/>
          <w:szCs w:val="28"/>
          <w:rtl w:val="true"/>
          <w:lang w:bidi="fa-IR"/>
        </w:rPr>
        <w:t xml:space="preserve">کما تقدّم عن بعض المحقّقین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لما عرفت من تنافی ما اشتهر بینهم من عدم جواز التعبیر بالألفاظ المجازیّة فی العقود اللازمة،مع ما عرفت منهم من الاکتفاء فی أکثرها بالألفاظ الغیر الموضوعة لذلک العقد،جمع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عنه فی باب السلَم و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کلماتهم بحمل المجازات</w:t>
      </w:r>
    </w:p>
    <w:p>
      <w:pPr>
        <w:pStyle w:val="BookText"/>
        <w:rPr/>
      </w:pPr>
      <w:r>
        <w:rPr>
          <w:rFonts w:ascii="IRNazanin" w:hAnsi="IRNazanin" w:eastAsia="IRNazanin"/>
          <w:color w:val="111111"/>
          <w:sz w:val="28"/>
          <w:sz w:val="28"/>
          <w:szCs w:val="28"/>
          <w:rtl w:val="true"/>
          <w:lang w:bidi="fa-IR"/>
        </w:rPr>
        <w:t xml:space="preserve">الممنوعة علی المجازات البعیدة </w:t>
      </w:r>
      <w:r>
        <w:rPr>
          <w:rStyle w:val="FootnoteAnchor"/>
          <w:rtl w:val="true"/>
        </w:rPr>
        <w:footnoteReference w:id="669"/>
      </w:r>
      <w:r>
        <w:rPr>
          <w:rFonts w:ascii="IRNazanin" w:hAnsi="IRNazanin" w:eastAsia="IRNazanin"/>
          <w:color w:val="111111"/>
          <w:sz w:val="28"/>
          <w:sz w:val="28"/>
          <w:szCs w:val="28"/>
          <w:rtl w:val="true"/>
          <w:lang w:bidi="fa-IR"/>
        </w:rPr>
        <w:t xml:space="preserve">،و هو جمع حسن،و لعلّ الأحسن منه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یراد باعتبار الحقائق فی العقود اعتبار الدلالة اللفظیة الوضعیة،سواء کان اللفظ الدالّ علی إنشاء العقد موضوعاً له بنفسه أو مستعملاً فیه مجازاً بقرینة لفظ موضوع آخر،لیرجع الإفادة بالأخرة إلی الوضع؛ إذ لا یعقل الفرق فی الوضوح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مناط الصراحة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إفادة لفظٍ للمطلب بحکم الوضع،أو إفادته له بضمیمة لفظٍ آخر یدلّ بالوضع علی إرادة المطلب من ذلک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اللفظ الذی یکون دلالته علی المطلب لمقارنة حال أو سبق مقال خارج عن العقد؛فإنّ الاعتماد علیه فی متفاهم </w:t>
      </w:r>
      <w:r>
        <w:rPr>
          <w:rStyle w:val="FootnoteAnchor"/>
          <w:rtl w:val="true"/>
        </w:rPr>
        <w:footnoteReference w:id="671"/>
      </w:r>
      <w:r>
        <w:rPr>
          <w:rFonts w:ascii="IRNazanin" w:hAnsi="IRNazanin" w:eastAsia="IRNazanin"/>
          <w:color w:val="111111"/>
          <w:sz w:val="28"/>
          <w:sz w:val="28"/>
          <w:szCs w:val="28"/>
          <w:rtl w:val="true"/>
          <w:lang w:bidi="fa-IR"/>
        </w:rPr>
        <w:t>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المجازات القریبة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عمّا بنی علیه من عدم العبرة بغیر الأقوال فی إنشاء المقاصد؛و لذا لم یجوّزوا العقد بالمعاطاة و لو مع سبق مقالٍ أو اقتران حالٍ تدلّ </w:t>
      </w:r>
      <w:r>
        <w:rPr>
          <w:rStyle w:val="FootnoteAnchor"/>
          <w:rtl w:val="true"/>
        </w:rPr>
        <w:footnoteReference w:id="672"/>
      </w:r>
      <w:r>
        <w:rPr>
          <w:rFonts w:ascii="IRNazanin" w:hAnsi="IRNazanin" w:eastAsia="IRNazanin"/>
          <w:color w:val="111111"/>
          <w:sz w:val="28"/>
          <w:sz w:val="28"/>
          <w:szCs w:val="28"/>
          <w:rtl w:val="true"/>
          <w:lang w:bidi="fa-IR"/>
        </w:rPr>
        <w:t>علی إرادة البیع جزماً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الإشکال فی الاقتصار علی المشترک اللفظی اتّکالاً علی القرینة الحالیّة المعیّنة،و کذا المشترک المعنوی</w:t>
      </w:r>
      <w:r>
        <w:rPr>
          <w:rFonts w:eastAsia="IRNazanin" w:cs="IRNazanin"/>
          <w:color w:val="111111"/>
          <w:sz w:val="28"/>
          <w:szCs w:val="28"/>
          <w:rtl w:val="true"/>
          <w:lang w:bidi="fa-IR"/>
        </w:rPr>
        <w:t>.</w:t>
      </w:r>
      <w:bookmarkStart w:id="222" w:name="pg19763_247873"/>
    </w:p>
    <w:p>
      <w:pPr>
        <w:pStyle w:val="BookText"/>
        <w:rPr/>
      </w:pPr>
      <w:bookmarkEnd w:id="222"/>
      <w:r>
        <w:rPr>
          <w:rFonts w:ascii="IRNazanin" w:hAnsi="IRNazanin" w:eastAsia="IRNazanin"/>
          <w:color w:val="111111"/>
          <w:sz w:val="28"/>
          <w:sz w:val="28"/>
          <w:szCs w:val="28"/>
          <w:rtl w:val="true"/>
          <w:lang w:bidi="fa-IR"/>
        </w:rPr>
        <w:t>و یمکن أن ینطبق علی ما ذکرنا الاستدلال المتقدّم فی عبارة التذکرة بقوله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المخاطب لا یدری بِمَ خوطب</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إذ لیس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المخاطب لا یفهم منها المطلب و لو بالقرائن الخارجیة،بل المراد أنّ الخطاب بالکنایة لمّا لم یدلّ علی المعنی المنشأ ما لم یقصد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اللازم الأعمّ،کما هو الغالب بل المطّرد فی الکنایات، لا یدلّ علی الملزوم ما لم یقصد المتکلّم خصوص الفرد المجامع </w:t>
      </w:r>
      <w:r>
        <w:rPr>
          <w:rStyle w:val="FootnoteAnchor"/>
          <w:rtl w:val="true"/>
        </w:rPr>
        <w:footnoteReference w:id="674"/>
      </w:r>
      <w:r>
        <w:rPr>
          <w:rFonts w:ascii="IRNazanin" w:hAnsi="IRNazanin" w:eastAsia="IRNazanin"/>
          <w:color w:val="111111"/>
          <w:sz w:val="28"/>
          <w:sz w:val="28"/>
          <w:szCs w:val="28"/>
          <w:rtl w:val="true"/>
          <w:lang w:bidi="fa-IR"/>
        </w:rPr>
        <w:t>مع الملزوم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فالخطاب فی نفسه محتمل،لا یدری المخاطب بِمَ خوطب،و إنّما یفهم المراد بالقرائن الخارجیة الکاشفة عن قصد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تقرّر فی مسألة المعاطاة </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النیّة بنفسها أو مع انکشافها بغیر الأقوال لا تؤثّر فی النقل و الانتقال،فلم یحصل هنا عقدٌ لفظیٌّ یقع التفاهم به،لکن هذا الوجه </w:t>
      </w:r>
      <w:r>
        <w:rPr>
          <w:rStyle w:val="FootnoteAnchor"/>
          <w:rtl w:val="true"/>
        </w:rPr>
        <w:footnoteReference w:id="676"/>
      </w:r>
      <w:r>
        <w:rPr>
          <w:rFonts w:ascii="IRNazanin" w:hAnsi="IRNazanin" w:eastAsia="IRNazanin"/>
          <w:color w:val="111111"/>
          <w:sz w:val="28"/>
          <w:sz w:val="28"/>
          <w:szCs w:val="28"/>
          <w:rtl w:val="true"/>
          <w:lang w:bidi="fa-IR"/>
        </w:rPr>
        <w:t>لا یجری فی جمیع ما ذکروه من أمثلة الکنایة</w:t>
      </w:r>
      <w:r>
        <w:rPr>
          <w:rFonts w:eastAsia="IRNazanin" w:cs="IRNazanin"/>
          <w:color w:val="111111"/>
          <w:sz w:val="28"/>
          <w:szCs w:val="28"/>
          <w:rtl w:val="true"/>
          <w:lang w:bidi="fa-IR"/>
        </w:rPr>
        <w:t>.</w:t>
      </w:r>
    </w:p>
    <w:p>
      <w:pPr>
        <w:pStyle w:val="Heading5"/>
        <w:numPr>
          <w:ilvl w:val="4"/>
          <w:numId w:val="1"/>
        </w:numPr>
        <w:rPr/>
      </w:pPr>
      <w:bookmarkStart w:id="223" w:name="__RefHeading___Toc5082594_2314609296"/>
      <w:bookmarkStart w:id="224" w:name="_Toc88"/>
      <w:bookmarkEnd w:id="223"/>
      <w:r>
        <w:rPr>
          <w:rtl w:val="true"/>
        </w:rPr>
        <w:t>[</w:t>
      </w:r>
      <w:r>
        <w:rPr>
          <w:rtl w:val="true"/>
        </w:rPr>
        <w:t>دعوی أن العقود أسباب شرعیة توقیفیة</w:t>
      </w:r>
      <w:r>
        <w:rPr>
          <w:rtl w:val="true"/>
        </w:rPr>
        <w:t>]</w:t>
      </w:r>
      <w:bookmarkEnd w:id="22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ربما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العقود المؤثّرة فی النقل و الانتقال أسباب شرعیّة توقیفیّة،کما حکی عن الإیضاح من أنّ کلّ عقدٍ لازم وضع له الشارع صیغة مخصوصة بالاستقراء </w:t>
      </w:r>
      <w:r>
        <w:rPr>
          <w:rStyle w:val="FootnoteAnchor"/>
          <w:rtl w:val="true"/>
        </w:rPr>
        <w:footnoteReference w:id="677"/>
      </w:r>
      <w:r>
        <w:rPr>
          <w:rFonts w:ascii="IRNazanin" w:hAnsi="IRNazanin" w:eastAsia="IRNazanin"/>
          <w:color w:val="111111"/>
          <w:sz w:val="28"/>
          <w:sz w:val="28"/>
          <w:szCs w:val="28"/>
          <w:rtl w:val="true"/>
          <w:lang w:bidi="fa-IR"/>
        </w:rPr>
        <w:t>،فلا بدّ من الاقتصار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کلام لا محصّل له عند مَن لاحظ فتاوی العلماء،فضلاً عن الروایات المتکثّرة الآتیة </w:t>
      </w:r>
      <w:r>
        <w:rPr>
          <w:rStyle w:val="FootnoteAnchor"/>
          <w:rtl w:val="true"/>
        </w:rPr>
        <w:footnoteReference w:id="678"/>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الفخر قدّس سرّه،فلعلّ المراد فیه من الخصوصیّة المأخوذة فی الصیغة شرعاً،هی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اشتمالها علی العنوان المعبّر عن تلک المعاملة به فی کلام الشارع،فإذا کانت </w:t>
      </w:r>
      <w:r>
        <w:rPr>
          <w:rStyle w:val="FootnoteAnchor"/>
          <w:rtl w:val="true"/>
        </w:rPr>
        <w:footnoteReference w:id="679"/>
      </w:r>
      <w:r>
        <w:rPr>
          <w:rFonts w:ascii="IRNazanin" w:hAnsi="IRNazanin" w:eastAsia="IRNazanin"/>
          <w:color w:val="111111"/>
          <w:sz w:val="28"/>
          <w:sz w:val="28"/>
          <w:szCs w:val="28"/>
          <w:rtl w:val="true"/>
          <w:lang w:bidi="fa-IR"/>
        </w:rPr>
        <w:t>العلاقة الحادثة بین الرجل و المرأة معبّراً عنها فی کلام الشارع بالنکاح،أو الزوجیّة،أو المتعة، فلا بدّ من اشتمال عقدها علی هذه العناوین،فلا یجوز بلفظ الهبة أو البیع أو الإجارة أو نحو ذلک،و هکذا الکلام فی العقود المنشأة للمقاصد الأُخر کالبیع و الإجارة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فخصوصیّة اللفظ من حیث اعتبار اشتمالها علی هذه العنوانات الدائرة فی لسان الشارع،أو ما یرادفها </w:t>
      </w:r>
      <w:r>
        <w:rPr>
          <w:rStyle w:val="FootnoteAnchor"/>
          <w:rtl w:val="true"/>
        </w:rPr>
        <w:footnoteReference w:id="680"/>
      </w:r>
      <w:r>
        <w:rPr>
          <w:rFonts w:ascii="IRNazanin" w:hAnsi="IRNazanin" w:eastAsia="IRNazanin"/>
          <w:color w:val="111111"/>
          <w:sz w:val="28"/>
          <w:sz w:val="28"/>
          <w:szCs w:val="28"/>
          <w:rtl w:val="true"/>
          <w:lang w:bidi="fa-IR"/>
        </w:rPr>
        <w:t xml:space="preserve">لغةً أو عرفاً؛لأنّها بهذه العنوانات موارد للأحکام </w:t>
      </w:r>
      <w:r>
        <w:rPr>
          <w:rStyle w:val="FootnoteAnchor"/>
          <w:rtl w:val="true"/>
        </w:rPr>
        <w:footnoteReference w:id="681"/>
      </w:r>
      <w:r>
        <w:rPr>
          <w:rFonts w:ascii="IRNazanin" w:hAnsi="IRNazanin" w:eastAsia="IRNazanin"/>
          <w:color w:val="111111"/>
          <w:sz w:val="28"/>
          <w:sz w:val="28"/>
          <w:szCs w:val="28"/>
          <w:rtl w:val="true"/>
          <w:lang w:bidi="fa-IR"/>
        </w:rPr>
        <w:t>الشرعیة التی لا تحصی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هذا،فالضابط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إیقاع العقد بإنشاء العناوین الدائرة فی لسان الشارع؛إذ لو وقع بإنشاء غیرها،فإن کان </w:t>
      </w:r>
      <w:r>
        <w:rPr>
          <w:rStyle w:val="FootnoteAnchor"/>
          <w:rtl w:val="true"/>
        </w:rPr>
        <w:footnoteReference w:id="682"/>
      </w:r>
      <w:r>
        <w:rPr>
          <w:rFonts w:ascii="IRNazanin" w:hAnsi="IRNazanin" w:eastAsia="IRNazanin"/>
          <w:color w:val="111111"/>
          <w:sz w:val="28"/>
          <w:sz w:val="28"/>
          <w:szCs w:val="28"/>
          <w:rtl w:val="true"/>
          <w:lang w:bidi="fa-IR"/>
        </w:rPr>
        <w:t>لا مع قصد تلک 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لم تقصد المرأة إلّا هبة نفسها أو إجارة نفسها مدّة للاستمتاع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یترتّب علیه الآثار المحمولة فی الشریعة علی الزوجیّة</w:t>
      </w:r>
    </w:p>
    <w:p>
      <w:pPr>
        <w:pStyle w:val="BookText"/>
        <w:rPr/>
      </w:pPr>
      <w:r>
        <w:rPr>
          <w:rFonts w:ascii="IRNazanin" w:hAnsi="IRNazanin" w:eastAsia="IRNazanin"/>
          <w:color w:val="111111"/>
          <w:sz w:val="28"/>
          <w:sz w:val="28"/>
          <w:szCs w:val="28"/>
          <w:rtl w:val="true"/>
          <w:lang w:bidi="fa-IR"/>
        </w:rPr>
        <w:t xml:space="preserve">الدائمة أو المنقطعة،و إن کان </w:t>
      </w:r>
      <w:r>
        <w:rPr>
          <w:rStyle w:val="FootnoteAnchor"/>
          <w:rtl w:val="true"/>
        </w:rPr>
        <w:footnoteReference w:id="684"/>
      </w:r>
      <w:r>
        <w:rPr>
          <w:rFonts w:ascii="IRNazanin" w:hAnsi="IRNazanin" w:eastAsia="IRNazanin"/>
          <w:color w:val="111111"/>
          <w:sz w:val="28"/>
          <w:sz w:val="28"/>
          <w:szCs w:val="28"/>
          <w:rtl w:val="true"/>
          <w:lang w:bidi="fa-IR"/>
        </w:rPr>
        <w:t>بقصد هذه العناوین دخلت فی الکنایة التی عرفت أنّ تجویزها رجوع إلی عدم اعتبار إفادة المقاصد بالأقوال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ذکره الفخر قدّس سرّه </w:t>
      </w:r>
      <w:r>
        <w:rPr>
          <w:rStyle w:val="FootnoteAnchor"/>
          <w:rtl w:val="true"/>
        </w:rPr>
        <w:footnoteReference w:id="685"/>
      </w:r>
      <w:r>
        <w:rPr>
          <w:rFonts w:ascii="IRNazanin" w:hAnsi="IRNazanin" w:eastAsia="IRNazanin"/>
          <w:color w:val="111111"/>
          <w:sz w:val="28"/>
          <w:sz w:val="28"/>
          <w:szCs w:val="28"/>
          <w:rtl w:val="true"/>
          <w:lang w:bidi="fa-IR"/>
        </w:rPr>
        <w:t xml:space="preserve">مؤیّد لِما ذکرناه و استفدناه من کلام والده قدّس سرّه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إلیه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العقود متلقّاة من الشارع،فلا ینعقد عقدٌ بلفظٍ آخر لیس من جنسه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عن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یجب الاقتصار فی العقود اللازمة علی الألفاظ المنقولة شرعاً المعهودة لغةً </w:t>
      </w:r>
      <w:r>
        <w:rPr>
          <w:rStyle w:val="FootnoteAnchor"/>
          <w:rtl w:val="true"/>
        </w:rPr>
        <w:footnoteReference w:id="688"/>
      </w:r>
      <w:r>
        <w:rPr>
          <w:rFonts w:ascii="Amiri" w:hAnsi="Amiri" w:eastAsia="Amiri" w:cs="Amiri"/>
          <w:color w:val="111111"/>
          <w:sz w:val="28"/>
          <w:sz w:val="28"/>
          <w:szCs w:val="28"/>
          <w:rtl w:val="true"/>
          <w:lang w:bidi="ar-SA"/>
        </w:rPr>
        <w:t>،و مراده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المنقولة </w:t>
      </w:r>
      <w:r>
        <w:rPr>
          <w:rStyle w:val="FootnoteAnchor"/>
          <w:rtl w:val="true"/>
        </w:rPr>
        <w:footnoteReference w:id="689"/>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المأثورة فی کلام الشارع</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کنز العرفان فی باب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حکمٌ شرعیٌّ حادث فلا بدّ له من دلیلٍ یدلّ علی حصوله،و هو العقد اللفظیّ المتلقّی من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لإیجاب النکاح ألفاظاً </w:t>
      </w:r>
      <w:r>
        <w:rPr>
          <w:rStyle w:val="FootnoteAnchor"/>
          <w:rtl w:val="true"/>
        </w:rPr>
        <w:footnoteReference w:id="690"/>
      </w:r>
      <w:r>
        <w:rPr>
          <w:rFonts w:ascii="IRNazanin" w:hAnsi="IRNazanin" w:eastAsia="IRNazanin"/>
          <w:color w:val="111111"/>
          <w:sz w:val="28"/>
          <w:sz w:val="28"/>
          <w:szCs w:val="28"/>
          <w:rtl w:val="true"/>
          <w:lang w:bidi="fa-IR"/>
        </w:rPr>
        <w:t xml:space="preserve">ثلاثة،و علّلها بورودها فی القرآن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bookmarkStart w:id="225" w:name="pg19763_247876"/>
    </w:p>
    <w:p>
      <w:pPr>
        <w:pStyle w:val="BookText"/>
        <w:rPr/>
      </w:pPr>
      <w:bookmarkEnd w:id="225"/>
      <w:r>
        <w:rPr>
          <w:rFonts w:ascii="IRNazanin" w:hAnsi="IRNazanin" w:eastAsia="IRNazanin"/>
          <w:color w:val="111111"/>
          <w:sz w:val="28"/>
          <w:sz w:val="28"/>
          <w:szCs w:val="28"/>
          <w:rtl w:val="true"/>
          <w:lang w:bidi="fa-IR"/>
        </w:rPr>
        <w:t xml:space="preserve">و لا یخفی أنّ تعلیله هذا کالصریح فیما ذکرناه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تفسیر </w:t>
      </w:r>
      <w:r>
        <w:rPr>
          <w:rStyle w:val="FootnoteAnchor"/>
          <w:rtl w:val="true"/>
        </w:rPr>
        <w:footnoteReference w:id="693"/>
      </w:r>
      <w:r>
        <w:rPr>
          <w:rFonts w:ascii="IRNazanin" w:hAnsi="IRNazanin" w:eastAsia="IRNazanin"/>
          <w:color w:val="111111"/>
          <w:sz w:val="28"/>
          <w:sz w:val="28"/>
          <w:szCs w:val="28"/>
          <w:rtl w:val="true"/>
          <w:lang w:bidi="fa-IR"/>
        </w:rPr>
        <w:t>توقیفیّة العقود،و أنّها متلقّاة من الشارع،و وجوب الاقتصار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الضابط تقدر علی تمییز </w:t>
      </w:r>
      <w:r>
        <w:rPr>
          <w:rStyle w:val="FootnoteAnchor"/>
          <w:rtl w:val="true"/>
        </w:rPr>
        <w:footnoteReference w:id="694"/>
      </w:r>
      <w:r>
        <w:rPr>
          <w:rFonts w:ascii="IRNazanin" w:hAnsi="IRNazanin" w:eastAsia="IRNazanin"/>
          <w:color w:val="111111"/>
          <w:sz w:val="28"/>
          <w:sz w:val="28"/>
          <w:szCs w:val="28"/>
          <w:rtl w:val="true"/>
          <w:lang w:bidi="fa-IR"/>
        </w:rPr>
        <w:t>الصریح المنقول شرعاً المعهود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الألفاظ المتقدّمة فی أبواب العقود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الإجارة بلفظ العاریة غیر جائزة،و بلفظ بیع المنفعة أو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جوازه،و هکذا</w:t>
      </w:r>
      <w:r>
        <w:rPr>
          <w:rFonts w:eastAsia="IRNazanin" w:cs="IRNazanin"/>
          <w:color w:val="111111"/>
          <w:sz w:val="28"/>
          <w:szCs w:val="28"/>
          <w:rtl w:val="true"/>
          <w:lang w:bidi="fa-IR"/>
        </w:rPr>
        <w:t>.</w:t>
      </w:r>
    </w:p>
    <w:p>
      <w:pPr>
        <w:pStyle w:val="Heading4"/>
        <w:numPr>
          <w:ilvl w:val="3"/>
          <w:numId w:val="1"/>
        </w:numPr>
        <w:rPr/>
      </w:pPr>
      <w:bookmarkStart w:id="226" w:name="__RefHeading___Toc5082596_2314609296"/>
      <w:bookmarkStart w:id="227" w:name="_Toc89"/>
      <w:bookmarkEnd w:id="226"/>
      <w:r>
        <w:rPr>
          <w:rtl w:val="true"/>
        </w:rPr>
        <w:t>إذا عرفت هذا،فلنذکر ألفاظ الإیجاب و القبول</w:t>
      </w:r>
      <w:r>
        <w:rPr>
          <w:rtl w:val="true"/>
        </w:rPr>
        <w:t>:</w:t>
      </w:r>
      <w:bookmarkEnd w:id="227"/>
    </w:p>
    <w:p>
      <w:pPr>
        <w:pStyle w:val="Heading5"/>
        <w:numPr>
          <w:ilvl w:val="4"/>
          <w:numId w:val="1"/>
        </w:numPr>
        <w:rPr/>
      </w:pPr>
      <w:bookmarkStart w:id="228" w:name="__RefHeading___Toc5082598_2314609296"/>
      <w:bookmarkStart w:id="229" w:name="_Toc90"/>
      <w:bookmarkEnd w:id="228"/>
      <w:r>
        <w:rPr>
          <w:rtl w:val="true"/>
        </w:rPr>
        <w:t>[</w:t>
      </w:r>
      <w:r>
        <w:rPr>
          <w:rtl w:val="true"/>
        </w:rPr>
        <w:t>أما الإیجاب</w:t>
      </w:r>
      <w:r>
        <w:rPr>
          <w:rtl w:val="true"/>
        </w:rPr>
        <w:t>]</w:t>
      </w:r>
      <w:bookmarkEnd w:id="229"/>
    </w:p>
    <w:p>
      <w:pPr>
        <w:pStyle w:val="Heading6"/>
        <w:numPr>
          <w:ilvl w:val="5"/>
          <w:numId w:val="1"/>
        </w:numPr>
        <w:rPr/>
      </w:pPr>
      <w:bookmarkStart w:id="230" w:name="__RefHeading___Toc5082600_2314609296"/>
      <w:bookmarkStart w:id="231" w:name="_Toc91"/>
      <w:bookmarkEnd w:id="230"/>
      <w:r>
        <w:rPr>
          <w:rtl w:val="true"/>
        </w:rPr>
        <w:t>منها</w:t>
      </w:r>
      <w:r>
        <w:rPr>
          <w:rtl w:val="true"/>
        </w:rPr>
        <w:t>:</w:t>
      </w:r>
      <w:r>
        <w:rPr>
          <w:rtl w:val="true"/>
        </w:rPr>
        <w:t>لفظ</w:t>
      </w:r>
      <w:r>
        <w:rPr>
          <w:rtl w:val="true"/>
        </w:rPr>
        <w:t>«</w:t>
      </w:r>
      <w:r>
        <w:rPr>
          <w:rtl w:val="true"/>
        </w:rPr>
        <w:t>بعت</w:t>
      </w:r>
      <w:r>
        <w:rPr>
          <w:rtl w:val="true"/>
        </w:rPr>
        <w:t>»</w:t>
      </w:r>
      <w:r>
        <w:rPr>
          <w:rtl w:val="true"/>
        </w:rPr>
        <w:t>فی الإیجاب،</w:t>
      </w:r>
      <w:bookmarkEnd w:id="231"/>
    </w:p>
    <w:p>
      <w:pPr>
        <w:pStyle w:val="BookText"/>
        <w:rPr/>
      </w:pPr>
      <w:r>
        <w:rPr>
          <w:rFonts w:ascii="IRNazanin" w:hAnsi="IRNazanin" w:eastAsia="IRNazanin"/>
          <w:color w:val="111111"/>
          <w:sz w:val="28"/>
          <w:sz w:val="28"/>
          <w:szCs w:val="28"/>
          <w:rtl w:val="true"/>
          <w:lang w:bidi="fa-IR"/>
        </w:rPr>
        <w:t xml:space="preserve">و لا خلاف فیه فتوًی و نصّاً، و هو و إن کان من الأضداد بالنسبة إلی البیع و الشراء،لکن کثرة استعماله فی وقوع البیع تعیّنه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 w:name="__RefHeading___Toc5082602_2314609296"/>
      <w:bookmarkStart w:id="233" w:name="_Toc92"/>
      <w:bookmarkEnd w:id="232"/>
      <w:r>
        <w:rPr>
          <w:rtl w:val="true"/>
        </w:rPr>
        <w:t>و منها</w:t>
      </w:r>
      <w:bookmarkEnd w:id="233"/>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Style w:val="FootnoteAnchor"/>
          <w:rtl w:val="true"/>
        </w:rPr>
        <w:footnoteReference w:id="69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لوضعه له،کما یظهر من المحکی عن بعض أهل اللغة </w:t>
      </w:r>
      <w:r>
        <w:rPr>
          <w:rStyle w:val="FootnoteAnchor"/>
          <w:rtl w:val="true"/>
        </w:rPr>
        <w:footnoteReference w:id="698"/>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یستعمل فی القرآن الکریم إلّا فی البیع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bookmarkStart w:id="234" w:name="pg19763_247877"/>
    </w:p>
    <w:p>
      <w:pPr>
        <w:pStyle w:val="BookText"/>
        <w:rPr/>
      </w:pPr>
      <w:bookmarkEnd w:id="234"/>
      <w:r>
        <w:rPr>
          <w:rFonts w:ascii="IRNazanin" w:hAnsi="IRNazanin" w:eastAsia="IRNazanin"/>
          <w:color w:val="111111"/>
          <w:sz w:val="28"/>
          <w:sz w:val="28"/>
          <w:szCs w:val="28"/>
          <w:rtl w:val="true"/>
          <w:lang w:bidi="fa-IR"/>
        </w:rPr>
        <w:t>و عن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شراه یشریه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ملکه </w:t>
      </w:r>
      <w:r>
        <w:rPr>
          <w:rStyle w:val="FootnoteAnchor"/>
          <w:rtl w:val="true"/>
        </w:rPr>
        <w:footnoteReference w:id="700"/>
      </w:r>
      <w:r>
        <w:rPr>
          <w:rFonts w:ascii="IRNazanin" w:hAnsi="IRNazanin" w:eastAsia="IRNazanin"/>
          <w:color w:val="111111"/>
          <w:sz w:val="28"/>
          <w:sz w:val="28"/>
          <w:szCs w:val="28"/>
          <w:rtl w:val="true"/>
          <w:lang w:bidi="fa-IR"/>
        </w:rPr>
        <w:t xml:space="preserve">بالبیع و باعه،کاشتری </w:t>
      </w:r>
      <w:r>
        <w:rPr>
          <w:rStyle w:val="FootnoteAnchor"/>
          <w:rtl w:val="true"/>
        </w:rPr>
        <w:footnoteReference w:id="701"/>
      </w:r>
      <w:r>
        <w:rPr>
          <w:rFonts w:ascii="IRNazanin" w:hAnsi="IRNazanin" w:eastAsia="IRNazanin"/>
          <w:color w:val="111111"/>
          <w:sz w:val="28"/>
          <w:sz w:val="28"/>
          <w:szCs w:val="28"/>
          <w:rtl w:val="true"/>
          <w:lang w:bidi="fa-IR"/>
        </w:rPr>
        <w:t xml:space="preserve">فیهما </w:t>
      </w:r>
      <w:r>
        <w:rPr>
          <w:rStyle w:val="FootnoteAnchor"/>
          <w:rtl w:val="true"/>
        </w:rPr>
        <w:footnoteReference w:id="702"/>
      </w:r>
      <w:r>
        <w:rPr>
          <w:rFonts w:ascii="Amiri" w:hAnsi="Amiri" w:eastAsia="Amiri" w:cs="Amiri"/>
          <w:color w:val="111111"/>
          <w:sz w:val="28"/>
          <w:sz w:val="28"/>
          <w:szCs w:val="28"/>
          <w:rtl w:val="true"/>
          <w:lang w:bidi="ar-SA"/>
        </w:rPr>
        <w:t>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ترک شیئاً و تمسّک بغیره فقد اشتراه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یستشکل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بقلّة استعماله عرفاً فی البیع،و کونه محتاجاً إلی القرینة المعیِّنة،و عدم نقل الإیجاب به فی الأخبار و کلام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عن وجه</w:t>
      </w:r>
      <w:r>
        <w:rPr>
          <w:rFonts w:eastAsia="IRNazanin" w:cs="IRNazanin"/>
          <w:color w:val="111111"/>
          <w:sz w:val="28"/>
          <w:szCs w:val="28"/>
          <w:rtl w:val="true"/>
          <w:lang w:bidi="fa-IR"/>
        </w:rPr>
        <w:t>.</w:t>
      </w:r>
    </w:p>
    <w:p>
      <w:pPr>
        <w:pStyle w:val="Heading6"/>
        <w:numPr>
          <w:ilvl w:val="5"/>
          <w:numId w:val="1"/>
        </w:numPr>
        <w:rPr/>
      </w:pPr>
      <w:bookmarkStart w:id="235" w:name="__RefHeading___Toc5082604_2314609296"/>
      <w:bookmarkStart w:id="236" w:name="_Toc93"/>
      <w:bookmarkEnd w:id="235"/>
      <w:r>
        <w:rPr>
          <w:rtl w:val="true"/>
        </w:rPr>
        <w:t>و منها</w:t>
      </w:r>
      <w:r>
        <w:rPr>
          <w:rtl w:val="true"/>
        </w:rPr>
        <w:t>:</w:t>
      </w:r>
      <w:r>
        <w:rPr>
          <w:rtl w:val="true"/>
        </w:rPr>
        <w:t>لفظ</w:t>
      </w:r>
      <w:r>
        <w:rPr>
          <w:rtl w:val="true"/>
        </w:rPr>
        <w:t>«</w:t>
      </w:r>
      <w:r>
        <w:rPr>
          <w:rtl w:val="true"/>
        </w:rPr>
        <w:t>ملّکت</w:t>
      </w:r>
      <w:r>
        <w:rPr>
          <w:rtl w:val="true"/>
        </w:rPr>
        <w:t>»-</w:t>
      </w:r>
      <w:r>
        <w:rPr>
          <w:rtl w:val="true"/>
        </w:rPr>
        <w:t>بالتشدید</w:t>
      </w:r>
      <w:r>
        <w:rPr>
          <w:rtl w:val="true"/>
        </w:rPr>
        <w:t>-</w:t>
      </w:r>
      <w:bookmarkEnd w:id="236"/>
    </w:p>
    <w:p>
      <w:pPr>
        <w:pStyle w:val="BookText"/>
        <w:rPr/>
      </w:pPr>
      <w:r>
        <w:rPr>
          <w:rFonts w:ascii="IRNazanin" w:hAnsi="IRNazanin" w:eastAsia="IRNazanin"/>
          <w:color w:val="111111"/>
          <w:sz w:val="28"/>
          <w:sz w:val="28"/>
          <w:szCs w:val="28"/>
          <w:rtl w:val="true"/>
          <w:lang w:bidi="fa-IR"/>
        </w:rPr>
        <w:t>و الأکثر علی وقوع البیع به، بل ظاهر نکت الإرشاد الاتّفاق؛حیث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یقع البیع بغیر اللفظ المتّفق علیه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یدلّ علیه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 فی تعریف البیع،من أنّ التملیک بالعوض المنحلّ إلی مبادلة العین بالمال هو المرادف للبیع عرفاً و لغةً،کما صرّح به فخر الدین،حیث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ملّکت غیری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قیل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التملیک یستعمل فی الهبة بحیث لا یتبادر عند الإطلاق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الهبة إنّما یفهم من تجرید اللفظ عن العوض،</w:t>
      </w:r>
      <w:bookmarkStart w:id="237" w:name="pg19763_247878"/>
    </w:p>
    <w:p>
      <w:pPr>
        <w:pStyle w:val="BookText"/>
        <w:rPr/>
      </w:pPr>
      <w:bookmarkEnd w:id="237"/>
      <w:r>
        <w:rPr>
          <w:rFonts w:ascii="IRNazanin" w:hAnsi="IRNazanin" w:eastAsia="IRNazanin"/>
          <w:color w:val="111111"/>
          <w:sz w:val="28"/>
          <w:sz w:val="28"/>
          <w:szCs w:val="28"/>
          <w:rtl w:val="true"/>
          <w:lang w:bidi="fa-IR"/>
        </w:rPr>
        <w:t xml:space="preserve">لا من مادّة التملیک،فهی مشترکة معنیً بین ما یتضمّن المقابلة و بین المجرّد عنها،فإن اتّصل بالکلام ذِکر العوض أفاد المجموع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الوضع الترکیبی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البیع،و إن تجرّد عن ذکر العوض اقتضی تجریده الملکیّة المجانیّة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تعریف البیع بذلک تعریف بمفهومه الحقیقی، فلو أراد منه الهبة المعوّضة أو قصد المصالحة،بنی صحّة العقد به علی صحّة عقد بلفظ غیره مع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 قول فخر الدین فی شرح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لغة العرب ملّکت غیری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8" w:name="__RefHeading___Toc5082606_2314609296"/>
      <w:bookmarkStart w:id="239" w:name="_Toc94"/>
      <w:bookmarkEnd w:id="238"/>
      <w:r>
        <w:rPr>
          <w:rtl w:val="true"/>
        </w:rPr>
        <w:t>و أمّا الإیجاب ب</w:t>
      </w:r>
      <w:r>
        <w:rPr>
          <w:rtl w:val="true"/>
        </w:rPr>
        <w:t>«</w:t>
      </w:r>
      <w:r>
        <w:rPr>
          <w:rtl w:val="true"/>
        </w:rPr>
        <w:t>اشتریت</w:t>
      </w:r>
      <w:r>
        <w:rPr>
          <w:rtl w:val="true"/>
        </w:rPr>
        <w:t>»</w:t>
      </w:r>
      <w:r>
        <w:rPr>
          <w:rtl w:val="true"/>
        </w:rPr>
        <w:t>،</w:t>
      </w:r>
      <w:bookmarkEnd w:id="239"/>
    </w:p>
    <w:p>
      <w:pPr>
        <w:pStyle w:val="BookText"/>
        <w:rPr/>
      </w:pPr>
      <w:r>
        <w:rPr>
          <w:rFonts w:ascii="IRNazanin" w:hAnsi="IRNazanin" w:eastAsia="IRNazanin"/>
          <w:color w:val="111111"/>
          <w:sz w:val="28"/>
          <w:sz w:val="28"/>
          <w:szCs w:val="28"/>
          <w:rtl w:val="true"/>
          <w:lang w:bidi="fa-IR"/>
        </w:rPr>
        <w:t>ففی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یقال بصحّته،کما هو الموجود فی بعض نسخ التذکرة،و المنقول عنها فی نسختین من تعلیق الإرشاد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یستظهر ذلک </w:t>
      </w:r>
      <w:r>
        <w:rPr>
          <w:rStyle w:val="FootnoteAnchor"/>
          <w:rtl w:val="true"/>
        </w:rPr>
        <w:footnoteReference w:id="710"/>
      </w:r>
      <w:r>
        <w:rPr>
          <w:rFonts w:ascii="IRNazanin" w:hAnsi="IRNazanin" w:eastAsia="IRNazanin"/>
          <w:color w:val="111111"/>
          <w:sz w:val="28"/>
          <w:sz w:val="28"/>
          <w:szCs w:val="28"/>
          <w:rtl w:val="true"/>
          <w:lang w:bidi="fa-IR"/>
        </w:rPr>
        <w:t>من عبارة کلِّ من 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،شبههما أو ما یقوم مقامهما </w:t>
      </w:r>
      <w:r>
        <w:rPr>
          <w:rStyle w:val="FootnoteAnchor"/>
          <w:rtl w:val="true"/>
        </w:rPr>
        <w:footnoteReference w:id="711"/>
      </w:r>
      <w:r>
        <w:rPr>
          <w:rFonts w:ascii="IRNazanin" w:hAnsi="IRNazanin" w:eastAsia="IRNazanin"/>
          <w:color w:val="111111"/>
          <w:sz w:val="28"/>
          <w:sz w:val="28"/>
          <w:szCs w:val="28"/>
          <w:rtl w:val="true"/>
          <w:lang w:bidi="fa-IR"/>
        </w:rPr>
        <w:t xml:space="preserve">إذ إرادة خصوص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هذا بعید جدّاً،و حمله علی إرادة ما یقوم مقامهما فی اللّغات الأُخر للعاجز عن العربیة أبعد،فیتعیّن </w:t>
      </w:r>
      <w:r>
        <w:rPr>
          <w:rStyle w:val="FootnoteAnchor"/>
          <w:rtl w:val="true"/>
        </w:rPr>
        <w:footnoteReference w:id="712"/>
      </w:r>
      <w:r>
        <w:rPr>
          <w:rFonts w:ascii="IRNazanin" w:hAnsi="IRNazanin" w:eastAsia="IRNazanin"/>
          <w:color w:val="111111"/>
          <w:sz w:val="28"/>
          <w:sz w:val="28"/>
          <w:szCs w:val="28"/>
          <w:rtl w:val="true"/>
          <w:lang w:bidi="fa-IR"/>
        </w:rPr>
        <w:t>إرادة ما یرادفهما لغةً</w:t>
      </w:r>
      <w:bookmarkStart w:id="240" w:name="pg19763_247879"/>
    </w:p>
    <w:p>
      <w:pPr>
        <w:pStyle w:val="BookText"/>
        <w:rPr/>
      </w:pPr>
      <w:bookmarkEnd w:id="240"/>
      <w:r>
        <w:rPr>
          <w:rFonts w:ascii="IRNazanin" w:hAnsi="IRNazanin" w:eastAsia="IRNazanin"/>
          <w:color w:val="111111"/>
          <w:sz w:val="28"/>
          <w:sz w:val="28"/>
          <w:szCs w:val="28"/>
          <w:rtl w:val="true"/>
          <w:lang w:bidi="fa-IR"/>
        </w:rPr>
        <w:t>أو عرفاً،فیشمل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الإشکال المتقدّم </w:t>
      </w:r>
      <w:r>
        <w:rPr>
          <w:rStyle w:val="FootnoteAnchor"/>
          <w:rtl w:val="true"/>
        </w:rPr>
        <w:footnoteReference w:id="71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بالجریان هنا؛لأنّ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فی القرآن الکریم فی البیع،بل لم یستعمل فیه إلّا فیه،بخلاف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دفع </w:t>
      </w:r>
      <w:r>
        <w:rPr>
          <w:rStyle w:val="FootnoteAnchor"/>
          <w:rtl w:val="true"/>
        </w:rPr>
        <w:footnoteReference w:id="714"/>
      </w:r>
      <w:r>
        <w:rPr>
          <w:rFonts w:ascii="IRNazanin" w:hAnsi="IRNazanin" w:eastAsia="IRNazanin"/>
          <w:color w:val="111111"/>
          <w:sz w:val="28"/>
          <w:sz w:val="28"/>
          <w:szCs w:val="28"/>
          <w:rtl w:val="true"/>
          <w:lang w:bidi="fa-IR"/>
        </w:rPr>
        <w:t>الإشکال فی تعیین المراد منه بقرینة تقدیمه الدالّ علی کونه إیجاباً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بناءً علی لزوم تقدیم الإیجاب علی القبول،و إمّا لغلبة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صحیح؛لأنّ الاعتماد علی القرینة الغیر اللفظیة فی تعیین المراد من ألفاظ العقود قد عرفت ما فیه </w:t>
      </w:r>
      <w:r>
        <w:rPr>
          <w:rStyle w:val="FootnoteAnchor"/>
          <w:rtl w:val="true"/>
        </w:rPr>
        <w:footnoteReference w:id="715"/>
      </w:r>
      <w:r>
        <w:rPr>
          <w:rFonts w:ascii="IRNazanin" w:hAnsi="IRNazanin" w:eastAsia="IRNazanin"/>
          <w:color w:val="111111"/>
          <w:sz w:val="28"/>
          <w:sz w:val="28"/>
          <w:szCs w:val="28"/>
          <w:rtl w:val="true"/>
          <w:lang w:bidi="fa-IR"/>
        </w:rPr>
        <w:t>،إلّا أن یدّعی أنّ ما ذکر سابقاً من اعتبار الصراحة مختصّ بصراحة اللفظ من حیث دلالته علی خصوص العقد،و تمیّزه عمّا عداه من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تمیّز إیجاب عقد معیّن عن قبوله الراجع إلی تمیّز البائع عن المشتری فلا یعتبر فیه الصراحة،بل یکفی استفادة المراد،و لو بقرینة المقام أو غلبته </w:t>
      </w:r>
      <w:r>
        <w:rPr>
          <w:rStyle w:val="FootnoteAnchor"/>
          <w:rtl w:val="true"/>
        </w:rPr>
        <w:footnoteReference w:id="716"/>
      </w:r>
      <w:r>
        <w:rPr>
          <w:rFonts w:ascii="IRNazanin" w:hAnsi="IRNazanin" w:eastAsia="IRNazanin"/>
          <w:color w:val="111111"/>
          <w:sz w:val="28"/>
          <w:sz w:val="28"/>
          <w:szCs w:val="28"/>
          <w:rtl w:val="true"/>
          <w:lang w:bidi="fa-IR"/>
        </w:rPr>
        <w:t xml:space="preserve">أو نحوهما </w:t>
      </w:r>
      <w:r>
        <w:rPr>
          <w:rStyle w:val="FootnoteAnchor"/>
          <w:rtl w:val="true"/>
        </w:rPr>
        <w:footnoteReference w:id="717"/>
      </w:r>
      <w:r>
        <w:rPr>
          <w:rFonts w:ascii="IRNazanin" w:hAnsi="IRNazanin" w:eastAsia="IRNazanin"/>
          <w:color w:val="111111"/>
          <w:sz w:val="28"/>
          <w:sz w:val="28"/>
          <w:szCs w:val="28"/>
          <w:rtl w:val="true"/>
          <w:lang w:bidi="fa-IR"/>
        </w:rPr>
        <w:t>،و فیه إشکال</w:t>
      </w:r>
      <w:r>
        <w:rPr>
          <w:rFonts w:eastAsia="IRNazanin" w:cs="IRNazanin"/>
          <w:color w:val="111111"/>
          <w:sz w:val="28"/>
          <w:szCs w:val="28"/>
          <w:rtl w:val="true"/>
          <w:lang w:bidi="fa-IR"/>
        </w:rPr>
        <w:t>.</w:t>
      </w:r>
    </w:p>
    <w:p>
      <w:pPr>
        <w:pStyle w:val="Heading5"/>
        <w:numPr>
          <w:ilvl w:val="4"/>
          <w:numId w:val="1"/>
        </w:numPr>
        <w:rPr/>
      </w:pPr>
      <w:bookmarkStart w:id="241" w:name="__RefHeading___Toc5082608_2314609296"/>
      <w:bookmarkStart w:id="242" w:name="_Toc95"/>
      <w:bookmarkEnd w:id="241"/>
      <w:r>
        <w:rPr>
          <w:rtl w:val="true"/>
        </w:rPr>
        <w:t>و أمّا القبول،</w:t>
      </w:r>
      <w:bookmarkEnd w:id="242"/>
    </w:p>
    <w:p>
      <w:pPr>
        <w:pStyle w:val="Heading6"/>
        <w:numPr>
          <w:ilvl w:val="5"/>
          <w:numId w:val="1"/>
        </w:numPr>
        <w:rPr/>
      </w:pPr>
      <w:bookmarkStart w:id="243" w:name="__RefHeading___Toc5082610_2314609296"/>
      <w:bookmarkStart w:id="244" w:name="_Toc96"/>
      <w:bookmarkEnd w:id="243"/>
      <w:r>
        <w:rPr>
          <w:rtl w:val="true"/>
        </w:rPr>
        <w:t>اشاره</w:t>
      </w:r>
      <w:bookmarkEnd w:id="24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ینبغی الإشکال فی وقوعه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مخفّفاً</w:t>
      </w:r>
      <w:r>
        <w:rPr>
          <w:rFonts w:eastAsia="IRNazanin" w:cs="IRNazanin"/>
          <w:color w:val="111111"/>
          <w:sz w:val="28"/>
          <w:szCs w:val="28"/>
          <w:rtl w:val="true"/>
          <w:lang w:bidi="fa-IR"/>
        </w:rPr>
        <w:t>.</w:t>
      </w:r>
      <w:bookmarkStart w:id="245" w:name="pg19763_247880"/>
    </w:p>
    <w:p>
      <w:pPr>
        <w:pStyle w:val="BookText"/>
        <w:rPr/>
      </w:pPr>
      <w:bookmarkEnd w:id="245"/>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ینقل إلّا من الجامع </w:t>
      </w:r>
      <w:r>
        <w:rPr>
          <w:rStyle w:val="FootnoteAnchor"/>
          <w:rtl w:val="true"/>
        </w:rPr>
        <w:footnoteReference w:id="718"/>
      </w:r>
      <w:r>
        <w:rPr>
          <w:rFonts w:ascii="IRNazanin" w:hAnsi="IRNazanin" w:eastAsia="IRNazanin"/>
          <w:color w:val="111111"/>
          <w:sz w:val="28"/>
          <w:sz w:val="28"/>
          <w:szCs w:val="28"/>
          <w:rtl w:val="true"/>
          <w:lang w:bidi="fa-IR"/>
        </w:rPr>
        <w:t>،مع أنّ المحکیّ عن جماعة من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اشتراکه بین البیع و الشراء </w:t>
      </w:r>
      <w:r>
        <w:rPr>
          <w:rStyle w:val="FootnoteAnchor"/>
          <w:rtl w:val="true"/>
        </w:rPr>
        <w:footnoteReference w:id="719"/>
      </w:r>
      <w:r>
        <w:rPr>
          <w:rFonts w:ascii="IRNazanin" w:hAnsi="IRNazanin" w:eastAsia="IRNazanin"/>
          <w:color w:val="111111"/>
          <w:sz w:val="28"/>
          <w:sz w:val="28"/>
          <w:szCs w:val="28"/>
          <w:rtl w:val="true"/>
          <w:lang w:bidi="fa-IR"/>
        </w:rPr>
        <w:t>،و لعلّ الإشکال فیه کإشکال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المحکیّ عن نهایة الإحکام و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بدل؛لأنّ القبول علی الحقیقة ممّا لا یمکن به الابتداء </w:t>
      </w:r>
      <w:r>
        <w:rPr>
          <w:rStyle w:val="FootnoteAnchor"/>
          <w:rtl w:val="true"/>
        </w:rPr>
        <w:footnoteReference w:id="720"/>
      </w:r>
      <w:r>
        <w:rPr>
          <w:rFonts w:ascii="IRNazanin" w:hAnsi="IRNazanin" w:eastAsia="IRNazanin"/>
          <w:color w:val="111111"/>
          <w:sz w:val="28"/>
          <w:sz w:val="28"/>
          <w:szCs w:val="28"/>
          <w:rtl w:val="true"/>
          <w:lang w:bidi="fa-IR"/>
        </w:rPr>
        <w:t>،و الابتداء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ممکن،و سیأتی توضیح ذلک فی اشتراط تقدیم الإیجاب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فی انعقاد القبول بلفظ الإمضاء و الإجازة و الإنفاذ و شبهها،وجهین</w:t>
      </w:r>
      <w:r>
        <w:rPr>
          <w:rFonts w:eastAsia="IRNazanin" w:cs="IRNazanin"/>
          <w:color w:val="111111"/>
          <w:sz w:val="28"/>
          <w:szCs w:val="28"/>
          <w:rtl w:val="true"/>
          <w:lang w:bidi="fa-IR"/>
        </w:rPr>
        <w:t>.</w:t>
      </w:r>
    </w:p>
    <w:p>
      <w:pPr>
        <w:pStyle w:val="Heading6"/>
        <w:numPr>
          <w:ilvl w:val="5"/>
          <w:numId w:val="1"/>
        </w:numPr>
        <w:rPr/>
      </w:pPr>
      <w:bookmarkStart w:id="246" w:name="__RefHeading___Toc5082612_2314609296"/>
      <w:bookmarkStart w:id="247" w:name="_Toc97"/>
      <w:bookmarkEnd w:id="246"/>
      <w:r>
        <w:rPr>
          <w:rtl w:val="true"/>
        </w:rPr>
        <w:t>«</w:t>
      </w:r>
      <w:r>
        <w:rPr>
          <w:rtl w:val="true"/>
        </w:rPr>
        <w:t>فرع</w:t>
      </w:r>
      <w:r>
        <w:rPr>
          <w:rtl w:val="true"/>
        </w:rPr>
        <w:t>»</w:t>
      </w:r>
      <w:bookmarkEnd w:id="24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أوقعا العقد بالألفاظ المشترکة بین الإیجاب و القبول،ثمّ اختلفا فی تعیین الموجب و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بناءً علی جواز تقدیم القبول،و إمّا من جهة اختلافهما فی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الحکم بالتحالف،ثمّ عدم ترتّب الآثار المختصّة بکلٍّ من البیع و الاشتراء علی واحدٍ منهما</w:t>
      </w:r>
      <w:r>
        <w:rPr>
          <w:rFonts w:eastAsia="IRNazanin" w:cs="IRNazanin"/>
          <w:color w:val="111111"/>
          <w:sz w:val="28"/>
          <w:szCs w:val="28"/>
          <w:rtl w:val="true"/>
          <w:lang w:bidi="fa-IR"/>
        </w:rPr>
        <w:t>.</w:t>
      </w:r>
      <w:bookmarkStart w:id="248" w:name="pg19763_247881"/>
    </w:p>
    <w:p>
      <w:pPr>
        <w:pStyle w:val="Heading4"/>
        <w:numPr>
          <w:ilvl w:val="3"/>
          <w:numId w:val="1"/>
        </w:numPr>
        <w:rPr/>
      </w:pPr>
      <w:bookmarkStart w:id="249" w:name="__RefHeading___Toc5082614_2314609296"/>
      <w:bookmarkStart w:id="250" w:name="_Toc98"/>
      <w:bookmarkEnd w:id="248"/>
      <w:bookmarkEnd w:id="249"/>
      <w:r>
        <w:rPr>
          <w:rtl w:val="true"/>
        </w:rPr>
        <w:t xml:space="preserve">مسألة </w:t>
      </w:r>
      <w:r>
        <w:rPr>
          <w:rtl w:val="true"/>
        </w:rPr>
        <w:t>[</w:t>
      </w:r>
      <w:r>
        <w:rPr>
          <w:rtl w:val="true"/>
        </w:rPr>
        <w:t>فی اشتراط العربیة</w:t>
      </w:r>
      <w:r>
        <w:rPr>
          <w:rtl w:val="true"/>
        </w:rPr>
        <w:t>]</w:t>
      </w:r>
      <w:bookmarkEnd w:id="250"/>
    </w:p>
    <w:p>
      <w:pPr>
        <w:pStyle w:val="BookText"/>
        <w:rPr/>
      </w:pPr>
      <w:r>
        <w:rPr>
          <w:rFonts w:ascii="IRNazanin" w:hAnsi="IRNazanin" w:eastAsia="IRNazanin"/>
          <w:color w:val="111111"/>
          <w:sz w:val="28"/>
          <w:sz w:val="28"/>
          <w:szCs w:val="28"/>
          <w:rtl w:val="true"/>
          <w:lang w:bidi="fa-IR"/>
        </w:rPr>
        <w:t>المحکیّ عن جماعة،منهم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عمید الدین </w:t>
      </w:r>
      <w:r>
        <w:rPr>
          <w:rStyle w:val="FootnoteAnchor"/>
          <w:rtl w:val="true"/>
        </w:rPr>
        <w:footnoteReference w:id="722"/>
      </w:r>
      <w:r>
        <w:rPr>
          <w:rFonts w:ascii="IRNazanin" w:hAnsi="IRNazanin" w:eastAsia="IRNazanin"/>
          <w:color w:val="111111"/>
          <w:sz w:val="28"/>
          <w:sz w:val="28"/>
          <w:szCs w:val="28"/>
          <w:rtl w:val="true"/>
          <w:lang w:bidi="fa-IR"/>
        </w:rPr>
        <w:t xml:space="preserve">و الفاضل المقداد </w:t>
      </w:r>
      <w:r>
        <w:rPr>
          <w:rStyle w:val="FootnoteAnchor"/>
          <w:rtl w:val="true"/>
        </w:rPr>
        <w:footnoteReference w:id="723"/>
      </w:r>
      <w:r>
        <w:rPr>
          <w:rFonts w:ascii="Amiri" w:hAnsi="Amiri" w:eastAsia="Amiri" w:cs="Amiri"/>
          <w:color w:val="111111"/>
          <w:sz w:val="28"/>
          <w:sz w:val="28"/>
          <w:szCs w:val="28"/>
          <w:rtl w:val="true"/>
          <w:lang w:bidi="ar-SA"/>
        </w:rPr>
        <w:t xml:space="preserve">و المحقّق </w:t>
      </w:r>
      <w:r>
        <w:rPr>
          <w:rStyle w:val="FootnoteAnchor"/>
          <w:rtl w:val="true"/>
        </w:rPr>
        <w:footnoteReference w:id="724"/>
      </w:r>
      <w:r>
        <w:rPr>
          <w:rFonts w:ascii="IRNazanin" w:hAnsi="IRNazanin" w:eastAsia="IRNazanin"/>
          <w:color w:val="111111"/>
          <w:sz w:val="28"/>
          <w:sz w:val="28"/>
          <w:szCs w:val="28"/>
          <w:rtl w:val="true"/>
          <w:lang w:bidi="fa-IR"/>
        </w:rPr>
        <w:t xml:space="preserve">و الشهید </w:t>
      </w:r>
      <w:r>
        <w:rPr>
          <w:rStyle w:val="FootnoteAnchor"/>
          <w:rtl w:val="true"/>
        </w:rPr>
        <w:footnoteReference w:id="725"/>
      </w:r>
      <w:r>
        <w:rPr>
          <w:rFonts w:ascii="IRNazanin" w:hAnsi="IRNazanin" w:eastAsia="IRNazanin"/>
          <w:color w:val="111111"/>
          <w:sz w:val="28"/>
          <w:sz w:val="28"/>
          <w:szCs w:val="28"/>
          <w:rtl w:val="true"/>
          <w:lang w:bidi="fa-IR"/>
        </w:rPr>
        <w:t>الثانیان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العربیّة فی العقد؛للتأسّی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عدم صحّته بالعربی الغیر الماضی یستلزم عدم صحّته بغیر العربی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الوجهین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صدق العقد علی غیر العربی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فالأقوی صحّته بغیر العربی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یعتبر عدم اللحن من حیث المادّة و الهیئة،بناءً علی اشتراط العربی؟الأقوی ذلک؛بناءً علی أنّ دلیل اعتبار العربیة هو لزوم الاقتصار علی المتیقّن من أسباب النقل،و کذا اللحن فی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،فصحّح الأوّل دون الثانی إلّا مع العجز عن التعلّم </w:t>
      </w:r>
      <w:r>
        <w:rPr>
          <w:rStyle w:val="FootnoteAnchor"/>
          <w:rtl w:val="true"/>
        </w:rPr>
        <w:footnoteReference w:id="727"/>
      </w:r>
      <w:r>
        <w:rPr>
          <w:rFonts w:ascii="IRNazanin" w:hAnsi="IRNazanin" w:eastAsia="IRNazanin"/>
          <w:color w:val="111111"/>
          <w:sz w:val="28"/>
          <w:sz w:val="28"/>
          <w:szCs w:val="28"/>
          <w:rtl w:val="true"/>
          <w:lang w:bidi="fa-IR"/>
        </w:rPr>
        <w:t xml:space="preserve">و التوکیل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لعلّه لعدم معنی صحیح فی الأوّل إلّا البیع،بخلاف التجویز </w:t>
      </w:r>
      <w:r>
        <w:rPr>
          <w:rStyle w:val="FootnoteAnchor"/>
          <w:rtl w:val="true"/>
        </w:rPr>
        <w:footnoteReference w:id="729"/>
      </w:r>
      <w:r>
        <w:rPr>
          <w:rFonts w:ascii="IRNazanin" w:hAnsi="IRNazanin" w:eastAsia="IRNazanin"/>
          <w:color w:val="111111"/>
          <w:sz w:val="28"/>
          <w:sz w:val="28"/>
          <w:szCs w:val="28"/>
          <w:rtl w:val="true"/>
          <w:lang w:bidi="fa-IR"/>
        </w:rPr>
        <w:t>فإنّ له معنیً آخر،فاستعماله فی التزویج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اللغات المحرّفة لا بأس بها إذا لم یتغیّر بها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هل المعتبر </w:t>
      </w:r>
      <w:r>
        <w:rPr>
          <w:rStyle w:val="FootnoteAnchor"/>
          <w:rtl w:val="true"/>
        </w:rPr>
        <w:footnoteReference w:id="730"/>
      </w:r>
      <w:r>
        <w:rPr>
          <w:rFonts w:ascii="IRNazanin" w:hAnsi="IRNazanin" w:eastAsia="IRNazanin"/>
          <w:color w:val="111111"/>
          <w:sz w:val="28"/>
          <w:sz w:val="28"/>
          <w:szCs w:val="28"/>
          <w:rtl w:val="true"/>
          <w:lang w:bidi="fa-IR"/>
        </w:rPr>
        <w:t xml:space="preserve">عربیة جمیع أجزاء الإیجاب و القبول،کالثمن و المثمن،أم یکفی عربیة الصیغة الدالّة علی إنشاء الإیجاب و القبول،حتی لو </w:t>
      </w:r>
      <w:r>
        <w:rPr>
          <w:rStyle w:val="FootnoteAnchor"/>
          <w:rtl w:val="true"/>
        </w:rPr>
        <w:footnoteReference w:id="7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این کتاب را به ده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کفی؟الأقوی </w:t>
      </w:r>
      <w:r>
        <w:rPr>
          <w:rStyle w:val="FootnoteAnchor"/>
          <w:rtl w:val="true"/>
        </w:rPr>
        <w:footnoteReference w:id="732"/>
      </w:r>
      <w:r>
        <w:rPr>
          <w:rFonts w:ascii="IRNazanin" w:hAnsi="IRNazanin" w:eastAsia="IRNazanin"/>
          <w:color w:val="111111"/>
          <w:sz w:val="28"/>
          <w:sz w:val="28"/>
          <w:szCs w:val="28"/>
          <w:rtl w:val="true"/>
          <w:lang w:bidi="fa-IR"/>
        </w:rPr>
        <w:t>هو الأوّل؛لأنّ غیر العربی کالمعدوم،فکأنه لم یذکر فی الکلام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لم یعتبر ذکر متعلّقات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یجب فی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اکتفی بانفهامها و لو من غیر اللفظ،صحّ الوجه الثانی </w:t>
      </w:r>
      <w:r>
        <w:rPr>
          <w:rStyle w:val="FootnoteAnchor"/>
          <w:rtl w:val="true"/>
        </w:rPr>
        <w:footnoteReference w:id="733"/>
      </w:r>
      <w:r>
        <w:rPr>
          <w:rFonts w:ascii="Amiri" w:hAnsi="Amiri" w:eastAsia="Amiri" w:cs="Amiri"/>
          <w:color w:val="111111"/>
          <w:sz w:val="28"/>
          <w:sz w:val="28"/>
          <w:szCs w:val="28"/>
          <w:rtl w:val="true"/>
          <w:lang w:bidi="ar-SA"/>
        </w:rPr>
        <w:t>،لکنّ</w:t>
      </w:r>
    </w:p>
    <w:p>
      <w:pPr>
        <w:pStyle w:val="BookText"/>
        <w:rPr/>
      </w:pPr>
      <w:r>
        <w:rPr>
          <w:rFonts w:ascii="IRNazanin" w:hAnsi="IRNazanin" w:eastAsia="IRNazanin"/>
          <w:color w:val="111111"/>
          <w:sz w:val="28"/>
          <w:sz w:val="28"/>
          <w:szCs w:val="28"/>
          <w:rtl w:val="true"/>
          <w:lang w:bidi="fa-IR"/>
        </w:rPr>
        <w:t>الشهید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المراد فی مسألة تقدیم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علی وجوب ذکر العوضین فی الإیجاب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هل یعتبر کون المتکلّم عالماً تفصیلاً بمعنی اللفظ،بأن یکون فارقاً بین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یکفی مجرّد علمه بأنّ هذا اللفظ یستعمل فی لغة العرب لإنشاء البیع؟الظاهر هو الأوّل؛لأنّ عربیة الکلام لیست باقتضاء نفس الکلام،بل بقصد </w:t>
      </w:r>
      <w:r>
        <w:rPr>
          <w:rStyle w:val="FootnoteAnchor"/>
          <w:rtl w:val="true"/>
        </w:rPr>
        <w:footnoteReference w:id="735"/>
      </w:r>
      <w:r>
        <w:rPr>
          <w:rFonts w:ascii="IRNazanin" w:hAnsi="IRNazanin" w:eastAsia="IRNazanin"/>
          <w:color w:val="111111"/>
          <w:sz w:val="28"/>
          <w:sz w:val="28"/>
          <w:szCs w:val="28"/>
          <w:rtl w:val="true"/>
          <w:lang w:bidi="fa-IR"/>
        </w:rPr>
        <w:t>المتکلّم منه المعنی الذی وضع له عند العرب،فلا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تکلّم و ادّی المطلب علی طبق لسان العرب،إلّا إذا میّز بین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أوجدت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علی هذا لا یکفی </w:t>
      </w:r>
      <w:r>
        <w:rPr>
          <w:rStyle w:val="FootnoteAnchor"/>
          <w:rtl w:val="true"/>
        </w:rPr>
        <w:footnoteReference w:id="736"/>
      </w:r>
      <w:r>
        <w:rPr>
          <w:rFonts w:ascii="Amiri" w:hAnsi="Amiri" w:eastAsia="Amiri" w:cs="Amiri"/>
          <w:color w:val="111111"/>
          <w:sz w:val="28"/>
          <w:sz w:val="28"/>
          <w:szCs w:val="28"/>
          <w:rtl w:val="true"/>
          <w:lang w:bidi="ar-SA"/>
        </w:rPr>
        <w:t>معرفة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مرادف لقوله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یعرف أنّ المیم فی الفارسی عوض تاء المتکلّم،فیمیّز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ینبغی ترک الاحتیاط و إن کان فی تعیّنه نظر </w:t>
      </w:r>
      <w:r>
        <w:rPr>
          <w:rStyle w:val="FootnoteAnchor"/>
          <w:rtl w:val="true"/>
        </w:rPr>
        <w:footnoteReference w:id="737"/>
      </w:r>
      <w:r>
        <w:rPr>
          <w:rFonts w:ascii="Amiri" w:hAnsi="Amiri" w:eastAsia="Amiri" w:cs="Amiri"/>
          <w:color w:val="111111"/>
          <w:sz w:val="28"/>
          <w:sz w:val="28"/>
          <w:szCs w:val="28"/>
          <w:rtl w:val="true"/>
          <w:lang w:bidi="ar-SA"/>
        </w:rPr>
        <w:t xml:space="preserve">و لذا نصّ بعضٌ </w:t>
      </w:r>
      <w:r>
        <w:rPr>
          <w:rStyle w:val="FootnoteAnchor"/>
          <w:rtl w:val="true"/>
        </w:rPr>
        <w:footnoteReference w:id="738"/>
      </w:r>
      <w:r>
        <w:rPr>
          <w:rFonts w:ascii="IRNazanin" w:hAnsi="IRNazanin" w:eastAsia="IRNazanin"/>
          <w:color w:val="111111"/>
          <w:sz w:val="28"/>
          <w:sz w:val="28"/>
          <w:szCs w:val="28"/>
          <w:rtl w:val="true"/>
          <w:lang w:bidi="fa-IR"/>
        </w:rPr>
        <w:t>علی عدمه</w:t>
      </w:r>
      <w:r>
        <w:rPr>
          <w:rFonts w:eastAsia="IRNazanin" w:cs="IRNazanin"/>
          <w:color w:val="111111"/>
          <w:sz w:val="28"/>
          <w:szCs w:val="28"/>
          <w:rtl w:val="true"/>
          <w:lang w:bidi="fa-IR"/>
        </w:rPr>
        <w:t>.</w:t>
      </w:r>
      <w:bookmarkStart w:id="251" w:name="pg19763_247884"/>
    </w:p>
    <w:p>
      <w:pPr>
        <w:pStyle w:val="Heading4"/>
        <w:numPr>
          <w:ilvl w:val="3"/>
          <w:numId w:val="1"/>
        </w:numPr>
        <w:rPr/>
      </w:pPr>
      <w:bookmarkStart w:id="252" w:name="__RefHeading___Toc5082616_2314609296"/>
      <w:bookmarkStart w:id="253" w:name="_Toc99"/>
      <w:bookmarkEnd w:id="251"/>
      <w:bookmarkEnd w:id="252"/>
      <w:r>
        <w:rPr>
          <w:rtl w:val="true"/>
        </w:rPr>
        <w:t xml:space="preserve">مسألة </w:t>
      </w:r>
      <w:r>
        <w:rPr>
          <w:rtl w:val="true"/>
        </w:rPr>
        <w:t>[</w:t>
      </w:r>
      <w:r>
        <w:rPr>
          <w:rtl w:val="true"/>
        </w:rPr>
        <w:t>اشتراط الماضویة</w:t>
      </w:r>
      <w:r>
        <w:rPr>
          <w:rtl w:val="true"/>
        </w:rPr>
        <w:t>]</w:t>
      </w:r>
      <w:bookmarkEnd w:id="253"/>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غیر واحد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الماضویّة،بل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عدم وقوعه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منّی</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و لعلّه لصراحته فی الإنشاء؛إذ المستقبل أشبه بالوعد،و الأمر استدعاء لا إیجاب،مع أنّ قصد الإنشاء فی المستقبل خلاف المتعارف</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القاضی فی الکامل و المهذّب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اعتبارها؛و لعلّه لإطلاق البیع و التجارة و عموم العقود،و ما دلّ فی بیع الآبق </w:t>
      </w:r>
      <w:r>
        <w:rPr>
          <w:rStyle w:val="FootnoteAnchor"/>
          <w:rtl w:val="true"/>
        </w:rPr>
        <w:footnoteReference w:id="742"/>
      </w:r>
      <w:r>
        <w:rPr>
          <w:rFonts w:ascii="IRNazanin" w:hAnsi="IRNazanin" w:eastAsia="IRNazanin"/>
          <w:color w:val="111111"/>
          <w:sz w:val="28"/>
          <w:sz w:val="28"/>
          <w:szCs w:val="28"/>
          <w:rtl w:val="true"/>
          <w:lang w:bidi="fa-IR"/>
        </w:rPr>
        <w:t xml:space="preserve">و اللّبن فی الضرع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الإیجاب بلفظ المضارع،و فحوی ما دلّ علیه</w:t>
      </w:r>
    </w:p>
    <w:p>
      <w:pPr>
        <w:pStyle w:val="BookText"/>
        <w:rPr/>
      </w:pPr>
      <w:r>
        <w:rPr>
          <w:rFonts w:ascii="IRNazanin" w:hAnsi="IRNazanin" w:eastAsia="IRNazanin"/>
          <w:color w:val="111111"/>
          <w:sz w:val="28"/>
          <w:sz w:val="28"/>
          <w:szCs w:val="28"/>
          <w:rtl w:val="true"/>
          <w:lang w:bidi="fa-IR"/>
        </w:rPr>
        <w:t xml:space="preserve">فی النکاح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یخلو هذا من قوّة لو فرض صراحة المضارع فی الإنشاء علی وجهٍ لا یحتاج إلی قرینة المقام،فتأمّل</w:t>
      </w:r>
      <w:r>
        <w:rPr>
          <w:rFonts w:eastAsia="IRNazanin" w:cs="IRNazanin"/>
          <w:color w:val="111111"/>
          <w:sz w:val="28"/>
          <w:szCs w:val="28"/>
          <w:rtl w:val="true"/>
          <w:lang w:bidi="fa-IR"/>
        </w:rPr>
        <w:t>.</w:t>
      </w:r>
      <w:bookmarkStart w:id="254" w:name="pg19763_247886"/>
    </w:p>
    <w:p>
      <w:pPr>
        <w:pStyle w:val="Heading4"/>
        <w:numPr>
          <w:ilvl w:val="3"/>
          <w:numId w:val="1"/>
        </w:numPr>
        <w:rPr/>
      </w:pPr>
      <w:bookmarkStart w:id="255" w:name="__RefHeading___Toc5082618_2314609296"/>
      <w:bookmarkStart w:id="256" w:name="_Toc100"/>
      <w:bookmarkEnd w:id="254"/>
      <w:bookmarkEnd w:id="255"/>
      <w:r>
        <w:rPr>
          <w:rtl w:val="true"/>
        </w:rPr>
        <w:t>مسألة فی شرطیة الترتیب بین الإیجاب و القبول</w:t>
      </w:r>
      <w:bookmarkEnd w:id="256"/>
    </w:p>
    <w:p>
      <w:pPr>
        <w:pStyle w:val="BookText"/>
        <w:rPr/>
      </w:pPr>
      <w:r>
        <w:rPr>
          <w:rFonts w:ascii="IRNazanin" w:hAnsi="IRNazanin" w:eastAsia="IRNazanin"/>
          <w:color w:val="111111"/>
          <w:sz w:val="28"/>
          <w:sz w:val="28"/>
          <w:szCs w:val="28"/>
          <w:rtl w:val="true"/>
          <w:lang w:bidi="fa-IR"/>
        </w:rPr>
        <w:t>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قیل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تقدیم الإیجاب علی القبول،و به صرّح فی الخلاف </w:t>
      </w:r>
      <w:r>
        <w:rPr>
          <w:rStyle w:val="FootnoteAnchor"/>
          <w:rtl w:val="true"/>
        </w:rPr>
        <w:footnoteReference w:id="746"/>
      </w:r>
      <w:r>
        <w:rPr>
          <w:rFonts w:ascii="IRNazanin" w:hAnsi="IRNazanin" w:eastAsia="IRNazanin"/>
          <w:color w:val="111111"/>
          <w:sz w:val="28"/>
          <w:sz w:val="28"/>
          <w:szCs w:val="28"/>
          <w:rtl w:val="true"/>
          <w:lang w:bidi="fa-IR"/>
        </w:rPr>
        <w:t xml:space="preserve">و الوسیلة </w:t>
      </w:r>
      <w:r>
        <w:rPr>
          <w:rStyle w:val="FootnoteAnchor"/>
          <w:rtl w:val="true"/>
        </w:rPr>
        <w:footnoteReference w:id="747"/>
      </w:r>
      <w:r>
        <w:rPr>
          <w:rFonts w:ascii="IRNazanin" w:hAnsi="IRNazanin" w:eastAsia="IRNazanin"/>
          <w:color w:val="111111"/>
          <w:sz w:val="28"/>
          <w:sz w:val="28"/>
          <w:szCs w:val="28"/>
          <w:rtl w:val="true"/>
          <w:lang w:bidi="fa-IR"/>
        </w:rPr>
        <w:t xml:space="preserve">و السرائر </w:t>
      </w:r>
      <w:r>
        <w:rPr>
          <w:rStyle w:val="FootnoteAnchor"/>
          <w:rtl w:val="true"/>
        </w:rPr>
        <w:footnoteReference w:id="748"/>
      </w:r>
      <w:r>
        <w:rPr>
          <w:rFonts w:ascii="IRNazanin" w:hAnsi="IRNazanin" w:eastAsia="IRNazanin"/>
          <w:color w:val="111111"/>
          <w:sz w:val="28"/>
          <w:sz w:val="28"/>
          <w:szCs w:val="28"/>
          <w:rtl w:val="true"/>
          <w:lang w:bidi="fa-IR"/>
        </w:rPr>
        <w:t xml:space="preserve">و التذکرة </w:t>
      </w:r>
      <w:r>
        <w:rPr>
          <w:rStyle w:val="FootnoteAnchor"/>
          <w:rtl w:val="true"/>
        </w:rPr>
        <w:footnoteReference w:id="749"/>
      </w:r>
      <w:r>
        <w:rPr>
          <w:rFonts w:ascii="IRNazanin" w:hAnsi="IRNazanin" w:eastAsia="IRNazanin"/>
          <w:color w:val="111111"/>
          <w:sz w:val="28"/>
          <w:sz w:val="28"/>
          <w:szCs w:val="28"/>
          <w:rtl w:val="true"/>
          <w:lang w:bidi="fa-IR"/>
        </w:rPr>
        <w:t xml:space="preserve">،کما عن الإیضاح </w:t>
      </w:r>
      <w:r>
        <w:rPr>
          <w:rStyle w:val="FootnoteAnchor"/>
          <w:rtl w:val="true"/>
        </w:rPr>
        <w:footnoteReference w:id="750"/>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751"/>
      </w:r>
      <w:r>
        <w:rPr>
          <w:rFonts w:ascii="IRNazanin" w:hAnsi="IRNazanin" w:eastAsia="IRNazanin"/>
          <w:color w:val="111111"/>
          <w:sz w:val="28"/>
          <w:sz w:val="28"/>
          <w:szCs w:val="28"/>
          <w:rtl w:val="true"/>
          <w:lang w:bidi="fa-IR"/>
        </w:rPr>
        <w:t xml:space="preserve">و لعلّه للأصل </w:t>
      </w:r>
      <w:r>
        <w:rPr>
          <w:rStyle w:val="FootnoteAnchor"/>
          <w:rtl w:val="true"/>
        </w:rPr>
        <w:footnoteReference w:id="752"/>
      </w:r>
      <w:r>
        <w:rPr>
          <w:rFonts w:ascii="IRNazanin" w:hAnsi="IRNazanin" w:eastAsia="IRNazanin"/>
          <w:color w:val="111111"/>
          <w:sz w:val="28"/>
          <w:sz w:val="28"/>
          <w:szCs w:val="28"/>
          <w:rtl w:val="true"/>
          <w:lang w:bidi="fa-IR"/>
        </w:rPr>
        <w:t xml:space="preserve">بعد حمل آیة وجوب الوفاء </w:t>
      </w:r>
      <w:r>
        <w:rPr>
          <w:rStyle w:val="FootnoteAnchor"/>
          <w:rtl w:val="true"/>
        </w:rPr>
        <w:footnoteReference w:id="753"/>
      </w:r>
      <w:r>
        <w:rPr>
          <w:rFonts w:ascii="IRNazanin" w:hAnsi="IRNazanin" w:eastAsia="IRNazanin"/>
          <w:color w:val="111111"/>
          <w:sz w:val="28"/>
          <w:sz w:val="28"/>
          <w:szCs w:val="28"/>
          <w:rtl w:val="true"/>
          <w:lang w:bidi="fa-IR"/>
        </w:rPr>
        <w:t>علی العقود المتعارفة،کإطلاق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و السنّة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القبول فرع الإیجاب فلا یتقدّم علیه،و أنّه تابع</w:t>
      </w:r>
    </w:p>
    <w:p>
      <w:pPr>
        <w:pStyle w:val="BookText"/>
        <w:rPr/>
      </w:pPr>
      <w:r>
        <w:rPr>
          <w:rFonts w:ascii="Amiri" w:hAnsi="Amiri" w:eastAsia="Amiri" w:cs="Amiri"/>
          <w:color w:val="111111"/>
          <w:sz w:val="28"/>
          <w:sz w:val="28"/>
          <w:szCs w:val="28"/>
          <w:rtl w:val="true"/>
          <w:lang w:bidi="ar-SA"/>
        </w:rPr>
        <w:t xml:space="preserve">له فلا یصحّ تقدّمه علیه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فی </w:t>
      </w:r>
      <w:r>
        <w:rPr>
          <w:rStyle w:val="FootnoteAnchor"/>
          <w:rtl w:val="true"/>
        </w:rPr>
        <w:footnoteReference w:id="755"/>
      </w:r>
      <w:r>
        <w:rPr>
          <w:rFonts w:ascii="IRNazanin" w:hAnsi="IRNazanin" w:eastAsia="IRNazanin"/>
          <w:color w:val="111111"/>
          <w:sz w:val="28"/>
          <w:sz w:val="28"/>
          <w:szCs w:val="28"/>
          <w:rtl w:val="true"/>
          <w:lang w:bidi="fa-IR"/>
        </w:rPr>
        <w:t>غایة المراد عن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756"/>
      </w:r>
      <w:r>
        <w:rPr>
          <w:rFonts w:ascii="IRNazanin" w:hAnsi="IRNazanin" w:eastAsia="IRNazanin"/>
          <w:color w:val="111111"/>
          <w:sz w:val="28"/>
          <w:sz w:val="28"/>
          <w:szCs w:val="28"/>
          <w:rtl w:val="true"/>
          <w:lang w:bidi="fa-IR"/>
        </w:rPr>
        <w:t xml:space="preserve">،و لیس فی الخلاف فی هذه المسألة إلّا أنّ البیع مع تقدیم </w:t>
      </w:r>
      <w:r>
        <w:rPr>
          <w:rStyle w:val="FootnoteAnchor"/>
          <w:rtl w:val="true"/>
        </w:rPr>
        <w:footnoteReference w:id="757"/>
      </w:r>
      <w:r>
        <w:rPr>
          <w:rFonts w:ascii="IRNazanin" w:hAnsi="IRNazanin" w:eastAsia="IRNazanin"/>
          <w:color w:val="111111"/>
          <w:sz w:val="28"/>
          <w:sz w:val="28"/>
          <w:szCs w:val="28"/>
          <w:rtl w:val="true"/>
          <w:lang w:bidi="fa-IR"/>
        </w:rPr>
        <w:t xml:space="preserve">الإیجاب متّفق علیه فیؤخذ به،فراجع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للشیخ فی المبسوط فی باب النکاح،و إن وافق الخلاف فی البیع </w:t>
      </w:r>
      <w:r>
        <w:rPr>
          <w:rStyle w:val="FootnoteAnchor"/>
          <w:rtl w:val="true"/>
        </w:rPr>
        <w:footnoteReference w:id="759"/>
      </w:r>
      <w:r>
        <w:rPr>
          <w:rFonts w:ascii="IRNazanin" w:hAnsi="IRNazanin" w:eastAsia="IRNazanin"/>
          <w:color w:val="111111"/>
          <w:sz w:val="28"/>
          <w:sz w:val="28"/>
          <w:szCs w:val="28"/>
          <w:rtl w:val="true"/>
          <w:lang w:bidi="fa-IR"/>
        </w:rPr>
        <w:t>إلّا أنّه عدل عنه فی باب النکاح،بل ظاهر کلامه عدم الخلاف فی صحّته بین الإمامیة؛حیث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أنّ تقدیم القبول بلفظ الأمر فی النکاح بأن یقول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البیع،فإنّه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عندنا و عند قومٍ من المخالفین،و قال قومٌ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حتی یسبق الإیجاب </w:t>
      </w:r>
      <w:r>
        <w:rPr>
          <w:rStyle w:val="FootnoteAnchor"/>
          <w:rtl w:val="true"/>
        </w:rPr>
        <w:footnoteReference w:id="76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کان،فنسبة القول الأوّل إلی المبسوط مستند إلی کلامه فی باب البیع،و أمّا فی باب النکاح فکلامه صریح فی جواز التقدیم،</w:t>
      </w:r>
    </w:p>
    <w:p>
      <w:pPr>
        <w:pStyle w:val="BookText"/>
        <w:rPr/>
      </w:pPr>
      <w:r>
        <w:rPr>
          <w:rFonts w:ascii="IRNazanin" w:hAnsi="IRNazanin" w:eastAsia="IRNazanin"/>
          <w:color w:val="111111"/>
          <w:sz w:val="28"/>
          <w:sz w:val="28"/>
          <w:szCs w:val="28"/>
          <w:rtl w:val="true"/>
          <w:lang w:bidi="fa-IR"/>
        </w:rPr>
        <w:t xml:space="preserve">کالمحقّق رحمه اللّه فی الشرائع </w:t>
      </w:r>
      <w:r>
        <w:rPr>
          <w:rStyle w:val="FootnoteAnchor"/>
          <w:rtl w:val="true"/>
        </w:rPr>
        <w:footnoteReference w:id="761"/>
      </w:r>
      <w:r>
        <w:rPr>
          <w:rFonts w:ascii="IRNazanin" w:hAnsi="IRNazanin" w:eastAsia="IRNazanin"/>
          <w:color w:val="111111"/>
          <w:sz w:val="28"/>
          <w:sz w:val="28"/>
          <w:szCs w:val="28"/>
          <w:rtl w:val="true"/>
          <w:lang w:bidi="fa-IR"/>
        </w:rPr>
        <w:t xml:space="preserve">و العلّامة فی التحریر </w:t>
      </w:r>
      <w:r>
        <w:rPr>
          <w:rStyle w:val="FootnoteAnchor"/>
          <w:rtl w:val="true"/>
        </w:rPr>
        <w:footnoteReference w:id="762"/>
      </w:r>
      <w:r>
        <w:rPr>
          <w:rFonts w:ascii="IRNazanin" w:hAnsi="IRNazanin" w:eastAsia="IRNazanin"/>
          <w:color w:val="111111"/>
          <w:sz w:val="28"/>
          <w:sz w:val="28"/>
          <w:szCs w:val="28"/>
          <w:rtl w:val="true"/>
          <w:lang w:bidi="fa-IR"/>
        </w:rPr>
        <w:t xml:space="preserve">و الشهیدین فی بعض کتبهما </w:t>
      </w:r>
      <w:r>
        <w:rPr>
          <w:rStyle w:val="FootnoteAnchor"/>
          <w:rtl w:val="true"/>
        </w:rPr>
        <w:footnoteReference w:id="763"/>
      </w:r>
      <w:r>
        <w:rPr>
          <w:rFonts w:ascii="Amiri" w:hAnsi="Amiri" w:eastAsia="Amiri" w:cs="Amiri"/>
          <w:color w:val="111111"/>
          <w:sz w:val="28"/>
          <w:sz w:val="28"/>
          <w:szCs w:val="28"/>
          <w:rtl w:val="true"/>
          <w:lang w:bidi="ar-SA"/>
        </w:rPr>
        <w:t xml:space="preserve">و جماعة ممّن تأخّر عنهما </w:t>
      </w:r>
      <w:r>
        <w:rPr>
          <w:rStyle w:val="FootnoteAnchor"/>
          <w:rtl w:val="true"/>
        </w:rPr>
        <w:footnoteReference w:id="764"/>
      </w:r>
      <w:r>
        <w:rPr>
          <w:rFonts w:ascii="IRNazanin" w:hAnsi="IRNazanin" w:eastAsia="IRNazanin"/>
          <w:color w:val="111111"/>
          <w:sz w:val="28"/>
          <w:sz w:val="28"/>
          <w:szCs w:val="28"/>
          <w:rtl w:val="true"/>
          <w:lang w:bidi="fa-IR"/>
        </w:rPr>
        <w:t>للعمومات السلیمة عمّا یصلح لتخصیصها،و فحوی جوازه فی النکاح الثابت بالأخبار،مثل خبر أبان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کیفیة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 علی صحّة تقدیم القبول بقوله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أتزوّجکِ متعةً علی کتاب اللّه و سنّة رسول اللّه </w:t>
      </w:r>
      <w:r>
        <w:rPr>
          <w:rStyle w:val="FootnoteAnchor"/>
          <w:rtl w:val="true"/>
        </w:rPr>
        <w:footnoteReference w:id="765"/>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امرأتک و أنت أولی الناس بها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سهل الساعدی المشهورة فی کتب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قیل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المشتملة علی تقدیم القبول من الزوج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زوّجنیها</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القبول إمّا أن یکون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أن یکون بطریق الأمر و الاستیجاب،نحو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المخاطب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عدم جواز تقدیمه،وفاقاً لمن عرفته </w:t>
      </w:r>
      <w:r>
        <w:rPr>
          <w:rStyle w:val="FootnoteAnchor"/>
          <w:rtl w:val="true"/>
        </w:rPr>
        <w:footnoteReference w:id="769"/>
      </w:r>
      <w:r>
        <w:rPr>
          <w:rFonts w:ascii="IRNazanin" w:hAnsi="IRNazanin" w:eastAsia="IRNazanin"/>
          <w:color w:val="111111"/>
          <w:sz w:val="28"/>
          <w:sz w:val="28"/>
          <w:szCs w:val="28"/>
          <w:rtl w:val="true"/>
          <w:lang w:bidi="fa-IR"/>
        </w:rPr>
        <w:t xml:space="preserve">فی صدر المسألة </w:t>
      </w:r>
      <w:r>
        <w:rPr>
          <w:rStyle w:val="FootnoteAnchor"/>
          <w:rtl w:val="true"/>
        </w:rPr>
        <w:footnoteReference w:id="770"/>
      </w:r>
      <w:r>
        <w:rPr>
          <w:rFonts w:ascii="Amiri" w:hAnsi="Amiri" w:eastAsia="Amiri" w:cs="Amiri"/>
          <w:color w:val="111111"/>
          <w:sz w:val="28"/>
          <w:sz w:val="28"/>
          <w:szCs w:val="28"/>
          <w:rtl w:val="true"/>
          <w:lang w:bidi="ar-SA"/>
        </w:rPr>
        <w:t xml:space="preserve">،بل المحکیّ عن المیسیّة </w:t>
      </w:r>
      <w:r>
        <w:rPr>
          <w:rStyle w:val="FootnoteAnchor"/>
          <w:rtl w:val="true"/>
        </w:rPr>
        <w:footnoteReference w:id="771"/>
      </w:r>
      <w:r>
        <w:rPr>
          <w:rFonts w:ascii="IRNazanin" w:hAnsi="IRNazanin" w:eastAsia="IRNazanin"/>
          <w:color w:val="111111"/>
          <w:sz w:val="28"/>
          <w:sz w:val="28"/>
          <w:szCs w:val="28"/>
          <w:rtl w:val="true"/>
          <w:lang w:bidi="fa-IR"/>
        </w:rPr>
        <w:t xml:space="preserve">و المسالک </w:t>
      </w:r>
      <w:r>
        <w:rPr>
          <w:rStyle w:val="FootnoteAnchor"/>
          <w:rtl w:val="true"/>
        </w:rPr>
        <w:footnoteReference w:id="772"/>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خلاف فی عدم جواز تقدیم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المحکی عن نهایة الإحکام و کشف اللثام فی باب النکاح </w:t>
      </w:r>
      <w:r>
        <w:rPr>
          <w:rStyle w:val="FootnoteAnchor"/>
          <w:rtl w:val="true"/>
        </w:rPr>
        <w:footnoteReference w:id="774"/>
      </w:r>
      <w:r>
        <w:rPr>
          <w:rFonts w:ascii="IRNazanin" w:hAnsi="IRNazanin" w:eastAsia="IRNazanin"/>
          <w:color w:val="111111"/>
          <w:sz w:val="28"/>
          <w:sz w:val="28"/>
          <w:szCs w:val="28"/>
          <w:rtl w:val="true"/>
          <w:lang w:bidi="fa-IR"/>
        </w:rPr>
        <w:t xml:space="preserve">،و قد اعترف به غیر واحدٍ من متأخّری المتأخّرین </w:t>
      </w:r>
      <w:r>
        <w:rPr>
          <w:rStyle w:val="FootnoteAnchor"/>
          <w:rtl w:val="true"/>
        </w:rPr>
        <w:footnoteReference w:id="775"/>
      </w:r>
      <w:r>
        <w:rPr>
          <w:rFonts w:ascii="IRNazanin" w:hAnsi="IRNazanin" w:eastAsia="IRNazanin"/>
          <w:color w:val="111111"/>
          <w:sz w:val="28"/>
          <w:sz w:val="28"/>
          <w:szCs w:val="28"/>
          <w:rtl w:val="true"/>
          <w:lang w:bidi="fa-IR"/>
        </w:rPr>
        <w:t>أیضاً،بل المحکی هناک عن ظاهر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ذکر،و إلی کونه خلاف المتعارف من</w:t>
      </w:r>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القبول الذی هو أحد رکنی عقد المعاوضة فرع الإیجاب،فلا یعقل تقدّمه علیه،و لیس المراد من هذا القبول الذی هو رکن للعقد </w:t>
      </w:r>
      <w:r>
        <w:rPr>
          <w:rStyle w:val="FootnoteAnchor"/>
          <w:rtl w:val="true"/>
        </w:rPr>
        <w:footnoteReference w:id="777"/>
      </w:r>
      <w:r>
        <w:rPr>
          <w:rFonts w:ascii="IRNazanin" w:hAnsi="IRNazanin" w:eastAsia="IRNazanin"/>
          <w:color w:val="111111"/>
          <w:sz w:val="28"/>
          <w:sz w:val="28"/>
          <w:szCs w:val="28"/>
          <w:rtl w:val="true"/>
          <w:lang w:bidi="fa-IR"/>
        </w:rPr>
        <w:t>مجرّد الرضا بالإیجاب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الرضا بشیءٍ لا یستلزم تحقّقه قبله </w:t>
      </w:r>
      <w:r>
        <w:rPr>
          <w:rStyle w:val="FootnoteAnchor"/>
          <w:rtl w:val="true"/>
        </w:rPr>
        <w:footnoteReference w:id="778"/>
      </w:r>
      <w:r>
        <w:rPr>
          <w:rFonts w:ascii="IRNazanin" w:hAnsi="IRNazanin" w:eastAsia="IRNazanin"/>
          <w:color w:val="111111"/>
          <w:sz w:val="28"/>
          <w:sz w:val="28"/>
          <w:szCs w:val="28"/>
          <w:rtl w:val="true"/>
          <w:lang w:bidi="fa-IR"/>
        </w:rPr>
        <w:t>،فقد یرضی الإنسان بالأمر المستقبل،بل المراد منه الرضا بالإیجاب علی وجهٍ یتضمّن إنشاء نقل ماله فی الحال إلی الموجب علی وجه العوضیّة؛لأنّ المشتری ناقل کالبائع،و هذا لا یتحقّق إلّا مع تأخّر الرضا عن الإیجاب؛إذ مع تقدّمه لا یتحقّق النقل فی الحال،فإنّ مَن رضی بمعاوضة ینشئها الموجب فی المستقبل لم ینقل فی الحال ماله إلی الموجب،بخلاف من رضی بالمعاوضة التی أنشأها الموجب سابقاً؛فإنّه یرفع بهذا الرضا یده من ماله،و ینقله إلی غیره علی وجه العوضیة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فساد ما حکی عن بعض المحقّقین فی ردّ الدلیل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کون القبول فرعاً للإیجاب </w:t>
      </w:r>
      <w:r>
        <w:rPr>
          <w:rStyle w:val="FootnoteAnchor"/>
          <w:rtl w:val="true"/>
        </w:rPr>
        <w:footnoteReference w:id="779"/>
      </w:r>
      <w:r>
        <w:rPr>
          <w:rFonts w:ascii="IRNazanin" w:hAnsi="IRNazanin" w:eastAsia="IRNazanin"/>
          <w:color w:val="111111"/>
          <w:sz w:val="28"/>
          <w:sz w:val="28"/>
          <w:szCs w:val="28"/>
          <w:rtl w:val="true"/>
          <w:lang w:bidi="fa-IR"/>
        </w:rPr>
        <w:t>و تابعاً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تبعیّة القبول للإیجاب لیس تبعیّة اللفظ للّفظ،و لا القصد للقصد حتی یمتنع تقدیمه،و إنّما هو علی سبیل الفرض و التنزیل،بأن یجعل القابل نفسه متناولاً لما یُلقی إلیه من الموجب،و الموجب مناولاً،کما یقول السائل فی</w:t>
      </w:r>
    </w:p>
    <w:p>
      <w:pPr>
        <w:pStyle w:val="BookText"/>
        <w:rPr/>
      </w:pPr>
      <w:r>
        <w:rPr>
          <w:rFonts w:ascii="IRNazanin" w:hAnsi="IRNazanin" w:eastAsia="IRNazanin"/>
          <w:color w:val="111111"/>
          <w:sz w:val="28"/>
          <w:sz w:val="28"/>
          <w:szCs w:val="28"/>
          <w:rtl w:val="true"/>
          <w:lang w:bidi="fa-IR"/>
        </w:rPr>
        <w:t>مقام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راضٍ بما تعطینی و قابلٌ لما تمنحنی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متناول، قدّم إنشاءه أو أخّر </w:t>
      </w:r>
      <w:r>
        <w:rPr>
          <w:rStyle w:val="FootnoteAnchor"/>
          <w:rtl w:val="true"/>
        </w:rPr>
        <w:footnoteReference w:id="780"/>
      </w:r>
      <w:r>
        <w:rPr>
          <w:rFonts w:ascii="IRNazanin" w:hAnsi="IRNazanin" w:eastAsia="IRNazanin"/>
          <w:color w:val="111111"/>
          <w:sz w:val="28"/>
          <w:sz w:val="28"/>
          <w:szCs w:val="28"/>
          <w:rtl w:val="true"/>
          <w:lang w:bidi="fa-IR"/>
        </w:rPr>
        <w:t>،فعلی هذا یصحّ تقدیم القبول و لو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یقم إجماع علی خلافه </w:t>
      </w:r>
      <w:r>
        <w:rPr>
          <w:rStyle w:val="FootnoteAnchor"/>
          <w:rtl w:val="true"/>
        </w:rPr>
        <w:footnoteReference w:id="78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عرفت سابقاً </w:t>
      </w:r>
      <w:r>
        <w:rPr>
          <w:rStyle w:val="FootnoteAnchor"/>
          <w:rtl w:val="true"/>
        </w:rPr>
        <w:footnoteReference w:id="782"/>
      </w:r>
      <w:r>
        <w:rPr>
          <w:rFonts w:ascii="IRNazanin" w:hAnsi="IRNazanin" w:eastAsia="IRNazanin"/>
          <w:color w:val="111111"/>
          <w:sz w:val="28"/>
          <w:sz w:val="28"/>
          <w:szCs w:val="28"/>
          <w:rtl w:val="true"/>
          <w:lang w:bidi="fa-IR"/>
        </w:rPr>
        <w:t xml:space="preserve">من أنّ الرضا بما یصدر من الموجب فی المستقبل من نقل ماله بإزاء مال صاحبه،لیس فیه إنشاء نقل من القابل فی الحال،بل هو رضا منه بالانتقال فی الاستقبال، و لیس المراد أنّ أصل الرضا بشیءٍ تابعٌ لتحقّقه فی الخارج أو لأصل الرضا به </w:t>
      </w:r>
      <w:r>
        <w:rPr>
          <w:rStyle w:val="FootnoteAnchor"/>
          <w:rtl w:val="true"/>
        </w:rPr>
        <w:footnoteReference w:id="783"/>
      </w:r>
      <w:r>
        <w:rPr>
          <w:rFonts w:ascii="IRNazanin" w:hAnsi="IRNazanin" w:eastAsia="IRNazanin"/>
          <w:color w:val="111111"/>
          <w:sz w:val="28"/>
          <w:sz w:val="28"/>
          <w:szCs w:val="28"/>
          <w:rtl w:val="true"/>
          <w:lang w:bidi="fa-IR"/>
        </w:rPr>
        <w:t xml:space="preserve">حتی یحتاج إلی توضیحه بما ذکره من المثال،بل المراد الرضا الذی یعدّ قبولاً و </w:t>
      </w:r>
      <w:r>
        <w:rPr>
          <w:rStyle w:val="FootnoteAnchor"/>
          <w:rtl w:val="true"/>
        </w:rPr>
        <w:footnoteReference w:id="784"/>
      </w:r>
      <w:r>
        <w:rPr>
          <w:rFonts w:ascii="IRNazanin" w:hAnsi="IRNazanin" w:eastAsia="IRNazanin"/>
          <w:color w:val="111111"/>
          <w:sz w:val="28"/>
          <w:sz w:val="28"/>
          <w:szCs w:val="28"/>
          <w:rtl w:val="true"/>
          <w:lang w:bidi="fa-IR"/>
        </w:rPr>
        <w:t>رکناً فی العقد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الوجه فی المنع عن تقدیم </w:t>
      </w:r>
      <w:r>
        <w:rPr>
          <w:rStyle w:val="FootnoteAnchor"/>
          <w:rtl w:val="true"/>
        </w:rPr>
        <w:footnoteReference w:id="785"/>
      </w:r>
      <w:r>
        <w:rPr>
          <w:rFonts w:ascii="IRNazanin" w:hAnsi="IRNazanin" w:eastAsia="IRNazanin"/>
          <w:color w:val="111111"/>
          <w:sz w:val="28"/>
          <w:sz w:val="28"/>
          <w:szCs w:val="28"/>
          <w:rtl w:val="true"/>
          <w:lang w:bidi="fa-IR"/>
        </w:rPr>
        <w:t>القبول بلفظ الأمر،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هذا بدرهم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غایة الأمر دلالة طلب المعاوضة علی الرضا بها،لکن لم یتحقّق بمجرّد الرضا بالمعاوضة المستقبلة نقل فی الحال للدرهم إلی البائع،کما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یظهر من المبسوط من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الصحّة به </w:t>
      </w:r>
      <w:r>
        <w:rPr>
          <w:rStyle w:val="FootnoteAnchor"/>
          <w:rtl w:val="true"/>
        </w:rPr>
        <w:footnoteReference w:id="786"/>
      </w:r>
      <w:r>
        <w:rPr>
          <w:rFonts w:ascii="IRNazanin" w:hAnsi="IRNazanin" w:eastAsia="IRNazanin"/>
          <w:color w:val="111111"/>
          <w:sz w:val="28"/>
          <w:sz w:val="28"/>
          <w:szCs w:val="28"/>
          <w:rtl w:val="true"/>
          <w:lang w:bidi="fa-IR"/>
        </w:rPr>
        <w:t>، فموهون بما ستعرف من مصیر الأکثر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فحوی جوازه فی النکاح،ففیها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الإغماض عن حکم الأصل؛بناءً علی منع دلالة روایة سهل </w:t>
      </w:r>
      <w:r>
        <w:rPr>
          <w:rStyle w:val="FootnoteAnchor"/>
          <w:rtl w:val="true"/>
        </w:rPr>
        <w:footnoteReference w:id="787"/>
      </w:r>
      <w:r>
        <w:rPr>
          <w:rFonts w:ascii="IRNazanin" w:hAnsi="IRNazanin" w:eastAsia="IRNazanin"/>
          <w:color w:val="111111"/>
          <w:sz w:val="28"/>
          <w:sz w:val="28"/>
          <w:szCs w:val="28"/>
          <w:rtl w:val="true"/>
          <w:lang w:bidi="fa-IR"/>
        </w:rPr>
        <w:t>علی کون لفظ الأمر هو القبول؛لاحتمال تحقّق القبول بعد إیجاب النبیّ صلّی اللّه علیه و آله و سلم،و یؤیّده أنّه لولاه یلزم الفصل الطویل بین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الفحوی،و قصور دلالة روایة أبان </w:t>
      </w:r>
      <w:r>
        <w:rPr>
          <w:rStyle w:val="FootnoteAnchor"/>
          <w:rtl w:val="true"/>
        </w:rPr>
        <w:footnoteReference w:id="788"/>
      </w:r>
      <w:r>
        <w:rPr>
          <w:rFonts w:ascii="IRNazanin" w:hAnsi="IRNazanin" w:eastAsia="IRNazanin"/>
          <w:color w:val="111111"/>
          <w:sz w:val="28"/>
          <w:sz w:val="28"/>
          <w:szCs w:val="28"/>
          <w:rtl w:val="true"/>
          <w:lang w:bidi="fa-IR"/>
        </w:rPr>
        <w:t>من حیث اشتمالها علی کفایة قول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صحّة تقدیم القبول بلفظ الأمر اختلافاً کثیراً بین کلمات الأصحاب،فقال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بعنیها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 الأقوی عندی أنّه لا یصحّ حتی یقول المشتری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،و اختار ذلک فی الخلاف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به فی الغنیة،فقال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اعتبرنا حصول الإیجاب من البائع و القبول من المشتری،حذراً عن القول بانعقاده بالاستدعاء من المشتری،و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بعنیه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ینعقد حتی یقول المشتری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Style w:val="FootnoteAnchor"/>
          <w:rtl w:val="true"/>
        </w:rPr>
        <w:footnoteReference w:id="791"/>
      </w:r>
      <w:r>
        <w:rPr>
          <w:rFonts w:ascii="Amiri" w:hAnsi="Amiri" w:eastAsia="Amiri" w:cs="Amiri"/>
          <w:color w:val="111111"/>
          <w:sz w:val="28"/>
          <w:sz w:val="28"/>
          <w:szCs w:val="28"/>
          <w:rtl w:val="true"/>
          <w:lang w:bidi="ar-SA"/>
        </w:rPr>
        <w:t>،و صرّح به</w:t>
      </w:r>
    </w:p>
    <w:p>
      <w:pPr>
        <w:pStyle w:val="BookText"/>
        <w:rPr/>
      </w:pPr>
      <w:r>
        <w:rPr>
          <w:rFonts w:ascii="IRNazanin" w:hAnsi="IRNazanin" w:eastAsia="IRNazanin"/>
          <w:color w:val="111111"/>
          <w:sz w:val="28"/>
          <w:sz w:val="28"/>
          <w:szCs w:val="28"/>
          <w:rtl w:val="true"/>
          <w:lang w:bidi="fa-IR"/>
        </w:rPr>
        <w:t xml:space="preserve">أیضاً فی السرائر </w:t>
      </w:r>
      <w:r>
        <w:rPr>
          <w:rStyle w:val="FootnoteAnchor"/>
          <w:rtl w:val="true"/>
        </w:rPr>
        <w:footnoteReference w:id="792"/>
      </w:r>
      <w:r>
        <w:rPr>
          <w:rFonts w:ascii="IRNazanin" w:hAnsi="IRNazanin" w:eastAsia="IRNazanin"/>
          <w:color w:val="111111"/>
          <w:sz w:val="28"/>
          <w:sz w:val="28"/>
          <w:szCs w:val="28"/>
          <w:rtl w:val="true"/>
          <w:lang w:bidi="fa-IR"/>
        </w:rPr>
        <w:t xml:space="preserve">و الوسیلة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ظاهرهم أنّ هذا الحکم اتّفاقی </w:t>
      </w:r>
      <w:r>
        <w:rPr>
          <w:rStyle w:val="FootnoteAnchor"/>
          <w:rtl w:val="true"/>
        </w:rPr>
        <w:footnoteReference w:id="794"/>
      </w:r>
      <w:r>
        <w:rPr>
          <w:rFonts w:ascii="IRNazanin" w:hAnsi="IRNazanin" w:eastAsia="IRNazanin"/>
          <w:color w:val="111111"/>
          <w:sz w:val="28"/>
          <w:sz w:val="28"/>
          <w:szCs w:val="28"/>
          <w:rtl w:val="true"/>
          <w:lang w:bidi="fa-IR"/>
        </w:rPr>
        <w:t xml:space="preserve">،و حکی الإجماع أیضاً </w:t>
      </w:r>
      <w:r>
        <w:rPr>
          <w:rStyle w:val="FootnoteAnchor"/>
          <w:rtl w:val="true"/>
        </w:rPr>
        <w:footnoteReference w:id="795"/>
      </w:r>
      <w:r>
        <w:rPr>
          <w:rFonts w:ascii="IRNazanin" w:hAnsi="IRNazanin" w:eastAsia="IRNazanin"/>
          <w:color w:val="111111"/>
          <w:sz w:val="28"/>
          <w:sz w:val="28"/>
          <w:szCs w:val="28"/>
          <w:rtl w:val="true"/>
          <w:lang w:bidi="fa-IR"/>
        </w:rPr>
        <w:t xml:space="preserve">عن ظاهر الغنیة أو صریحها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w:t>
      </w:r>
      <w:r>
        <w:rPr>
          <w:rStyle w:val="FootnoteAnchor"/>
          <w:rtl w:val="true"/>
        </w:rPr>
        <w:footnoteReference w:id="797"/>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الحکم ظاهر کلِّ من اشترط الإیجاب و القبول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کلّه،فقد صرّح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بجواز التقدیم بلفظ الأمر بالبیع،و نسبته إلینا مشعر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الخلاف فیه بیننا،فقال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تعاقدا،فإن تقدّم الإیجاب علی القبول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 کذا إذا تقدّم الإیجاب علی القبول فی البیع صحّ بلا خلاف،و أمّا إن تأخّر الإیجاب و سَبَق القبول،فإن کان فی النکاح 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 إن لم یُعِد الزوج القبول،بلا خلاف؛لخبر الساعدی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زوّجنیها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زوّجتکها بما معک من القرآن</w:t>
      </w:r>
      <w:r>
        <w:rPr>
          <w:rFonts w:eastAsia="IRNazanin" w:cs="IRNazanin"/>
          <w:color w:val="111111"/>
          <w:sz w:val="28"/>
          <w:szCs w:val="28"/>
          <w:rtl w:val="true"/>
          <w:lang w:bidi="fa-IR"/>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،فتقدّم </w:t>
      </w:r>
      <w:r>
        <w:rPr>
          <w:rStyle w:val="FootnoteAnchor"/>
          <w:rtl w:val="true"/>
        </w:rPr>
        <w:footnoteReference w:id="802"/>
      </w:r>
      <w:r>
        <w:rPr>
          <w:rFonts w:ascii="IRNazanin" w:hAnsi="IRNazanin" w:eastAsia="IRNazanin"/>
          <w:color w:val="111111"/>
          <w:sz w:val="28"/>
          <w:sz w:val="28"/>
          <w:szCs w:val="28"/>
          <w:rtl w:val="true"/>
          <w:lang w:bidi="fa-IR"/>
        </w:rPr>
        <w:t>القبول و تأخّر الإیجاب،و إن کان هذا فی البیع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عندنا و عند قومٍ من المخالفین؛و قال قومٌ منهم </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حتی یسبق الإیجاب </w:t>
      </w:r>
      <w:r>
        <w:rPr>
          <w:rStyle w:val="FootnoteAnchor"/>
          <w:rtl w:val="true"/>
        </w:rPr>
        <w:footnoteReference w:id="8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جواز التقدیم بهذا اللفظ عن القاضی فی الکامل </w:t>
      </w:r>
      <w:r>
        <w:rPr>
          <w:rStyle w:val="FootnoteAnchor"/>
          <w:rtl w:val="true"/>
        </w:rPr>
        <w:footnoteReference w:id="805"/>
      </w:r>
      <w:r>
        <w:rPr>
          <w:rFonts w:ascii="IRNazanin" w:hAnsi="IRNazanin" w:eastAsia="IRNazanin"/>
          <w:color w:val="111111"/>
          <w:sz w:val="28"/>
          <w:sz w:val="28"/>
          <w:szCs w:val="28"/>
          <w:rtl w:val="true"/>
          <w:lang w:bidi="fa-IR"/>
        </w:rPr>
        <w:t xml:space="preserve">،بل یمکن نسبة هذا الحکم إلی کلّ من جوّز تقدیم القبول علی الإیجاب بقولٍ مطلق،و تمسّک له فی النکاح بروایة سهل الساعدی المعبَّر فیها عن القبول بطلب التزویج،إلّا أنّ المحقّق رحمه اللّه مع تصریحه فی البیع بعدم کفایة الاستیجاب و الإیجاب صرّح بجواز تقدیم القبول علی الإیجاب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العلّامة قدّس سرّه الاستیجاب و الإیجاب،و جعله خارجاً عن قید اعتبار الإیجاب و القبول کالمعاطاة و جزم بعدم کفایته،مع أنّه تردّد فی اعتبار تقدیم القبول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کان،فقد عرفت </w:t>
      </w:r>
      <w:r>
        <w:rPr>
          <w:rStyle w:val="FootnoteAnchor"/>
          <w:rtl w:val="true"/>
        </w:rPr>
        <w:footnoteReference w:id="808"/>
      </w:r>
      <w:r>
        <w:rPr>
          <w:rFonts w:ascii="IRNazanin" w:hAnsi="IRNazanin" w:eastAsia="IRNazanin"/>
          <w:color w:val="111111"/>
          <w:sz w:val="28"/>
          <w:sz w:val="28"/>
          <w:szCs w:val="28"/>
          <w:rtl w:val="true"/>
          <w:lang w:bidi="fa-IR"/>
        </w:rPr>
        <w:t>أنّ الأقوی المنع فی البیع؛لما عرفت،بل لو قلنا بکفایة التقدیم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المنع هنا؛بناءً علی اعتبار الماضویة فیما دلّ علی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بناءً علی المذهب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کفایة مطلق اللفظ فی اللزوم و عدم القول بکفایة مطلق الصیغة فی الملک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علی ما قوّیناه </w:t>
      </w:r>
      <w:r>
        <w:rPr>
          <w:rStyle w:val="FootnoteAnchor"/>
          <w:rtl w:val="true"/>
        </w:rPr>
        <w:footnoteReference w:id="809"/>
      </w:r>
      <w:r>
        <w:rPr>
          <w:rFonts w:ascii="IRNazanin" w:hAnsi="IRNazanin" w:eastAsia="IRNazanin"/>
          <w:color w:val="111111"/>
          <w:sz w:val="28"/>
          <w:sz w:val="28"/>
          <w:szCs w:val="28"/>
          <w:rtl w:val="true"/>
          <w:lang w:bidi="fa-IR"/>
        </w:rPr>
        <w:t>سابقاً فی مسألة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البیع العرفی موجب للملک و أنّ الأصل فی الملک اللزوم </w:t>
      </w:r>
      <w:r>
        <w:rPr>
          <w:rStyle w:val="FootnoteAnchor"/>
          <w:rtl w:val="true"/>
        </w:rPr>
        <w:footnoteReference w:id="810"/>
      </w:r>
      <w:r>
        <w:rPr>
          <w:rFonts w:ascii="IRNazanin" w:hAnsi="IRNazanin" w:eastAsia="IRNazanin"/>
          <w:color w:val="111111"/>
          <w:sz w:val="28"/>
          <w:sz w:val="28"/>
          <w:szCs w:val="28"/>
          <w:rtl w:val="true"/>
          <w:lang w:bidi="fa-IR"/>
        </w:rPr>
        <w:t xml:space="preserve">،فاللازم الحکم باللزوم فی کلّ مورد لم یقم إجماع علی عدم اللزوم،و هو ما إذا خلت المعاملة عن الإنشاء باللفظ رأساً،أو کان اللفظ المنشأ به المعاملة ممّا قام الإجماع علی عدم إفادتها اللزوم </w:t>
      </w:r>
      <w:r>
        <w:rPr>
          <w:rStyle w:val="FootnoteAnchor"/>
          <w:rtl w:val="true"/>
        </w:rPr>
        <w:footnoteReference w:id="811"/>
      </w:r>
      <w:r>
        <w:rPr>
          <w:rFonts w:ascii="IRNazanin" w:hAnsi="IRNazanin" w:eastAsia="IRNazanin"/>
          <w:color w:val="111111"/>
          <w:sz w:val="28"/>
          <w:sz w:val="28"/>
          <w:szCs w:val="28"/>
          <w:rtl w:val="true"/>
          <w:lang w:bidi="fa-IR"/>
        </w:rPr>
        <w:t>،و أمّا فی غیر ذلک فالأصل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أنّ القبول علی وجه طلب البیع قد صرّح فی </w:t>
      </w:r>
      <w:r>
        <w:rPr>
          <w:rStyle w:val="FootnoteAnchor"/>
          <w:rtl w:val="true"/>
        </w:rPr>
        <w:footnoteReference w:id="812"/>
      </w:r>
      <w:r>
        <w:rPr>
          <w:rFonts w:ascii="IRNazanin" w:hAnsi="IRNazanin" w:eastAsia="IRNazanin"/>
          <w:color w:val="111111"/>
          <w:sz w:val="28"/>
          <w:sz w:val="28"/>
          <w:szCs w:val="28"/>
          <w:rtl w:val="true"/>
          <w:lang w:bidi="fa-IR"/>
        </w:rPr>
        <w:t xml:space="preserve">المبسوط بصحّته،بل یظهر منه عدم الخلاف فیه بیننا،و حکی عن الکامل أیضاً </w:t>
      </w:r>
      <w:r>
        <w:rPr>
          <w:rStyle w:val="FootnoteAnchor"/>
          <w:rtl w:val="true"/>
        </w:rPr>
        <w:footnoteReference w:id="81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التقدیم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هذا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فالأقوی جوازه؛لأنّه أنشأ ملکیته للمبیع بإزاء ماله عوضاً،ففی الحقیقة أنشأ المعاوضة کالبائع </w:t>
      </w:r>
      <w:r>
        <w:rPr>
          <w:rStyle w:val="FootnoteAnchor"/>
          <w:rtl w:val="true"/>
        </w:rPr>
        <w:footnoteReference w:id="815"/>
      </w:r>
      <w:r>
        <w:rPr>
          <w:rFonts w:ascii="IRNazanin" w:hAnsi="IRNazanin" w:eastAsia="IRNazanin"/>
          <w:color w:val="111111"/>
          <w:sz w:val="28"/>
          <w:sz w:val="28"/>
          <w:szCs w:val="28"/>
          <w:rtl w:val="true"/>
          <w:lang w:bidi="fa-IR"/>
        </w:rPr>
        <w:t>إلّا أنّ البائع ینشئ ملکیّة ماله لصاحبه بإزاء مال صاحبه،و المشتری ینشئ ملکیّة مال صاحبه لنفسه بإزاء ماله،ففی الحقیقة کلٌّ منهما یُخرج ماله إلی صاحبه و یدخل مال صاحبه فی ملکه،إلّا أنّ الإدخال فی الإیجاب مفهوم من ذکر العوض و فی القبول مفهوم من نفس الفعل،و الإخراج بالعکس</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فلیس فی حقیقة الاشتراء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القبول، لکنّه لمّا کان الغالب وقوعه عقیب الإیجاب،و إنشاء انتقال مال البائع إلی نفسه إذا وقع عقیب نقله </w:t>
      </w:r>
      <w:r>
        <w:rPr>
          <w:rStyle w:val="FootnoteAnchor"/>
          <w:rtl w:val="true"/>
        </w:rPr>
        <w:footnoteReference w:id="816"/>
      </w:r>
      <w:r>
        <w:rPr>
          <w:rFonts w:ascii="IRNazanin" w:hAnsi="IRNazanin" w:eastAsia="IRNazanin"/>
          <w:color w:val="111111"/>
          <w:sz w:val="28"/>
          <w:sz w:val="28"/>
          <w:szCs w:val="28"/>
          <w:rtl w:val="true"/>
          <w:lang w:bidi="fa-IR"/>
        </w:rPr>
        <w:t xml:space="preserve">إلیه یوجب تحقّق المطاوعة و مفهوم القبول،أُطلق علیه القبول،و هذا المعنی مفقود فی الإیجاب المتأخّر؛لأنّ المشتری إنّما ینقل ماله إلی البائع بالالتزام الحاصل من جعل ماله عوضاً،و البائع إنّما ینشئ انتقال المثمن </w:t>
      </w:r>
      <w:r>
        <w:rPr>
          <w:rStyle w:val="FootnoteAnchor"/>
          <w:rtl w:val="true"/>
        </w:rPr>
        <w:footnoteReference w:id="817"/>
      </w:r>
      <w:r>
        <w:rPr>
          <w:rFonts w:ascii="IRNazanin" w:hAnsi="IRNazanin" w:eastAsia="IRNazanin"/>
          <w:color w:val="111111"/>
          <w:sz w:val="28"/>
          <w:sz w:val="28"/>
          <w:szCs w:val="28"/>
          <w:rtl w:val="true"/>
          <w:lang w:bidi="fa-IR"/>
        </w:rPr>
        <w:t>إلیه کذلک،لا بمدلول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فی النهایة و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حکی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قبولاً حقیقةً،و إنّما هو بدل،و أنّ الأصل فی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القبول فی الحقیقة ما لا یمکن الابتداء به،و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الابتداء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مرادهما </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بنفسه لا یکون قبولاً،فلا ینافی ما ذکرنا من تحقّق مفهوم القبول فیه إذا وقع عقیب تملیک البائع،کما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إنشاء لنقل ماله إلی البائع إلّا إذا وقع متأخّراً؛و لذا منعنا عن تقدیمه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إفادة نقل المال و مطاوعة البیع عند التقدّم و التأخّر متعاکسان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الإجماع علی اعتبار القبول فی العقد یوجب تأخیر قوله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یقع قبولاً؛لأنّ إنشاء مالکیته لمال الغیر إذا وقع عقیب تملیک الغیر له یتحقّق فیه معنی الانتقال و قبول الأثر،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متأخّراً التزاماً بالأثر عقیب إنشاء التأثیر من البائع، بخلاف ما لو تقدّم؛فإنّ مجرّد إنشاء المالکیّة لمالٍ لا یوجب تحقّق مفهوم القبول،کما لو نوی تملّک </w:t>
      </w:r>
      <w:r>
        <w:rPr>
          <w:rStyle w:val="FootnoteAnchor"/>
          <w:rtl w:val="true"/>
        </w:rPr>
        <w:footnoteReference w:id="821"/>
      </w:r>
      <w:r>
        <w:rPr>
          <w:rFonts w:ascii="IRNazanin" w:hAnsi="IRNazanin" w:eastAsia="IRNazanin"/>
          <w:color w:val="111111"/>
          <w:sz w:val="28"/>
          <w:sz w:val="28"/>
          <w:szCs w:val="28"/>
          <w:rtl w:val="true"/>
          <w:lang w:bidi="fa-IR"/>
        </w:rPr>
        <w:t>المباحات أو اللقطة،فإنّه لا قبول فیه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الإجماع هو اعتبار القبول من المشتری بالمعنی الشامل للرضا بالإیجاب،و أمّا وجوب تحقّق مفهوم القبول المتضمّن للمطاوعة و قبول الأثر،فلا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w:t>
      </w:r>
      <w:r>
        <w:rPr>
          <w:rStyle w:val="FootnoteAnchor"/>
          <w:rtl w:val="true"/>
        </w:rPr>
        <w:footnoteReference w:id="822"/>
      </w:r>
      <w:r>
        <w:rPr>
          <w:rFonts w:ascii="IRNazanin" w:hAnsi="IRNazanin" w:eastAsia="IRNazanin"/>
          <w:color w:val="111111"/>
          <w:sz w:val="28"/>
          <w:sz w:val="28"/>
          <w:szCs w:val="28"/>
          <w:rtl w:val="true"/>
          <w:lang w:bidi="fa-IR"/>
        </w:rPr>
        <w:t>تبیّن من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إنشاء القبول لا بدّ أن یکون جامعاً لتضمّن إنشاء النقل و للرضا بإنشاء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إنشاء انفعال نقل البائع</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تقدیم القبول إذا کان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وفاقاً لمن عرفت </w:t>
      </w:r>
      <w:r>
        <w:rPr>
          <w:rStyle w:val="FootnoteAnchor"/>
          <w:rtl w:val="true"/>
        </w:rPr>
        <w:footnoteReference w:id="823"/>
      </w:r>
      <w:r>
        <w:rPr>
          <w:rFonts w:ascii="IRNazanin" w:hAnsi="IRNazanin" w:eastAsia="IRNazanin"/>
          <w:color w:val="111111"/>
          <w:sz w:val="28"/>
          <w:sz w:val="28"/>
          <w:szCs w:val="28"/>
          <w:rtl w:val="true"/>
          <w:lang w:bidi="fa-IR"/>
        </w:rPr>
        <w:t xml:space="preserve">،بل هو ظاهر إطلاق الشیخ فی الخلاف؛ حیث إنّه لم یتعرّض إلّا للمنع عن الانعقاد بالاستیجاب و الإیجاب </w:t>
      </w:r>
      <w:r>
        <w:rPr>
          <w:rStyle w:val="FootnoteAnchor"/>
          <w:rtl w:val="true"/>
        </w:rPr>
        <w:footnoteReference w:id="824"/>
      </w:r>
      <w:r>
        <w:rPr>
          <w:rFonts w:ascii="IRNazanin" w:hAnsi="IRNazanin" w:eastAsia="IRNazanin"/>
          <w:color w:val="111111"/>
          <w:sz w:val="28"/>
          <w:sz w:val="28"/>
          <w:szCs w:val="28"/>
          <w:rtl w:val="true"/>
          <w:lang w:bidi="fa-IR"/>
        </w:rPr>
        <w:t xml:space="preserve">، و قد عرفت </w:t>
      </w:r>
      <w:r>
        <w:rPr>
          <w:rStyle w:val="FootnoteAnchor"/>
          <w:rtl w:val="true"/>
        </w:rPr>
        <w:footnoteReference w:id="825"/>
      </w:r>
      <w:r>
        <w:rPr>
          <w:rFonts w:ascii="IRNazanin" w:hAnsi="IRNazanin" w:eastAsia="IRNazanin"/>
          <w:color w:val="111111"/>
          <w:sz w:val="28"/>
          <w:sz w:val="28"/>
          <w:szCs w:val="28"/>
          <w:rtl w:val="true"/>
          <w:lang w:bidi="fa-IR"/>
        </w:rPr>
        <w:t xml:space="preserve">عدم الملازمة بین المنع عنه و المنع عن تقدیم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السیّد فی الغنیة،حیث أطلق اعتبار الإیجاب و القبول، و احترز بذلک عن انعقاده بالمعاطاة و بالاستیجاب و الإیجاب </w:t>
      </w:r>
      <w:r>
        <w:rPr>
          <w:rStyle w:val="FootnoteAnchor"/>
          <w:rtl w:val="true"/>
        </w:rPr>
        <w:footnoteReference w:id="826"/>
      </w:r>
      <w:r>
        <w:rPr>
          <w:rFonts w:ascii="IRNazanin" w:hAnsi="IRNazanin" w:eastAsia="IRNazanin"/>
          <w:color w:val="111111"/>
          <w:sz w:val="28"/>
          <w:sz w:val="28"/>
          <w:szCs w:val="28"/>
          <w:rtl w:val="true"/>
          <w:lang w:bidi="fa-IR"/>
        </w:rPr>
        <w:t xml:space="preserve">،و کذا ظاهر إطلاق الحلبی فی الکافی،حیث لم یذکر تقدیم الإیجاب من شروط الانعقاد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المصرح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وجدت من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الحلیّ </w:t>
      </w:r>
      <w:r>
        <w:rPr>
          <w:rStyle w:val="FootnoteAnchor"/>
          <w:rtl w:val="true"/>
        </w:rPr>
        <w:footnoteReference w:id="828"/>
      </w:r>
      <w:r>
        <w:rPr>
          <w:rFonts w:ascii="Amiri" w:hAnsi="Amiri" w:eastAsia="Amiri" w:cs="Amiri"/>
          <w:color w:val="111111"/>
          <w:sz w:val="28"/>
          <w:sz w:val="28"/>
          <w:szCs w:val="28"/>
          <w:rtl w:val="true"/>
          <w:lang w:bidi="ar-SA"/>
        </w:rPr>
        <w:t xml:space="preserve">و ابن حمزة </w:t>
      </w:r>
      <w:r>
        <w:rPr>
          <w:rStyle w:val="FootnoteAnchor"/>
          <w:rtl w:val="true"/>
        </w:rPr>
        <w:footnoteReference w:id="829"/>
      </w:r>
      <w:r>
        <w:rPr>
          <w:rFonts w:ascii="IRNazanin" w:hAnsi="IRNazanin" w:eastAsia="IRNazanin"/>
          <w:color w:val="111111"/>
          <w:sz w:val="28"/>
          <w:sz w:val="28"/>
          <w:szCs w:val="28"/>
          <w:rtl w:val="true"/>
          <w:lang w:bidi="fa-IR"/>
        </w:rPr>
        <w:t xml:space="preserve">،فمن التعجّب بعد ذلک حکایة الإجماع عن الخلاف </w:t>
      </w:r>
      <w:r>
        <w:rPr>
          <w:rStyle w:val="FootnoteAnchor"/>
          <w:rtl w:val="true"/>
        </w:rPr>
        <w:footnoteReference w:id="830"/>
      </w:r>
      <w:r>
        <w:rPr>
          <w:rFonts w:ascii="IRNazanin" w:hAnsi="IRNazanin" w:eastAsia="IRNazanin"/>
          <w:color w:val="111111"/>
          <w:sz w:val="28"/>
          <w:sz w:val="28"/>
          <w:szCs w:val="28"/>
          <w:rtl w:val="true"/>
          <w:lang w:bidi="fa-IR"/>
        </w:rPr>
        <w:t xml:space="preserve">علی </w:t>
      </w:r>
      <w:r>
        <w:rPr>
          <w:rStyle w:val="FootnoteAnchor"/>
          <w:rtl w:val="true"/>
        </w:rPr>
        <w:footnoteReference w:id="831"/>
      </w:r>
      <w:r>
        <w:rPr>
          <w:rFonts w:ascii="IRNazanin" w:hAnsi="IRNazanin" w:eastAsia="IRNazanin"/>
          <w:color w:val="111111"/>
          <w:sz w:val="28"/>
          <w:sz w:val="28"/>
          <w:szCs w:val="28"/>
          <w:rtl w:val="true"/>
          <w:lang w:bidi="fa-IR"/>
        </w:rPr>
        <w:t xml:space="preserve">تقدیم الإیجاب،مع أنّه لم یزد علی الاستدلال لعدم </w:t>
      </w:r>
      <w:r>
        <w:rPr>
          <w:rStyle w:val="FootnoteAnchor"/>
          <w:rtl w:val="true"/>
        </w:rPr>
        <w:footnoteReference w:id="832"/>
      </w:r>
      <w:r>
        <w:rPr>
          <w:rFonts w:ascii="IRNazanin" w:hAnsi="IRNazanin" w:eastAsia="IRNazanin"/>
          <w:color w:val="111111"/>
          <w:sz w:val="28"/>
          <w:sz w:val="28"/>
          <w:szCs w:val="28"/>
          <w:rtl w:val="true"/>
          <w:lang w:bidi="fa-IR"/>
        </w:rPr>
        <w:t xml:space="preserve">کفایة الاستیجاب و الإیجاب </w:t>
      </w:r>
      <w:r>
        <w:rPr>
          <w:rStyle w:val="FootnoteAnchor"/>
          <w:rtl w:val="true"/>
        </w:rPr>
        <w:footnoteReference w:id="833"/>
      </w:r>
      <w:r>
        <w:rPr>
          <w:rFonts w:ascii="Amiri" w:hAnsi="Amiri" w:eastAsia="Amiri" w:cs="Amiri"/>
          <w:color w:val="111111"/>
          <w:sz w:val="28"/>
          <w:sz w:val="28"/>
          <w:szCs w:val="28"/>
          <w:rtl w:val="true"/>
          <w:lang w:bidi="ar-SA"/>
        </w:rPr>
        <w:t xml:space="preserve">بأنّ ما عداه مجمعٌ علی صحّته،و لیس علی صحّته دلیل </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أنّ مثل هذا ممّا یوهن الاعتماد علی الإجماع المنقول،و قد نبّهنا علی أمثال ذلک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نعم،یشکل الأمر بأنّ المعهود المتعارف من الصیغة تقدیم الإیجاب،و لا فرق بین المتعارف هنا و بینه فی المسألة الآتیة،و هو الوصل بین الإیجاب و القبول،فالحکم لا یخلو عن شوب الإشکال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ذکرنا جارٍ فی کلّ قبولٍ یؤدّی بإنشاءٍ مستقلٍّ کالإجارة التی یؤدّی قبولها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تملّکت منک منفعة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النکاح</w:t>
      </w:r>
    </w:p>
    <w:p>
      <w:pPr>
        <w:pStyle w:val="BookText"/>
        <w:rPr/>
      </w:pPr>
      <w:r>
        <w:rPr>
          <w:rFonts w:ascii="IRNazanin" w:hAnsi="IRNazanin" w:eastAsia="IRNazanin"/>
          <w:color w:val="111111"/>
          <w:sz w:val="28"/>
          <w:sz w:val="28"/>
          <w:szCs w:val="28"/>
          <w:rtl w:val="true"/>
          <w:lang w:bidi="fa-IR"/>
        </w:rPr>
        <w:t xml:space="preserve">الذی یؤدّی قبوله </w:t>
      </w:r>
      <w:r>
        <w:rPr>
          <w:rStyle w:val="FootnoteAnchor"/>
          <w:rtl w:val="true"/>
        </w:rPr>
        <w:footnoteReference w:id="835"/>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Style w:val="FootnoteAnchor"/>
          <w:rtl w:val="true"/>
        </w:rPr>
        <w:footnoteReference w:id="8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لا إنشاء فی قبوله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یتضمّنه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ارتهنت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یقال بجواز تقدیم القبول فیه؛إذ لا التزام فی قبوله بشیء </w:t>
      </w:r>
      <w:r>
        <w:rPr>
          <w:rStyle w:val="FootnoteAnchor"/>
          <w:rtl w:val="true"/>
        </w:rPr>
        <w:footnoteReference w:id="837"/>
      </w:r>
      <w:r>
        <w:rPr>
          <w:rFonts w:ascii="IRNazanin" w:hAnsi="IRNazanin" w:eastAsia="IRNazanin"/>
          <w:color w:val="111111"/>
          <w:sz w:val="28"/>
          <w:sz w:val="28"/>
          <w:szCs w:val="28"/>
          <w:rtl w:val="true"/>
          <w:lang w:bidi="fa-IR"/>
        </w:rPr>
        <w:t xml:space="preserve">کما کان فی قبول البیع التزام </w:t>
      </w:r>
      <w:r>
        <w:rPr>
          <w:rStyle w:val="FootnoteAnchor"/>
          <w:rtl w:val="true"/>
        </w:rPr>
        <w:footnoteReference w:id="838"/>
      </w:r>
      <w:r>
        <w:rPr>
          <w:rFonts w:ascii="IRNazanin" w:hAnsi="IRNazanin" w:eastAsia="IRNazanin"/>
          <w:color w:val="111111"/>
          <w:sz w:val="28"/>
          <w:sz w:val="28"/>
          <w:szCs w:val="28"/>
          <w:rtl w:val="true"/>
          <w:lang w:bidi="fa-IR"/>
        </w:rPr>
        <w:t xml:space="preserve">بنقل ماله إلی البائع،بل لا ینشئ به معنی غیر الرضا بفعل الموجب،و قد تقدّم </w:t>
      </w:r>
      <w:r>
        <w:rPr>
          <w:rStyle w:val="FootnoteAnchor"/>
          <w:rtl w:val="true"/>
        </w:rPr>
        <w:footnoteReference w:id="839"/>
      </w:r>
      <w:r>
        <w:rPr>
          <w:rFonts w:ascii="Amiri" w:hAnsi="Amiri" w:eastAsia="Amiri" w:cs="Amiri"/>
          <w:color w:val="111111"/>
          <w:sz w:val="28"/>
          <w:sz w:val="28"/>
          <w:szCs w:val="28"/>
          <w:rtl w:val="true"/>
          <w:lang w:bidi="ar-SA"/>
        </w:rPr>
        <w:t xml:space="preserve">أنّ الرضا یجوز تعلّقه بأمرٍ مترقّب </w:t>
      </w:r>
      <w:r>
        <w:rPr>
          <w:rStyle w:val="FootnoteAnchor"/>
          <w:rtl w:val="true"/>
        </w:rPr>
        <w:footnoteReference w:id="840"/>
      </w:r>
      <w:r>
        <w:rPr>
          <w:rFonts w:ascii="IRNazanin" w:hAnsi="IRNazanin" w:eastAsia="IRNazanin"/>
          <w:color w:val="111111"/>
          <w:sz w:val="28"/>
          <w:sz w:val="28"/>
          <w:szCs w:val="28"/>
          <w:rtl w:val="true"/>
          <w:lang w:bidi="fa-IR"/>
        </w:rPr>
        <w:t>کما یجوز تعلّقه بأمرٍ محقّق،فیجوز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برهنک هذا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الجواز؛لأنّ اعتبار القبول فیه من جهة تحقّق عنوان المرتهن،و لا یخفی أنّه لا یصدق الارتهان علی قبول الشخص إلّا بعد تحقّق الرهن؛لأنّ الإیجاب إنشاءٌ للفعل،و القبول إنشاءٌ للانفعال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القول </w:t>
      </w:r>
      <w:r>
        <w:rPr>
          <w:rStyle w:val="FootnoteAnchor"/>
          <w:rtl w:val="true"/>
        </w:rPr>
        <w:footnoteReference w:id="842"/>
      </w:r>
      <w:r>
        <w:rPr>
          <w:rFonts w:ascii="IRNazanin" w:hAnsi="IRNazanin" w:eastAsia="IRNazanin"/>
          <w:color w:val="111111"/>
          <w:sz w:val="28"/>
          <w:sz w:val="28"/>
          <w:szCs w:val="28"/>
          <w:rtl w:val="true"/>
          <w:lang w:bidi="fa-IR"/>
        </w:rPr>
        <w:t>فی الهبة و القرض،فإنّه لا یحصل من إنشاء القبول</w:t>
      </w:r>
    </w:p>
    <w:p>
      <w:pPr>
        <w:pStyle w:val="BookText"/>
        <w:rPr/>
      </w:pPr>
      <w:r>
        <w:rPr>
          <w:rFonts w:ascii="IRNazanin" w:hAnsi="IRNazanin" w:eastAsia="IRNazanin"/>
          <w:color w:val="111111"/>
          <w:sz w:val="28"/>
          <w:sz w:val="28"/>
          <w:szCs w:val="28"/>
          <w:rtl w:val="true"/>
          <w:lang w:bidi="fa-IR"/>
        </w:rPr>
        <w:t xml:space="preserve">فیهما </w:t>
      </w:r>
      <w:r>
        <w:rPr>
          <w:rStyle w:val="FootnoteAnchor"/>
          <w:rtl w:val="true"/>
        </w:rPr>
        <w:footnoteReference w:id="843"/>
      </w:r>
      <w:r>
        <w:rPr>
          <w:rFonts w:ascii="IRNazanin" w:hAnsi="IRNazanin" w:eastAsia="IRNazanin"/>
          <w:color w:val="111111"/>
          <w:sz w:val="28"/>
          <w:sz w:val="28"/>
          <w:szCs w:val="28"/>
          <w:rtl w:val="true"/>
          <w:lang w:bidi="fa-IR"/>
        </w:rPr>
        <w:t xml:space="preserve">التزام بشیء،و إنّما یحصل به الرضا بفعل الموجب،و نحوها </w:t>
      </w:r>
      <w:r>
        <w:rPr>
          <w:rStyle w:val="FootnoteAnchor"/>
          <w:rtl w:val="true"/>
        </w:rPr>
        <w:footnoteReference w:id="844"/>
      </w:r>
      <w:r>
        <w:rPr>
          <w:rFonts w:ascii="IRNazanin" w:hAnsi="IRNazanin" w:eastAsia="IRNazanin"/>
          <w:color w:val="111111"/>
          <w:sz w:val="28"/>
          <w:sz w:val="28"/>
          <w:szCs w:val="28"/>
          <w:rtl w:val="true"/>
          <w:lang w:bidi="fa-IR"/>
        </w:rPr>
        <w:t>قبول المصالحة المتضمّنة للإسقاط أو التملیک بغیر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المصالحة المشتملة علی المعاوضة،فلمّا کان ابتداء الالتزام بها جائزاً من الطرفین،و کان نسبتها إلیهما </w:t>
      </w:r>
      <w:r>
        <w:rPr>
          <w:rStyle w:val="FootnoteAnchor"/>
          <w:rtl w:val="true"/>
        </w:rPr>
        <w:footnoteReference w:id="845"/>
      </w:r>
      <w:r>
        <w:rPr>
          <w:rFonts w:ascii="IRNazanin" w:hAnsi="IRNazanin" w:eastAsia="IRNazanin"/>
          <w:color w:val="111111"/>
          <w:sz w:val="28"/>
          <w:sz w:val="28"/>
          <w:szCs w:val="28"/>
          <w:rtl w:val="true"/>
          <w:lang w:bidi="fa-IR"/>
        </w:rPr>
        <w:t xml:space="preserve">علی وجه سواء،و لیس الالتزام </w:t>
      </w:r>
      <w:r>
        <w:rPr>
          <w:rStyle w:val="FootnoteAnchor"/>
          <w:rtl w:val="true"/>
        </w:rPr>
        <w:footnoteReference w:id="846"/>
      </w:r>
      <w:r>
        <w:rPr>
          <w:rFonts w:ascii="IRNazanin" w:hAnsi="IRNazanin" w:eastAsia="IRNazanin"/>
          <w:color w:val="111111"/>
          <w:sz w:val="28"/>
          <w:sz w:val="28"/>
          <w:szCs w:val="28"/>
          <w:rtl w:val="true"/>
          <w:lang w:bidi="fa-IR"/>
        </w:rPr>
        <w:t>الحاصل من أحدهما أمراً مغایراً للالتزام الحاصل من الآخر، کان البادئ منهما موجباً؛لصدق الموجب علیه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انعقد الإجماع علی توقّف العقد علی القبول،لزم أن یکون الالتزام الحاصل من الآخر بلفظ القبول؛إذ لو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إیجاباً آخر، فیلزم ترکیب العقد من إیجابین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تحقّق من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تقدیم القبول فی الصلح أیضاً غیر جائز؛إذ لا قبول فیه بغیر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w:t>
      </w:r>
      <w:r>
        <w:rPr>
          <w:rStyle w:val="FootnoteAnchor"/>
          <w:rtl w:val="true"/>
        </w:rPr>
        <w:footnoteReference w:id="847"/>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التقدیم لا یدلّ علی إنشاءٍ لنقل العوض فی الحال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القبول فی العقود علی أقسام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إمّا أن یکون التزاماً بشیءٍ من القابل،کنقل مالٍ عنه أو زوجیّة،و إمّا أن لا یکون فیه سوی الرضا بالإیجاب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الالتزام الحاصل من القابل،إمّا أن یکون نظیر الالتزام الحاصل من الموجب کالمصالحة،أو متغایراً کالاشتراء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أیضاً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إمّا أن یعتبر فیه عنوان المطاوعة کالارتهان و الاتهاب و الاقتراض </w:t>
      </w:r>
      <w:r>
        <w:rPr>
          <w:rStyle w:val="FootnoteAnchor"/>
          <w:rtl w:val="true"/>
        </w:rPr>
        <w:footnoteReference w:id="849"/>
      </w:r>
      <w:r>
        <w:rPr>
          <w:rFonts w:ascii="IRNazanin" w:hAnsi="IRNazanin" w:eastAsia="IRNazanin"/>
          <w:color w:val="111111"/>
          <w:sz w:val="28"/>
          <w:sz w:val="28"/>
          <w:szCs w:val="28"/>
          <w:rtl w:val="true"/>
          <w:lang w:bidi="fa-IR"/>
        </w:rPr>
        <w:t>،و إمّا أن لا یثبت فیه اعتبار أزید من الرضا بالإیجاب کالوکالة و العاریة و 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فتقدیم القبول علی الإیجاب لا یکون إلّا فی القسم الثانی من کلٍّ من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مغایرة الالتزام فی قبول البیع لالتزام إیجابه اعتبار عرفی، فکلّ من التزم بنقل مالِه علی وجه العوضیة لمالٍ آخر یسمّی مشتریاً، و کلّ من نقل مالَه علی أن یکون عوضه مالاً من آخر یسمّی بائعاً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ملَّک مالَه غیرَه بعوضٍ فهو البائع، و کلّ </w:t>
      </w:r>
      <w:r>
        <w:rPr>
          <w:rStyle w:val="FootnoteAnchor"/>
          <w:rtl w:val="true"/>
        </w:rPr>
        <w:footnoteReference w:id="850"/>
      </w:r>
      <w:r>
        <w:rPr>
          <w:rFonts w:ascii="Amiri" w:hAnsi="Amiri" w:eastAsia="Amiri" w:cs="Amiri"/>
          <w:color w:val="111111"/>
          <w:sz w:val="28"/>
          <w:sz w:val="28"/>
          <w:szCs w:val="28"/>
          <w:rtl w:val="true"/>
          <w:lang w:bidi="ar-SA"/>
        </w:rPr>
        <w:t>مَن ملِک مالَ غیرِه بعوض ماله فهو المشتری،و إلّا فکلٌّ منهما فی الحقیقة یملِّک مالَه غیرَه بإزاء مالِ غیرِه،و یملک مالَ غیرِه بإزاء ماله</w:t>
      </w:r>
      <w:r>
        <w:rPr>
          <w:rFonts w:eastAsia="Amiri" w:cs="Amiri" w:ascii="Amiri" w:hAnsi="Amiri"/>
          <w:color w:val="111111"/>
          <w:sz w:val="28"/>
          <w:szCs w:val="28"/>
          <w:rtl w:val="true"/>
          <w:lang w:bidi="ar-SA"/>
        </w:rPr>
        <w:t>.</w:t>
      </w:r>
      <w:bookmarkStart w:id="257" w:name="pg19763_247903"/>
    </w:p>
    <w:p>
      <w:pPr>
        <w:pStyle w:val="Heading4"/>
        <w:numPr>
          <w:ilvl w:val="3"/>
          <w:numId w:val="1"/>
        </w:numPr>
        <w:rPr/>
      </w:pPr>
      <w:bookmarkStart w:id="258" w:name="__RefHeading___Toc5082620_2314609296"/>
      <w:bookmarkStart w:id="259" w:name="_Toc101"/>
      <w:bookmarkEnd w:id="257"/>
      <w:bookmarkEnd w:id="258"/>
      <w:r>
        <w:rPr>
          <w:rtl w:val="true"/>
        </w:rPr>
        <w:t>و من جملة شروط العقد</w:t>
      </w:r>
      <w:r>
        <w:rPr>
          <w:rtl w:val="true"/>
        </w:rPr>
        <w:t>:</w:t>
      </w:r>
      <w:bookmarkEnd w:id="259"/>
    </w:p>
    <w:p>
      <w:pPr>
        <w:pStyle w:val="BookText"/>
        <w:rPr/>
      </w:pPr>
      <w:r>
        <w:rPr>
          <w:rFonts w:ascii="IRNazanin" w:hAnsi="IRNazanin" w:eastAsia="IRNazanin"/>
          <w:color w:val="111111"/>
          <w:sz w:val="28"/>
          <w:sz w:val="28"/>
          <w:szCs w:val="28"/>
          <w:rtl w:val="true"/>
          <w:lang w:bidi="fa-IR"/>
        </w:rPr>
        <w:t>الموالاة بین إیجابه و قبوله</w:t>
      </w:r>
    </w:p>
    <w:p>
      <w:pPr>
        <w:pStyle w:val="BookText"/>
        <w:rPr/>
      </w:pPr>
      <w:r>
        <w:rPr>
          <w:rFonts w:ascii="IRNazanin" w:hAnsi="IRNazanin" w:eastAsia="IRNazanin"/>
          <w:color w:val="111111"/>
          <w:sz w:val="28"/>
          <w:sz w:val="28"/>
          <w:szCs w:val="28"/>
          <w:rtl w:val="true"/>
          <w:lang w:bidi="fa-IR"/>
        </w:rPr>
        <w:t xml:space="preserve">ذکره الشیخ فی المبسوط فی باب الخلع </w:t>
      </w:r>
      <w:r>
        <w:rPr>
          <w:rStyle w:val="FootnoteAnchor"/>
          <w:rtl w:val="true"/>
        </w:rPr>
        <w:footnoteReference w:id="851"/>
      </w:r>
      <w:r>
        <w:rPr>
          <w:rFonts w:ascii="Amiri" w:hAnsi="Amiri" w:eastAsia="Amiri" w:cs="Amiri"/>
          <w:color w:val="111111"/>
          <w:sz w:val="28"/>
          <w:sz w:val="28"/>
          <w:szCs w:val="28"/>
          <w:rtl w:val="true"/>
          <w:lang w:bidi="ar-SA"/>
        </w:rPr>
        <w:t xml:space="preserve">،ثمّ العلّامة </w:t>
      </w:r>
      <w:r>
        <w:rPr>
          <w:rStyle w:val="FootnoteAnchor"/>
          <w:rtl w:val="true"/>
        </w:rPr>
        <w:footnoteReference w:id="852"/>
      </w:r>
      <w:r>
        <w:rPr>
          <w:rFonts w:ascii="IRNazanin" w:hAnsi="IRNazanin" w:eastAsia="IRNazanin"/>
          <w:color w:val="111111"/>
          <w:sz w:val="28"/>
          <w:sz w:val="28"/>
          <w:szCs w:val="28"/>
          <w:rtl w:val="true"/>
          <w:lang w:bidi="fa-IR"/>
        </w:rPr>
        <w:t xml:space="preserve">و الشهیدان </w:t>
      </w:r>
      <w:r>
        <w:rPr>
          <w:rStyle w:val="FootnoteAnchor"/>
          <w:rtl w:val="true"/>
        </w:rPr>
        <w:footnoteReference w:id="853"/>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854"/>
      </w:r>
      <w:r>
        <w:rPr>
          <w:rFonts w:ascii="IRNazanin" w:hAnsi="IRNazanin" w:eastAsia="IRNazanin"/>
          <w:color w:val="111111"/>
          <w:sz w:val="28"/>
          <w:sz w:val="28"/>
          <w:szCs w:val="28"/>
          <w:rtl w:val="true"/>
          <w:lang w:bidi="fa-IR"/>
        </w:rPr>
        <w:t xml:space="preserve">،و الشیخ المقداد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الموالاة معتبرة فی العقد و نحوه،و هی مأخوذة من اعتبار الاتّصال بین الاستثناء </w:t>
      </w:r>
      <w:r>
        <w:rPr>
          <w:rStyle w:val="FootnoteAnchor"/>
          <w:rtl w:val="true"/>
        </w:rPr>
        <w:footnoteReference w:id="856"/>
      </w:r>
      <w:r>
        <w:rPr>
          <w:rFonts w:ascii="IRNazanin" w:hAnsi="IRNazanin" w:eastAsia="IRNazanin"/>
          <w:color w:val="111111"/>
          <w:sz w:val="28"/>
          <w:sz w:val="28"/>
          <w:szCs w:val="28"/>
          <w:rtl w:val="true"/>
          <w:lang w:bidi="fa-IR"/>
        </w:rPr>
        <w:t xml:space="preserve">و المستثنی منه،و قال </w:t>
      </w:r>
      <w:r>
        <w:rPr>
          <w:rStyle w:val="FootnoteAnchor"/>
          <w:rtl w:val="true"/>
        </w:rPr>
        <w:footnoteReference w:id="857"/>
      </w:r>
      <w:r>
        <w:rPr>
          <w:rFonts w:ascii="IRNazanin" w:hAnsi="IRNazanin" w:eastAsia="IRNazanin"/>
          <w:color w:val="111111"/>
          <w:sz w:val="28"/>
          <w:sz w:val="28"/>
          <w:szCs w:val="28"/>
          <w:rtl w:val="true"/>
          <w:lang w:bidi="fa-IR"/>
        </w:rPr>
        <w:t>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قول الزوج بعد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الصلاة</w:t>
      </w:r>
    </w:p>
    <w:p>
      <w:pPr>
        <w:pStyle w:val="BookText"/>
        <w:rPr/>
      </w:pPr>
      <w:r>
        <w:rPr>
          <w:rFonts w:ascii="IRNazanin" w:hAnsi="IRNazanin" w:eastAsia="IRNazanin"/>
          <w:color w:val="111111"/>
          <w:sz w:val="28"/>
          <w:sz w:val="28"/>
          <w:szCs w:val="28"/>
          <w:rtl w:val="true"/>
          <w:lang w:bidi="fa-IR"/>
        </w:rPr>
        <w:t>علی رسول اللّه،قبلت نکاحها</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الفوریّة فی استتابة المرتدّ،فیعتبر فی الحال،و قیل </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السکوت فی أثناء الأذان،فإن کان کثیراً أبطله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السکوت الطویل فی أثناء القراءة أو قراءة غیرها </w:t>
      </w:r>
      <w:r>
        <w:rPr>
          <w:rStyle w:val="FootnoteAnchor"/>
          <w:rtl w:val="true"/>
        </w:rPr>
        <w:footnoteReference w:id="860"/>
      </w:r>
      <w:r>
        <w:rPr>
          <w:rFonts w:ascii="IRNazanin" w:hAnsi="IRNazanin" w:eastAsia="IRNazanin"/>
          <w:color w:val="111111"/>
          <w:sz w:val="28"/>
          <w:sz w:val="28"/>
          <w:szCs w:val="28"/>
          <w:rtl w:val="true"/>
          <w:lang w:bidi="fa-IR"/>
        </w:rPr>
        <w:t>،و کذا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المأمومین فی الجمعة قبل الرکوع،فإن تعمّدوا أو نسوا حتی رکع فلا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بعض العامّة تحریمهم معه قبل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الموالاة فی التعریف بحیث لا ینسی </w:t>
      </w:r>
      <w:r>
        <w:rPr>
          <w:rStyle w:val="FootnoteAnchor"/>
          <w:rtl w:val="true"/>
        </w:rPr>
        <w:footnoteReference w:id="861"/>
      </w:r>
      <w:r>
        <w:rPr>
          <w:rFonts w:ascii="IRNazanin" w:hAnsi="IRNazanin" w:eastAsia="IRNazanin"/>
          <w:color w:val="111111"/>
          <w:sz w:val="28"/>
          <w:sz w:val="28"/>
          <w:szCs w:val="28"/>
          <w:rtl w:val="true"/>
          <w:lang w:bidi="fa-IR"/>
        </w:rPr>
        <w:t xml:space="preserve">أنّه تکرار،و الموالاة فی سنة التعریف،فلو رجع فی أثناء المدّة استؤنفت </w:t>
      </w:r>
      <w:r>
        <w:rPr>
          <w:rStyle w:val="FootnoteAnchor"/>
          <w:rtl w:val="true"/>
        </w:rPr>
        <w:footnoteReference w:id="862"/>
      </w:r>
      <w:r>
        <w:rPr>
          <w:rFonts w:ascii="IRNazanin" w:hAnsi="IRNazanin" w:eastAsia="IRNazanin"/>
          <w:color w:val="111111"/>
          <w:sz w:val="28"/>
          <w:sz w:val="28"/>
          <w:szCs w:val="28"/>
          <w:rtl w:val="true"/>
          <w:lang w:bidi="fa-IR"/>
        </w:rPr>
        <w:t xml:space="preserve">لیتوالی </w:t>
      </w:r>
      <w:r>
        <w:rPr>
          <w:rStyle w:val="FootnoteAnchor"/>
          <w:rtl w:val="true"/>
        </w:rPr>
        <w:footnoteReference w:id="863"/>
      </w:r>
      <w:r>
        <w:rPr>
          <w:rFonts w:ascii="IRNazanin" w:hAnsi="IRNazanin" w:eastAsia="IRNazanin"/>
          <w:color w:val="111111"/>
          <w:sz w:val="28"/>
          <w:sz w:val="28"/>
          <w:szCs w:val="28"/>
          <w:rtl w:val="true"/>
          <w:lang w:bidi="fa-IR"/>
        </w:rPr>
        <w:t xml:space="preserve">،انتهی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 أنّ الأمر المتدرّج شیئاً فشیئاً إذا کان له صورة اتّصالیة فی العرف،فلا بدّ فی ترتّب الحکم المعلّق علیه فی الشرع من اعتبار صورته الاتّصالیة،فالعقد المرکّب من الإیجاب و القبول القائم</w:t>
      </w:r>
    </w:p>
    <w:p>
      <w:pPr>
        <w:pStyle w:val="BookText"/>
        <w:rPr/>
      </w:pPr>
      <w:r>
        <w:rPr>
          <w:rFonts w:ascii="IRNazanin" w:hAnsi="IRNazanin" w:eastAsia="IRNazanin"/>
          <w:color w:val="111111"/>
          <w:sz w:val="28"/>
          <w:sz w:val="28"/>
          <w:szCs w:val="28"/>
          <w:rtl w:val="true"/>
          <w:lang w:bidi="fa-IR"/>
        </w:rPr>
        <w:t xml:space="preserve">بنفس المتعاقدین بمنزلة </w:t>
      </w:r>
      <w:r>
        <w:rPr>
          <w:rStyle w:val="FootnoteAnchor"/>
          <w:rtl w:val="true"/>
        </w:rPr>
        <w:footnoteReference w:id="865"/>
      </w:r>
      <w:r>
        <w:rPr>
          <w:rFonts w:ascii="IRNazanin" w:hAnsi="IRNazanin" w:eastAsia="IRNazanin"/>
          <w:color w:val="111111"/>
          <w:sz w:val="28"/>
          <w:sz w:val="28"/>
          <w:szCs w:val="28"/>
          <w:rtl w:val="true"/>
          <w:lang w:bidi="fa-IR"/>
        </w:rPr>
        <w:t xml:space="preserve">کلامٍ واحدٍ مرتبط بعضه ببعض،فیقدح تخلّل الفصل المخلّ بهیئته الاتّصالیة؛و لذا لا یصدق التعاقد </w:t>
      </w:r>
      <w:r>
        <w:rPr>
          <w:rStyle w:val="FootnoteAnchor"/>
          <w:rtl w:val="true"/>
        </w:rPr>
        <w:footnoteReference w:id="866"/>
      </w:r>
      <w:r>
        <w:rPr>
          <w:rFonts w:ascii="IRNazanin" w:hAnsi="IRNazanin" w:eastAsia="IRNazanin"/>
          <w:color w:val="111111"/>
          <w:sz w:val="28"/>
          <w:sz w:val="28"/>
          <w:szCs w:val="28"/>
          <w:rtl w:val="true"/>
          <w:lang w:bidi="fa-IR"/>
        </w:rPr>
        <w:t xml:space="preserve">إذا کان الفصل مفرطاً فی الطول کسنة أو أزید،و انضباط ذلک إنّما یکون بالعرف،فهو فی کلّ أمرٍ بحسبه،فیجوز الفصل بین کلٍّ من الإیجاب و القبول بما لا یجوز بین کلمات کلّ واحدٍ </w:t>
      </w:r>
      <w:r>
        <w:rPr>
          <w:rStyle w:val="FootnoteAnchor"/>
          <w:rtl w:val="true"/>
        </w:rPr>
        <w:footnoteReference w:id="867"/>
      </w:r>
      <w:r>
        <w:rPr>
          <w:rFonts w:ascii="IRNazanin" w:hAnsi="IRNazanin" w:eastAsia="IRNazanin"/>
          <w:color w:val="111111"/>
          <w:sz w:val="28"/>
          <w:sz w:val="28"/>
          <w:szCs w:val="28"/>
          <w:rtl w:val="true"/>
          <w:lang w:bidi="fa-IR"/>
        </w:rPr>
        <w:t xml:space="preserve">منهما،و یجوز الفصل </w:t>
      </w:r>
      <w:r>
        <w:rPr>
          <w:rStyle w:val="FootnoteAnchor"/>
          <w:rtl w:val="true"/>
        </w:rPr>
        <w:footnoteReference w:id="868"/>
      </w:r>
      <w:r>
        <w:rPr>
          <w:rFonts w:ascii="IRNazanin" w:hAnsi="IRNazanin" w:eastAsia="IRNazanin"/>
          <w:color w:val="111111"/>
          <w:sz w:val="28"/>
          <w:sz w:val="28"/>
          <w:szCs w:val="28"/>
          <w:rtl w:val="true"/>
          <w:lang w:bidi="fa-IR"/>
        </w:rPr>
        <w:t>بین الکلمات بما لا یجوز بین الحروف،کما فی الأذان و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حسن لو کان حکم المِلک و اللزوم فی المعاملة منوطاً بصدق العقد عرفاً،کما هو مقتضی التمسّک بآیة الوفاء بالعقود </w:t>
      </w:r>
      <w:r>
        <w:rPr>
          <w:rStyle w:val="FootnoteAnchor"/>
          <w:rtl w:val="true"/>
        </w:rPr>
        <w:footnoteReference w:id="869"/>
      </w:r>
      <w:r>
        <w:rPr>
          <w:rFonts w:ascii="IRNazanin" w:hAnsi="IRNazanin" w:eastAsia="IRNazanin"/>
          <w:color w:val="111111"/>
          <w:sz w:val="28"/>
          <w:sz w:val="28"/>
          <w:szCs w:val="28"/>
          <w:rtl w:val="true"/>
          <w:lang w:bidi="fa-IR"/>
        </w:rPr>
        <w:t>، و بإطلاق کلمات الأصحاب فی اعتبار العقد فی اللزوم بل الملک،أمّا لو کان منوطاً بصدق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یضرّه عدم صدق العقد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جعل المأخذ فی ذلک اعتبار الاتّصال بین الاستثناء و المستثنی منه،فلأنه منشأ الانتقال إلی هذه القاعدة؛فإنّ أکثر الکلیات إنّما یلتفت إلیها من التأمّل فی موردٍ خاصّ،و قد صرّح فی القواعد</w:t>
      </w:r>
    </w:p>
    <w:p>
      <w:pPr>
        <w:pStyle w:val="BookText"/>
        <w:rPr/>
      </w:pPr>
      <w:r>
        <w:rPr>
          <w:rFonts w:ascii="IRNazanin" w:hAnsi="IRNazanin" w:eastAsia="IRNazanin"/>
          <w:color w:val="111111"/>
          <w:sz w:val="28"/>
          <w:sz w:val="28"/>
          <w:szCs w:val="28"/>
          <w:rtl w:val="true"/>
          <w:lang w:bidi="fa-IR"/>
        </w:rPr>
        <w:t xml:space="preserve">مکرّراً بکون الأصل فی هذه القاعدة کذا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بعیداً أن یکون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الاستثناء أشدّ ربطاً بالمستثنی منه من سائر اللواحق؛لخروج المستثنی منه معه عن حدّ الکذب إلی الصدق،فصدقه یتوقّف علیه؛فلذا کان طول الفصل هناک أقبح،فصار أصلاً فی اعتبار الموالاة بین أجزاء الکلام،ثمّ تُعدّی منه إلی سائر الأُمور المرتبطة بالکلام لفظاً أو معنی،أو من حیث صدق عنوانٍ خاصٍّ علیه؛لکونه </w:t>
      </w:r>
      <w:r>
        <w:rPr>
          <w:rStyle w:val="FootnoteAnchor"/>
          <w:rtl w:val="true"/>
        </w:rPr>
        <w:footnoteReference w:id="872"/>
      </w:r>
      <w:r>
        <w:rPr>
          <w:rFonts w:ascii="IRNazanin" w:hAnsi="IRNazanin" w:eastAsia="IRNazanin"/>
          <w:color w:val="111111"/>
          <w:sz w:val="28"/>
          <w:sz w:val="28"/>
          <w:szCs w:val="28"/>
          <w:rtl w:val="true"/>
          <w:lang w:bidi="fa-IR"/>
        </w:rPr>
        <w:t>عقداً أو قراءة أو أذاناً،و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تطبیق بعضها علی ما ذکره خفاء،کمسألة توبة المرتدّ؛فإنّ غایة ما یمکن أن یقال فی 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المطلوب فی الإسلام الاستمرار، فإذا انقطع فلا بدّ من إعادته فی أقرب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الجمعة،فلأنّ هیئة الاجتماع فی جمیع أحوال الصلاة من القیام و الرکوع و السجود مطلوبة،فیقدح الإخلال بها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للتأمّل فی هذه الفروع،و فی صحّة تفریعها علی الأصل المذکور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المعیار فی الموالاة موکول إلی العرف،کما فی الصلاة و القراءة و الأذان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روایة سهل الساعدی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المتقدّمة </w:t>
      </w:r>
      <w:r>
        <w:rPr>
          <w:rStyle w:val="FootnoteAnchor"/>
          <w:rtl w:val="true"/>
        </w:rPr>
        <w:footnoteReference w:id="873"/>
      </w:r>
      <w:r>
        <w:rPr>
          <w:rFonts w:ascii="IRNazanin" w:hAnsi="IRNazanin" w:eastAsia="IRNazanin"/>
          <w:color w:val="111111"/>
          <w:sz w:val="28"/>
          <w:sz w:val="28"/>
          <w:szCs w:val="28"/>
          <w:rtl w:val="true"/>
          <w:lang w:bidi="fa-IR"/>
        </w:rPr>
        <w:t>فی مسألة تقدیم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الفصل بین الإیجاب و القبول بکلامٍ طویل أجنبیّ؛بناءً علی ما فهمه الجماعة من أنّ القبول فیها قول ذلک الصحابیّ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الإیجاب قوله صلّی اللّه علیه و آله و سلم بعد فصلٍ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زوّجتکها بما معک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موهنٌ آخر للروایة،فافهم</w:t>
      </w:r>
      <w:r>
        <w:rPr>
          <w:rFonts w:eastAsia="IRNazanin" w:cs="IRNazanin"/>
          <w:color w:val="111111"/>
          <w:sz w:val="28"/>
          <w:szCs w:val="28"/>
          <w:rtl w:val="true"/>
          <w:lang w:bidi="fa-IR"/>
        </w:rPr>
        <w:t>.</w:t>
      </w:r>
      <w:bookmarkStart w:id="260" w:name="pg19763_247908"/>
    </w:p>
    <w:p>
      <w:pPr>
        <w:pStyle w:val="Heading4"/>
        <w:numPr>
          <w:ilvl w:val="3"/>
          <w:numId w:val="1"/>
        </w:numPr>
        <w:rPr/>
      </w:pPr>
      <w:bookmarkStart w:id="261" w:name="__RefHeading___Toc5082622_2314609296"/>
      <w:bookmarkStart w:id="262" w:name="_Toc102"/>
      <w:bookmarkEnd w:id="260"/>
      <w:bookmarkEnd w:id="261"/>
      <w:r>
        <w:rPr>
          <w:rtl w:val="true"/>
        </w:rPr>
        <w:t>و من جملة الشرائط التی ذکرها جماعة</w:t>
      </w:r>
      <w:r>
        <w:rPr>
          <w:rtl w:val="true"/>
        </w:rPr>
        <w:t>:</w:t>
      </w:r>
      <w:bookmarkEnd w:id="262"/>
    </w:p>
    <w:p>
      <w:pPr>
        <w:pStyle w:val="BookText"/>
        <w:rPr/>
      </w:pPr>
      <w:r>
        <w:rPr>
          <w:rFonts w:ascii="IRNazanin" w:hAnsi="IRNazanin" w:eastAsia="IRNazanin"/>
          <w:color w:val="111111"/>
          <w:sz w:val="28"/>
          <w:sz w:val="28"/>
          <w:szCs w:val="28"/>
          <w:rtl w:val="true"/>
          <w:lang w:bidi="fa-IR"/>
        </w:rPr>
        <w:t>التنجیز فی العقد</w:t>
      </w:r>
    </w:p>
    <w:p>
      <w:pPr>
        <w:pStyle w:val="BookText"/>
        <w:rPr/>
      </w:pPr>
      <w:r>
        <w:rPr>
          <w:rFonts w:ascii="IRNazanin" w:hAnsi="IRNazanin" w:eastAsia="IRNazanin"/>
          <w:color w:val="111111"/>
          <w:sz w:val="28"/>
          <w:sz w:val="28"/>
          <w:szCs w:val="28"/>
          <w:rtl w:val="true"/>
          <w:lang w:bidi="fa-IR"/>
        </w:rPr>
        <w:t>بأن لا یکون معلّقاً علی شیء بأداة الشرط،بأن یقصد المتعاقدان انعقاد المعاملة فی صورة وجود ذلک الشیء،لا فی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صرّح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الشیخ </w:t>
      </w:r>
      <w:r>
        <w:rPr>
          <w:rStyle w:val="FootnoteAnchor"/>
          <w:rtl w:val="true"/>
        </w:rPr>
        <w:footnoteReference w:id="874"/>
      </w:r>
      <w:r>
        <w:rPr>
          <w:rFonts w:ascii="Amiri" w:hAnsi="Amiri" w:eastAsia="Amiri" w:cs="Amiri"/>
          <w:color w:val="111111"/>
          <w:sz w:val="28"/>
          <w:sz w:val="28"/>
          <w:szCs w:val="28"/>
          <w:rtl w:val="true"/>
          <w:lang w:bidi="ar-SA"/>
        </w:rPr>
        <w:t xml:space="preserve">و الحلیّ </w:t>
      </w:r>
      <w:r>
        <w:rPr>
          <w:rStyle w:val="FootnoteAnchor"/>
          <w:rtl w:val="true"/>
        </w:rPr>
        <w:footnoteReference w:id="875"/>
      </w:r>
      <w:r>
        <w:rPr>
          <w:rFonts w:ascii="Amiri" w:hAnsi="Amiri" w:eastAsia="Amiri" w:cs="Amiri"/>
          <w:color w:val="111111"/>
          <w:sz w:val="28"/>
          <w:sz w:val="28"/>
          <w:szCs w:val="28"/>
          <w:rtl w:val="true"/>
          <w:lang w:bidi="ar-SA"/>
        </w:rPr>
        <w:t xml:space="preserve">و العلّامة </w:t>
      </w:r>
      <w:r>
        <w:rPr>
          <w:rStyle w:val="FootnoteAnchor"/>
          <w:rtl w:val="true"/>
        </w:rPr>
        <w:footnoteReference w:id="876"/>
      </w:r>
      <w:r>
        <w:rPr>
          <w:rFonts w:ascii="IRNazanin" w:hAnsi="IRNazanin" w:eastAsia="IRNazanin"/>
          <w:color w:val="111111"/>
          <w:sz w:val="28"/>
          <w:sz w:val="28"/>
          <w:szCs w:val="28"/>
          <w:rtl w:val="true"/>
          <w:lang w:bidi="fa-IR"/>
        </w:rPr>
        <w:t xml:space="preserve">و جمیع من تأخّر عنه،کالشهیدین </w:t>
      </w:r>
      <w:r>
        <w:rPr>
          <w:rStyle w:val="FootnoteAnchor"/>
          <w:rtl w:val="true"/>
        </w:rPr>
        <w:footnoteReference w:id="877"/>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878"/>
      </w:r>
      <w:r>
        <w:rPr>
          <w:rFonts w:ascii="IRNazanin" w:hAnsi="IRNazanin" w:eastAsia="IRNazanin"/>
          <w:color w:val="111111"/>
          <w:sz w:val="28"/>
          <w:sz w:val="28"/>
          <w:szCs w:val="28"/>
          <w:rtl w:val="true"/>
          <w:lang w:bidi="fa-IR"/>
        </w:rPr>
        <w:t xml:space="preserve">و غیرهم </w:t>
      </w:r>
      <w:r>
        <w:rPr>
          <w:rStyle w:val="FootnoteAnchor"/>
          <w:rtl w:val="true"/>
        </w:rPr>
        <w:footnoteReference w:id="879"/>
      </w:r>
      <w:r>
        <w:rPr>
          <w:rFonts w:ascii="IRNazanin" w:hAnsi="IRNazanin" w:eastAsia="IRNazanin"/>
          <w:color w:val="111111"/>
          <w:sz w:val="28"/>
          <w:sz w:val="28"/>
          <w:szCs w:val="28"/>
          <w:rtl w:val="true"/>
          <w:lang w:bidi="fa-IR"/>
        </w:rPr>
        <w:t>قدّس اللّه تعالی أرواحهم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الإرشاد فی باب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تعلیق </w:t>
      </w:r>
      <w:r>
        <w:rPr>
          <w:rStyle w:val="FootnoteAnchor"/>
          <w:rtl w:val="true"/>
        </w:rPr>
        <w:footnoteReference w:id="880"/>
      </w:r>
      <w:r>
        <w:rPr>
          <w:rFonts w:ascii="IRNazanin" w:hAnsi="IRNazanin" w:eastAsia="IRNazanin"/>
          <w:color w:val="111111"/>
          <w:sz w:val="28"/>
          <w:sz w:val="28"/>
          <w:szCs w:val="28"/>
          <w:rtl w:val="true"/>
          <w:lang w:bidi="fa-IR"/>
        </w:rPr>
        <w:t>الوکالة علی الشرط لا یصحّ عند الإمامیة،و کذا غیره من</w:t>
      </w:r>
    </w:p>
    <w:p>
      <w:pPr>
        <w:pStyle w:val="BookText"/>
        <w:rPr/>
      </w:pPr>
      <w:r>
        <w:rPr>
          <w:rFonts w:ascii="IRNazanin" w:hAnsi="IRNazanin" w:eastAsia="IRNazanin"/>
          <w:color w:val="111111"/>
          <w:sz w:val="28"/>
          <w:sz w:val="28"/>
          <w:szCs w:val="28"/>
          <w:rtl w:val="true"/>
          <w:lang w:bidi="fa-IR"/>
        </w:rPr>
        <w:t xml:space="preserve">العقود،لازمة کانت أو جائزة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تمهید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الإجماع علیه </w:t>
      </w:r>
      <w:r>
        <w:rPr>
          <w:rStyle w:val="FootnoteAnchor"/>
          <w:rtl w:val="true"/>
        </w:rPr>
        <w:footnoteReference w:id="882"/>
      </w:r>
      <w:r>
        <w:rPr>
          <w:rFonts w:ascii="IRNazanin" w:hAnsi="IRNazanin" w:eastAsia="IRNazanin"/>
          <w:color w:val="111111"/>
          <w:sz w:val="28"/>
          <w:sz w:val="28"/>
          <w:szCs w:val="28"/>
          <w:rtl w:val="true"/>
          <w:lang w:bidi="fa-IR"/>
        </w:rPr>
        <w:t>،و ظاهر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اشتراط التنجیز فی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الاتّفاق علیه </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عدم الخلاف فیه کما اعترف به غیر واحد </w:t>
      </w:r>
      <w:r>
        <w:rPr>
          <w:rStyle w:val="FootnoteAnchor"/>
          <w:rtl w:val="true"/>
        </w:rPr>
        <w:footnoteReference w:id="884"/>
      </w:r>
      <w:r>
        <w:rPr>
          <w:rFonts w:ascii="IRNazanin" w:hAnsi="IRNazanin" w:eastAsia="IRNazanin"/>
          <w:color w:val="111111"/>
          <w:sz w:val="28"/>
          <w:sz w:val="28"/>
          <w:szCs w:val="28"/>
          <w:rtl w:val="true"/>
          <w:lang w:bidi="fa-IR"/>
        </w:rPr>
        <w:t>،و إن لم یتعرّض الأکثر فی هذا المقام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فحوی فتاویهم و معاقد الإجماعات فی اشتراط التنجیز فی الوکالة،مع کونه من العقود الجائزة التی یکفی فیها کلّ ما دلّ علی الإذن،حتی أنّ العلّامة ادّعی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صحّة </w:t>
      </w:r>
      <w:r>
        <w:rPr>
          <w:rStyle w:val="FootnoteAnchor"/>
          <w:rtl w:val="true"/>
        </w:rPr>
        <w:footnoteReference w:id="885"/>
      </w:r>
      <w:r>
        <w:rPr>
          <w:rFonts w:ascii="IRNazanin" w:hAnsi="IRNazanin" w:eastAsia="IRNazanin"/>
          <w:color w:val="111111"/>
          <w:sz w:val="28"/>
          <w:sz w:val="28"/>
          <w:szCs w:val="28"/>
          <w:rtl w:val="true"/>
          <w:lang w:bidi="fa-IR"/>
        </w:rPr>
        <w:t>أن یقول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وکیلی فی یوم الجمعة أن تبیع عبدی</w:t>
      </w:r>
      <w:r>
        <w:rPr>
          <w:rFonts w:eastAsia="IRNazanin" w:cs="IRNazanin"/>
          <w:color w:val="111111"/>
          <w:sz w:val="28"/>
          <w:szCs w:val="28"/>
          <w:rtl w:val="true"/>
          <w:lang w:bidi="fa-IR"/>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،و علی صحّة </w:t>
      </w:r>
      <w:r>
        <w:rPr>
          <w:rStyle w:val="FootnoteAnchor"/>
          <w:rtl w:val="true"/>
        </w:rPr>
        <w:footnoteReference w:id="887"/>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وکیلی،و لا تبع عبدی إلّا فی یوم</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Style w:val="FootnoteAnchor"/>
          <w:rtl w:val="true"/>
        </w:rPr>
        <w:footnoteReference w:id="888"/>
      </w:r>
      <w:r>
        <w:rPr>
          <w:rFonts w:ascii="IRNazanin" w:hAnsi="IRNazanin" w:eastAsia="IRNazanin"/>
          <w:color w:val="111111"/>
          <w:sz w:val="28"/>
          <w:sz w:val="28"/>
          <w:szCs w:val="28"/>
          <w:rtl w:val="true"/>
          <w:lang w:bidi="fa-IR"/>
        </w:rPr>
        <w:t>،مع کون المقصود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 بینهما جماعة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الاعتراف بأنّ هذا فی معنی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العقود لمّا کانت متلقّاةً من الشارع أُنیطت </w:t>
      </w:r>
      <w:r>
        <w:rPr>
          <w:rStyle w:val="FootnoteAnchor"/>
          <w:rtl w:val="true"/>
        </w:rPr>
        <w:footnoteReference w:id="890"/>
      </w:r>
      <w:r>
        <w:rPr>
          <w:rFonts w:ascii="IRNazanin" w:hAnsi="IRNazanin" w:eastAsia="IRNazanin"/>
          <w:color w:val="111111"/>
          <w:sz w:val="28"/>
          <w:sz w:val="28"/>
          <w:szCs w:val="28"/>
          <w:rtl w:val="true"/>
          <w:lang w:bidi="fa-IR"/>
        </w:rPr>
        <w:t>بهذه الضوابط،و بطلت فیما خرج عنها و إن أفادت فائدتها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الأمر کذلک عندهم فی الوکالة فکیف الحال فی البیع؟ و بالجملة،فلا شبهة فی اتّفاقهم علی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w:t>
      </w:r>
      <w:r>
        <w:rPr>
          <w:rStyle w:val="FootnoteAnchor"/>
          <w:rtl w:val="true"/>
        </w:rPr>
        <w:footnoteReference w:id="891"/>
      </w:r>
      <w:r>
        <w:rPr>
          <w:rFonts w:ascii="IRNazanin" w:hAnsi="IRNazanin" w:eastAsia="IRNazanin"/>
          <w:color w:val="111111"/>
          <w:sz w:val="28"/>
          <w:sz w:val="28"/>
          <w:szCs w:val="28"/>
          <w:rtl w:val="true"/>
          <w:lang w:bidi="fa-IR"/>
        </w:rPr>
        <w:t>الکلام فی وجه الاشتراط،فالذی صرّح به العلّامة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منافٍ للجزم حال الإنشاء،بل جعل الشرط هو الجزم ثمّ فرّع علیه عدم جواز التعلیق،قال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الجزم،فلو علّق العقد علی شرطٍ لم یصحّ و إن شرط </w:t>
      </w:r>
      <w:r>
        <w:rPr>
          <w:rStyle w:val="FootnoteAnchor"/>
          <w:rtl w:val="true"/>
        </w:rPr>
        <w:footnoteReference w:id="892"/>
      </w:r>
      <w:r>
        <w:rPr>
          <w:rFonts w:ascii="IRNazanin" w:hAnsi="IRNazanin" w:eastAsia="IRNazanin"/>
          <w:color w:val="111111"/>
          <w:sz w:val="28"/>
          <w:sz w:val="28"/>
          <w:szCs w:val="28"/>
          <w:rtl w:val="true"/>
          <w:lang w:bidi="fa-IR"/>
        </w:rPr>
        <w:t>المشیئة؛للجهل بثبوتها حال العقد و بقائها مدّته،و هو أحد قولی الشافعی،و أظهرهما عندهم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الصحّة؛لأنّ هذه صفة یقتضیها إطلاق العقد؛لأنّه لو لم یشأ لم یشترِ </w:t>
      </w:r>
      <w:r>
        <w:rPr>
          <w:rStyle w:val="FootnoteAnchor"/>
          <w:rtl w:val="true"/>
        </w:rPr>
        <w:footnoteReference w:id="893"/>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علی ذلک الشهید رحمه اللّه فی قواعده،قال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الانتقال بحکم الرضا و لا رضا إلّا مع الجزم،و الجزم ینافی التعلیق </w:t>
      </w:r>
      <w:r>
        <w:rPr>
          <w:rStyle w:val="FootnoteAnchor"/>
          <w:rtl w:val="true"/>
        </w:rPr>
        <w:footnoteReference w:id="8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المعتبر هو عدم التعلیق علی أمرٍ مجهول الحصول،کما صرّح به المحقّق فی باب الطلاق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المحقّق و الشهید الثانیان فی الجامع </w:t>
      </w:r>
      <w:r>
        <w:rPr>
          <w:rStyle w:val="FootnoteAnchor"/>
          <w:rtl w:val="true"/>
        </w:rPr>
        <w:footnoteReference w:id="896"/>
      </w:r>
      <w:r>
        <w:rPr>
          <w:rFonts w:ascii="IRNazanin" w:hAnsi="IRNazanin" w:eastAsia="IRNazanin"/>
          <w:color w:val="111111"/>
          <w:sz w:val="28"/>
          <w:sz w:val="28"/>
          <w:szCs w:val="28"/>
          <w:rtl w:val="true"/>
          <w:lang w:bidi="fa-IR"/>
        </w:rPr>
        <w:t xml:space="preserve">و المسالک </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لی فقد 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التعلیق إنّما ینافی الإنشاء فی العقود و الإیقاعات حیث یکون المعلّق علیه مجهول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الشهید فی قواعده ذکر فی الکلام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الجزم ینافی التعلیق؛لأنّه بعرضة عدم الحصول و لو قدّر العلم بحصوله،کالتعلیق علی الوصف؛لأنّ الاعتبار بجنس الشرط دون أنواعه،فاعتبر المعنی العام دون خصوصیات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w:t>
      </w:r>
      <w:r>
        <w:rPr>
          <w:rStyle w:val="FootnoteAnchor"/>
          <w:rtl w:val="true"/>
        </w:rPr>
        <w:footnoteReference w:id="898"/>
      </w:r>
      <w:r>
        <w:rPr>
          <w:rFonts w:ascii="IRNazanin" w:hAnsi="IRNazanin" w:eastAsia="IRNazanin"/>
          <w:color w:val="111111"/>
          <w:sz w:val="28"/>
          <w:sz w:val="28"/>
          <w:szCs w:val="28"/>
          <w:rtl w:val="true"/>
          <w:lang w:bidi="fa-IR"/>
        </w:rPr>
        <w:t xml:space="preserve">یبطل قوله فی صورة إنکار التوکیل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لی فقد بعته منک بکذا</w:t>
      </w:r>
      <w:r>
        <w:rPr>
          <w:rFonts w:eastAsia="IRNazanin" w:cs="IRNazanin"/>
          <w:color w:val="111111"/>
          <w:sz w:val="28"/>
          <w:szCs w:val="28"/>
          <w:rtl w:val="true"/>
          <w:lang w:bidi="fa-IR"/>
        </w:rPr>
        <w:t xml:space="preserve">» </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تعلیق علی واقع،لا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متوقّع الحصول،فهو علّة للوقوع أو</w:t>
      </w:r>
    </w:p>
    <w:p>
      <w:pPr>
        <w:pStyle w:val="BookText"/>
        <w:rPr/>
      </w:pPr>
      <w:r>
        <w:rPr>
          <w:rFonts w:ascii="IRNazanin" w:hAnsi="IRNazanin" w:eastAsia="IRNazanin"/>
          <w:color w:val="111111"/>
          <w:sz w:val="28"/>
          <w:sz w:val="28"/>
          <w:szCs w:val="28"/>
          <w:rtl w:val="true"/>
          <w:lang w:bidi="fa-IR"/>
        </w:rPr>
        <w:t xml:space="preserve">مصاحبٌ له،لا معلّق علیه الوقوع،و کذا </w:t>
      </w:r>
      <w:r>
        <w:rPr>
          <w:rStyle w:val="FootnoteAnchor"/>
          <w:rtl w:val="true"/>
        </w:rPr>
        <w:footnoteReference w:id="902"/>
      </w:r>
      <w:r>
        <w:rPr>
          <w:rFonts w:ascii="IRNazanin" w:hAnsi="IRNazanin" w:eastAsia="IRNazanin"/>
          <w:color w:val="111111"/>
          <w:sz w:val="28"/>
          <w:sz w:val="28"/>
          <w:szCs w:val="28"/>
          <w:rtl w:val="true"/>
          <w:lang w:bidi="fa-IR"/>
        </w:rPr>
        <w:t>لو قال فی صورة إنکار وکالة التزویج و إنکار التزویج حیث تدّعیه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زوجتی فهی طالق</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،انتهی کلامه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العلّامة فی القواعد 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لی فقد 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أمرٌ واقع یعلمان وجوده،فلا یضرّ جعله شرطاً،و کذا کلّ شرطٍ علم وجوده؛فإنّه لا یوجب شکّاً فی البیع و لا وقوفه </w:t>
      </w:r>
      <w:r>
        <w:rPr>
          <w:rStyle w:val="FootnoteAnchor"/>
          <w:rtl w:val="true"/>
        </w:rPr>
        <w:footnoteReference w:id="9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المعلّق علیه،إمّا أن یکون معلوم التحقّق، و إمّا أن یکون محتمل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الوجهین،فإمّا أن یکون تحقّقه المعلوم أو المحتمل فی الحال أو المستقبل و علی التقادیر،فإمّا أن یکون الشرط ممّا یکون مصحّحاً للعقد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ککون الشیء ممّا یصحّ تملّکه شرعاً،أو ممّا یصحّ إخراجه عن الملک، کغیر أُمّ الولد،و غیر الموقوف </w:t>
      </w:r>
      <w:r>
        <w:rPr>
          <w:rStyle w:val="FootnoteAnchor"/>
          <w:rtl w:val="true"/>
        </w:rPr>
        <w:footnoteReference w:id="905"/>
      </w:r>
      <w:r>
        <w:rPr>
          <w:rFonts w:ascii="IRNazanin" w:hAnsi="IRNazanin" w:eastAsia="IRNazanin"/>
          <w:color w:val="111111"/>
          <w:sz w:val="28"/>
          <w:sz w:val="28"/>
          <w:szCs w:val="28"/>
          <w:rtl w:val="true"/>
          <w:lang w:bidi="fa-IR"/>
        </w:rPr>
        <w:t>و نحوه،و کون المشتری ممّن یصحّ تملّکه شرعاً،کأن لا یکون عبداً،و ممّن یجوز العقد معه بأن یکون بالغاً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أن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التعلیق،إمّا مصرّح به،و إمّا لازم من الکلام،کقوله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هذا بهذا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فی القرض و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w:t>
      </w:r>
    </w:p>
    <w:p>
      <w:pPr>
        <w:pStyle w:val="BookText"/>
        <w:rPr/>
      </w:pPr>
      <w:r>
        <w:rPr>
          <w:rFonts w:ascii="IRNazanin" w:hAnsi="IRNazanin" w:eastAsia="IRNazanin"/>
          <w:color w:val="111111"/>
          <w:sz w:val="28"/>
          <w:sz w:val="28"/>
          <w:szCs w:val="28"/>
          <w:rtl w:val="true"/>
          <w:lang w:bidi="fa-IR"/>
        </w:rPr>
        <w:t>بعوضه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بلا عوض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التملیک معلّق علی تحقّق الجمعة فی الحال أو فی الاستقبال،و لهذا احتمل العلّامة فی النهایة </w:t>
      </w:r>
      <w:r>
        <w:rPr>
          <w:rStyle w:val="FootnoteAnchor"/>
          <w:rtl w:val="true"/>
        </w:rPr>
        <w:footnoteReference w:id="906"/>
      </w:r>
      <w:r>
        <w:rPr>
          <w:rFonts w:ascii="IRNazanin" w:hAnsi="IRNazanin" w:eastAsia="IRNazanin"/>
          <w:color w:val="111111"/>
          <w:sz w:val="28"/>
          <w:sz w:val="28"/>
          <w:szCs w:val="28"/>
          <w:rtl w:val="true"/>
          <w:lang w:bidi="fa-IR"/>
        </w:rPr>
        <w:t xml:space="preserve">و ولده فی الإیضاح </w:t>
      </w:r>
      <w:r>
        <w:rPr>
          <w:rStyle w:val="FootnoteAnchor"/>
          <w:rtl w:val="true"/>
        </w:rPr>
        <w:footnoteReference w:id="907"/>
      </w:r>
      <w:r>
        <w:rPr>
          <w:rFonts w:ascii="IRNazanin" w:hAnsi="IRNazanin" w:eastAsia="IRNazanin"/>
          <w:color w:val="111111"/>
          <w:sz w:val="28"/>
          <w:sz w:val="28"/>
          <w:szCs w:val="28"/>
          <w:rtl w:val="true"/>
          <w:lang w:bidi="fa-IR"/>
        </w:rPr>
        <w:t xml:space="preserve">بطلان بیع الوارث لمال مورّثه بظنّ حیاته </w:t>
      </w:r>
      <w:r>
        <w:rPr>
          <w:rStyle w:val="FootnoteAnchor"/>
          <w:rtl w:val="true"/>
        </w:rPr>
        <w:footnoteReference w:id="908"/>
      </w:r>
      <w:r>
        <w:rPr>
          <w:rFonts w:ascii="Amiri" w:hAnsi="Amiri" w:eastAsia="Amiri" w:cs="Amiri"/>
          <w:color w:val="111111"/>
          <w:sz w:val="28"/>
          <w:sz w:val="28"/>
          <w:szCs w:val="28"/>
          <w:rtl w:val="true"/>
          <w:lang w:bidi="ar-SA"/>
        </w:rPr>
        <w:t>معلّلاً بأنّ العقد و إن کان منجّزاً فی الصورة إلّا أنّه معلّق،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مورّثی فقد بعتک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کان منها معلوم الحصول حین العقد،فالظاهر أنّه غیر قادح، وفاقاً لمن عرفت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کالمحقّق و العلّامة و الشهیدین و المحقّق الثانی </w:t>
      </w:r>
      <w:r>
        <w:rPr>
          <w:rStyle w:val="FootnoteAnchor"/>
          <w:rtl w:val="true"/>
        </w:rPr>
        <w:footnoteReference w:id="909"/>
      </w:r>
      <w:r>
        <w:rPr>
          <w:rFonts w:ascii="IRNazanin" w:hAnsi="IRNazanin" w:eastAsia="IRNazanin"/>
          <w:color w:val="111111"/>
          <w:sz w:val="28"/>
          <w:sz w:val="28"/>
          <w:szCs w:val="28"/>
          <w:rtl w:val="true"/>
          <w:lang w:bidi="fa-IR"/>
        </w:rPr>
        <w:t xml:space="preserve">و الصیمری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حکی أیضاً </w:t>
      </w:r>
      <w:r>
        <w:rPr>
          <w:rStyle w:val="FootnoteAnchor"/>
          <w:rtl w:val="true"/>
        </w:rPr>
        <w:footnoteReference w:id="911"/>
      </w:r>
      <w:r>
        <w:rPr>
          <w:rFonts w:ascii="IRNazanin" w:hAnsi="IRNazanin" w:eastAsia="IRNazanin"/>
          <w:color w:val="111111"/>
          <w:sz w:val="28"/>
          <w:sz w:val="28"/>
          <w:szCs w:val="28"/>
          <w:rtl w:val="true"/>
          <w:lang w:bidi="fa-IR"/>
        </w:rPr>
        <w:t xml:space="preserve">عن المبسوط </w:t>
      </w:r>
      <w:r>
        <w:rPr>
          <w:rStyle w:val="FootnoteAnchor"/>
          <w:rtl w:val="true"/>
        </w:rPr>
        <w:footnoteReference w:id="912"/>
      </w:r>
      <w:r>
        <w:rPr>
          <w:rFonts w:ascii="IRNazanin" w:hAnsi="IRNazanin" w:eastAsia="IRNazanin"/>
          <w:color w:val="111111"/>
          <w:sz w:val="28"/>
          <w:sz w:val="28"/>
          <w:szCs w:val="28"/>
          <w:rtl w:val="true"/>
          <w:lang w:bidi="fa-IR"/>
        </w:rPr>
        <w:t xml:space="preserve">و الإیضاح </w:t>
      </w:r>
      <w:r>
        <w:rPr>
          <w:rStyle w:val="FootnoteAnchor"/>
          <w:rtl w:val="true"/>
        </w:rPr>
        <w:footnoteReference w:id="913"/>
      </w:r>
      <w:r>
        <w:rPr>
          <w:rFonts w:ascii="IRNazanin" w:hAnsi="IRNazanin" w:eastAsia="IRNazanin"/>
          <w:color w:val="111111"/>
          <w:sz w:val="28"/>
          <w:sz w:val="28"/>
          <w:szCs w:val="28"/>
          <w:rtl w:val="true"/>
          <w:lang w:bidi="fa-IR"/>
        </w:rPr>
        <w:t>فی مسألة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لی فقد 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یوجد فی ذلک خلافٌ صریح،و لذا ادّعی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الخلاف فیه صریحاً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معلوم الحصول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المعبّر عنه بالصفة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داخل فی معقد اتّفاقهم علی عدم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تعلیلهم</w:t>
      </w:r>
    </w:p>
    <w:p>
      <w:pPr>
        <w:pStyle w:val="BookText"/>
        <w:rPr/>
      </w:pPr>
      <w:r>
        <w:rPr>
          <w:rFonts w:ascii="IRNazanin" w:hAnsi="IRNazanin" w:eastAsia="IRNazanin"/>
          <w:color w:val="111111"/>
          <w:sz w:val="28"/>
          <w:sz w:val="28"/>
          <w:szCs w:val="28"/>
          <w:rtl w:val="true"/>
          <w:lang w:bidi="fa-IR"/>
        </w:rPr>
        <w:t>للمنع باشتراط الجزم لا یجری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اعترف به الشهید فیما تقدّم عنه </w:t>
      </w:r>
      <w:r>
        <w:rPr>
          <w:rStyle w:val="FootnoteAnchor"/>
          <w:rtl w:val="true"/>
        </w:rPr>
        <w:footnoteReference w:id="915"/>
      </w:r>
      <w:r>
        <w:rPr>
          <w:rFonts w:ascii="IRNazanin" w:hAnsi="IRNazanin" w:eastAsia="IRNazanin"/>
          <w:color w:val="111111"/>
          <w:sz w:val="28"/>
          <w:sz w:val="28"/>
          <w:szCs w:val="28"/>
          <w:rtl w:val="true"/>
          <w:lang w:bidi="fa-IR"/>
        </w:rPr>
        <w:t xml:space="preserve">،و نحوه الشهید الثانی فیما حکی عنه </w:t>
      </w:r>
      <w:r>
        <w:rPr>
          <w:rStyle w:val="FootnoteAnchor"/>
          <w:rtl w:val="true"/>
        </w:rPr>
        <w:footnoteReference w:id="916"/>
      </w:r>
      <w:r>
        <w:rPr>
          <w:rFonts w:ascii="IRNazanin" w:hAnsi="IRNazanin" w:eastAsia="IRNazanin"/>
          <w:color w:val="111111"/>
          <w:sz w:val="28"/>
          <w:sz w:val="28"/>
          <w:szCs w:val="28"/>
          <w:rtl w:val="true"/>
          <w:lang w:bidi="fa-IR"/>
        </w:rPr>
        <w:t>،بل یظهر من عبارة المبسوط فی باب الوقف کونه ممّا لا خلاف فیه بیننا،بل بین العامّة؛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رأس الشهر فقد وقفته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یصحّ الوقف بلا خلاف؛لأنّه مثل البیع و الهبة،و عندنا مثل العتق أیضاً </w:t>
      </w:r>
      <w:r>
        <w:rPr>
          <w:rStyle w:val="FootnoteAnchor"/>
          <w:rtl w:val="true"/>
        </w:rPr>
        <w:footnoteReference w:id="917"/>
      </w:r>
      <w:r>
        <w:rPr>
          <w:rFonts w:ascii="IRNazanin" w:hAnsi="IRNazanin" w:eastAsia="IRNazanin"/>
          <w:color w:val="111111"/>
          <w:sz w:val="28"/>
          <w:sz w:val="28"/>
          <w:szCs w:val="28"/>
          <w:rtl w:val="true"/>
          <w:lang w:bidi="fa-IR"/>
        </w:rPr>
        <w:t xml:space="preserve">، انتهی </w:t>
      </w:r>
      <w:r>
        <w:rPr>
          <w:rStyle w:val="FootnoteAnchor"/>
          <w:rtl w:val="true"/>
        </w:rPr>
        <w:footnoteReference w:id="918"/>
      </w:r>
      <w:r>
        <w:rPr>
          <w:rFonts w:ascii="IRNazanin" w:hAnsi="IRNazanin" w:eastAsia="IRNazanin"/>
          <w:color w:val="111111"/>
          <w:sz w:val="28"/>
          <w:sz w:val="28"/>
          <w:szCs w:val="28"/>
          <w:rtl w:val="true"/>
          <w:lang w:bidi="fa-IR"/>
        </w:rPr>
        <w:t>فإنّ ذیله یدلّ علی أنّ مماثلة الوقف للبیع و الهبة غیر مختصّ بالإمامیة،نعم مماثلته للعتق مختصّ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منها مشکوک الحصول و لیست صحّة العقد معلّقة علیه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کقدوم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المتیقّن من معقد اتّفاقهم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صحّة العقد معلّقة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کالأمثلة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إطلاق کلامهم یشمله،إلّا أنّ الشیخ فی المبسوط حکی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لی فقد 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قولاً من بعض الناس بالصحّة،و أنّ الشرط لا یضرّه؛مستدلا بأنّه لم یشترط إلّا ما یقتضیه إطلاق العقد؛لأنّه إنّما یصحّ البیع لهذه الجاریة من الموکّل إذا کان أذن له فی الشراء،فإذا اقتضاه الإطلاق لم یضرّ إظهاره و شرطه،کما لو شرط فی البیع تسلیم الثمن أو تسلیم المثمن أو ما أشبه ذلک </w:t>
      </w:r>
      <w:r>
        <w:rPr>
          <w:rStyle w:val="FootnoteAnchor"/>
          <w:rtl w:val="true"/>
        </w:rPr>
        <w:footnoteReference w:id="91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و إن حکاه عن بعض الناس،إلّا أنّ الظاهر ارتضاؤه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کما لا یضرّ اشتراط بعض لوازم العقد المترتّبة علیه، کذلک لا یضرّ تعلیق العقد بما هو معلّق علیه فی الواقع،فتعلیقه ببعض مقدّماته کالإلزام ببعض </w:t>
      </w:r>
      <w:r>
        <w:rPr>
          <w:rStyle w:val="FootnoteAnchor"/>
          <w:rtl w:val="true"/>
        </w:rPr>
        <w:footnoteReference w:id="920"/>
      </w:r>
      <w:r>
        <w:rPr>
          <w:rFonts w:ascii="IRNazanin" w:hAnsi="IRNazanin" w:eastAsia="IRNazanin"/>
          <w:color w:val="111111"/>
          <w:sz w:val="28"/>
          <w:sz w:val="28"/>
          <w:szCs w:val="28"/>
          <w:rtl w:val="true"/>
          <w:lang w:bidi="fa-IR"/>
        </w:rPr>
        <w:t xml:space="preserve">غایاته،فکما لا یضرّ الإلزام بما یقتضی العقد التزامه </w:t>
      </w:r>
      <w:r>
        <w:rPr>
          <w:rStyle w:val="FootnoteAnchor"/>
          <w:rtl w:val="true"/>
        </w:rPr>
        <w:footnoteReference w:id="921"/>
      </w:r>
      <w:r>
        <w:rPr>
          <w:rFonts w:ascii="IRNazanin" w:hAnsi="IRNazanin" w:eastAsia="IRNazanin"/>
          <w:color w:val="111111"/>
          <w:sz w:val="28"/>
          <w:sz w:val="28"/>
          <w:szCs w:val="28"/>
          <w:rtl w:val="true"/>
          <w:lang w:bidi="fa-IR"/>
        </w:rPr>
        <w:t>،کذلک التعلیق بما کان الإطلاق معلّقاً علیه و مقیّداً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الوجه و إن لم ینهض لدفع محذور التعلیق فی إنشاء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المعلّق علی ذلک الشرط فی الواقع هو ترتّب الأثر الشرعی علی العقد،دون إنشاء مدلول الکلام الذی هو وظیفة المتکلّم،فالمعلّق فی کلام المتکلّم غیر معلّق فی الواقع علی شیء،و المعلّق علی شیء لیس معلّقاً فی کلام المتکلّم علی شیء،بل و لا منجّزاً،بل هو شیء خارج عن مدلول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ظهور ارتضاء الشیخ له کافٍ فی عدم الظنّ بتحقّق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ظاهر هذا التوجیه لعدم قدح التعلیق یدلّ علی أنّ محلّ الکلام فیما لم یعلم وجود المعلّق علیه و عدمه،فلا وجه لتوهّم اختصاصه بصورة العلم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الشهید فی قواعده جعل الأصحّ صحّة تعلیق البیع علی ما هو شرطٌ فیه،کقول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إن قبلت</w:t>
      </w:r>
      <w:r>
        <w:rPr>
          <w:rFonts w:eastAsia="IRNazanin" w:cs="IRNazanin"/>
          <w:color w:val="111111"/>
          <w:sz w:val="28"/>
          <w:szCs w:val="28"/>
          <w:rtl w:val="true"/>
          <w:lang w:bidi="fa-IR"/>
        </w:rPr>
        <w:t xml:space="preserve">»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w:t>
      </w:r>
    </w:p>
    <w:p>
      <w:pPr>
        <w:pStyle w:val="BookText"/>
        <w:rPr/>
      </w:pPr>
      <w:r>
        <w:rPr>
          <w:rFonts w:ascii="IRNazanin" w:hAnsi="IRNazanin" w:eastAsia="IRNazanin"/>
          <w:color w:val="111111"/>
          <w:sz w:val="28"/>
          <w:sz w:val="28"/>
          <w:szCs w:val="28"/>
          <w:rtl w:val="true"/>
          <w:lang w:bidi="fa-IR"/>
        </w:rPr>
        <w:t xml:space="preserve">منه ذلک أیضاً فی أواخر </w:t>
      </w:r>
      <w:r>
        <w:rPr>
          <w:rStyle w:val="FootnoteAnchor"/>
          <w:rtl w:val="true"/>
        </w:rPr>
        <w:footnoteReference w:id="924"/>
      </w:r>
      <w:r>
        <w:rPr>
          <w:rFonts w:ascii="IRNazanin" w:hAnsi="IRNazanin" w:eastAsia="IRNazanin"/>
          <w:color w:val="111111"/>
          <w:sz w:val="28"/>
          <w:sz w:val="28"/>
          <w:szCs w:val="28"/>
          <w:rtl w:val="true"/>
          <w:lang w:bidi="fa-IR"/>
        </w:rPr>
        <w:t xml:space="preserve">القواعد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إنّک قد عرفت أنّ العمدة فی المسألة هو الإجماع،و ربما یتوهّم أنّ الوجه فی اعتبار التنجیز هو عدم قابلیة الإنشاء للتعلیق،و بطلانه واضح؛لأنّ المراد بالإنشاء إن کان هو مدلول الکلام فالتعلیق غیر متصوّر فیه،إلّا أنّ الکلام لیس فیه،و إن کان الکلام فی أنّه کما یصحّ إنشاء الملکیة المتحقّقة علی کلّ تقدیر،فهل یصحّ إنشاء الملکیّة المتحقّقة علی تقدیرٍ دون آخر،کقوله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 إن جاء زید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المال قرضاً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قِراضاً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أخذته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ذلک؟فلا ریب فی أنّه أمر متصوّر واقع فی العرف و الشرع کثیراً فی الأوامر و المعاملات،من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یتلو هذا الوجه فی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ظاهر ما دلّ علی سببیّة العقد ترتّب مسبّبه علیه حال وقوعه،فتعلیق أثره بشرط من المتعاقدین مخالف لذلک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الغضّ عن عدم انحصار أدلّة الصحّة و اللزوم فی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928"/>
      </w:r>
      <w:r>
        <w:rPr>
          <w:rFonts w:ascii="Amiri" w:hAnsi="Amiri" w:eastAsia="Amiri" w:cs="Amiri"/>
          <w:color w:val="111111"/>
          <w:sz w:val="28"/>
          <w:sz w:val="28"/>
          <w:szCs w:val="28"/>
          <w:rtl w:val="true"/>
          <w:lang w:bidi="ar-SA"/>
        </w:rPr>
        <w:t xml:space="preserve">لأنّ دلیل حلّیة البیع </w:t>
      </w:r>
      <w:r>
        <w:rPr>
          <w:rStyle w:val="FootnoteAnchor"/>
          <w:rtl w:val="true"/>
        </w:rPr>
        <w:footnoteReference w:id="929"/>
      </w:r>
      <w:r>
        <w:rPr>
          <w:rFonts w:ascii="IRNazanin" w:hAnsi="IRNazanin" w:eastAsia="IRNazanin"/>
          <w:color w:val="111111"/>
          <w:sz w:val="28"/>
          <w:sz w:val="28"/>
          <w:szCs w:val="28"/>
          <w:rtl w:val="true"/>
          <w:lang w:bidi="fa-IR"/>
        </w:rPr>
        <w:t>و تسلّط الناس</w:t>
      </w:r>
    </w:p>
    <w:p>
      <w:pPr>
        <w:pStyle w:val="BookText"/>
        <w:rPr/>
      </w:pPr>
      <w:r>
        <w:rPr>
          <w:rFonts w:ascii="IRNazanin" w:hAnsi="IRNazanin" w:eastAsia="IRNazanin"/>
          <w:color w:val="111111"/>
          <w:sz w:val="28"/>
          <w:sz w:val="28"/>
          <w:szCs w:val="28"/>
          <w:rtl w:val="true"/>
          <w:lang w:bidi="fa-IR"/>
        </w:rPr>
        <w:t xml:space="preserve">علی أموالهم </w:t>
      </w:r>
      <w:r>
        <w:rPr>
          <w:rStyle w:val="FootnoteAnchor"/>
          <w:rtl w:val="true"/>
        </w:rPr>
        <w:footnoteReference w:id="930"/>
      </w:r>
      <w:r>
        <w:rPr>
          <w:rFonts w:ascii="Amiri" w:hAnsi="Amiri" w:eastAsia="Amiri" w:cs="Amiri"/>
          <w:color w:val="111111"/>
          <w:sz w:val="28"/>
          <w:sz w:val="28"/>
          <w:szCs w:val="28"/>
          <w:rtl w:val="true"/>
          <w:lang w:bidi="ar-SA"/>
        </w:rPr>
        <w:t>کافٍ فی إثبات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العقد سبب لوقوع مدلوله فیجب الوفاء به علی طبق مدلوله،فلیس مفاد أَوْفُوا بِالْعُقُودِ إلّا مفاد أَوْفُوا بِالْعَهْدِ </w:t>
      </w:r>
      <w:r>
        <w:rPr>
          <w:rStyle w:val="FootnoteAnchor"/>
          <w:rtl w:val="true"/>
        </w:rPr>
        <w:footnoteReference w:id="931"/>
      </w:r>
      <w:r>
        <w:rPr>
          <w:rFonts w:ascii="IRNazanin" w:hAnsi="IRNazanin" w:eastAsia="IRNazanin"/>
          <w:color w:val="111111"/>
          <w:sz w:val="28"/>
          <w:sz w:val="28"/>
          <w:szCs w:val="28"/>
          <w:rtl w:val="true"/>
          <w:lang w:bidi="fa-IR"/>
        </w:rPr>
        <w:t>فی أنّ العقد کالعهد إذا وقع علی وجه التعلیق فترقّب تحقّق المعلّق علیه فی تحقّق المعلّق لا یوجب عدم الوفاء بالعهد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أُرید بالمسبّب هو مدلول العقد،فعدم تخلّفه عن إنشاء العقد من البدیهیّات التی لا یعقل خلافها،و إن أُرید به الأثر الشرعی و هو ثبوت الملکیّة،فیمنع کون أثر مطلق البیع الملکیّة المنجّزة، بل هو مطلق الملک،فإن کان البیع غیر معلّق کان أثره الشرعی الملک الغیر المعلّق،و إن کان معلّقاً فأثره الملکیّة المعلّقة،مع أنّ تخلّف الملک عن العقد کثیر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ذکره لا یجری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بعتک إن شئت أو إن </w:t>
      </w:r>
      <w:r>
        <w:rPr>
          <w:rStyle w:val="FootnoteAnchor"/>
          <w:rtl w:val="true"/>
        </w:rPr>
        <w:footnoteReference w:id="932"/>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یلزم هنا تخلّف أثر العقد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لا یجری فی الشرط المشکوک المتحقّق فی الحال،فإنّ العقد حینئذٍ یکون مراعی لا موقوفاً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ما ذکره لا یجری </w:t>
      </w:r>
      <w:r>
        <w:rPr>
          <w:rStyle w:val="FootnoteAnchor"/>
          <w:rtl w:val="true"/>
        </w:rPr>
        <w:footnoteReference w:id="933"/>
      </w:r>
      <w:r>
        <w:rPr>
          <w:rFonts w:ascii="IRNazanin" w:hAnsi="IRNazanin" w:eastAsia="IRNazanin"/>
          <w:color w:val="111111"/>
          <w:sz w:val="28"/>
          <w:sz w:val="28"/>
          <w:szCs w:val="28"/>
          <w:rtl w:val="true"/>
          <w:lang w:bidi="fa-IR"/>
        </w:rPr>
        <w:t>فی غیره من العقود التی قد یتأخّر مقتضاها عنها کما لا یخفی،و لیس الکلام فی خصوص البیع،و لیس علی</w:t>
      </w:r>
    </w:p>
    <w:p>
      <w:pPr>
        <w:pStyle w:val="BookText"/>
        <w:rPr/>
      </w:pPr>
      <w:r>
        <w:rPr>
          <w:rFonts w:ascii="IRNazanin" w:hAnsi="IRNazanin" w:eastAsia="IRNazanin"/>
          <w:color w:val="111111"/>
          <w:sz w:val="28"/>
          <w:sz w:val="28"/>
          <w:szCs w:val="28"/>
          <w:rtl w:val="true"/>
          <w:lang w:bidi="fa-IR"/>
        </w:rPr>
        <w:t>هذا الشرط فی کلّ عقد دلیل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الأضعف من الوجه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فی ذلک بتوقیفیّة الأسباب الشرعیة الموجبة لوجوب الاقتصار فیها علی المتیقّن،و لیس إلّا العقد العاری عن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إطلاق الأدلّة مثل حلّیة البیع،و تسلّط الناس علی أموالهم،و حلّ التجارة عن تراضٍ،و وجوب الوفاء بالعقود،و أدلّة سائر العقود کافٍ فی التوقیف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بالجملة،فإثبات هذا الشرط فی العقود مع عموم أدلّتها و وقوع کثیرٍ منها فی العرف علی وجه التعلیق بغیر الإجماع محقّقاً أو منقولاً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القادح هو تعلیق الإنشاء،و أمّا إذا أنشأ من غیر تعلیق صحّ العقد و إن کان المنشئ متردّداً فی ترتّب الأثر علیه شرعاً أو عرفاً،کمن ینشئ البیع و هو لا یعلم أنّ المال له،أو أنّ المبیع ممّا یتموّل،أو أنّ </w:t>
      </w:r>
      <w:r>
        <w:rPr>
          <w:rStyle w:val="FootnoteAnchor"/>
          <w:rtl w:val="true"/>
        </w:rPr>
        <w:footnoteReference w:id="935"/>
      </w:r>
      <w:r>
        <w:rPr>
          <w:rFonts w:ascii="IRNazanin" w:hAnsi="IRNazanin" w:eastAsia="IRNazanin"/>
          <w:color w:val="111111"/>
          <w:sz w:val="28"/>
          <w:sz w:val="28"/>
          <w:szCs w:val="28"/>
          <w:rtl w:val="true"/>
          <w:lang w:bidi="fa-IR"/>
        </w:rPr>
        <w:t>المشتری راضٍ حین الإیجاب أم لا،أو غیر ذلک ممّا یتوقّف صحّة العقد علیه عرفاً أو شرعاً،بل الظاهر أنّه لا یقدح اعتقاد عدم ترتّب الأثر علیه إذا تحقّق القصد إلی التملیک العرفی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بما ذکرنا بعض المحقّقین؛حیث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یخلّ زعم فساد المعاملة ما لم یکن سبباً لارتفاع القصد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نعم،ربما یشکل الأمر فی فقد الشروط المقوّمة کعدم الزوجیّة أو الشکّ فیها فی إنشاء الطلاق،فإنّه لا یتحقّق القصد إلیه منجّزاً من دون العلم بالزوجیّة،و کذا الرقّیة فی العتق،و حینئذٍ فإذا مسّت الحاجة إلی شیءٍ من ذلک للاحتیاط،و قلنا بعدم جواز تعلیق الإنشاء علی ما هو شرط فیه،فلا بدّ من إبرازه بصورة التنجیز </w:t>
      </w:r>
      <w:r>
        <w:rPr>
          <w:rStyle w:val="FootnoteAnchor"/>
          <w:rtl w:val="true"/>
        </w:rPr>
        <w:footnoteReference w:id="937"/>
      </w:r>
      <w:r>
        <w:rPr>
          <w:rFonts w:ascii="IRNazanin" w:hAnsi="IRNazanin" w:eastAsia="IRNazanin"/>
          <w:color w:val="111111"/>
          <w:sz w:val="28"/>
          <w:sz w:val="28"/>
          <w:szCs w:val="28"/>
          <w:rtl w:val="true"/>
          <w:lang w:bidi="fa-IR"/>
        </w:rPr>
        <w:t>و إن کان فی الواقع معلّقاً،أو یوکّل غیره الجاهل بالحال بإیقاعه،و لا یقدح فیه تعلیق الوکالة واقعاً علی کون الموکِّل مالکاً للفعل؛لأنّ فساد الوکالة بالتعلیق لا یوجب ارتفاع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ظاهر الشهید فی القواعد الجزم بالبطلان فیما لو زوّجه </w:t>
      </w:r>
      <w:r>
        <w:rPr>
          <w:rStyle w:val="FootnoteAnchor"/>
          <w:rtl w:val="true"/>
        </w:rPr>
        <w:footnoteReference w:id="938"/>
      </w:r>
      <w:r>
        <w:rPr>
          <w:rFonts w:ascii="Amiri" w:hAnsi="Amiri" w:eastAsia="Amiri" w:cs="Amiri"/>
          <w:color w:val="111111"/>
          <w:sz w:val="28"/>
          <w:sz w:val="28"/>
          <w:szCs w:val="28"/>
          <w:rtl w:val="true"/>
          <w:lang w:bidi="ar-SA"/>
        </w:rPr>
        <w:t xml:space="preserve">امرأة یشکّ فی أنّها محرّمة علیه أو محلّلة </w:t>
      </w:r>
      <w:r>
        <w:rPr>
          <w:rStyle w:val="FootnoteAnchor"/>
          <w:rtl w:val="true"/>
        </w:rPr>
        <w:footnoteReference w:id="939"/>
      </w:r>
      <w:r>
        <w:rPr>
          <w:rFonts w:ascii="IRNazanin" w:hAnsi="IRNazanin" w:eastAsia="IRNazanin"/>
          <w:color w:val="111111"/>
          <w:sz w:val="28"/>
          <w:sz w:val="28"/>
          <w:szCs w:val="28"/>
          <w:rtl w:val="true"/>
          <w:lang w:bidi="fa-IR"/>
        </w:rPr>
        <w:t>،فظهر حلّها،و علّل ذلک بعدم الجزم حال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الإیقاعات،کما لو خالع امرأةً أو طلّقها و هو شاکّ فی زوجیّتها،أو ولّی نائب الإمام علیه السلام قاضیاً لا یعلم أهلیّته و إن ظهر أهلاً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من هذا بیع مال مورّثه لظنّه حیاته،فبان میّتاً؛ لأنّ الجزم هنا حاصل،لکن خصوصیّة البائع غیر معلومة،و إن قیل بالبطلان أمکن؛لعدم القصد إلی نقل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زوّج أمة أبیه </w:t>
      </w:r>
      <w:r>
        <w:rPr>
          <w:rStyle w:val="FootnoteAnchor"/>
          <w:rtl w:val="true"/>
        </w:rPr>
        <w:footnoteReference w:id="940"/>
      </w:r>
      <w:r>
        <w:rPr>
          <w:rFonts w:ascii="Amiri" w:hAnsi="Amiri" w:eastAsia="Amiri" w:cs="Amiri"/>
          <w:color w:val="111111"/>
          <w:sz w:val="28"/>
          <w:sz w:val="28"/>
          <w:szCs w:val="28"/>
          <w:rtl w:val="true"/>
          <w:lang w:bidi="ar-SA"/>
        </w:rPr>
        <w:t xml:space="preserve">فظهر میتاً </w:t>
      </w:r>
      <w:r>
        <w:rPr>
          <w:rStyle w:val="FootnoteAnchor"/>
          <w:rtl w:val="true"/>
        </w:rPr>
        <w:footnoteReference w:id="94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الفرق بین مثال الطلاق و طرفیه،بإمکان الجزم فیهما، دون مثال الطلاق،فافهم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طلّق بحضور خنثیین فظهرا رجلین، أمکن الصحّة،و کذا بحضور من یظنّه فاسقاً فظهر عدلاً،و یشکلان فی العالم بالحکم؛لعدم قصدهما </w:t>
      </w:r>
      <w:r>
        <w:rPr>
          <w:rStyle w:val="FootnoteAnchor"/>
          <w:rtl w:val="true"/>
        </w:rPr>
        <w:footnoteReference w:id="942"/>
      </w:r>
      <w:r>
        <w:rPr>
          <w:rFonts w:ascii="IRNazanin" w:hAnsi="IRNazanin" w:eastAsia="IRNazanin"/>
          <w:color w:val="111111"/>
          <w:sz w:val="28"/>
          <w:sz w:val="28"/>
          <w:szCs w:val="28"/>
          <w:rtl w:val="true"/>
          <w:lang w:bidi="fa-IR"/>
        </w:rPr>
        <w:t xml:space="preserve">إلی طلاقٍ صحیح </w:t>
      </w:r>
      <w:r>
        <w:rPr>
          <w:rStyle w:val="FootnoteAnchor"/>
          <w:rtl w:val="true"/>
        </w:rPr>
        <w:footnoteReference w:id="9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263" w:name="pg19763_247921"/>
    </w:p>
    <w:p>
      <w:pPr>
        <w:pStyle w:val="Heading4"/>
        <w:numPr>
          <w:ilvl w:val="3"/>
          <w:numId w:val="1"/>
        </w:numPr>
        <w:rPr/>
      </w:pPr>
      <w:bookmarkStart w:id="264" w:name="__RefHeading___Toc5082624_2314609296"/>
      <w:bookmarkStart w:id="265" w:name="_Toc103"/>
      <w:bookmarkEnd w:id="263"/>
      <w:bookmarkEnd w:id="264"/>
      <w:r>
        <w:rPr>
          <w:rtl w:val="true"/>
        </w:rPr>
        <w:t>و من جملة شروط العقد</w:t>
      </w:r>
      <w:r>
        <w:rPr>
          <w:rtl w:val="true"/>
        </w:rPr>
        <w:t>:</w:t>
      </w:r>
      <w:bookmarkEnd w:id="265"/>
    </w:p>
    <w:p>
      <w:pPr>
        <w:pStyle w:val="BookText"/>
        <w:rPr/>
      </w:pPr>
      <w:r>
        <w:rPr>
          <w:rFonts w:ascii="IRNazanin" w:hAnsi="IRNazanin" w:eastAsia="IRNazanin"/>
          <w:color w:val="111111"/>
          <w:sz w:val="28"/>
          <w:sz w:val="28"/>
          <w:szCs w:val="28"/>
          <w:rtl w:val="true"/>
          <w:lang w:bidi="fa-IR"/>
        </w:rPr>
        <w:t>التطابق بین الإیجاب و القبول</w:t>
      </w:r>
    </w:p>
    <w:p>
      <w:pPr>
        <w:pStyle w:val="BookText"/>
        <w:rPr/>
      </w:pPr>
      <w:r>
        <w:rPr>
          <w:rFonts w:ascii="IRNazanin" w:hAnsi="IRNazanin" w:eastAsia="IRNazanin"/>
          <w:color w:val="111111"/>
          <w:sz w:val="28"/>
          <w:sz w:val="28"/>
          <w:szCs w:val="28"/>
          <w:rtl w:val="true"/>
          <w:lang w:bidi="fa-IR"/>
        </w:rPr>
        <w:t>فلو اختلفا فی المضمون بأن أوجب البائع البیع علی وجهٍ خاصّ من حیث خصوص المشتری أو المثمن أو الثمن أو توابع العقد من الشروط،فقبل المشتری علی وجهٍ آخر،لم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هذا الاشتراط واضح،و هو مأخوذ من اعتبار القبول،و هو الرضا بالإیجاب،فحینئذٍ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بعته من موکّلک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ینعقد،و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من موکّلک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الموکّل الغیر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المخاطب وکیله بالقبول فقبل،و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العبد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نصفه بتمام الثمن أو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ینعقد،و کذا </w:t>
      </w:r>
      <w:r>
        <w:rPr>
          <w:rStyle w:val="FootnoteAnchor"/>
          <w:rtl w:val="true"/>
        </w:rPr>
        <w:footnoteReference w:id="944"/>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العبد بمائة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بعشرة دینار</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 للاثنین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بعتکما العبد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أحدهما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نصفه بنصف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یقع،و لو قال کلٌّ منهما ذلک،لا یبعد الجواز،و نحوه لو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العبد بمائة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المشتری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کلّ نصفٍ منه بخمسین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w:t>
      </w:r>
      <w:r>
        <w:rPr>
          <w:rFonts w:eastAsia="IRNazanin" w:cs="IRNazanin"/>
          <w:color w:val="111111"/>
          <w:sz w:val="28"/>
          <w:szCs w:val="28"/>
          <w:rtl w:val="true"/>
          <w:lang w:bidi="fa-IR"/>
        </w:rPr>
        <w:t>.</w:t>
      </w:r>
      <w:bookmarkStart w:id="266" w:name="pg19763_247923"/>
    </w:p>
    <w:p>
      <w:pPr>
        <w:pStyle w:val="Heading4"/>
        <w:numPr>
          <w:ilvl w:val="3"/>
          <w:numId w:val="1"/>
        </w:numPr>
        <w:rPr/>
      </w:pPr>
      <w:bookmarkStart w:id="267" w:name="__RefHeading___Toc5082626_2314609296"/>
      <w:bookmarkStart w:id="268" w:name="_Toc104"/>
      <w:bookmarkEnd w:id="266"/>
      <w:bookmarkEnd w:id="267"/>
      <w:r>
        <w:rPr>
          <w:rtl w:val="true"/>
        </w:rPr>
        <w:t>و من جملة الشروط فی العقد</w:t>
      </w:r>
      <w:bookmarkEnd w:id="268"/>
    </w:p>
    <w:p>
      <w:pPr>
        <w:pStyle w:val="Heading5"/>
        <w:numPr>
          <w:ilvl w:val="4"/>
          <w:numId w:val="1"/>
        </w:numPr>
        <w:rPr/>
      </w:pPr>
      <w:bookmarkStart w:id="269" w:name="__RefHeading___Toc5082628_2314609296"/>
      <w:bookmarkStart w:id="270" w:name="_Toc105"/>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 xml:space="preserve">و من جملة الشروط فی العقد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5082630_2314609296"/>
      <w:bookmarkStart w:id="272" w:name="_Toc106"/>
      <w:bookmarkEnd w:id="271"/>
      <w:r>
        <w:rPr>
          <w:rtl w:val="true"/>
        </w:rPr>
        <w:t>اشاره</w:t>
      </w:r>
      <w:bookmarkEnd w:id="272"/>
    </w:p>
    <w:p>
      <w:pPr>
        <w:pStyle w:val="BookText"/>
        <w:rPr/>
      </w:pPr>
      <w:r>
        <w:rPr>
          <w:rFonts w:ascii="Amiri" w:hAnsi="Amiri" w:eastAsia="Amiri" w:cs="Amiri"/>
          <w:color w:val="111111"/>
          <w:sz w:val="28"/>
          <w:sz w:val="28"/>
          <w:szCs w:val="28"/>
          <w:rtl w:val="true"/>
          <w:lang w:bidi="ar-SA"/>
        </w:rPr>
        <w:t>أن یقع کلٌّ من إیجابه و قبوله فی حالٍ</w:t>
      </w:r>
    </w:p>
    <w:p>
      <w:pPr>
        <w:pStyle w:val="BookText"/>
        <w:rPr/>
      </w:pPr>
      <w:r>
        <w:rPr>
          <w:rFonts w:ascii="Amiri" w:hAnsi="Amiri" w:eastAsia="Amiri" w:cs="Amiri"/>
          <w:color w:val="111111"/>
          <w:sz w:val="28"/>
          <w:sz w:val="28"/>
          <w:szCs w:val="28"/>
          <w:rtl w:val="true"/>
          <w:lang w:bidi="ar-SA"/>
        </w:rPr>
        <w:t xml:space="preserve">یجوز لکلّ واحدٍ </w:t>
      </w:r>
      <w:r>
        <w:rPr>
          <w:rStyle w:val="FootnoteAnchor"/>
          <w:rtl w:val="true"/>
        </w:rPr>
        <w:footnoteReference w:id="948"/>
      </w:r>
      <w:r>
        <w:rPr>
          <w:rFonts w:ascii="IRNazanin" w:hAnsi="IRNazanin" w:eastAsia="IRNazanin"/>
          <w:color w:val="111111"/>
          <w:sz w:val="28"/>
          <w:sz w:val="28"/>
          <w:szCs w:val="28"/>
          <w:rtl w:val="true"/>
          <w:lang w:bidi="fa-IR"/>
        </w:rPr>
        <w:t>منهما الإنشاء فلو کان المشتری فی حال إیجاب البائع غیر قابل للقبول،أو خرج البائع حال القبول عن قابلیة الإیجاب،لم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عدم قابلیتهما إن کان لعدم کونهما قابلین للتخاطب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کالموت و الجنون و الإغماء بل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الاعتبار عدم تحقّق معنی المعاقدة و المعاهدة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صحّة القبول من الموصی له بعد موت الموصی،فهو شرط حقیقة </w:t>
      </w:r>
      <w:r>
        <w:rPr>
          <w:rStyle w:val="FootnoteAnchor"/>
          <w:rtl w:val="true"/>
        </w:rPr>
        <w:footnoteReference w:id="949"/>
      </w:r>
      <w:r>
        <w:rPr>
          <w:rFonts w:ascii="IRNazanin" w:hAnsi="IRNazanin" w:eastAsia="IRNazanin"/>
          <w:color w:val="111111"/>
          <w:sz w:val="28"/>
          <w:sz w:val="28"/>
          <w:szCs w:val="28"/>
          <w:rtl w:val="true"/>
          <w:lang w:bidi="fa-IR"/>
        </w:rPr>
        <w:t xml:space="preserve">،لا رکن؛فإنّ حقیقة الوصیة الإیصاء،و لذا </w:t>
      </w:r>
      <w:r>
        <w:rPr>
          <w:rStyle w:val="FootnoteAnchor"/>
          <w:rtl w:val="true"/>
        </w:rPr>
        <w:footnoteReference w:id="950"/>
      </w:r>
      <w:r>
        <w:rPr>
          <w:rFonts w:ascii="IRNazanin" w:hAnsi="IRNazanin" w:eastAsia="IRNazanin"/>
          <w:color w:val="111111"/>
          <w:sz w:val="28"/>
          <w:sz w:val="28"/>
          <w:szCs w:val="28"/>
          <w:rtl w:val="true"/>
          <w:lang w:bidi="fa-IR"/>
        </w:rPr>
        <w:t>لو مات قبل القبول قام وارثه مقامه،و لو ردّ جاز له القبول بعد ذلک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لعدم الاعتبار </w:t>
      </w:r>
      <w:r>
        <w:rPr>
          <w:rStyle w:val="FootnoteAnchor"/>
          <w:rtl w:val="true"/>
        </w:rPr>
        <w:footnoteReference w:id="951"/>
      </w:r>
      <w:r>
        <w:rPr>
          <w:rFonts w:ascii="IRNazanin" w:hAnsi="IRNazanin" w:eastAsia="IRNazanin"/>
          <w:color w:val="111111"/>
          <w:sz w:val="28"/>
          <w:sz w:val="28"/>
          <w:szCs w:val="28"/>
          <w:rtl w:val="true"/>
          <w:lang w:bidi="fa-IR"/>
        </w:rPr>
        <w:t>برضاهما،فلخروجه أیضاً عن مفهوم</w:t>
      </w:r>
      <w:bookmarkStart w:id="273" w:name="pg19763_247924"/>
    </w:p>
    <w:p>
      <w:pPr>
        <w:pStyle w:val="BookText"/>
        <w:rPr/>
      </w:pPr>
      <w:bookmarkEnd w:id="273"/>
      <w:r>
        <w:rPr>
          <w:rFonts w:ascii="IRNazanin" w:hAnsi="IRNazanin" w:eastAsia="IRNazanin"/>
          <w:color w:val="111111"/>
          <w:sz w:val="28"/>
          <w:sz w:val="28"/>
          <w:szCs w:val="28"/>
          <w:rtl w:val="true"/>
          <w:lang w:bidi="fa-IR"/>
        </w:rPr>
        <w:t>التعاهد و التعاقد؛لأنّ المعتبر فیه عرفاً رضا کلٍّ منهما لما ینشئه الآخر حین إنشائه،کمن یعرض له الحجر بفَلَسٍ أو سَفَهٍ أو 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أو مرض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الموجب لو فسخ قبل القبول لغی الإیجاب السابق،و کذا لو کان المشتری فی زمان الإیجاب غیر راضٍ، أو کان ممّن لا یعتبر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،فصحّة کلٍّ من الإیجاب و القبول یکون معناه قائماً فی نفس المتکلّم من أوّل العقد إلی أن یتحقّق تمام السبب،و به یتمّ معنی المعاقدة،فإذا لم یکن هذا المعنی قائماً فی نفس أحدهما،أو قام و لم یکن قیامه معتبراً،لم یتحقّق معنی المعاقدة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صرّحوا بجواز لحوق الرضا لبیع المکره،و مقتضاه عدم اعتباره من أحدهما حین العقد،بل یکفی حصوله بعده،فضلاً عن حصوله بعد الإیجاب و قبل القبول،اللّهم إلّا أن یلتزم بکون الحکم فی المکره علی خلاف القاعدة لأجل الإجماع</w:t>
      </w:r>
      <w:r>
        <w:rPr>
          <w:rFonts w:eastAsia="IRNazanin" w:cs="IRNazanin"/>
          <w:color w:val="111111"/>
          <w:sz w:val="28"/>
          <w:szCs w:val="28"/>
          <w:rtl w:val="true"/>
          <w:lang w:bidi="fa-IR"/>
        </w:rPr>
        <w:t>.</w:t>
      </w:r>
    </w:p>
    <w:p>
      <w:pPr>
        <w:pStyle w:val="Heading5"/>
        <w:numPr>
          <w:ilvl w:val="4"/>
          <w:numId w:val="1"/>
        </w:numPr>
        <w:rPr/>
      </w:pPr>
      <w:bookmarkStart w:id="274" w:name="__RefHeading___Toc5082632_2314609296"/>
      <w:bookmarkStart w:id="275" w:name="_Toc107"/>
      <w:bookmarkEnd w:id="274"/>
      <w:r>
        <w:rPr>
          <w:rtl w:val="true"/>
        </w:rPr>
        <w:t>«</w:t>
      </w:r>
      <w:r>
        <w:rPr>
          <w:rtl w:val="true"/>
        </w:rPr>
        <w:t>فرع</w:t>
      </w:r>
      <w:r>
        <w:rPr>
          <w:rtl w:val="true"/>
        </w:rPr>
        <w:t>»</w:t>
      </w:r>
      <w:bookmarkEnd w:id="275"/>
    </w:p>
    <w:p>
      <w:pPr>
        <w:pStyle w:val="BookText"/>
        <w:rPr/>
      </w:pPr>
      <w:r>
        <w:rPr>
          <w:rFonts w:ascii="IRNazanin" w:hAnsi="IRNazanin" w:eastAsia="IRNazanin"/>
          <w:color w:val="111111"/>
          <w:sz w:val="28"/>
          <w:sz w:val="28"/>
          <w:szCs w:val="28"/>
          <w:rtl w:val="true"/>
          <w:lang w:bidi="fa-IR"/>
        </w:rPr>
        <w:t>لو اختلف المتعاقدان اجتهاداً أو تقلیداً فی شروط الصیغة،فهل یجوز أن یکتفی کلٌّ منهما بما یقتضیه مذهبه أم لا؟وجوه،ثالثها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اشتراط عدم کون العقد المرکّب منهما ممّا لا قائل بکونه سبباً فی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فرضنا أنّه لا قائل بجواز تقدیم القبول علی الإیجاب و جواز العقد بالفارسی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أردؤها أخیرها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الأوّلان مبنیّان علی أنّ الأحکام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فیها بمنزلة</w:t>
      </w:r>
    </w:p>
    <w:p>
      <w:pPr>
        <w:pStyle w:val="BookText"/>
        <w:rPr/>
      </w:pPr>
      <w:r>
        <w:rPr>
          <w:rFonts w:ascii="IRNazanin" w:hAnsi="IRNazanin" w:eastAsia="IRNazanin"/>
          <w:color w:val="111111"/>
          <w:sz w:val="28"/>
          <w:sz w:val="28"/>
          <w:szCs w:val="28"/>
          <w:rtl w:val="true"/>
          <w:lang w:bidi="fa-IR"/>
        </w:rPr>
        <w:t xml:space="preserve">الواقعیة الاضطراریة،فالإیجاب بالفارسیة من المجتهد القائل بصحّته عند مَن یراه باطلاً بمنزلة إشارة الأخرس و إیجاب العاجز عن العربیة، و کصلاة المتیمّم بالنسبة إلی واجد الماء،أم هی أحکام عذریّة لا یعذّر فیها إلّا </w:t>
      </w:r>
      <w:r>
        <w:rPr>
          <w:rStyle w:val="FootnoteAnchor"/>
          <w:rtl w:val="true"/>
        </w:rPr>
        <w:footnoteReference w:id="952"/>
      </w:r>
      <w:r>
        <w:rPr>
          <w:rFonts w:ascii="IRNazanin" w:hAnsi="IRNazanin" w:eastAsia="IRNazanin"/>
          <w:color w:val="111111"/>
          <w:sz w:val="28"/>
          <w:sz w:val="28"/>
          <w:szCs w:val="28"/>
          <w:rtl w:val="true"/>
          <w:lang w:bidi="fa-IR"/>
        </w:rPr>
        <w:t xml:space="preserve">من اجتهد أو قلّد فیها،و المسألة محرّرة فی الأُصول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إذا کان بطلان العقد عند کلٍّ من المتخالفین مستنداً إلی فعل الآخر،کالصراحة و العربیة و الماضویة و الترتیب،و أمّا الموالاة و التنجیز و بقاء المتعاقدین علی صفات صحّة الإنشاء إلی آخر العقد، فالظاهر أنّ اختلافها یوجب فساد المجموع؛لأنّ بالإخلال </w:t>
      </w:r>
      <w:r>
        <w:rPr>
          <w:rStyle w:val="FootnoteAnchor"/>
          <w:rtl w:val="true"/>
        </w:rPr>
        <w:footnoteReference w:id="954"/>
      </w:r>
      <w:r>
        <w:rPr>
          <w:rFonts w:ascii="IRNazanin" w:hAnsi="IRNazanin" w:eastAsia="IRNazanin"/>
          <w:color w:val="111111"/>
          <w:sz w:val="28"/>
          <w:sz w:val="28"/>
          <w:szCs w:val="28"/>
          <w:rtl w:val="true"/>
          <w:lang w:bidi="fa-IR"/>
        </w:rPr>
        <w:t>بالموالاة أو التنجیز أو البقاء علی صفات صحّة الإنشاء،یفسد عبارة من یراها شروطاً؛فإنّ الموجب إذا علّق مثلاً،أو لم یبقَ علی صفة صحّة الإنشاء إلی زمان القبول باعتقاد مشروعیّة ذلک،لم یجز من القائل ببطلان هذا تعقیب هذا الإیجاب بالقبول،و کذا القابل إذا لم یقبل إلّا بعد فوات الموالاة بزعم صحّة ذلک؛فإنّه یجب علی الموجب إعادة إیجابه إذا اعتقد اعتبار الموالاة،فتأمّل</w:t>
      </w:r>
      <w:r>
        <w:rPr>
          <w:rFonts w:eastAsia="IRNazanin" w:cs="IRNazanin"/>
          <w:color w:val="111111"/>
          <w:sz w:val="28"/>
          <w:szCs w:val="28"/>
          <w:rtl w:val="true"/>
          <w:lang w:bidi="fa-IR"/>
        </w:rPr>
        <w:t>.</w:t>
      </w:r>
      <w:bookmarkStart w:id="276" w:name="pg19763_247926"/>
    </w:p>
    <w:p>
      <w:pPr>
        <w:pStyle w:val="Heading4"/>
        <w:numPr>
          <w:ilvl w:val="3"/>
          <w:numId w:val="1"/>
        </w:numPr>
        <w:rPr/>
      </w:pPr>
      <w:bookmarkStart w:id="277" w:name="__RefHeading___Toc5082634_2314609296"/>
      <w:bookmarkStart w:id="278" w:name="_Toc108"/>
      <w:bookmarkEnd w:id="276"/>
      <w:bookmarkEnd w:id="277"/>
      <w:r>
        <w:rPr>
          <w:rtl w:val="true"/>
        </w:rPr>
        <w:t xml:space="preserve">مسألة </w:t>
      </w:r>
      <w:r>
        <w:rPr>
          <w:rtl w:val="true"/>
        </w:rPr>
        <w:t>[</w:t>
      </w:r>
      <w:r>
        <w:rPr>
          <w:rtl w:val="true"/>
        </w:rPr>
        <w:t>أحکام المقبوض بالعقد الفاسد</w:t>
      </w:r>
      <w:r>
        <w:rPr>
          <w:rtl w:val="true"/>
        </w:rPr>
        <w:t>]</w:t>
      </w:r>
      <w:bookmarkEnd w:id="278"/>
    </w:p>
    <w:p>
      <w:pPr>
        <w:pStyle w:val="Heading5"/>
        <w:numPr>
          <w:ilvl w:val="4"/>
          <w:numId w:val="1"/>
        </w:numPr>
        <w:rPr/>
      </w:pPr>
      <w:bookmarkStart w:id="279" w:name="__RefHeading___Toc5082636_2314609296"/>
      <w:bookmarkStart w:id="280" w:name="_Toc109"/>
      <w:bookmarkEnd w:id="279"/>
      <w:r>
        <w:rPr>
          <w:rtl w:val="true"/>
        </w:rPr>
        <w:t>اشاره</w:t>
      </w:r>
      <w:bookmarkEnd w:id="280"/>
    </w:p>
    <w:p>
      <w:pPr>
        <w:pStyle w:val="BookText"/>
        <w:rPr/>
      </w:pPr>
      <w:r>
        <w:rPr>
          <w:rStyle w:val="FootnoteAnchor"/>
          <w:rtl w:val="true"/>
        </w:rPr>
        <w:footnoteReference w:id="955"/>
      </w:r>
    </w:p>
    <w:p>
      <w:pPr>
        <w:pStyle w:val="Heading5"/>
        <w:numPr>
          <w:ilvl w:val="4"/>
          <w:numId w:val="1"/>
        </w:numPr>
        <w:rPr/>
      </w:pPr>
      <w:bookmarkStart w:id="281" w:name="__RefHeading___Toc5082638_2314609296"/>
      <w:bookmarkStart w:id="282" w:name="_Toc110"/>
      <w:bookmarkEnd w:id="281"/>
      <w:r>
        <w:rPr>
          <w:rtl w:val="true"/>
        </w:rPr>
        <w:t>[</w:t>
      </w:r>
      <w:r>
        <w:rPr>
          <w:rtl w:val="true"/>
        </w:rPr>
        <w:t>الأوّل</w:t>
      </w:r>
      <w:r>
        <w:rPr>
          <w:rtl w:val="true"/>
        </w:rPr>
        <w:t>]</w:t>
      </w:r>
      <w:bookmarkEnd w:id="282"/>
    </w:p>
    <w:p>
      <w:pPr>
        <w:pStyle w:val="Heading6"/>
        <w:numPr>
          <w:ilvl w:val="5"/>
          <w:numId w:val="1"/>
        </w:numPr>
        <w:rPr/>
      </w:pPr>
      <w:bookmarkStart w:id="283" w:name="__RefHeading___Toc5082640_2314609296"/>
      <w:bookmarkStart w:id="284" w:name="_Toc111"/>
      <w:bookmarkEnd w:id="283"/>
      <w:r>
        <w:rPr>
          <w:rtl w:val="true"/>
        </w:rPr>
        <w:t>اشاره</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المقبوض بالعقد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قبض ما ابتاعه بالعقد الفاسد لم یملکه،و کان مضموناً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الملک؛فلأنه مقتضی فرض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الضمان بمعنی کون تلفه علیه و هو أحد الأُمور </w:t>
      </w:r>
      <w:r>
        <w:rPr>
          <w:rStyle w:val="FootnoteAnchor"/>
          <w:rtl w:val="true"/>
        </w:rPr>
        <w:footnoteReference w:id="957"/>
      </w:r>
      <w:r>
        <w:rPr>
          <w:rFonts w:ascii="IRNazanin" w:hAnsi="IRNazanin" w:eastAsia="IRNazanin"/>
          <w:color w:val="111111"/>
          <w:sz w:val="28"/>
          <w:sz w:val="28"/>
          <w:szCs w:val="28"/>
          <w:rtl w:val="true"/>
          <w:lang w:bidi="fa-IR"/>
        </w:rPr>
        <w:t>المتفرّعة علی القبض بالعقد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المعروف،و ادّعی الشیخ فی باب الرهن </w:t>
      </w:r>
      <w:r>
        <w:rPr>
          <w:rStyle w:val="FootnoteAnchor"/>
          <w:rtl w:val="true"/>
        </w:rPr>
        <w:footnoteReference w:id="958"/>
      </w:r>
      <w:r>
        <w:rPr>
          <w:rFonts w:ascii="IRNazanin" w:hAnsi="IRNazanin" w:eastAsia="IRNazanin"/>
          <w:color w:val="111111"/>
          <w:sz w:val="28"/>
          <w:sz w:val="28"/>
          <w:szCs w:val="28"/>
          <w:rtl w:val="true"/>
          <w:lang w:bidi="fa-IR"/>
        </w:rPr>
        <w:t>،و فی موضع من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صریحاً </w:t>
      </w:r>
      <w:r>
        <w:rPr>
          <w:rStyle w:val="FootnoteAnchor"/>
          <w:rtl w:val="true"/>
        </w:rPr>
        <w:footnoteReference w:id="959"/>
      </w:r>
      <w:r>
        <w:rPr>
          <w:rFonts w:ascii="IRNazanin" w:hAnsi="IRNazanin" w:eastAsia="IRNazanin"/>
          <w:color w:val="111111"/>
          <w:sz w:val="28"/>
          <w:sz w:val="28"/>
          <w:szCs w:val="28"/>
          <w:rtl w:val="true"/>
          <w:lang w:bidi="fa-IR"/>
        </w:rPr>
        <w:t xml:space="preserve">،و تبعه فی ذلک </w:t>
      </w:r>
      <w:r>
        <w:rPr>
          <w:rStyle w:val="FootnoteAnchor"/>
          <w:rtl w:val="true"/>
        </w:rPr>
        <w:footnoteReference w:id="960"/>
      </w:r>
      <w:r>
        <w:rPr>
          <w:rFonts w:ascii="IRNazanin" w:hAnsi="IRNazanin" w:eastAsia="IRNazanin"/>
          <w:color w:val="111111"/>
          <w:sz w:val="28"/>
          <w:sz w:val="28"/>
          <w:szCs w:val="28"/>
          <w:rtl w:val="true"/>
          <w:lang w:bidi="fa-IR"/>
        </w:rPr>
        <w:t xml:space="preserve">فقیه عصره فی شرح القواعد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البیع الفاسد یجری عند المحصّلین مجری الغصب فی الضمان </w:t>
      </w:r>
      <w:r>
        <w:rPr>
          <w:rStyle w:val="FootnoteAnchor"/>
          <w:rtl w:val="true"/>
        </w:rPr>
        <w:footnoteReference w:id="962"/>
      </w:r>
      <w:r>
        <w:rPr>
          <w:rFonts w:ascii="IRNazanin" w:hAnsi="IRNazanin" w:eastAsia="IRNazanin"/>
          <w:color w:val="111111"/>
          <w:sz w:val="28"/>
          <w:sz w:val="28"/>
          <w:szCs w:val="28"/>
          <w:rtl w:val="true"/>
          <w:lang w:bidi="fa-IR"/>
        </w:rPr>
        <w:t>،و فی موضعٍ آخر نسبه إلی أصحابنا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285" w:name="pg19763_247927"/>
    </w:p>
    <w:p>
      <w:pPr>
        <w:pStyle w:val="Heading6"/>
        <w:numPr>
          <w:ilvl w:val="5"/>
          <w:numId w:val="1"/>
        </w:numPr>
        <w:rPr/>
      </w:pPr>
      <w:bookmarkStart w:id="286" w:name="__RefHeading___Toc5082642_2314609296"/>
      <w:bookmarkStart w:id="287" w:name="_Toc112"/>
      <w:bookmarkEnd w:id="285"/>
      <w:bookmarkEnd w:id="286"/>
      <w:r>
        <w:rPr>
          <w:rtl w:val="true"/>
        </w:rPr>
        <w:t>[</w:t>
      </w:r>
      <w:r>
        <w:rPr>
          <w:rtl w:val="true"/>
        </w:rPr>
        <w:t>الاستدلال علی الضمان</w:t>
      </w:r>
      <w:r>
        <w:rPr>
          <w:rtl w:val="true"/>
        </w:rPr>
        <w:t>]</w:t>
      </w:r>
      <w:bookmarkEnd w:id="287"/>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الخدشة فی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الحکم التکلیفی فلا یدلّ علی الضمان،ضعیفة جدّاً؛فإنّ هذا الظهور إنّما هو إذا أُسند الظرف إلی فعلٍ من أفعال المکلّفین،لا إلی مالٍ من الأموال،کما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حینئذٍ لمجرّد الاستقرار فی العهدة،عیناً کان أو دیناً؛و من هنا کان المتّجه صحّة الاستدلال به علی ضمان الصغیر،بل المجنون إذا لم یکن یدهما ضعیفة؛لعدم التمییز </w:t>
      </w:r>
      <w:r>
        <w:rPr>
          <w:rStyle w:val="FootnoteAnchor"/>
          <w:rtl w:val="true"/>
        </w:rPr>
        <w:footnoteReference w:id="964"/>
      </w:r>
      <w:r>
        <w:rPr>
          <w:rFonts w:ascii="IRNazanin" w:hAnsi="IRNazanin" w:eastAsia="IRNazanin"/>
          <w:color w:val="111111"/>
          <w:sz w:val="28"/>
          <w:sz w:val="28"/>
          <w:szCs w:val="28"/>
          <w:rtl w:val="true"/>
          <w:lang w:bidi="fa-IR"/>
        </w:rPr>
        <w:t>و الشعور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الحکم المذکور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الأمة المبتاعة إذا وُجِدت مسروقة بعد أن أولدها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Style w:val="FootnoteAnchor"/>
          <w:rtl w:val="true"/>
        </w:rPr>
        <w:footnoteReference w:id="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الجاریة صاحبها،و یأخذ الرجل ولده بالقیمة</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،فإنّ ضمان الولد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نماءً لم یستوفه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یستلزم ضمان الأصل بطریقٍ أولی، و لیس </w:t>
      </w:r>
      <w:r>
        <w:rPr>
          <w:rStyle w:val="FootnoteAnchor"/>
          <w:rtl w:val="true"/>
        </w:rPr>
        <w:footnoteReference w:id="967"/>
      </w:r>
      <w:r>
        <w:rPr>
          <w:rFonts w:ascii="IRNazanin" w:hAnsi="IRNazanin" w:eastAsia="IRNazanin"/>
          <w:color w:val="111111"/>
          <w:sz w:val="28"/>
          <w:sz w:val="28"/>
          <w:szCs w:val="28"/>
          <w:rtl w:val="true"/>
          <w:lang w:bidi="fa-IR"/>
        </w:rPr>
        <w:t xml:space="preserve">استیلادها من قبیل إتلاف النماء،بل من قبیل إحداث نمائها </w:t>
      </w:r>
      <w:r>
        <w:rPr>
          <w:rStyle w:val="FootnoteAnchor"/>
          <w:rtl w:val="true"/>
        </w:rPr>
        <w:footnoteReference w:id="968"/>
      </w:r>
      <w:r>
        <w:rPr>
          <w:rFonts w:ascii="IRNazanin" w:hAnsi="IRNazanin" w:eastAsia="IRNazanin"/>
          <w:color w:val="111111"/>
          <w:sz w:val="28"/>
          <w:sz w:val="28"/>
          <w:szCs w:val="28"/>
          <w:rtl w:val="true"/>
          <w:lang w:bidi="fa-IR"/>
        </w:rPr>
        <w:t xml:space="preserve">غیرَ قابلٍ للملک،فهو کالتالف لا المتلَف </w:t>
      </w:r>
      <w:r>
        <w:rPr>
          <w:rStyle w:val="FootnoteAnchor"/>
          <w:rtl w:val="true"/>
        </w:rPr>
        <w:footnoteReference w:id="969"/>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bookmarkStart w:id="288" w:name="pg19763_247928"/>
    </w:p>
    <w:p>
      <w:pPr>
        <w:pStyle w:val="Heading6"/>
        <w:numPr>
          <w:ilvl w:val="5"/>
          <w:numId w:val="1"/>
        </w:numPr>
        <w:rPr/>
      </w:pPr>
      <w:bookmarkStart w:id="289" w:name="__RefHeading___Toc5082644_2314609296"/>
      <w:bookmarkStart w:id="290" w:name="_Toc113"/>
      <w:bookmarkEnd w:id="288"/>
      <w:bookmarkEnd w:id="289"/>
      <w:r>
        <w:rPr>
          <w:rtl w:val="true"/>
        </w:rPr>
        <w:t>[</w:t>
      </w:r>
      <w:r>
        <w:rPr>
          <w:rtl w:val="true"/>
        </w:rPr>
        <w:t>قاعدة ما یضمن بصحیحه و عکسها</w:t>
      </w:r>
      <w:r>
        <w:rPr>
          <w:rtl w:val="true"/>
        </w:rPr>
        <w:t>]</w:t>
      </w:r>
      <w:bookmarkEnd w:id="290"/>
    </w:p>
    <w:p>
      <w:pPr>
        <w:pStyle w:val="Heading6"/>
        <w:numPr>
          <w:ilvl w:val="5"/>
          <w:numId w:val="1"/>
        </w:numPr>
        <w:rPr/>
      </w:pPr>
      <w:bookmarkStart w:id="291" w:name="__RefHeading___Toc5082646_2314609296"/>
      <w:bookmarkStart w:id="292" w:name="_Toc114"/>
      <w:bookmarkEnd w:id="291"/>
      <w:r>
        <w:rPr>
          <w:rtl w:val="true"/>
        </w:rPr>
        <w:t>[</w:t>
      </w:r>
      <w:r>
        <w:rPr>
          <w:rtl w:val="true"/>
        </w:rPr>
        <w:t>البحث فی قاعدة ما یضمن بصحیحه یضمن بفاسده</w:t>
      </w:r>
      <w:r>
        <w:rPr>
          <w:rtl w:val="true"/>
        </w:rPr>
        <w:t>]</w:t>
      </w:r>
      <w:bookmarkEnd w:id="292"/>
    </w:p>
    <w:p>
      <w:pPr>
        <w:pStyle w:val="BookText"/>
        <w:rPr/>
      </w:pPr>
      <w:r>
        <w:rPr>
          <w:rFonts w:ascii="IRNazanin" w:hAnsi="IRNazanin" w:eastAsia="IRNazanin"/>
          <w:color w:val="111111"/>
          <w:sz w:val="28"/>
          <w:sz w:val="28"/>
          <w:szCs w:val="28"/>
          <w:rtl w:val="true"/>
          <w:lang w:bidi="fa-IR"/>
        </w:rPr>
        <w:t>ثمّ إنّ هذه المسألة من جزئیات القاعدة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یضمن بصحیحه یضمن بفاسده،و ما لا یضمن بصحیحه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القاعدة أصلاً و عکساً و إن لم أجدها بهذه العبارة فی کلام من تقدّم علی العلّامة،إلّا أنّها تظهر من کلمات الشیخ رحمه اللّه فی المبسوط </w:t>
      </w:r>
      <w:r>
        <w:rPr>
          <w:rStyle w:val="FootnoteAnchor"/>
          <w:rtl w:val="true"/>
        </w:rPr>
        <w:footnoteReference w:id="970"/>
      </w:r>
      <w:r>
        <w:rPr>
          <w:rFonts w:ascii="IRNazanin" w:hAnsi="IRNazanin" w:eastAsia="IRNazanin"/>
          <w:color w:val="111111"/>
          <w:sz w:val="28"/>
          <w:sz w:val="28"/>
          <w:szCs w:val="28"/>
          <w:rtl w:val="true"/>
          <w:lang w:bidi="fa-IR"/>
        </w:rPr>
        <w:t>، فإنّه علّل الضمان فی غیر واحدٍ من العقود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دخل علی أن یکون المال مضموناً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قبض المال مُقْدِماً علی ضمانه بعوضٍ واقعیّ أو جعلی موجب للضمان،و هذا المعنی یشمل المقبوض </w:t>
      </w:r>
      <w:r>
        <w:rPr>
          <w:rStyle w:val="FootnoteAnchor"/>
          <w:rtl w:val="true"/>
        </w:rPr>
        <w:footnoteReference w:id="971"/>
      </w:r>
      <w:r>
        <w:rPr>
          <w:rFonts w:ascii="IRNazanin" w:hAnsi="IRNazanin" w:eastAsia="IRNazanin"/>
          <w:color w:val="111111"/>
          <w:sz w:val="28"/>
          <w:sz w:val="28"/>
          <w:szCs w:val="28"/>
          <w:rtl w:val="true"/>
          <w:lang w:bidi="fa-IR"/>
        </w:rPr>
        <w:t>بالعقود الفاسدة التی تضمن بصحیحها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فی مسألة عدم الضمان فی الرهن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صحیحه لا یوجب الضمان فکیف یضمن بفاسده </w:t>
      </w:r>
      <w:r>
        <w:rPr>
          <w:rStyle w:val="FootnoteAnchor"/>
          <w:rtl w:val="true"/>
        </w:rPr>
        <w:footnoteReference w:id="972"/>
      </w:r>
      <w:r>
        <w:rPr>
          <w:rFonts w:ascii="IRNazanin" w:hAnsi="IRNazanin" w:eastAsia="IRNazanin"/>
          <w:color w:val="111111"/>
          <w:sz w:val="28"/>
          <w:sz w:val="28"/>
          <w:szCs w:val="28"/>
          <w:rtl w:val="true"/>
          <w:lang w:bidi="fa-IR"/>
        </w:rPr>
        <w:t>؟و هذا یدلّ علی العکس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أجد من تأمّل فیها عدا الشهید فی المسالک فیما لو فسد عقد السبق فی أنّه </w:t>
      </w:r>
      <w:r>
        <w:rPr>
          <w:rStyle w:val="FootnoteAnchor"/>
          <w:rtl w:val="true"/>
        </w:rPr>
        <w:footnoteReference w:id="973"/>
      </w:r>
      <w:r>
        <w:rPr>
          <w:rFonts w:ascii="IRNazanin" w:hAnsi="IRNazanin" w:eastAsia="IRNazanin"/>
          <w:color w:val="111111"/>
          <w:sz w:val="28"/>
          <w:sz w:val="28"/>
          <w:szCs w:val="28"/>
          <w:rtl w:val="true"/>
          <w:lang w:bidi="fa-IR"/>
        </w:rPr>
        <w:t xml:space="preserve">یستحقّ السابق اجرة المثل أم لا؟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3" w:name="__RefHeading___Toc5082648_2314609296"/>
      <w:bookmarkStart w:id="294" w:name="_Toc115"/>
      <w:bookmarkEnd w:id="293"/>
      <w:r>
        <w:rPr>
          <w:rtl w:val="true"/>
        </w:rPr>
        <w:t>[</w:t>
      </w:r>
      <w:r>
        <w:rPr>
          <w:rtl w:val="true"/>
        </w:rPr>
        <w:t>الکلام فی معنی القاعدة</w:t>
      </w:r>
      <w:r>
        <w:rPr>
          <w:rtl w:val="true"/>
        </w:rPr>
        <w:t>]</w:t>
      </w:r>
      <w:bookmarkEnd w:id="29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کان،فالمهمّ بیان معنی القاعدة أصلاً و عکساً،ثمّ بیان المدرک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و من اللّه الاستعانة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الجائز و اللازم،بل ممّا کان فیه شائبة الإیقاع أو کان أقرب إلیه،فیشمل الجعالة و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بالضمان فی الجملتین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دَرَک المضمون،علیه،بمعنی کون خسارته و دَرَکه فی ماله الأصلی،فإذا تلف وقع نقصان فیه؛ لوجوب تدارکه منه،و أمّا مجرّد کون تلفه فی ملکه بحیث یتلف مملوکاً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یتوهّم </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هذا معنی للضمان أصلاً،فلا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ضامنٌ لأمواله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تدارکه من ماله،تارةً یکون بأداء عوضه الجعلی الذی تراضی هو و المالک علی کونه عوضاً و أمضاه الشارع،کما فی المضمون بسبب العقد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بأداء عوضه الواقعی و هو المثل أو القیمة و إن لم یتراضیا علیه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ثالثة بأداء أقلّ الأمرین من العوض الواقعی و الجعلی،کما ذکره بعضهم فی بعض المقامات </w:t>
      </w:r>
      <w:r>
        <w:rPr>
          <w:rStyle w:val="FootnoteAnchor"/>
          <w:rtl w:val="true"/>
        </w:rPr>
        <w:footnoteReference w:id="976"/>
      </w:r>
      <w:r>
        <w:rPr>
          <w:rFonts w:ascii="IRNazanin" w:hAnsi="IRNazanin" w:eastAsia="IRNazanin"/>
          <w:color w:val="111111"/>
          <w:sz w:val="28"/>
          <w:sz w:val="28"/>
          <w:szCs w:val="28"/>
          <w:rtl w:val="true"/>
          <w:lang w:bidi="fa-IR"/>
        </w:rPr>
        <w:t>مثل تلف الموهوب بشرط التعویض قبل دفع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ثبت هذا،فالمراد بالضمان بقولٍ مطلق،هو لزوم تدارکه بعوضه الواقعی؛لأنّ هذا هو التدارک حقیقة،و لذا </w:t>
      </w:r>
      <w:r>
        <w:rPr>
          <w:rStyle w:val="FootnoteAnchor"/>
          <w:rtl w:val="true"/>
        </w:rPr>
        <w:footnoteReference w:id="977"/>
      </w:r>
      <w:r>
        <w:rPr>
          <w:rFonts w:ascii="IRNazanin" w:hAnsi="IRNazanin" w:eastAsia="IRNazanin"/>
          <w:color w:val="111111"/>
          <w:sz w:val="28"/>
          <w:sz w:val="28"/>
          <w:szCs w:val="28"/>
          <w:rtl w:val="true"/>
          <w:lang w:bidi="fa-IR"/>
        </w:rPr>
        <w:t xml:space="preserve">لو اشترط </w:t>
      </w:r>
      <w:r>
        <w:rPr>
          <w:rStyle w:val="FootnoteAnchor"/>
          <w:rtl w:val="true"/>
        </w:rPr>
        <w:footnoteReference w:id="978"/>
      </w:r>
      <w:r>
        <w:rPr>
          <w:rFonts w:ascii="IRNazanin" w:hAnsi="IRNazanin" w:eastAsia="IRNazanin"/>
          <w:color w:val="111111"/>
          <w:sz w:val="28"/>
          <w:sz w:val="28"/>
          <w:szCs w:val="28"/>
          <w:rtl w:val="true"/>
          <w:lang w:bidi="fa-IR"/>
        </w:rPr>
        <w:t>ضمان العاریة لزم غرامة مثلها أو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یرد فی أخبار ضمان المضمونات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المغصوبات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تدارکه بغیره فلا بدّ من ثبوته من طریقٍ آخر،مثل تواطئهما علیه بعقدٍ صحیح یُمضیه الشارع</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بالضمان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أداء العوض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الضمان فی العقد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فی الغایة </w:t>
      </w:r>
      <w:r>
        <w:rPr>
          <w:rStyle w:val="FootnoteAnchor"/>
          <w:rtl w:val="true"/>
        </w:rPr>
        <w:footnoteReference w:id="980"/>
      </w:r>
      <w:r>
        <w:rPr>
          <w:rFonts w:ascii="IRNazanin" w:hAnsi="IRNazanin" w:eastAsia="IRNazanin"/>
          <w:color w:val="111111"/>
          <w:sz w:val="28"/>
          <w:sz w:val="28"/>
          <w:szCs w:val="28"/>
          <w:rtl w:val="true"/>
          <w:lang w:bidi="fa-IR"/>
        </w:rPr>
        <w:t>،لا لأنّ ضمانه بالمسمّی یخرجه من فرض الفساد؛إذ یکفی فی تحقّق فرض الفساد بقاءُ کلٍّ من العوضین علی ملک مالکه و إن کان عند تلف أحدهما یتعیّن الآخر للعوضیّة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المعاطاة علی القول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لأجل ما عرفت من معنی الضمان،و أنّ التدارک بالمسمّی </w:t>
      </w:r>
      <w:r>
        <w:rPr>
          <w:rStyle w:val="FootnoteAnchor"/>
          <w:rtl w:val="true"/>
        </w:rPr>
        <w:footnoteReference w:id="981"/>
      </w:r>
      <w:r>
        <w:rPr>
          <w:rFonts w:ascii="IRNazanin" w:hAnsi="IRNazanin" w:eastAsia="IRNazanin"/>
          <w:color w:val="111111"/>
          <w:sz w:val="28"/>
          <w:sz w:val="28"/>
          <w:szCs w:val="28"/>
          <w:rtl w:val="true"/>
          <w:lang w:bidi="fa-IR"/>
        </w:rPr>
        <w:t>فی الصحیح لإمضاء الشارع ما تواطئا علی عوضیّته،لا لأنّ</w:t>
      </w:r>
    </w:p>
    <w:p>
      <w:pPr>
        <w:pStyle w:val="BookText"/>
        <w:rPr/>
      </w:pPr>
      <w:r>
        <w:rPr>
          <w:rFonts w:ascii="IRNazanin" w:hAnsi="IRNazanin" w:eastAsia="IRNazanin"/>
          <w:color w:val="111111"/>
          <w:sz w:val="28"/>
          <w:sz w:val="28"/>
          <w:szCs w:val="28"/>
          <w:rtl w:val="true"/>
          <w:lang w:bidi="fa-IR"/>
        </w:rPr>
        <w:t>معنی الضمان فی الصحیح مغایر لمعناه فی الفاسد حتی یوجب ذلک تفکیکاً فی العبارة،فافهم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العموم فی العقود لیس باعتبار خصوص الأنواع لیکون أفراده مثل البیع و الصلح و الإجارة و نحوها؛لجواز کون نوع لا یقتضی بنوعه الضمان،و إنّما المقتضی له بعض أصنافه،فالفرد الفاسد من ذلک الصنف یضمن به دون الفرد الفاسد من غیر ذلک الصنف،مثلاً الصلح بنفسه لا یوجب الضمان؛لأنّه قد لا یفید إلّا فائدة الهبة الغیر المعوّضة أو الإبراء،فالموجب للضمان هو المشتمل علی المعاوضة،فالفرد الفاسد من هذا القسم موجب </w:t>
      </w:r>
      <w:r>
        <w:rPr>
          <w:rStyle w:val="FootnoteAnchor"/>
          <w:rtl w:val="true"/>
        </w:rPr>
        <w:footnoteReference w:id="982"/>
      </w:r>
      <w:r>
        <w:rPr>
          <w:rFonts w:ascii="IRNazanin" w:hAnsi="IRNazanin" w:eastAsia="IRNazanin"/>
          <w:color w:val="111111"/>
          <w:sz w:val="28"/>
          <w:sz w:val="28"/>
          <w:szCs w:val="28"/>
          <w:rtl w:val="true"/>
          <w:lang w:bidi="fa-IR"/>
        </w:rPr>
        <w:t>للضمان أیضاً،و لا یلتفت إلی أنّ نوع الصلح الصحیح من حیث هو لا یوجب ضماناً فلا یضمن بفاسده،و کذا الکلام فی الهبة المعوّضة،و کذا عاریة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نعم،ذکروا فی وجه عدم ضمان الصید الذی استعاره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صحیح العاریة لا یوجب الضمان فینبغی أن لا یضمن بفاسدها </w:t>
      </w:r>
      <w:r>
        <w:rPr>
          <w:rStyle w:val="FootnoteAnchor"/>
          <w:rtl w:val="true"/>
        </w:rPr>
        <w:footnoteReference w:id="983"/>
      </w:r>
      <w:r>
        <w:rPr>
          <w:rFonts w:ascii="IRNazanin" w:hAnsi="IRNazanin" w:eastAsia="IRNazanin"/>
          <w:color w:val="111111"/>
          <w:sz w:val="28"/>
          <w:sz w:val="28"/>
          <w:szCs w:val="28"/>
          <w:rtl w:val="true"/>
          <w:lang w:bidi="fa-IR"/>
        </w:rPr>
        <w:t>،و لعلّ المراد عاریة غیر الذهب و الفضّة،و غیر المشروط ضمانها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المتبادر من اقتضاء الصحیح للضمان اقتضاؤه له بنفسه،فلو اقتضاه الشرط المتحقّق </w:t>
      </w:r>
      <w:r>
        <w:rPr>
          <w:rStyle w:val="FootnoteAnchor"/>
          <w:rtl w:val="true"/>
        </w:rPr>
        <w:footnoteReference w:id="984"/>
      </w:r>
      <w:r>
        <w:rPr>
          <w:rFonts w:ascii="IRNazanin" w:hAnsi="IRNazanin" w:eastAsia="IRNazanin"/>
          <w:color w:val="111111"/>
          <w:sz w:val="28"/>
          <w:sz w:val="28"/>
          <w:szCs w:val="28"/>
          <w:rtl w:val="true"/>
          <w:lang w:bidi="fa-IR"/>
        </w:rPr>
        <w:t>فی ضمن العقد الصحیح،ففی الضمان بالفاسد</w:t>
      </w:r>
    </w:p>
    <w:p>
      <w:pPr>
        <w:pStyle w:val="BookText"/>
        <w:rPr/>
      </w:pPr>
      <w:r>
        <w:rPr>
          <w:rFonts w:ascii="IRNazanin" w:hAnsi="IRNazanin" w:eastAsia="IRNazanin"/>
          <w:color w:val="111111"/>
          <w:sz w:val="28"/>
          <w:sz w:val="28"/>
          <w:szCs w:val="28"/>
          <w:rtl w:val="true"/>
          <w:lang w:bidi="fa-IR"/>
        </w:rPr>
        <w:t xml:space="preserve">من هذا الفرد المشروط فیه الضمان تمسّکاً بهذه القاعدة إشکال،کما لو استأجر إجارة فاسدة و اشترط فیها ضمان العین،و قلنا بصحّة هذا الشرط،فهل یضمن بهذا الفاسد لأنّ صحیحة یضمن به </w:t>
      </w:r>
      <w:r>
        <w:rPr>
          <w:rStyle w:val="FootnoteAnchor"/>
          <w:rtl w:val="true"/>
        </w:rPr>
        <w:footnoteReference w:id="985"/>
      </w:r>
      <w:r>
        <w:rPr>
          <w:rFonts w:ascii="IRNazanin" w:hAnsi="IRNazanin" w:eastAsia="IRNazanin"/>
          <w:color w:val="111111"/>
          <w:sz w:val="28"/>
          <w:sz w:val="28"/>
          <w:szCs w:val="28"/>
          <w:rtl w:val="true"/>
          <w:lang w:bidi="fa-IR"/>
        </w:rPr>
        <w:t>و لو لأجل الشرط،أم لا؟و کذا الکلام فی الفرد الفاسد من العاریة المضمونة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الریاض اختیار الضمان بفاسدها مطلقاً </w:t>
      </w:r>
      <w:r>
        <w:rPr>
          <w:rStyle w:val="FootnoteAnchor"/>
          <w:rtl w:val="true"/>
        </w:rPr>
        <w:footnoteReference w:id="986"/>
      </w:r>
      <w:r>
        <w:rPr>
          <w:rFonts w:ascii="IRNazanin" w:hAnsi="IRNazanin" w:eastAsia="IRNazanin"/>
          <w:color w:val="111111"/>
          <w:sz w:val="28"/>
          <w:sz w:val="28"/>
          <w:szCs w:val="28"/>
          <w:rtl w:val="true"/>
          <w:lang w:bidi="fa-IR"/>
        </w:rPr>
        <w:t xml:space="preserve">،تبعاً لظاهر المسالک </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جعل الهبة المعوّضة من هذا القبیل؛بناءً علی أنّها هبة مشروطة لا 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یحتمل فی العبارة أن یکون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شخصٍ من العقود یضمن به لو کان صحیحاً،یضمن به مع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یترتّب </w:t>
      </w:r>
      <w:r>
        <w:rPr>
          <w:rStyle w:val="FootnoteAnchor"/>
          <w:rtl w:val="true"/>
        </w:rPr>
        <w:footnoteReference w:id="988"/>
      </w:r>
      <w:r>
        <w:rPr>
          <w:rFonts w:ascii="IRNazanin" w:hAnsi="IRNazanin" w:eastAsia="IRNazanin"/>
          <w:color w:val="111111"/>
          <w:sz w:val="28"/>
          <w:sz w:val="28"/>
          <w:szCs w:val="28"/>
          <w:rtl w:val="true"/>
          <w:lang w:bidi="fa-IR"/>
        </w:rPr>
        <w:t xml:space="preserve">علیه عدم الضمان فیما </w:t>
      </w:r>
      <w:r>
        <w:rPr>
          <w:rStyle w:val="FootnoteAnchor"/>
          <w:rtl w:val="true"/>
        </w:rPr>
        <w:footnoteReference w:id="989"/>
      </w:r>
      <w:r>
        <w:rPr>
          <w:rFonts w:ascii="IRNazanin" w:hAnsi="IRNazanin" w:eastAsia="IRNazanin"/>
          <w:color w:val="111111"/>
          <w:sz w:val="28"/>
          <w:sz w:val="28"/>
          <w:szCs w:val="28"/>
          <w:rtl w:val="true"/>
          <w:lang w:bidi="fa-IR"/>
        </w:rPr>
        <w:t xml:space="preserve">لو استأجر بشرط أن لا اجرة کما اختاره الشهیدان </w:t>
      </w:r>
      <w:r>
        <w:rPr>
          <w:rStyle w:val="FootnoteAnchor"/>
          <w:rtl w:val="true"/>
        </w:rPr>
        <w:footnoteReference w:id="990"/>
      </w:r>
      <w:r>
        <w:rPr>
          <w:rFonts w:ascii="IRNazanin" w:hAnsi="IRNazanin" w:eastAsia="IRNazanin"/>
          <w:color w:val="111111"/>
          <w:sz w:val="28"/>
          <w:sz w:val="28"/>
          <w:szCs w:val="28"/>
          <w:rtl w:val="true"/>
          <w:lang w:bidi="fa-IR"/>
        </w:rPr>
        <w:t xml:space="preserve">،أو باع بلا ثمن،کما هو أحد وجهی العلّامة فی القواعد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الموضوع هو العقد الذی یوجد </w:t>
      </w:r>
      <w:r>
        <w:rPr>
          <w:rStyle w:val="FootnoteAnchor"/>
          <w:rtl w:val="true"/>
        </w:rPr>
        <w:footnoteReference w:id="992"/>
      </w:r>
      <w:r>
        <w:rPr>
          <w:rFonts w:ascii="IRNazanin" w:hAnsi="IRNazanin" w:eastAsia="IRNazanin"/>
          <w:color w:val="111111"/>
          <w:sz w:val="28"/>
          <w:sz w:val="28"/>
          <w:szCs w:val="28"/>
          <w:rtl w:val="true"/>
          <w:lang w:bidi="fa-IR"/>
        </w:rPr>
        <w:t>له بالفعل صحیح</w:t>
      </w:r>
    </w:p>
    <w:p>
      <w:pPr>
        <w:pStyle w:val="BookText"/>
        <w:rPr/>
      </w:pPr>
      <w:r>
        <w:rPr>
          <w:rFonts w:ascii="IRNazanin" w:hAnsi="IRNazanin" w:eastAsia="IRNazanin"/>
          <w:color w:val="111111"/>
          <w:sz w:val="28"/>
          <w:sz w:val="28"/>
          <w:szCs w:val="28"/>
          <w:rtl w:val="true"/>
          <w:lang w:bidi="fa-IR"/>
        </w:rPr>
        <w:t>و فاسد،لا ما یفرض تارةً صحیحاً و أُخری فاسداً،فالمتعیّن بمقتضی 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فی مسألة البیع؛لأنّ البیع الصحیح یضمن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نعم،ما ذکره بعضهم من التعلیل لهذه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أقدم علی العین </w:t>
      </w:r>
      <w:r>
        <w:rPr>
          <w:rStyle w:val="FootnoteAnchor"/>
          <w:rtl w:val="true"/>
        </w:rPr>
        <w:footnoteReference w:id="993"/>
      </w:r>
      <w:r>
        <w:rPr>
          <w:rFonts w:ascii="IRNazanin" w:hAnsi="IRNazanin" w:eastAsia="IRNazanin"/>
          <w:color w:val="111111"/>
          <w:sz w:val="28"/>
          <w:sz w:val="28"/>
          <w:szCs w:val="28"/>
          <w:rtl w:val="true"/>
          <w:lang w:bidi="fa-IR"/>
        </w:rPr>
        <w:t>مضمونة علیه،لا یجری فی هذا الفرع،لکنّ الکلام فی معنی القاعدة،لا فی مدرکها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تحقّق الضمان فی صحیحه تحقّق فی فاسده،و إمّا لمطلق السببیّة الشامل للناقصة لا العلّة التامّة؛فإنّ العقد الصحیح قد لا یوجب الضمان إلّا بعد القبض،کما فی السلم و الصرف،بل مطلق البیع،حیث إنّ المبیع قبل القبض مضمون علی البائع،بمعنی أنّ دَرَکَه علیه،و یتدارکه بردّ الثمن،فتأمّل،و کذا الإجارة و النکاح و الخلع؛فإنّ المال فی ذلک کلّه مضمون علی من انتقل عنه إلی أن یتسلّمه من انتقل إلیه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العقد الفاسد،فلا یکون علّة تامّة أبداً،بل یفتقر فی ثبوت الضمان به </w:t>
      </w:r>
      <w:r>
        <w:rPr>
          <w:rStyle w:val="FootnoteAnchor"/>
          <w:rtl w:val="true"/>
        </w:rPr>
        <w:footnoteReference w:id="994"/>
      </w:r>
      <w:r>
        <w:rPr>
          <w:rFonts w:ascii="IRNazanin" w:hAnsi="IRNazanin" w:eastAsia="IRNazanin"/>
          <w:color w:val="111111"/>
          <w:sz w:val="28"/>
          <w:sz w:val="28"/>
          <w:szCs w:val="28"/>
          <w:rtl w:val="true"/>
          <w:lang w:bidi="fa-IR"/>
        </w:rPr>
        <w:t>إلی القبض فقبله لا ضمان،فجعل الفاسد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لأنّه المنشأ للقبض علی وجه الضمان الذی هو سبب للضمان،و إمّا لأنّه سبب الحکم بالضمان بشرط القبض؛و لذا علّل الضمان الشیخ </w:t>
      </w:r>
      <w:r>
        <w:rPr>
          <w:rStyle w:val="FootnoteAnchor"/>
          <w:rtl w:val="true"/>
        </w:rPr>
        <w:footnoteReference w:id="995"/>
      </w:r>
      <w:r>
        <w:rPr>
          <w:rFonts w:ascii="IRNazanin" w:hAnsi="IRNazanin" w:eastAsia="IRNazanin"/>
          <w:color w:val="111111"/>
          <w:sz w:val="28"/>
          <w:sz w:val="28"/>
          <w:szCs w:val="28"/>
          <w:rtl w:val="true"/>
          <w:lang w:bidi="fa-IR"/>
        </w:rPr>
        <w:t xml:space="preserve">و غیره </w:t>
      </w:r>
      <w:r>
        <w:rPr>
          <w:rStyle w:val="FootnoteAnchor"/>
          <w:rtl w:val="true"/>
        </w:rPr>
        <w:footnoteReference w:id="996"/>
      </w:r>
      <w:bookmarkStart w:id="295" w:name="pg19763_247934"/>
    </w:p>
    <w:p>
      <w:pPr>
        <w:pStyle w:val="BookText"/>
        <w:rPr/>
      </w:pPr>
      <w:bookmarkEnd w:id="295"/>
      <w:r>
        <w:rPr>
          <w:rFonts w:ascii="IRNazanin" w:hAnsi="IRNazanin" w:eastAsia="IRNazanin"/>
          <w:color w:val="111111"/>
          <w:sz w:val="28"/>
          <w:sz w:val="28"/>
          <w:szCs w:val="28"/>
          <w:rtl w:val="true"/>
          <w:lang w:bidi="fa-IR"/>
        </w:rPr>
        <w:t>بدخوله علی أن تکون العین مضمونة علیه،و لا ریب أنّ دخوله علی الضمان إنّما هو بإنشاء العقد الفاسد،فهو سبب لضمان ما یقبضه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ما یتوهّم أنّ سبب الضمان فی الفاسد هو القبض،لا العقد الفاسد،فکیف یقاس الفاسد علی الصحیح فی سببیّة الضمان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 و قد ظهر من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توهّم أنّ ظاهر القاعدة عدم توقّف الضمان فی الفاسد علی </w:t>
      </w:r>
      <w:r>
        <w:rPr>
          <w:rStyle w:val="FootnoteAnchor"/>
          <w:rtl w:val="true"/>
        </w:rPr>
        <w:footnoteReference w:id="997"/>
      </w:r>
      <w:r>
        <w:rPr>
          <w:rFonts w:ascii="IRNazanin" w:hAnsi="IRNazanin" w:eastAsia="IRNazanin"/>
          <w:color w:val="111111"/>
          <w:sz w:val="28"/>
          <w:sz w:val="28"/>
          <w:szCs w:val="28"/>
          <w:rtl w:val="true"/>
          <w:lang w:bidi="fa-IR"/>
        </w:rPr>
        <w:t>القبض،فلا بدّ من تخصیص القاعدة بإجماعٍ و نحوه</w:t>
      </w:r>
      <w:r>
        <w:rPr>
          <w:rFonts w:eastAsia="IRNazanin" w:cs="IRNazanin"/>
          <w:color w:val="111111"/>
          <w:sz w:val="28"/>
          <w:szCs w:val="28"/>
          <w:rtl w:val="true"/>
          <w:lang w:bidi="fa-IR"/>
        </w:rPr>
        <w:t>.</w:t>
      </w:r>
    </w:p>
    <w:p>
      <w:pPr>
        <w:pStyle w:val="Heading6"/>
        <w:numPr>
          <w:ilvl w:val="5"/>
          <w:numId w:val="1"/>
        </w:numPr>
        <w:rPr/>
      </w:pPr>
      <w:bookmarkStart w:id="296" w:name="__RefHeading___Toc5082650_2314609296"/>
      <w:bookmarkStart w:id="297" w:name="_Toc116"/>
      <w:bookmarkEnd w:id="296"/>
      <w:r>
        <w:rPr>
          <w:rtl w:val="true"/>
        </w:rPr>
        <w:t>[</w:t>
      </w:r>
      <w:r>
        <w:rPr>
          <w:rtl w:val="true"/>
        </w:rPr>
        <w:t>الکلام فی مدرک القاعدة</w:t>
      </w:r>
      <w:r>
        <w:rPr>
          <w:rtl w:val="true"/>
        </w:rPr>
        <w:t>]</w:t>
      </w:r>
      <w:bookmarkEnd w:id="297"/>
    </w:p>
    <w:p>
      <w:pPr>
        <w:pStyle w:val="BookText"/>
        <w:rPr/>
      </w:pPr>
      <w:r>
        <w:rPr>
          <w:rFonts w:ascii="IRNazanin" w:hAnsi="IRNazanin" w:eastAsia="IRNazanin"/>
          <w:color w:val="111111"/>
          <w:sz w:val="28"/>
          <w:sz w:val="28"/>
          <w:szCs w:val="28"/>
          <w:rtl w:val="true"/>
          <w:lang w:bidi="fa-IR"/>
        </w:rPr>
        <w:t>ثمّ إنّ المدرک لهذه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ذکره فی المسالک فی مسألة الرهن المشروط بکون المرهون مبیعاً بعد انقضاء الأجل </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إقدام الآخذ علی الضمان،ثمّ أضاف إلی ذلک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أنّه تبع فی استدلاله بالإقدام الشیخ فی المبسوط </w:t>
      </w:r>
      <w:r>
        <w:rPr>
          <w:rStyle w:val="FootnoteAnchor"/>
          <w:rtl w:val="true"/>
        </w:rPr>
        <w:footnoteReference w:id="1000"/>
      </w:r>
      <w:r>
        <w:rPr>
          <w:rFonts w:ascii="IRNazanin" w:hAnsi="IRNazanin" w:eastAsia="IRNazanin"/>
          <w:color w:val="111111"/>
          <w:sz w:val="28"/>
          <w:sz w:val="28"/>
          <w:szCs w:val="28"/>
          <w:rtl w:val="true"/>
          <w:lang w:bidi="fa-IR"/>
        </w:rPr>
        <w:t>،حیث علّل الضمان فی موارد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البیع و الإجارة الفاسدین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بدخوله علی أن یکون المال مضموناً علیه بالمسمّی،فإذا لم یسلّم له المسمّی رجع إلی المثل أو القیمة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الوجه لا یخلو عن </w:t>
      </w:r>
      <w:r>
        <w:rPr>
          <w:rStyle w:val="FootnoteAnchor"/>
          <w:rtl w:val="true"/>
        </w:rPr>
        <w:footnoteReference w:id="1001"/>
      </w:r>
      <w:r>
        <w:rPr>
          <w:rFonts w:ascii="Amiri" w:hAnsi="Amiri" w:eastAsia="Amiri" w:cs="Amiri"/>
          <w:color w:val="111111"/>
          <w:sz w:val="28"/>
          <w:sz w:val="28"/>
          <w:szCs w:val="28"/>
          <w:rtl w:val="true"/>
          <w:lang w:bidi="ar-SA"/>
        </w:rPr>
        <w:t>تأمّل؛لأنّهما إنّما أقدما و تراضیا</w:t>
      </w:r>
    </w:p>
    <w:p>
      <w:pPr>
        <w:pStyle w:val="BookText"/>
        <w:rPr/>
      </w:pPr>
      <w:r>
        <w:rPr>
          <w:rFonts w:ascii="IRNazanin" w:hAnsi="IRNazanin" w:eastAsia="IRNazanin"/>
          <w:color w:val="111111"/>
          <w:sz w:val="28"/>
          <w:sz w:val="28"/>
          <w:szCs w:val="28"/>
          <w:rtl w:val="true"/>
          <w:lang w:bidi="fa-IR"/>
        </w:rPr>
        <w:t xml:space="preserve">و تواطئا بالعقد الفاسد علی ضمانٍ خاصّ،لا الضمان بالمثل أو القیمة </w:t>
      </w:r>
      <w:r>
        <w:rPr>
          <w:rStyle w:val="FootnoteAnchor"/>
          <w:rtl w:val="true"/>
        </w:rPr>
        <w:footnoteReference w:id="1002"/>
      </w:r>
      <w:r>
        <w:rPr>
          <w:rFonts w:ascii="IRNazanin" w:hAnsi="IRNazanin" w:eastAsia="IRNazanin"/>
          <w:color w:val="111111"/>
          <w:sz w:val="28"/>
          <w:sz w:val="28"/>
          <w:szCs w:val="28"/>
          <w:rtl w:val="true"/>
          <w:lang w:bidi="fa-IR"/>
        </w:rPr>
        <w:t>، و المفروض عدم إمضاء الشارع لذلک الضمان الخاصّ،و مطلق الضمان لا یبقی بعد انتفاء الخصوصیة حتی یتقوّم بخصوصیّة اخری،فالضمان بالمثل أو القیمة إن ثبت،فحکم شرعی تابع لدلیله و لیس ممّا أقدم علیه المتعاقدان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کلّه،مع أنّ مورد هذا التعلیل أعمّ من وجه من المطلب؛إذ قد یکون الإقدام موجوداً و لا ضمان،کما </w:t>
      </w:r>
      <w:r>
        <w:rPr>
          <w:rStyle w:val="FootnoteAnchor"/>
          <w:rtl w:val="true"/>
        </w:rPr>
        <w:footnoteReference w:id="1003"/>
      </w:r>
      <w:r>
        <w:rPr>
          <w:rFonts w:ascii="IRNazanin" w:hAnsi="IRNazanin" w:eastAsia="IRNazanin"/>
          <w:color w:val="111111"/>
          <w:sz w:val="28"/>
          <w:sz w:val="28"/>
          <w:szCs w:val="28"/>
          <w:rtl w:val="true"/>
          <w:lang w:bidi="fa-IR"/>
        </w:rPr>
        <w:t>قبل القبض،و قد لا یکون إقدام فی العقد الفاسد مع تحقّق الضمان،کما إذا شرط فی عقد البیع ضمان المبیع علی البائع إذا تلف فی ید المشتری،و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بلا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بلا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نعم،قوّی الشهیدان فی الأخیر عدم الضمان </w:t>
      </w:r>
      <w:r>
        <w:rPr>
          <w:rStyle w:val="FootnoteAnchor"/>
          <w:rtl w:val="true"/>
        </w:rPr>
        <w:footnoteReference w:id="1004"/>
      </w:r>
      <w:r>
        <w:rPr>
          <w:rFonts w:ascii="IRNazanin" w:hAnsi="IRNazanin" w:eastAsia="IRNazanin"/>
          <w:color w:val="111111"/>
          <w:sz w:val="28"/>
          <w:sz w:val="28"/>
          <w:szCs w:val="28"/>
          <w:rtl w:val="true"/>
          <w:lang w:bidi="fa-IR"/>
        </w:rPr>
        <w:t xml:space="preserve">،و استشکل العلّامة فی مثال البیع فی باب السلم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بالجملة،فدلیل الإقدام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مطلب یحتاج إلی دلیل لم نحصّله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منقوض طرداً و عکساً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خبر الید </w:t>
      </w:r>
      <w:r>
        <w:rPr>
          <w:rStyle w:val="FootnoteAnchor"/>
          <w:rtl w:val="true"/>
        </w:rPr>
        <w:footnoteReference w:id="1006"/>
      </w:r>
      <w:r>
        <w:rPr>
          <w:rFonts w:ascii="IRNazanin" w:hAnsi="IRNazanin" w:eastAsia="IRNazanin"/>
          <w:color w:val="111111"/>
          <w:sz w:val="28"/>
          <w:sz w:val="28"/>
          <w:szCs w:val="28"/>
          <w:rtl w:val="true"/>
          <w:lang w:bidi="fa-IR"/>
        </w:rPr>
        <w:t>فدلالته و إن کانت ظاهرة و سنده منجبراً،إلّا أنّ</w:t>
      </w:r>
    </w:p>
    <w:p>
      <w:pPr>
        <w:pStyle w:val="BookText"/>
        <w:rPr/>
      </w:pPr>
      <w:r>
        <w:rPr>
          <w:rFonts w:ascii="IRNazanin" w:hAnsi="IRNazanin" w:eastAsia="IRNazanin"/>
          <w:color w:val="111111"/>
          <w:sz w:val="28"/>
          <w:sz w:val="28"/>
          <w:szCs w:val="28"/>
          <w:rtl w:val="true"/>
          <w:lang w:bidi="fa-IR"/>
        </w:rPr>
        <w:t>مورده مختصّ بالأعیان،فلا یشمل المنافع و الأعمال المضمونة فی الإجارة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یستدلّ علی الضمان فیها بما دلّ علی احترام مال المسلم </w:t>
      </w:r>
      <w:r>
        <w:rPr>
          <w:rStyle w:val="FootnoteAnchor"/>
          <w:rtl w:val="true"/>
        </w:rPr>
        <w:footnoteReference w:id="1007"/>
      </w:r>
      <w:r>
        <w:rPr>
          <w:rFonts w:ascii="Amiri" w:hAnsi="Amiri" w:eastAsia="Amiri" w:cs="Amiri"/>
          <w:color w:val="111111"/>
          <w:sz w:val="28"/>
          <w:sz w:val="28"/>
          <w:szCs w:val="28"/>
          <w:rtl w:val="true"/>
          <w:lang w:bidi="ar-SA"/>
        </w:rPr>
        <w:t xml:space="preserve">،و أنّه لا یحلّ مال امرئٍ </w:t>
      </w:r>
      <w:r>
        <w:rPr>
          <w:rStyle w:val="FootnoteAnchor"/>
          <w:rtl w:val="true"/>
        </w:rPr>
        <w:footnoteReference w:id="1008"/>
      </w:r>
      <w:r>
        <w:rPr>
          <w:rFonts w:ascii="IRNazanin" w:hAnsi="IRNazanin" w:eastAsia="IRNazanin"/>
          <w:color w:val="111111"/>
          <w:sz w:val="28"/>
          <w:sz w:val="28"/>
          <w:szCs w:val="28"/>
          <w:rtl w:val="true"/>
          <w:lang w:bidi="fa-IR"/>
        </w:rPr>
        <w:t xml:space="preserve">إلّا عن طیب نفسه </w:t>
      </w:r>
      <w:r>
        <w:rPr>
          <w:rStyle w:val="FootnoteAnchor"/>
          <w:rtl w:val="true"/>
        </w:rPr>
        <w:footnoteReference w:id="1009"/>
      </w:r>
      <w:r>
        <w:rPr>
          <w:rFonts w:ascii="IRNazanin" w:hAnsi="IRNazanin" w:eastAsia="IRNazanin"/>
          <w:color w:val="111111"/>
          <w:sz w:val="28"/>
          <w:sz w:val="28"/>
          <w:szCs w:val="28"/>
          <w:rtl w:val="true"/>
          <w:lang w:bidi="fa-IR"/>
        </w:rPr>
        <w:t xml:space="preserve">،و أنّ حرمة ماله کحرمة دمه </w:t>
      </w:r>
      <w:r>
        <w:rPr>
          <w:rStyle w:val="FootnoteAnchor"/>
          <w:rtl w:val="true"/>
        </w:rPr>
        <w:footnoteReference w:id="1010"/>
      </w:r>
      <w:r>
        <w:rPr>
          <w:rFonts w:ascii="IRNazanin" w:hAnsi="IRNazanin" w:eastAsia="IRNazanin"/>
          <w:color w:val="111111"/>
          <w:sz w:val="28"/>
          <w:sz w:val="28"/>
          <w:szCs w:val="28"/>
          <w:rtl w:val="true"/>
          <w:lang w:bidi="fa-IR"/>
        </w:rPr>
        <w:t xml:space="preserve">،و أنّه لا یصلح </w:t>
      </w:r>
      <w:r>
        <w:rPr>
          <w:rStyle w:val="FootnoteAnchor"/>
          <w:rtl w:val="true"/>
        </w:rPr>
        <w:footnoteReference w:id="1011"/>
      </w:r>
      <w:r>
        <w:rPr>
          <w:rFonts w:ascii="Amiri" w:hAnsi="Amiri" w:eastAsia="Amiri" w:cs="Amiri"/>
          <w:color w:val="111111"/>
          <w:sz w:val="28"/>
          <w:sz w:val="28"/>
          <w:szCs w:val="28"/>
          <w:rtl w:val="true"/>
          <w:lang w:bidi="ar-SA"/>
        </w:rPr>
        <w:t xml:space="preserve">ذهاب حقّ أحد </w:t>
      </w:r>
      <w:r>
        <w:rPr>
          <w:rStyle w:val="FootnoteAnchor"/>
          <w:rtl w:val="true"/>
        </w:rPr>
        <w:footnoteReference w:id="1012"/>
      </w:r>
      <w:r>
        <w:rPr>
          <w:rFonts w:ascii="IRNazanin" w:hAnsi="IRNazanin" w:eastAsia="IRNazanin"/>
          <w:color w:val="111111"/>
          <w:sz w:val="28"/>
          <w:sz w:val="28"/>
          <w:szCs w:val="28"/>
          <w:rtl w:val="true"/>
          <w:lang w:bidi="fa-IR"/>
        </w:rPr>
        <w:t xml:space="preserve">،مضافاً إلی أدلّة نفی الضرر </w:t>
      </w:r>
      <w:r>
        <w:rPr>
          <w:rStyle w:val="FootnoteAnchor"/>
          <w:rtl w:val="true"/>
        </w:rPr>
        <w:footnoteReference w:id="1013"/>
      </w:r>
      <w:r>
        <w:rPr>
          <w:rFonts w:ascii="IRNazanin" w:hAnsi="IRNazanin" w:eastAsia="IRNazanin"/>
          <w:color w:val="111111"/>
          <w:sz w:val="28"/>
          <w:sz w:val="28"/>
          <w:szCs w:val="28"/>
          <w:rtl w:val="true"/>
          <w:lang w:bidi="fa-IR"/>
        </w:rPr>
        <w:t>،فکلّ عمل وقع من عاملٍ لأحدٍ بحیث یقع بأمره و تحصیلاً لغرضه،فلا بدّ من أداء عوضه؛لقاعدتی الاحترام و نفی الضرار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یبعد أن یکون مراد الشیخ و من تبعه من الاستدلال علی الضمان بالإقدام و الدخول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أنّ العین و المنفعة اللذین </w:t>
      </w:r>
      <w:r>
        <w:rPr>
          <w:rStyle w:val="FootnoteAnchor"/>
          <w:rtl w:val="true"/>
        </w:rPr>
        <w:footnoteReference w:id="1014"/>
      </w:r>
      <w:r>
        <w:rPr>
          <w:rFonts w:ascii="Amiri" w:hAnsi="Amiri" w:eastAsia="Amiri" w:cs="Amiri"/>
          <w:color w:val="111111"/>
          <w:sz w:val="28"/>
          <w:sz w:val="28"/>
          <w:szCs w:val="28"/>
          <w:rtl w:val="true"/>
          <w:lang w:bidi="ar-SA"/>
        </w:rPr>
        <w:t>تسلّمهما الشخص لم یتسلّمهما مجّاناً و تبرّعاً حتی لا یقضی احترامهما</w:t>
      </w:r>
      <w:bookmarkStart w:id="298" w:name="pg19763_247937"/>
    </w:p>
    <w:p>
      <w:pPr>
        <w:pStyle w:val="BookText"/>
        <w:rPr/>
      </w:pPr>
      <w:bookmarkEnd w:id="298"/>
      <w:r>
        <w:rPr>
          <w:rFonts w:ascii="IRNazanin" w:hAnsi="IRNazanin" w:eastAsia="IRNazanin"/>
          <w:color w:val="111111"/>
          <w:sz w:val="28"/>
          <w:sz w:val="28"/>
          <w:szCs w:val="28"/>
          <w:rtl w:val="true"/>
          <w:lang w:bidi="fa-IR"/>
        </w:rPr>
        <w:t>بتدارکهما بالعوض،کما فی العمل المتبرّع به و العین المدفوعة مجّاناً أو أمانة،فلیس دلیل الإقدام دلیلاً مستقلا،بل هو بیان لعدم المانع عن مقتضی الید فی الأموال و احترام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نعم،فی المسالک ذکر کلاّ من الإقدام و الید دلیلاً مستقلا </w:t>
      </w:r>
      <w:r>
        <w:rPr>
          <w:rStyle w:val="FootnoteAnchor"/>
          <w:rtl w:val="true"/>
        </w:rPr>
        <w:footnoteReference w:id="1015"/>
      </w:r>
      <w:r>
        <w:rPr>
          <w:rFonts w:ascii="IRNazanin" w:hAnsi="IRNazanin" w:eastAsia="IRNazanin"/>
          <w:color w:val="111111"/>
          <w:sz w:val="28"/>
          <w:sz w:val="28"/>
          <w:szCs w:val="28"/>
          <w:rtl w:val="true"/>
          <w:lang w:bidi="fa-IR"/>
        </w:rPr>
        <w:t xml:space="preserve">،فیبقی علیه ما ذکر سابقاً من النقض و الاعتراض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9" w:name="__RefHeading___Toc5082652_2314609296"/>
      <w:bookmarkStart w:id="300" w:name="_Toc117"/>
      <w:bookmarkEnd w:id="299"/>
      <w:r>
        <w:rPr>
          <w:rtl w:val="true"/>
        </w:rPr>
        <w:t>[</w:t>
      </w:r>
      <w:r>
        <w:rPr>
          <w:rtl w:val="true"/>
        </w:rPr>
        <w:t>الضمان فیما لا یرجع فیه نفع إلی الضامن</w:t>
      </w:r>
      <w:r>
        <w:rPr>
          <w:rtl w:val="true"/>
        </w:rPr>
        <w:t>]</w:t>
      </w:r>
      <w:bookmarkEnd w:id="30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یبقی الکلام حینئذٍ فی بعض الأعمال المضمونة التی لا یرجع نفعها إلی الضامن و لم یقع بأمره،کالسبق فی المسابقة الفاسدة،حیث حکم الشیخ </w:t>
      </w:r>
      <w:r>
        <w:rPr>
          <w:rStyle w:val="FootnoteAnchor"/>
          <w:rtl w:val="true"/>
        </w:rPr>
        <w:footnoteReference w:id="1017"/>
      </w:r>
      <w:r>
        <w:rPr>
          <w:rFonts w:ascii="Amiri" w:hAnsi="Amiri" w:eastAsia="Amiri" w:cs="Amiri"/>
          <w:color w:val="111111"/>
          <w:sz w:val="28"/>
          <w:sz w:val="28"/>
          <w:szCs w:val="28"/>
          <w:rtl w:val="true"/>
          <w:lang w:bidi="ar-SA"/>
        </w:rPr>
        <w:t xml:space="preserve">و المحقّق </w:t>
      </w:r>
      <w:r>
        <w:rPr>
          <w:rStyle w:val="FootnoteAnchor"/>
          <w:rtl w:val="true"/>
        </w:rPr>
        <w:footnoteReference w:id="1018"/>
      </w:r>
      <w:r>
        <w:rPr>
          <w:rFonts w:ascii="IRNazanin" w:hAnsi="IRNazanin" w:eastAsia="IRNazanin"/>
          <w:color w:val="111111"/>
          <w:sz w:val="28"/>
          <w:sz w:val="28"/>
          <w:szCs w:val="28"/>
          <w:rtl w:val="true"/>
          <w:lang w:bidi="fa-IR"/>
        </w:rPr>
        <w:t xml:space="preserve">و غیرهما </w:t>
      </w:r>
      <w:r>
        <w:rPr>
          <w:rStyle w:val="FootnoteAnchor"/>
          <w:rtl w:val="true"/>
        </w:rPr>
        <w:footnoteReference w:id="1019"/>
      </w:r>
      <w:r>
        <w:rPr>
          <w:rFonts w:ascii="IRNazanin" w:hAnsi="IRNazanin" w:eastAsia="IRNazanin"/>
          <w:color w:val="111111"/>
          <w:sz w:val="28"/>
          <w:sz w:val="28"/>
          <w:szCs w:val="28"/>
          <w:rtl w:val="true"/>
          <w:lang w:bidi="fa-IR"/>
        </w:rPr>
        <w:t xml:space="preserve">بعدم استحقاق السابق اجرة المثل،خلافاً لآخرین </w:t>
      </w:r>
      <w:r>
        <w:rPr>
          <w:rStyle w:val="FootnoteAnchor"/>
          <w:rtl w:val="true"/>
        </w:rPr>
        <w:footnoteReference w:id="1020"/>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 العامل لم یعد نفعه إلی الآخر،و لم یقع بأمره أیضاً،فاحترام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منها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بضمان</w:t>
      </w:r>
      <w:bookmarkStart w:id="301" w:name="pg19763_247938"/>
    </w:p>
    <w:p>
      <w:pPr>
        <w:pStyle w:val="BookText"/>
        <w:rPr/>
      </w:pPr>
      <w:bookmarkEnd w:id="301"/>
      <w:r>
        <w:rPr>
          <w:rFonts w:ascii="IRNazanin" w:hAnsi="IRNazanin" w:eastAsia="IRNazanin"/>
          <w:color w:val="111111"/>
          <w:sz w:val="28"/>
          <w:sz w:val="28"/>
          <w:szCs w:val="28"/>
          <w:rtl w:val="true"/>
          <w:lang w:bidi="fa-IR"/>
        </w:rPr>
        <w:t xml:space="preserve">الشخص له </w:t>
      </w:r>
      <w:r>
        <w:rPr>
          <w:rStyle w:val="FootnoteAnchor"/>
          <w:rtl w:val="true"/>
        </w:rPr>
        <w:footnoteReference w:id="1021"/>
      </w:r>
      <w:r>
        <w:rPr>
          <w:rFonts w:ascii="IRNazanin" w:hAnsi="IRNazanin" w:eastAsia="IRNazanin"/>
          <w:color w:val="111111"/>
          <w:sz w:val="28"/>
          <w:sz w:val="28"/>
          <w:szCs w:val="28"/>
          <w:rtl w:val="true"/>
          <w:lang w:bidi="fa-IR"/>
        </w:rPr>
        <w:t xml:space="preserve">و وجوب </w:t>
      </w:r>
      <w:r>
        <w:rPr>
          <w:rStyle w:val="FootnoteAnchor"/>
          <w:rtl w:val="true"/>
        </w:rPr>
        <w:footnoteReference w:id="1022"/>
      </w:r>
      <w:r>
        <w:rPr>
          <w:rFonts w:ascii="IRNazanin" w:hAnsi="IRNazanin" w:eastAsia="IRNazanin"/>
          <w:color w:val="111111"/>
          <w:sz w:val="28"/>
          <w:sz w:val="28"/>
          <w:szCs w:val="28"/>
          <w:rtl w:val="true"/>
          <w:lang w:bidi="fa-IR"/>
        </w:rPr>
        <w:t>عوضه علیه؛لأنّه لیس کالمستوفی له؛و لذا کانت شرعیّته علی خلاف القاعدة،حیث إنّه بذل مالٍ فی مقابل عملٍ لا ینفع الباذل،و تمام الکلام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فی ما ذکرنا من الضمان فی الفاسد،بین جهل الدافع بالفساد و بین علمه مع جهل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الدافع فی هذه الصورة هو الذی سلّطه علیه و المفروض أنّ القابض جاهل،مدفوع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بإطلاق النصّ و الفتوی،و لیس الجاهل مغروراً؛لأنّه أقدم علی الضمان قاصداً،و تسلیط الدافع العالم لا یجعلها </w:t>
      </w:r>
      <w:r>
        <w:rPr>
          <w:rStyle w:val="FootnoteAnchor"/>
          <w:rtl w:val="true"/>
        </w:rPr>
        <w:footnoteReference w:id="1023"/>
      </w:r>
      <w:r>
        <w:rPr>
          <w:rFonts w:ascii="IRNazanin" w:hAnsi="IRNazanin" w:eastAsia="IRNazanin"/>
          <w:color w:val="111111"/>
          <w:sz w:val="28"/>
          <w:sz w:val="28"/>
          <w:szCs w:val="28"/>
          <w:rtl w:val="true"/>
          <w:lang w:bidi="fa-IR"/>
        </w:rPr>
        <w:t xml:space="preserve">أمانة مالکیة؛لأنّه دفعه علی أنّه ملک المدفوع إلیه،لا أنّه أمانة عنده أو عاریة؛و لذا لا یجوز له التصرّف فیه و الانتفاع به،و سیأتی تتمّة ذلک فی مسألة بیع الغاصب مع علم المشتری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أصل الکلّیة المذکورة</w:t>
      </w:r>
      <w:r>
        <w:rPr>
          <w:rFonts w:eastAsia="IRNazanin" w:cs="IRNazanin"/>
          <w:color w:val="111111"/>
          <w:sz w:val="28"/>
          <w:szCs w:val="28"/>
          <w:rtl w:val="true"/>
          <w:lang w:bidi="fa-IR"/>
        </w:rPr>
        <w:t>.</w:t>
      </w:r>
    </w:p>
    <w:p>
      <w:pPr>
        <w:pStyle w:val="Heading6"/>
        <w:numPr>
          <w:ilvl w:val="5"/>
          <w:numId w:val="1"/>
        </w:numPr>
        <w:rPr/>
      </w:pPr>
      <w:bookmarkStart w:id="302" w:name="__RefHeading___Toc5082654_2314609296"/>
      <w:bookmarkStart w:id="303" w:name="_Toc118"/>
      <w:bookmarkEnd w:id="302"/>
      <w:r>
        <w:rPr>
          <w:rtl w:val="true"/>
        </w:rPr>
        <w:t>و أمّا عکسها،و هو</w:t>
      </w:r>
      <w:r>
        <w:rPr>
          <w:rtl w:val="true"/>
        </w:rPr>
        <w:t>:</w:t>
      </w:r>
      <w:r>
        <w:rPr>
          <w:rtl w:val="true"/>
        </w:rPr>
        <w:t>أنّ ما لا یضمن بصحیحه لا یضمن بفاسده،</w:t>
      </w:r>
      <w:bookmarkEnd w:id="30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عقدٍ لا یفید صحیحه ضمان مورده ففاسده لا یفید ضماناً، کما فی عقد الرهن و الوکالة و المضاربة و العاریة الغیر المضمونة،بل المضمونة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المراد بإفادة الصحیح للضمان إفادته بنفسه، لا بأمرٍ خارج عنه،کالشرط الواقع فی متنه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العقود اللازمة و الجائزة</w:t>
      </w:r>
      <w:r>
        <w:rPr>
          <w:rFonts w:eastAsia="IRNazanin" w:cs="IRNazanin"/>
          <w:color w:val="111111"/>
          <w:sz w:val="28"/>
          <w:szCs w:val="28"/>
          <w:rtl w:val="true"/>
          <w:lang w:bidi="fa-IR"/>
        </w:rPr>
        <w:t>.</w:t>
      </w:r>
      <w:bookmarkStart w:id="304" w:name="pg19763_247939"/>
    </w:p>
    <w:p>
      <w:pPr>
        <w:pStyle w:val="Heading6"/>
        <w:numPr>
          <w:ilvl w:val="5"/>
          <w:numId w:val="1"/>
        </w:numPr>
        <w:rPr/>
      </w:pPr>
      <w:bookmarkStart w:id="305" w:name="__RefHeading___Toc5082656_2314609296"/>
      <w:bookmarkStart w:id="306" w:name="_Toc119"/>
      <w:bookmarkEnd w:id="304"/>
      <w:bookmarkEnd w:id="305"/>
      <w:r>
        <w:rPr>
          <w:rtl w:val="true"/>
        </w:rPr>
        <w:t>[</w:t>
      </w:r>
      <w:r>
        <w:rPr>
          <w:rtl w:val="true"/>
        </w:rPr>
        <w:t>هل تضمن العین المستأجرة فاسدا؟</w:t>
      </w:r>
      <w:r>
        <w:rPr>
          <w:rtl w:val="true"/>
        </w:rPr>
        <w:t>]</w:t>
      </w:r>
      <w:bookmarkEnd w:id="306"/>
    </w:p>
    <w:p>
      <w:pPr>
        <w:pStyle w:val="BookText"/>
        <w:rPr/>
      </w:pPr>
      <w:r>
        <w:rPr>
          <w:rFonts w:ascii="IRNazanin" w:hAnsi="IRNazanin" w:eastAsia="IRNazanin"/>
          <w:color w:val="111111"/>
          <w:sz w:val="28"/>
          <w:sz w:val="28"/>
          <w:szCs w:val="28"/>
          <w:rtl w:val="true"/>
          <w:lang w:bidi="fa-IR"/>
        </w:rPr>
        <w:t xml:space="preserve">ثمّ إنّ مقتضی ذلک عدم ضمان العین المستأجرة فاسداً؛لأنّ صحیح الإجارة غیر مفیدٍ لضمانها کما صرّح به فی القواعد </w:t>
      </w:r>
      <w:r>
        <w:rPr>
          <w:rStyle w:val="FootnoteAnchor"/>
          <w:rtl w:val="true"/>
        </w:rPr>
        <w:footnoteReference w:id="1025"/>
      </w:r>
      <w:r>
        <w:rPr>
          <w:rFonts w:ascii="IRNazanin" w:hAnsi="IRNazanin" w:eastAsia="IRNazanin"/>
          <w:color w:val="111111"/>
          <w:sz w:val="28"/>
          <w:sz w:val="28"/>
          <w:szCs w:val="28"/>
          <w:rtl w:val="true"/>
          <w:lang w:bidi="fa-IR"/>
        </w:rPr>
        <w:t xml:space="preserve">و التحریر </w:t>
      </w:r>
      <w:r>
        <w:rPr>
          <w:rStyle w:val="FootnoteAnchor"/>
          <w:rtl w:val="true"/>
        </w:rPr>
        <w:footnoteReference w:id="1026"/>
      </w:r>
      <w:r>
        <w:rPr>
          <w:rFonts w:ascii="IRNazanin" w:hAnsi="IRNazanin" w:eastAsia="IRNazanin"/>
          <w:color w:val="111111"/>
          <w:sz w:val="28"/>
          <w:sz w:val="28"/>
          <w:szCs w:val="28"/>
          <w:rtl w:val="true"/>
          <w:lang w:bidi="fa-IR"/>
        </w:rPr>
        <w:t xml:space="preserve">و حکی عن التذکرة </w:t>
      </w:r>
      <w:r>
        <w:rPr>
          <w:rStyle w:val="FootnoteAnchor"/>
          <w:rtl w:val="true"/>
        </w:rPr>
        <w:footnoteReference w:id="1027"/>
      </w:r>
      <w:r>
        <w:rPr>
          <w:rFonts w:ascii="IRNazanin" w:hAnsi="IRNazanin" w:eastAsia="IRNazanin"/>
          <w:color w:val="111111"/>
          <w:sz w:val="28"/>
          <w:sz w:val="28"/>
          <w:szCs w:val="28"/>
          <w:rtl w:val="true"/>
          <w:lang w:bidi="fa-IR"/>
        </w:rPr>
        <w:t xml:space="preserve">و </w:t>
      </w:r>
      <w:r>
        <w:rPr>
          <w:rStyle w:val="FootnoteAnchor"/>
          <w:rtl w:val="true"/>
        </w:rPr>
        <w:footnoteReference w:id="1028"/>
      </w:r>
      <w:r>
        <w:rPr>
          <w:rFonts w:ascii="IRNazanin" w:hAnsi="IRNazanin" w:eastAsia="IRNazanin"/>
          <w:color w:val="111111"/>
          <w:sz w:val="28"/>
          <w:sz w:val="28"/>
          <w:szCs w:val="28"/>
          <w:rtl w:val="true"/>
          <w:lang w:bidi="fa-IR"/>
        </w:rPr>
        <w:t xml:space="preserve">إطلاق الباقی </w:t>
      </w:r>
      <w:r>
        <w:rPr>
          <w:rStyle w:val="FootnoteAnchor"/>
          <w:rtl w:val="true"/>
        </w:rPr>
        <w:footnoteReference w:id="1029"/>
      </w:r>
      <w:r>
        <w:rPr>
          <w:rFonts w:ascii="IRNazanin" w:hAnsi="IRNazanin" w:eastAsia="IRNazanin"/>
          <w:color w:val="111111"/>
          <w:sz w:val="28"/>
          <w:sz w:val="28"/>
          <w:szCs w:val="28"/>
          <w:rtl w:val="true"/>
          <w:lang w:bidi="fa-IR"/>
        </w:rPr>
        <w:t xml:space="preserve">،إلّا أنّ صریح الریاض الحکم بالضمان،و حکی فیها عن بعضٍ نسبته إلی المفهوم من کلمات الأصحاب </w:t>
      </w:r>
      <w:r>
        <w:rPr>
          <w:rStyle w:val="FootnoteAnchor"/>
          <w:rtl w:val="true"/>
        </w:rPr>
        <w:footnoteReference w:id="1030"/>
      </w:r>
      <w:r>
        <w:rPr>
          <w:rFonts w:ascii="IRNazanin" w:hAnsi="IRNazanin" w:eastAsia="IRNazanin"/>
          <w:color w:val="111111"/>
          <w:sz w:val="28"/>
          <w:sz w:val="28"/>
          <w:szCs w:val="28"/>
          <w:rtl w:val="true"/>
          <w:lang w:bidi="fa-IR"/>
        </w:rPr>
        <w:t xml:space="preserve">،و الظاهر أنّ المحکیّ عنه هو المحقّق الأردبیلی فی مجمع الفائدة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أبعد ما بینه و بین ما عن جامع المقاصد؛حیث قال فی باب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یلوح من کلامهم هو </w:t>
      </w:r>
      <w:r>
        <w:rPr>
          <w:rStyle w:val="FootnoteAnchor"/>
          <w:rtl w:val="true"/>
        </w:rPr>
        <w:footnoteReference w:id="1032"/>
      </w:r>
      <w:r>
        <w:rPr>
          <w:rFonts w:ascii="IRNazanin" w:hAnsi="IRNazanin" w:eastAsia="IRNazanin"/>
          <w:color w:val="111111"/>
          <w:sz w:val="28"/>
          <w:sz w:val="28"/>
          <w:szCs w:val="28"/>
          <w:rtl w:val="true"/>
          <w:lang w:bidi="fa-IR"/>
        </w:rPr>
        <w:t xml:space="preserve">عدم ضمان العین المستأجرة فاسداً باستیفاء المنفعة،و الذی ینساق إلیه النظر هو الضمان،لأنّ التصرّف فیه </w:t>
      </w:r>
      <w:r>
        <w:rPr>
          <w:rStyle w:val="FootnoteAnchor"/>
          <w:rtl w:val="true"/>
        </w:rPr>
        <w:footnoteReference w:id="1033"/>
      </w:r>
      <w:r>
        <w:rPr>
          <w:rFonts w:ascii="IRNazanin" w:hAnsi="IRNazanin" w:eastAsia="IRNazanin"/>
          <w:color w:val="111111"/>
          <w:sz w:val="28"/>
          <w:sz w:val="28"/>
          <w:szCs w:val="28"/>
          <w:rtl w:val="true"/>
          <w:lang w:bidi="fa-IR"/>
        </w:rPr>
        <w:t>حرام؛لأنّه غصب فیضمنه،ثمّ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کون الإجارة الفاسدة لا یضمن بها کما لا یضمن بصحیحها منافٍ لذلک،</w:t>
      </w:r>
      <w:bookmarkStart w:id="307" w:name="pg19763_247940"/>
    </w:p>
    <w:p>
      <w:pPr>
        <w:pStyle w:val="BookText"/>
        <w:rPr/>
      </w:pPr>
      <w:bookmarkEnd w:id="307"/>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دخل علی عدم الضمان بهذا الاستیلاء و إن لم یکن مستحقّاً و الأصل براءة الذمّة من الضمان فلا تکون العین بذلک مضمونة،و لو لا ذلک لکان المرتهن ضامناً مع فساد الرهن؛لأنّ استیلاءه بغیر حقّ و هو باطل </w:t>
      </w:r>
      <w:r>
        <w:rPr>
          <w:rStyle w:val="FootnoteAnchor"/>
          <w:rtl w:val="true"/>
        </w:rPr>
        <w:footnoteReference w:id="10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308" w:name="__RefHeading___Toc5082658_2314609296"/>
      <w:bookmarkStart w:id="309" w:name="_Toc120"/>
      <w:bookmarkEnd w:id="308"/>
      <w:r>
        <w:rPr>
          <w:rtl w:val="true"/>
        </w:rPr>
        <w:t>[</w:t>
      </w:r>
      <w:r>
        <w:rPr>
          <w:rtl w:val="true"/>
        </w:rPr>
        <w:t>منشأ الحکم بالضمان</w:t>
      </w:r>
      <w:r>
        <w:rPr>
          <w:rtl w:val="true"/>
        </w:rPr>
        <w:t>]</w:t>
      </w:r>
      <w:bookmarkEnd w:id="309"/>
    </w:p>
    <w:p>
      <w:pPr>
        <w:pStyle w:val="BookText"/>
        <w:rPr/>
      </w:pPr>
      <w:r>
        <w:rPr>
          <w:rFonts w:ascii="IRNazanin" w:hAnsi="IRNazanin" w:eastAsia="IRNazanin"/>
          <w:color w:val="111111"/>
          <w:sz w:val="28"/>
          <w:sz w:val="28"/>
          <w:szCs w:val="28"/>
          <w:rtl w:val="true"/>
          <w:lang w:bidi="fa-IR"/>
        </w:rPr>
        <w:t>و لعلّ الحکم بالضمان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لخروجها عن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المراد بالمضمون مورد العقد،و مورد العقد فی الإجارة المنفعة،فالعین یُرجع فی حکمها إلی القواعد،و حیث کانت فی صحیح الإجارة أمانة مأذوناً فیها شرعاً و من طرف المالک،لم یکن فیه </w:t>
      </w:r>
      <w:r>
        <w:rPr>
          <w:rStyle w:val="FootnoteAnchor"/>
          <w:rtl w:val="true"/>
        </w:rPr>
        <w:footnoteReference w:id="1035"/>
      </w:r>
      <w:r>
        <w:rPr>
          <w:rFonts w:ascii="IRNazanin" w:hAnsi="IRNazanin" w:eastAsia="IRNazanin"/>
          <w:color w:val="111111"/>
          <w:sz w:val="28"/>
          <w:sz w:val="28"/>
          <w:szCs w:val="28"/>
          <w:rtl w:val="true"/>
          <w:lang w:bidi="fa-IR"/>
        </w:rPr>
        <w:t xml:space="preserve">ضمان،و أمّا فی فاسدها،فدفع المؤجر للعین إنّما هو للبناء علی استحقاق المستأجر لها؛لحقّ الانتفاع فیه </w:t>
      </w:r>
      <w:r>
        <w:rPr>
          <w:rStyle w:val="FootnoteAnchor"/>
          <w:rtl w:val="true"/>
        </w:rPr>
        <w:footnoteReference w:id="1036"/>
      </w:r>
      <w:r>
        <w:rPr>
          <w:rFonts w:ascii="IRNazanin" w:hAnsi="IRNazanin" w:eastAsia="IRNazanin"/>
          <w:color w:val="111111"/>
          <w:sz w:val="28"/>
          <w:sz w:val="28"/>
          <w:szCs w:val="28"/>
          <w:rtl w:val="true"/>
          <w:lang w:bidi="fa-IR"/>
        </w:rPr>
        <w:t xml:space="preserve">، و المفروض عدم الاستحقاق،فیده علیه </w:t>
      </w:r>
      <w:r>
        <w:rPr>
          <w:rStyle w:val="FootnoteAnchor"/>
          <w:rtl w:val="true"/>
        </w:rPr>
        <w:footnoteReference w:id="1037"/>
      </w:r>
      <w:r>
        <w:rPr>
          <w:rFonts w:ascii="IRNazanin" w:hAnsi="IRNazanin" w:eastAsia="IRNazanin"/>
          <w:color w:val="111111"/>
          <w:sz w:val="28"/>
          <w:sz w:val="28"/>
          <w:szCs w:val="28"/>
          <w:rtl w:val="true"/>
          <w:lang w:bidi="fa-IR"/>
        </w:rPr>
        <w:t>ید عدوان موجبة للضمان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لأنّ </w:t>
      </w:r>
      <w:r>
        <w:rPr>
          <w:rStyle w:val="FootnoteAnchor"/>
          <w:rtl w:val="true"/>
        </w:rPr>
        <w:footnoteReference w:id="1038"/>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معارضة هنا بقاعدة الید</w:t>
      </w:r>
      <w:r>
        <w:rPr>
          <w:rFonts w:eastAsia="IRNazanin" w:cs="IRNazanin"/>
          <w:color w:val="111111"/>
          <w:sz w:val="28"/>
          <w:szCs w:val="28"/>
          <w:rtl w:val="true"/>
          <w:lang w:bidi="fa-IR"/>
        </w:rPr>
        <w:t>.</w:t>
      </w:r>
    </w:p>
    <w:p>
      <w:pPr>
        <w:pStyle w:val="Heading6"/>
        <w:numPr>
          <w:ilvl w:val="5"/>
          <w:numId w:val="1"/>
        </w:numPr>
        <w:rPr/>
      </w:pPr>
      <w:bookmarkStart w:id="310" w:name="__RefHeading___Toc5082660_2314609296"/>
      <w:bookmarkStart w:id="311" w:name="_Toc121"/>
      <w:bookmarkEnd w:id="310"/>
      <w:r>
        <w:rPr>
          <w:rtl w:val="true"/>
        </w:rPr>
        <w:t>[</w:t>
      </w:r>
      <w:r>
        <w:rPr>
          <w:rtl w:val="true"/>
        </w:rPr>
        <w:t>الأقوی عدم الضمان</w:t>
      </w:r>
      <w:r>
        <w:rPr>
          <w:rtl w:val="true"/>
        </w:rPr>
        <w:t>]</w:t>
      </w:r>
      <w:bookmarkEnd w:id="311"/>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الضمان،فالقاعدة المذکورة غیر مخصّصة بالعین المستأجرة،و لا متخصّصة</w:t>
      </w:r>
      <w:r>
        <w:rPr>
          <w:rFonts w:eastAsia="IRNazanin" w:cs="IRNazanin"/>
          <w:color w:val="111111"/>
          <w:sz w:val="28"/>
          <w:szCs w:val="28"/>
          <w:rtl w:val="true"/>
          <w:lang w:bidi="fa-IR"/>
        </w:rPr>
        <w:t>.</w:t>
      </w:r>
    </w:p>
    <w:p>
      <w:pPr>
        <w:pStyle w:val="Heading6"/>
        <w:numPr>
          <w:ilvl w:val="5"/>
          <w:numId w:val="1"/>
        </w:numPr>
        <w:rPr/>
      </w:pPr>
      <w:bookmarkStart w:id="312" w:name="__RefHeading___Toc5082662_2314609296"/>
      <w:bookmarkStart w:id="313" w:name="_Toc122"/>
      <w:bookmarkEnd w:id="312"/>
      <w:r>
        <w:rPr>
          <w:rtl w:val="true"/>
        </w:rPr>
        <w:t>ثمّ إنّه یشکل اطّراد القاعدة فی موارد</w:t>
      </w:r>
      <w:r>
        <w:rPr>
          <w:rtl w:val="true"/>
        </w:rPr>
        <w:t>:</w:t>
      </w:r>
      <w:bookmarkEnd w:id="313"/>
    </w:p>
    <w:p>
      <w:pPr>
        <w:pStyle w:val="Heading6"/>
        <w:numPr>
          <w:ilvl w:val="5"/>
          <w:numId w:val="1"/>
        </w:numPr>
        <w:rPr/>
      </w:pPr>
      <w:bookmarkStart w:id="314" w:name="__RefHeading___Toc5082664_2314609296"/>
      <w:bookmarkStart w:id="315" w:name="_Toc123"/>
      <w:bookmarkEnd w:id="314"/>
      <w:r>
        <w:rPr>
          <w:rtl w:val="true"/>
        </w:rPr>
        <w:t>منها</w:t>
      </w:r>
      <w:r>
        <w:rPr>
          <w:rtl w:val="true"/>
        </w:rPr>
        <w:t>:</w:t>
      </w:r>
      <w:r>
        <w:rPr>
          <w:rtl w:val="true"/>
        </w:rPr>
        <w:t>الصید الذی استعاره المحرم من المحِلّ؛</w:t>
      </w:r>
      <w:bookmarkEnd w:id="31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فساد العاریة،فإنّهم حکموا بضمان المحرم له بالقیمة،مع أنّ صحیح العاریة</w:t>
      </w:r>
      <w:bookmarkStart w:id="316" w:name="pg19763_247941"/>
    </w:p>
    <w:p>
      <w:pPr>
        <w:pStyle w:val="BookText"/>
        <w:rPr/>
      </w:pPr>
      <w:bookmarkEnd w:id="316"/>
      <w:r>
        <w:rPr>
          <w:rFonts w:ascii="IRNazanin" w:hAnsi="IRNazanin" w:eastAsia="IRNazanin"/>
          <w:color w:val="111111"/>
          <w:sz w:val="28"/>
          <w:sz w:val="28"/>
          <w:szCs w:val="28"/>
          <w:rtl w:val="true"/>
          <w:lang w:bidi="fa-IR"/>
        </w:rPr>
        <w:t xml:space="preserve">لا یضمن به،و لذا ناقش الشهید الثانی فی الضمان علی تقدیری الصحّة و الفساد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وجه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البناء علی أنّه یجب علی المحرم إرساله و أداء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المستقرّ علیه قهراً </w:t>
      </w:r>
      <w:r>
        <w:rPr>
          <w:rStyle w:val="FootnoteAnchor"/>
          <w:rtl w:val="true"/>
        </w:rPr>
        <w:footnoteReference w:id="1040"/>
      </w:r>
      <w:r>
        <w:rPr>
          <w:rFonts w:ascii="IRNazanin" w:hAnsi="IRNazanin" w:eastAsia="IRNazanin"/>
          <w:color w:val="111111"/>
          <w:sz w:val="28"/>
          <w:sz w:val="28"/>
          <w:szCs w:val="28"/>
          <w:rtl w:val="true"/>
          <w:lang w:bidi="fa-IR"/>
        </w:rPr>
        <w:t>بعد العاریة هی القیمة لا العین،فوجوب دفع القیمة ثابت قبل التلف بسبب وجوب الإتلاف الذی هو سبب لضمان ملک الغیر فی کلّ عقد،لا بسبب التلف</w:t>
      </w:r>
      <w:r>
        <w:rPr>
          <w:rFonts w:eastAsia="IRNazanin" w:cs="IRNazanin"/>
          <w:color w:val="111111"/>
          <w:sz w:val="28"/>
          <w:szCs w:val="28"/>
          <w:rtl w:val="true"/>
          <w:lang w:bidi="fa-IR"/>
        </w:rPr>
        <w:t>.</w:t>
      </w:r>
    </w:p>
    <w:p>
      <w:pPr>
        <w:pStyle w:val="Heading6"/>
        <w:numPr>
          <w:ilvl w:val="5"/>
          <w:numId w:val="1"/>
        </w:numPr>
        <w:rPr/>
      </w:pPr>
      <w:bookmarkStart w:id="317" w:name="__RefHeading___Toc5082666_2314609296"/>
      <w:bookmarkStart w:id="318" w:name="_Toc124"/>
      <w:bookmarkEnd w:id="317"/>
      <w:r>
        <w:rPr>
          <w:rtl w:val="true"/>
        </w:rPr>
        <w:t>[</w:t>
      </w:r>
      <w:r>
        <w:rPr>
          <w:rtl w:val="true"/>
        </w:rPr>
        <w:t>منها المنافع غیر المستوفاة من المبیع فاسدا</w:t>
      </w:r>
      <w:r>
        <w:rPr>
          <w:rtl w:val="true"/>
        </w:rPr>
        <w:t>]</w:t>
      </w:r>
      <w:bookmarkEnd w:id="318"/>
    </w:p>
    <w:p>
      <w:pPr>
        <w:pStyle w:val="BookText"/>
        <w:rPr/>
      </w:pPr>
      <w:r>
        <w:rPr>
          <w:rFonts w:ascii="IRNazanin" w:hAnsi="IRNazanin" w:eastAsia="IRNazanin"/>
          <w:color w:val="111111"/>
          <w:sz w:val="28"/>
          <w:sz w:val="28"/>
          <w:szCs w:val="28"/>
          <w:rtl w:val="true"/>
          <w:lang w:bidi="fa-IR"/>
        </w:rPr>
        <w:t xml:space="preserve">و یشکل اطّراد القاعدة أیضاً فی المبیع </w:t>
      </w:r>
      <w:r>
        <w:rPr>
          <w:rStyle w:val="FootnoteAnchor"/>
          <w:rtl w:val="true"/>
        </w:rPr>
        <w:footnoteReference w:id="1041"/>
      </w:r>
      <w:r>
        <w:rPr>
          <w:rFonts w:ascii="IRNazanin" w:hAnsi="IRNazanin" w:eastAsia="IRNazanin"/>
          <w:color w:val="111111"/>
          <w:sz w:val="28"/>
          <w:sz w:val="28"/>
          <w:szCs w:val="28"/>
          <w:rtl w:val="true"/>
          <w:lang w:bidi="fa-IR"/>
        </w:rPr>
        <w:t>فاسداً بالنسبة إلی المنافع التی لم یستوفها؛فإنّ هذه المنافع غیر مضمونة فی العقد الصحیح،مع أنّها مضمونة فی العقد الفاسد،إلّا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ضمان العین یستتبع ضمان المنافع فی العقد الصحیح و الفاسد،و فیه نظر؛لأنّ نفس المنفعة غیر مضمونة بشیءٍ فی العقد الصحیح؛لأنّ الثمن إنّما هو بإزاء العین دون المنافع</w:t>
      </w:r>
      <w:r>
        <w:rPr>
          <w:rFonts w:eastAsia="IRNazanin" w:cs="IRNazanin"/>
          <w:color w:val="111111"/>
          <w:sz w:val="28"/>
          <w:szCs w:val="28"/>
          <w:rtl w:val="true"/>
          <w:lang w:bidi="fa-IR"/>
        </w:rPr>
        <w:t>.</w:t>
      </w:r>
    </w:p>
    <w:p>
      <w:pPr>
        <w:pStyle w:val="Heading6"/>
        <w:numPr>
          <w:ilvl w:val="5"/>
          <w:numId w:val="1"/>
        </w:numPr>
        <w:rPr/>
      </w:pPr>
      <w:bookmarkStart w:id="319" w:name="__RefHeading___Toc5082668_2314609296"/>
      <w:bookmarkStart w:id="320" w:name="_Toc125"/>
      <w:bookmarkEnd w:id="319"/>
      <w:r>
        <w:rPr>
          <w:rtl w:val="true"/>
        </w:rPr>
        <w:t>[</w:t>
      </w:r>
      <w:r>
        <w:rPr>
          <w:rtl w:val="true"/>
        </w:rPr>
        <w:t>منها حمل المبیع فاسدا</w:t>
      </w:r>
      <w:r>
        <w:rPr>
          <w:rtl w:val="true"/>
        </w:rPr>
        <w:t>]</w:t>
      </w:r>
      <w:bookmarkEnd w:id="32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نقض القاعدة أیضاً بحمل المبیع فاسداً،علی ما صرّح به فی المبسوط </w:t>
      </w:r>
      <w:r>
        <w:rPr>
          <w:rStyle w:val="FootnoteAnchor"/>
          <w:rtl w:val="true"/>
        </w:rPr>
        <w:footnoteReference w:id="1042"/>
      </w:r>
      <w:r>
        <w:rPr>
          <w:rFonts w:ascii="IRNazanin" w:hAnsi="IRNazanin" w:eastAsia="IRNazanin"/>
          <w:color w:val="111111"/>
          <w:sz w:val="28"/>
          <w:sz w:val="28"/>
          <w:szCs w:val="28"/>
          <w:rtl w:val="true"/>
          <w:lang w:bidi="fa-IR"/>
        </w:rPr>
        <w:t xml:space="preserve">و الشرائع </w:t>
      </w:r>
      <w:r>
        <w:rPr>
          <w:rStyle w:val="FootnoteAnchor"/>
          <w:rtl w:val="true"/>
        </w:rPr>
        <w:footnoteReference w:id="1043"/>
      </w:r>
      <w:r>
        <w:rPr>
          <w:rFonts w:ascii="IRNazanin" w:hAnsi="IRNazanin" w:eastAsia="IRNazanin"/>
          <w:color w:val="111111"/>
          <w:sz w:val="28"/>
          <w:sz w:val="28"/>
          <w:szCs w:val="28"/>
          <w:rtl w:val="true"/>
          <w:lang w:bidi="fa-IR"/>
        </w:rPr>
        <w:t xml:space="preserve">و التذکرة </w:t>
      </w:r>
      <w:r>
        <w:rPr>
          <w:rStyle w:val="FootnoteAnchor"/>
          <w:rtl w:val="true"/>
        </w:rPr>
        <w:footnoteReference w:id="1044"/>
      </w:r>
      <w:r>
        <w:rPr>
          <w:rFonts w:ascii="IRNazanin" w:hAnsi="IRNazanin" w:eastAsia="IRNazanin"/>
          <w:color w:val="111111"/>
          <w:sz w:val="28"/>
          <w:sz w:val="28"/>
          <w:szCs w:val="28"/>
          <w:rtl w:val="true"/>
          <w:lang w:bidi="fa-IR"/>
        </w:rPr>
        <w:t xml:space="preserve">و التحریر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مضموناً علی</w:t>
      </w:r>
      <w:bookmarkStart w:id="321" w:name="pg19763_247942"/>
    </w:p>
    <w:p>
      <w:pPr>
        <w:pStyle w:val="BookText"/>
        <w:rPr/>
      </w:pPr>
      <w:bookmarkEnd w:id="321"/>
      <w:r>
        <w:rPr>
          <w:rFonts w:ascii="IRNazanin" w:hAnsi="IRNazanin" w:eastAsia="IRNazanin"/>
          <w:color w:val="111111"/>
          <w:sz w:val="28"/>
          <w:sz w:val="28"/>
          <w:szCs w:val="28"/>
          <w:rtl w:val="true"/>
          <w:lang w:bidi="fa-IR"/>
        </w:rPr>
        <w:t xml:space="preserve">المشتری،خلافاً للشهیدین </w:t>
      </w:r>
      <w:r>
        <w:rPr>
          <w:rStyle w:val="FootnoteAnchor"/>
          <w:rtl w:val="true"/>
        </w:rPr>
        <w:footnoteReference w:id="1046"/>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047"/>
      </w:r>
      <w:r>
        <w:rPr>
          <w:rFonts w:ascii="Amiri" w:hAnsi="Amiri" w:eastAsia="Amiri" w:cs="Amiri"/>
          <w:color w:val="111111"/>
          <w:sz w:val="28"/>
          <w:sz w:val="28"/>
          <w:szCs w:val="28"/>
          <w:rtl w:val="true"/>
          <w:lang w:bidi="ar-SA"/>
        </w:rPr>
        <w:t xml:space="preserve">و بعضٌ آخر </w:t>
      </w:r>
      <w:r>
        <w:rPr>
          <w:rStyle w:val="FootnoteAnchor"/>
          <w:rtl w:val="true"/>
        </w:rPr>
        <w:footnoteReference w:id="1048"/>
      </w:r>
      <w:r>
        <w:rPr>
          <w:rFonts w:ascii="IRNazanin" w:hAnsi="IRNazanin" w:eastAsia="IRNazanin"/>
          <w:color w:val="111111"/>
          <w:sz w:val="28"/>
          <w:sz w:val="28"/>
          <w:szCs w:val="28"/>
          <w:rtl w:val="true"/>
          <w:lang w:bidi="fa-IR"/>
        </w:rPr>
        <w:t xml:space="preserve">تبعاً للعلّامة فی القواعد </w:t>
      </w:r>
      <w:r>
        <w:rPr>
          <w:rStyle w:val="FootnoteAnchor"/>
          <w:rtl w:val="true"/>
        </w:rPr>
        <w:footnoteReference w:id="1049"/>
      </w:r>
      <w:r>
        <w:rPr>
          <w:rFonts w:ascii="IRNazanin" w:hAnsi="IRNazanin" w:eastAsia="IRNazanin"/>
          <w:color w:val="111111"/>
          <w:sz w:val="28"/>
          <w:sz w:val="28"/>
          <w:szCs w:val="28"/>
          <w:rtl w:val="true"/>
          <w:lang w:bidi="fa-IR"/>
        </w:rPr>
        <w:t>،مع أنّ الحمل غیر مضمون فی البیع الصحیح؛بناءً علی أنّه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الدروس توجیه کلام العلّامة بما إذا اشترط الدخول فی البیع </w:t>
      </w:r>
      <w:r>
        <w:rPr>
          <w:rStyle w:val="FootnoteAnchor"/>
          <w:rtl w:val="true"/>
        </w:rPr>
        <w:footnoteReference w:id="1050"/>
      </w:r>
      <w:r>
        <w:rPr>
          <w:rFonts w:ascii="IRNazanin" w:hAnsi="IRNazanin" w:eastAsia="IRNazanin"/>
          <w:color w:val="111111"/>
          <w:sz w:val="28"/>
          <w:sz w:val="28"/>
          <w:szCs w:val="28"/>
          <w:rtl w:val="true"/>
          <w:lang w:bidi="fa-IR"/>
        </w:rPr>
        <w:t>،و حینئذٍ لا نقض علی القاعدة</w:t>
      </w:r>
      <w:r>
        <w:rPr>
          <w:rFonts w:eastAsia="IRNazanin" w:cs="IRNazanin"/>
          <w:color w:val="111111"/>
          <w:sz w:val="28"/>
          <w:szCs w:val="28"/>
          <w:rtl w:val="true"/>
          <w:lang w:bidi="fa-IR"/>
        </w:rPr>
        <w:t>.</w:t>
      </w:r>
    </w:p>
    <w:p>
      <w:pPr>
        <w:pStyle w:val="Heading6"/>
        <w:numPr>
          <w:ilvl w:val="5"/>
          <w:numId w:val="1"/>
        </w:numPr>
        <w:rPr/>
      </w:pPr>
      <w:bookmarkStart w:id="322" w:name="__RefHeading___Toc5082670_2314609296"/>
      <w:bookmarkStart w:id="323" w:name="_Toc126"/>
      <w:bookmarkEnd w:id="322"/>
      <w:r>
        <w:rPr>
          <w:rtl w:val="true"/>
        </w:rPr>
        <w:t>[</w:t>
      </w:r>
      <w:r>
        <w:rPr>
          <w:rtl w:val="true"/>
        </w:rPr>
        <w:t>منها الشرکة الفاسدة</w:t>
      </w:r>
      <w:r>
        <w:rPr>
          <w:rtl w:val="true"/>
        </w:rPr>
        <w:t>]</w:t>
      </w:r>
      <w:bookmarkEnd w:id="323"/>
    </w:p>
    <w:p>
      <w:pPr>
        <w:pStyle w:val="BookText"/>
        <w:rPr/>
      </w:pPr>
      <w:r>
        <w:rPr>
          <w:rFonts w:ascii="IRNazanin" w:hAnsi="IRNazanin" w:eastAsia="IRNazanin"/>
          <w:color w:val="111111"/>
          <w:sz w:val="28"/>
          <w:sz w:val="28"/>
          <w:szCs w:val="28"/>
          <w:rtl w:val="true"/>
          <w:lang w:bidi="fa-IR"/>
        </w:rPr>
        <w:t>و یمکن النقض أیضاً بالشرکة الفاسدة؛بناءً علی أنّه لا یجوز التصرّف بها،فأخذ المال المشترک حینئذٍ عدواناً موجب للضمان</w:t>
      </w:r>
      <w:r>
        <w:rPr>
          <w:rFonts w:eastAsia="IRNazanin" w:cs="IRNazanin"/>
          <w:color w:val="111111"/>
          <w:sz w:val="28"/>
          <w:szCs w:val="28"/>
          <w:rtl w:val="true"/>
          <w:lang w:bidi="fa-IR"/>
        </w:rPr>
        <w:t>.</w:t>
      </w:r>
    </w:p>
    <w:p>
      <w:pPr>
        <w:pStyle w:val="Heading6"/>
        <w:numPr>
          <w:ilvl w:val="5"/>
          <w:numId w:val="1"/>
        </w:numPr>
        <w:rPr/>
      </w:pPr>
      <w:bookmarkStart w:id="324" w:name="__RefHeading___Toc5082672_2314609296"/>
      <w:bookmarkStart w:id="325" w:name="_Toc127"/>
      <w:bookmarkEnd w:id="324"/>
      <w:r>
        <w:rPr>
          <w:rtl w:val="true"/>
        </w:rPr>
        <w:t>[</w:t>
      </w:r>
      <w:r>
        <w:rPr>
          <w:rtl w:val="true"/>
        </w:rPr>
        <w:t>مبنی عدم الضمان فی عکس القاعدة هی الأولویة و المناقشة فیها</w:t>
      </w:r>
      <w:r>
        <w:rPr>
          <w:rtl w:val="true"/>
        </w:rPr>
        <w:t>]</w:t>
      </w:r>
      <w:bookmarkEnd w:id="32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مبنی هذه القضیة السالبة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Style w:val="FootnoteAnchor"/>
          <w:rtl w:val="true"/>
        </w:rPr>
        <w:footnoteReference w:id="1051"/>
      </w:r>
      <w:r>
        <w:rPr>
          <w:rFonts w:ascii="IRNazanin" w:hAnsi="IRNazanin" w:eastAsia="IRNazanin"/>
          <w:color w:val="111111"/>
          <w:sz w:val="28"/>
          <w:sz w:val="28"/>
          <w:szCs w:val="28"/>
          <w:rtl w:val="true"/>
          <w:lang w:bidi="fa-IR"/>
        </w:rPr>
        <w:t xml:space="preserve">ما تقدّم من کلام الشیخ فی المبسوط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الأولویة،و 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الرهن لا یضمن بصحیحه فکیف بفاسده؟ 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من العقد إذا لم یقتضِ الضمان مع إمضاء الشارع له،فالفاسد الذی هو بمنزلة العدم لا یؤثّر فی الضمان؛لأنّ أثر الضمان إمّا من الإقدام علی الضمان،و المفروض عدمه،و إلّا لضمن</w:t>
      </w:r>
    </w:p>
    <w:p>
      <w:pPr>
        <w:pStyle w:val="BookText"/>
        <w:rPr/>
      </w:pPr>
      <w:r>
        <w:rPr>
          <w:rFonts w:ascii="IRNazanin" w:hAnsi="IRNazanin" w:eastAsia="IRNazanin"/>
          <w:color w:val="111111"/>
          <w:sz w:val="28"/>
          <w:sz w:val="28"/>
          <w:szCs w:val="28"/>
          <w:rtl w:val="true"/>
          <w:lang w:bidi="fa-IR"/>
        </w:rPr>
        <w:t xml:space="preserve">بصحیحه،و إمّا من </w:t>
      </w:r>
      <w:r>
        <w:rPr>
          <w:rStyle w:val="FootnoteAnchor"/>
          <w:rtl w:val="true"/>
        </w:rPr>
        <w:footnoteReference w:id="1053"/>
      </w:r>
      <w:r>
        <w:rPr>
          <w:rFonts w:ascii="IRNazanin" w:hAnsi="IRNazanin" w:eastAsia="IRNazanin"/>
          <w:color w:val="111111"/>
          <w:sz w:val="28"/>
          <w:sz w:val="28"/>
          <w:szCs w:val="28"/>
          <w:rtl w:val="true"/>
          <w:lang w:bidi="fa-IR"/>
        </w:rPr>
        <w:t>حکم الشارع بالضمان بواسطة هذه المعاملة الفاسدة،و المفروض أنّها لا تؤثّر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إذا کان مفیداً للضمان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الضمان من مقتضیات الصحیح،فلا یجری </w:t>
      </w:r>
      <w:r>
        <w:rPr>
          <w:rStyle w:val="FootnoteAnchor"/>
          <w:rtl w:val="true"/>
        </w:rPr>
        <w:footnoteReference w:id="1054"/>
      </w:r>
      <w:r>
        <w:rPr>
          <w:rFonts w:ascii="IRNazanin" w:hAnsi="IRNazanin" w:eastAsia="IRNazanin"/>
          <w:color w:val="111111"/>
          <w:sz w:val="28"/>
          <w:sz w:val="28"/>
          <w:szCs w:val="28"/>
          <w:rtl w:val="true"/>
          <w:lang w:bidi="fa-IR"/>
        </w:rPr>
        <w:t>فی الفاسد؛لکونه لغواً غیر مؤثّر،علی ما سبق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أقدم علی ضمان خاصّ، و الشارع لم یمضه فیرتفع أصل الضمان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یخدشها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أن یکون صحّة الرهن و الإجارة المستلزمة لتسلّط المرتهن و المستأجر علی العین شرعاً مؤثّرة فی رفع الضمان، بخلاف الفاسد الذی لا یوجب تسلّطاً لهما علی العین،فلا 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الفاسد و إن لم یکن له دخل فی الضمان،إلّا أنّ مقتضی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الضمان،خرج منه المقبوض بصحاح العقود التی یکون مواردها غیر مضمونة علی القابض،و بقی الباقی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خرج به المقبوض بصحاح تلک العقود یخرج به المقبوض بفاسدها،و هی </w:t>
      </w:r>
      <w:r>
        <w:rPr>
          <w:rStyle w:val="FootnoteAnchor"/>
          <w:rtl w:val="true"/>
        </w:rPr>
        <w:footnoteReference w:id="1056"/>
      </w:r>
      <w:r>
        <w:rPr>
          <w:rFonts w:ascii="IRNazanin" w:hAnsi="IRNazanin" w:eastAsia="IRNazanin"/>
          <w:color w:val="111111"/>
          <w:sz w:val="28"/>
          <w:sz w:val="28"/>
          <w:szCs w:val="28"/>
          <w:rtl w:val="true"/>
          <w:lang w:bidi="fa-IR"/>
        </w:rPr>
        <w:t xml:space="preserve">عموم ما دلّ علی أنّ من لم یضمّنه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ملّکه إیّاه بغیر عوض،أو سلّطه علی الانتفاع به،أو استأمنه علیه </w:t>
      </w:r>
      <w:r>
        <w:rPr>
          <w:rStyle w:val="FootnoteAnchor"/>
          <w:rtl w:val="true"/>
        </w:rPr>
        <w:footnoteReference w:id="1057"/>
      </w:r>
      <w:r>
        <w:rPr>
          <w:rFonts w:ascii="IRNazanin" w:hAnsi="IRNazanin" w:eastAsia="IRNazanin"/>
          <w:color w:val="111111"/>
          <w:sz w:val="28"/>
          <w:sz w:val="28"/>
          <w:szCs w:val="28"/>
          <w:rtl w:val="true"/>
          <w:lang w:bidi="fa-IR"/>
        </w:rPr>
        <w:t>لحفظه،أو دفعه إلیه لاستیفاء حقّه،أو العمل فیه بلا اجرة أو</w:t>
      </w:r>
    </w:p>
    <w:p>
      <w:pPr>
        <w:pStyle w:val="BookText"/>
        <w:rPr/>
      </w:pPr>
      <w:r>
        <w:rPr>
          <w:rFonts w:ascii="IRNazanin" w:hAnsi="IRNazanin" w:eastAsia="IRNazanin"/>
          <w:color w:val="111111"/>
          <w:sz w:val="28"/>
          <w:sz w:val="28"/>
          <w:szCs w:val="28"/>
          <w:rtl w:val="true"/>
          <w:lang w:bidi="fa-IR"/>
        </w:rPr>
        <w:t>معها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غیر ضامن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غیر التملیک بلا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فالدلیل المخصّص لقاعدة الضمان عموم ما دلّ علی أنّ من استأمنه المالک علی ملکه غیر ضامن </w:t>
      </w:r>
      <w:r>
        <w:rPr>
          <w:rStyle w:val="FootnoteAnchor"/>
          <w:rtl w:val="true"/>
        </w:rPr>
        <w:footnoteReference w:id="1059"/>
      </w:r>
      <w:r>
        <w:rPr>
          <w:rFonts w:ascii="IRNazanin" w:hAnsi="IRNazanin" w:eastAsia="IRNazanin"/>
          <w:color w:val="111111"/>
          <w:sz w:val="28"/>
          <w:sz w:val="28"/>
          <w:szCs w:val="28"/>
          <w:rtl w:val="true"/>
          <w:lang w:bidi="fa-IR"/>
        </w:rPr>
        <w:t xml:space="preserve">،بل لیس لک أن تتّهمه </w:t>
      </w:r>
      <w:r>
        <w:rPr>
          <w:rStyle w:val="FootnoteAnchor"/>
          <w:rtl w:val="true"/>
        </w:rPr>
        <w:footnoteReference w:id="1060"/>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فی الهبة الفاسدة،فیمکن الاستدلال علی خروجها 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بفحوی ما دلّ علی خروج صور </w:t>
      </w:r>
      <w:r>
        <w:rPr>
          <w:rStyle w:val="FootnoteAnchor"/>
          <w:rtl w:val="true"/>
        </w:rPr>
        <w:footnoteReference w:id="1062"/>
      </w:r>
      <w:r>
        <w:rPr>
          <w:rFonts w:ascii="IRNazanin" w:hAnsi="IRNazanin" w:eastAsia="IRNazanin"/>
          <w:color w:val="111111"/>
          <w:sz w:val="28"/>
          <w:sz w:val="28"/>
          <w:szCs w:val="28"/>
          <w:rtl w:val="true"/>
          <w:lang w:bidi="fa-IR"/>
        </w:rPr>
        <w:t xml:space="preserve">الاستئمان </w:t>
      </w:r>
      <w:r>
        <w:rPr>
          <w:rStyle w:val="FootnoteAnchor"/>
          <w:rtl w:val="true"/>
        </w:rPr>
        <w:footnoteReference w:id="1063"/>
      </w:r>
      <w:r>
        <w:rPr>
          <w:rFonts w:ascii="IRNazanin" w:hAnsi="IRNazanin" w:eastAsia="IRNazanin"/>
          <w:color w:val="111111"/>
          <w:sz w:val="28"/>
          <w:sz w:val="28"/>
          <w:szCs w:val="28"/>
          <w:rtl w:val="true"/>
          <w:lang w:bidi="fa-IR"/>
        </w:rPr>
        <w:t>فإنّ استئمان المالک لغیره علی ملکه إذا اقتضی عدم ضمانه له،اقتضی التسلیط المطلق علیه مجّاناً عدم ضمانه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التقیید بالمجّانیة لخروج التسلیط المطلق بالعوض،کما فی المعاوضات؛فإنّه عین التضمین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فحاصل أدلّة عدم ضمان المستأمن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دفع المالک إلیه ملکه علی وجهٍ لا یضمِّنه بعوض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المثل أو القیمة </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جعلی، فلیس علیه ضمان</w:t>
      </w:r>
      <w:r>
        <w:rPr>
          <w:rFonts w:eastAsia="IRNazanin" w:cs="IRNazanin"/>
          <w:color w:val="111111"/>
          <w:sz w:val="28"/>
          <w:szCs w:val="28"/>
          <w:rtl w:val="true"/>
          <w:lang w:bidi="fa-IR"/>
        </w:rPr>
        <w:t>.</w:t>
      </w:r>
      <w:bookmarkStart w:id="326" w:name="pg19763_247945"/>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Style w:val="FootnoteAnchor"/>
          <w:rtl w:val="true"/>
        </w:rPr>
        <w:footnoteReference w:id="1065"/>
      </w:r>
    </w:p>
    <w:p>
      <w:pPr>
        <w:pStyle w:val="Heading5"/>
        <w:numPr>
          <w:ilvl w:val="4"/>
          <w:numId w:val="1"/>
        </w:numPr>
        <w:rPr/>
      </w:pPr>
      <w:bookmarkStart w:id="327" w:name="__RefHeading___Toc5082674_2314609296"/>
      <w:bookmarkStart w:id="328" w:name="_Toc128"/>
      <w:bookmarkEnd w:id="327"/>
      <w:r>
        <w:rPr>
          <w:rtl w:val="true"/>
        </w:rPr>
        <w:t>الثانی من الأُمور المتفرّعة علی عدم تملّک المقبوض بالبیع الفاسد، وجوب ردّه فوراً إلی المالک</w:t>
      </w:r>
      <w:r>
        <w:rPr>
          <w:rtl w:val="true"/>
        </w:rPr>
        <w:t>.</w:t>
      </w:r>
      <w:bookmarkEnd w:id="328"/>
    </w:p>
    <w:p>
      <w:pPr>
        <w:pStyle w:val="BookText"/>
        <w:rPr/>
      </w:pPr>
      <w:r>
        <w:rPr>
          <w:rFonts w:ascii="IRNazanin" w:hAnsi="IRNazanin" w:eastAsia="IRNazanin"/>
          <w:color w:val="111111"/>
          <w:sz w:val="28"/>
          <w:sz w:val="28"/>
          <w:szCs w:val="28"/>
          <w:rtl w:val="true"/>
          <w:lang w:bidi="fa-IR"/>
        </w:rPr>
        <w:t xml:space="preserve">و الظاهر أنّه ممّا لا خلاف فیه علی تقدیر عدم جواز التصرّف فیه کما یلوح </w:t>
      </w:r>
      <w:r>
        <w:rPr>
          <w:rStyle w:val="FootnoteAnchor"/>
          <w:rtl w:val="true"/>
        </w:rPr>
        <w:footnoteReference w:id="1066"/>
      </w:r>
      <w:r>
        <w:rPr>
          <w:rFonts w:ascii="Amiri" w:hAnsi="Amiri" w:eastAsia="Amiri" w:cs="Amiri"/>
          <w:color w:val="111111"/>
          <w:sz w:val="28"/>
          <w:sz w:val="28"/>
          <w:szCs w:val="28"/>
          <w:rtl w:val="true"/>
          <w:lang w:bidi="ar-SA"/>
        </w:rPr>
        <w:t xml:space="preserve">من مجمع الفائدة </w:t>
      </w:r>
      <w:r>
        <w:rPr>
          <w:rStyle w:val="FootnoteAnchor"/>
          <w:rtl w:val="true"/>
        </w:rPr>
        <w:footnoteReference w:id="1067"/>
      </w:r>
      <w:r>
        <w:rPr>
          <w:rFonts w:ascii="IRNazanin" w:hAnsi="IRNazanin" w:eastAsia="IRNazanin"/>
          <w:color w:val="111111"/>
          <w:sz w:val="28"/>
          <w:sz w:val="28"/>
          <w:szCs w:val="28"/>
          <w:rtl w:val="true"/>
          <w:lang w:bidi="fa-IR"/>
        </w:rPr>
        <w:t xml:space="preserve">،بل صرّح فی التذکرة </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مئونة الردّ علی المشتری لوجوب ما لا یتمّ الردّ إلّا به </w:t>
      </w:r>
      <w:r>
        <w:rPr>
          <w:rStyle w:val="FootnoteAnchor"/>
          <w:rtl w:val="true"/>
        </w:rPr>
        <w:footnoteReference w:id="1069"/>
      </w:r>
      <w:r>
        <w:rPr>
          <w:rFonts w:ascii="IRNazanin" w:hAnsi="IRNazanin" w:eastAsia="IRNazanin"/>
          <w:color w:val="111111"/>
          <w:sz w:val="28"/>
          <w:sz w:val="28"/>
          <w:szCs w:val="28"/>
          <w:rtl w:val="true"/>
          <w:lang w:bidi="fa-IR"/>
        </w:rPr>
        <w:t>،و إطلاقه یشمل ما لو کان فی ردّه مئونة کثیرة،إلّا أن یقیّد بغیرها بأدلّة نفی الضرر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الإمساک آناً ما تصرّف فی مال الغیر بغیر إذنه،فلا یجوز؛لقوله 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لأحدٍ أن یتصرّف فی مال غیره إلّا بإذنه</w:t>
      </w:r>
      <w:r>
        <w:rPr>
          <w:rFonts w:eastAsia="IRNazanin" w:cs="IRNazanin"/>
          <w:color w:val="111111"/>
          <w:sz w:val="28"/>
          <w:szCs w:val="28"/>
          <w:rtl w:val="true"/>
          <w:lang w:bidi="fa-IR"/>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نوقش فی کون الإمساک تصرّفاً،کفی عموم قوله صلّی اللّه علیه و آله و سلم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مال امرئٍ مسلمٍ لأخیه إلّا عن طیب نفسه</w:t>
      </w:r>
      <w:r>
        <w:rPr>
          <w:rFonts w:eastAsia="Amiri" w:cs="Amiri" w:ascii="Amiri" w:hAnsi="Amiri"/>
          <w:color w:val="111111"/>
          <w:sz w:val="28"/>
          <w:szCs w:val="28"/>
          <w:rtl w:val="true"/>
          <w:lang w:bidi="ar-SA"/>
        </w:rPr>
        <w:t xml:space="preserve">» </w:t>
      </w:r>
      <w:r>
        <w:rPr>
          <w:rStyle w:val="FootnoteAnchor"/>
          <w:rtl w:val="true"/>
        </w:rPr>
        <w:footnoteReference w:id="1072"/>
      </w:r>
      <w:r>
        <w:rPr>
          <w:rFonts w:ascii="IRNazanin" w:hAnsi="IRNazanin" w:eastAsia="IRNazanin"/>
          <w:color w:val="111111"/>
          <w:sz w:val="28"/>
          <w:sz w:val="28"/>
          <w:szCs w:val="28"/>
          <w:rtl w:val="true"/>
          <w:lang w:bidi="fa-IR"/>
        </w:rPr>
        <w:t>حیث یدلّ علی تحریم جمیع الأفعال المتعلّقة به،التی منها کونه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بإذنه حیث إنّه دفعه باختیاره،فمندفع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إنّما ملّکه إیّاه عوضاً،فإذا انتفت صفة العوضیّة باعتبار عدم سلامة العوض له شرعاً </w:t>
      </w:r>
      <w:r>
        <w:rPr>
          <w:rStyle w:val="FootnoteAnchor"/>
          <w:rtl w:val="true"/>
        </w:rPr>
        <w:footnoteReference w:id="1073"/>
      </w:r>
      <w:r>
        <w:rPr>
          <w:rFonts w:ascii="IRNazanin" w:hAnsi="IRNazanin" w:eastAsia="IRNazanin"/>
          <w:color w:val="111111"/>
          <w:sz w:val="28"/>
          <w:sz w:val="28"/>
          <w:szCs w:val="28"/>
          <w:rtl w:val="true"/>
          <w:lang w:bidi="fa-IR"/>
        </w:rPr>
        <w:t xml:space="preserve">،و المفروض أنّ کونه علی وجه الملکیّة المجانیّة ممّا لم ینشئها المالک،و کونه مالاً للمالک و </w:t>
      </w:r>
      <w:r>
        <w:rPr>
          <w:rStyle w:val="FootnoteAnchor"/>
          <w:rtl w:val="true"/>
        </w:rPr>
        <w:footnoteReference w:id="1074"/>
      </w:r>
      <w:r>
        <w:rPr>
          <w:rFonts w:ascii="IRNazanin" w:hAnsi="IRNazanin" w:eastAsia="IRNazanin"/>
          <w:color w:val="111111"/>
          <w:sz w:val="28"/>
          <w:sz w:val="28"/>
          <w:szCs w:val="28"/>
          <w:rtl w:val="true"/>
          <w:lang w:bidi="fa-IR"/>
        </w:rPr>
        <w:t>أمانة فی یده أیضاً ممّا لم یؤذن فیه،و لو أذن له فهو استیداع جدید،کما أنّه لو ملّکه مجّاناً کانت هبة جدیدة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لکنّ الذی یظهر من المبسوط </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الإثم فی إمساکه </w:t>
      </w:r>
      <w:r>
        <w:rPr>
          <w:rStyle w:val="FootnoteAnchor"/>
          <w:rtl w:val="true"/>
        </w:rPr>
        <w:footnoteReference w:id="1076"/>
      </w:r>
      <w:r>
        <w:rPr>
          <w:rFonts w:ascii="IRNazanin" w:hAnsi="IRNazanin" w:eastAsia="IRNazanin"/>
          <w:color w:val="111111"/>
          <w:sz w:val="28"/>
          <w:sz w:val="28"/>
          <w:szCs w:val="28"/>
          <w:rtl w:val="true"/>
          <w:lang w:bidi="fa-IR"/>
        </w:rPr>
        <w:t xml:space="preserve">، و کذا السرائر ناسباً له إلی الأصحاب </w:t>
      </w:r>
      <w:r>
        <w:rPr>
          <w:rStyle w:val="FootnoteAnchor"/>
          <w:rtl w:val="true"/>
        </w:rPr>
        <w:footnoteReference w:id="1077"/>
      </w:r>
      <w:r>
        <w:rPr>
          <w:rFonts w:ascii="IRNazanin" w:hAnsi="IRNazanin" w:eastAsia="IRNazanin"/>
          <w:color w:val="111111"/>
          <w:sz w:val="28"/>
          <w:sz w:val="28"/>
          <w:szCs w:val="28"/>
          <w:rtl w:val="true"/>
          <w:lang w:bidi="fa-IR"/>
        </w:rPr>
        <w:t>،و هو ضعیف،و النسبة غیر ثابتة،و لا یبعد إرادة صورة الجهل؛لأنّه لا یعاقب</w:t>
      </w:r>
      <w:r>
        <w:rPr>
          <w:rFonts w:eastAsia="IRNazanin" w:cs="IRNazanin"/>
          <w:color w:val="111111"/>
          <w:sz w:val="28"/>
          <w:szCs w:val="28"/>
          <w:rtl w:val="true"/>
          <w:lang w:bidi="fa-IR"/>
        </w:rPr>
        <w:t>.</w:t>
      </w:r>
      <w:bookmarkStart w:id="329" w:name="pg19763_247947"/>
    </w:p>
    <w:p>
      <w:pPr>
        <w:pStyle w:val="Heading5"/>
        <w:numPr>
          <w:ilvl w:val="4"/>
          <w:numId w:val="1"/>
        </w:numPr>
        <w:rPr/>
      </w:pPr>
      <w:bookmarkStart w:id="330" w:name="__RefHeading___Toc5082676_2314609296"/>
      <w:bookmarkStart w:id="331" w:name="_Toc129"/>
      <w:bookmarkEnd w:id="329"/>
      <w:bookmarkEnd w:id="330"/>
      <w:r>
        <w:rPr>
          <w:rtl w:val="true"/>
        </w:rPr>
        <w:t>الثالث أنّه لو کان للعین المبتاعة منفعة استوفاها المشتری قبل الردّ،کان علیه عوضها علی المشهور،</w:t>
      </w:r>
      <w:bookmarkEnd w:id="331"/>
    </w:p>
    <w:p>
      <w:pPr>
        <w:pStyle w:val="BookText"/>
        <w:rPr/>
      </w:pPr>
      <w:r>
        <w:rPr>
          <w:rFonts w:ascii="IRNazanin" w:hAnsi="IRNazanin" w:eastAsia="IRNazanin"/>
          <w:color w:val="111111"/>
          <w:sz w:val="28"/>
          <w:sz w:val="28"/>
          <w:szCs w:val="28"/>
          <w:rtl w:val="true"/>
          <w:lang w:bidi="fa-IR"/>
        </w:rPr>
        <w:t xml:space="preserve">بل ظاهر ما تقدّم من السرائر،من کونه بمنزلة المغصوب </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مال امرئٍ مسلم </w:t>
      </w:r>
      <w:r>
        <w:rPr>
          <w:rStyle w:val="FootnoteAnchor"/>
          <w:rtl w:val="true"/>
        </w:rPr>
        <w:footnoteReference w:id="1079"/>
      </w:r>
      <w:r>
        <w:rPr>
          <w:rFonts w:ascii="IRNazanin" w:hAnsi="IRNazanin" w:eastAsia="IRNazanin"/>
          <w:color w:val="111111"/>
          <w:sz w:val="28"/>
          <w:sz w:val="28"/>
          <w:szCs w:val="28"/>
          <w:rtl w:val="true"/>
          <w:lang w:bidi="fa-IR"/>
        </w:rPr>
        <w:t>إلّا عن طیب نفسه</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،بناءً علی صدق المال علی المنفعة،و لذا یجعل ثمناً فی البیع و صداقاً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للوسیلة،فنفی الضمان؛محتجّاً بأنّ الخراج بالضمان </w:t>
      </w:r>
      <w:r>
        <w:rPr>
          <w:rStyle w:val="FootnoteAnchor"/>
          <w:rtl w:val="true"/>
        </w:rPr>
        <w:footnoteReference w:id="1081"/>
      </w:r>
      <w:r>
        <w:rPr>
          <w:rFonts w:ascii="IRNazanin" w:hAnsi="IRNazanin" w:eastAsia="IRNazanin"/>
          <w:color w:val="111111"/>
          <w:sz w:val="28"/>
          <w:sz w:val="28"/>
          <w:szCs w:val="28"/>
          <w:rtl w:val="true"/>
          <w:lang w:bidi="fa-IR"/>
        </w:rPr>
        <w:t xml:space="preserve">کما فی النبویّ المرسل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ضمن شیئاً و تقبّله لنفسه فخراجه له،فالباء</w:t>
      </w:r>
    </w:p>
    <w:p>
      <w:pPr>
        <w:pStyle w:val="BookText"/>
        <w:rPr/>
      </w:pPr>
      <w:r>
        <w:rPr>
          <w:rFonts w:ascii="IRNazanin" w:hAnsi="IRNazanin" w:eastAsia="IRNazanin"/>
          <w:color w:val="111111"/>
          <w:sz w:val="28"/>
          <w:sz w:val="28"/>
          <w:szCs w:val="28"/>
          <w:rtl w:val="true"/>
          <w:lang w:bidi="fa-IR"/>
        </w:rPr>
        <w:t xml:space="preserve">للسببیة أو المقابلة،فالمشتری لمّا أقدم علی ضمان المبیع و تقبّله علی نفسه بتقبیل البائع و تضمینه إیّاه علی أن یکون الخراج له مجّاناً،کان اللازم علی </w:t>
      </w:r>
      <w:r>
        <w:rPr>
          <w:rStyle w:val="FootnoteAnchor"/>
          <w:rtl w:val="true"/>
        </w:rPr>
        <w:footnoteReference w:id="1083"/>
      </w:r>
      <w:r>
        <w:rPr>
          <w:rFonts w:ascii="IRNazanin" w:hAnsi="IRNazanin" w:eastAsia="IRNazanin"/>
          <w:color w:val="111111"/>
          <w:sz w:val="28"/>
          <w:sz w:val="28"/>
          <w:szCs w:val="28"/>
          <w:rtl w:val="true"/>
          <w:lang w:bidi="fa-IR"/>
        </w:rPr>
        <w:t>ذلک أنّ خراجه له علی تقدیر الفساد،کما أنّ الضمان علیه علی هذا التقدیر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ضمان العین لا یجتمع مع ضمان الخراج،و مرجعه إلی أنّ الغنیمة و الفائدة بإزاء الغرامة،و هذا المعنی مستنبط من أخبار کثیرة متفرّقة،مثل قوله علیه السلام فی مقام الاستشهاد علی کون منفعة المبیع فی زمان الخیار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أنّها لو أُحرقت کانت من مال المشتری؟</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 xml:space="preserve">و نحوه فی الرهن </w:t>
      </w:r>
      <w:r>
        <w:rPr>
          <w:rStyle w:val="FootnoteAnchor"/>
          <w:rtl w:val="true"/>
        </w:rPr>
        <w:footnoteReference w:id="108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الضمان لیس هو ما أقدم علیه المتبایعان حتّی یکون الخراج بإزائه،و إنّما هو أمرٌ قهریٌّ حکم به الشارع کما حکم بضمان المقبوض بالسوم و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بالضمان الذی بإزائه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الشیء علی نفسه و تقبّله له مع إمضاء الشارع 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ینتقض ما ذکرنا فی معنی الروایة بالعاریة المضمونة؛حیث إنّه أقدم علی ضمانها،مع أنّ خراجها لیس له؛لعدم تملّکه للمنفعة،و إنّما</w:t>
      </w:r>
    </w:p>
    <w:p>
      <w:pPr>
        <w:pStyle w:val="BookText"/>
        <w:rPr/>
      </w:pPr>
      <w:r>
        <w:rPr>
          <w:rFonts w:ascii="IRNazanin" w:hAnsi="IRNazanin" w:eastAsia="IRNazanin"/>
          <w:color w:val="111111"/>
          <w:sz w:val="28"/>
          <w:sz w:val="28"/>
          <w:szCs w:val="28"/>
          <w:rtl w:val="true"/>
          <w:lang w:bidi="fa-IR"/>
        </w:rPr>
        <w:t>تملّک الانتفاع الذی عیّنه المالک،فتأمّل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دلالة الروایة </w:t>
      </w:r>
      <w:r>
        <w:rPr>
          <w:rStyle w:val="FootnoteAnchor"/>
          <w:rtl w:val="true"/>
        </w:rPr>
        <w:footnoteReference w:id="1086"/>
      </w:r>
      <w:r>
        <w:rPr>
          <w:rFonts w:ascii="IRNazanin" w:hAnsi="IRNazanin" w:eastAsia="IRNazanin"/>
          <w:color w:val="111111"/>
          <w:sz w:val="28"/>
          <w:sz w:val="28"/>
          <w:szCs w:val="28"/>
          <w:rtl w:val="true"/>
          <w:lang w:bidi="fa-IR"/>
        </w:rPr>
        <w:t>لا تقصر عن سندها فی الوهن، فلا یترک لأجلها قاعدة ضمان مال المسلم و احترامه و عدم حلّه إلّا عن طیب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یردّ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ورد فی شراء الجاریة المسروقة،من ضمان قیمة الولد و عوض اللبن،بل عوض کلّ ما انتفع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البیع الفاسد الحاصل بین مالکی العوضین من جهة أنّ مالک العین جعل خراجها له بإزاء ضمانها بالثمن،لا ما کان فساده من جهة التصرّف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 ذلک ردّه بصحیحة أبی ولاّد </w:t>
      </w:r>
      <w:r>
        <w:rPr>
          <w:rStyle w:val="FootnoteAnchor"/>
          <w:rtl w:val="true"/>
        </w:rPr>
        <w:footnoteReference w:id="1088"/>
      </w:r>
      <w:r>
        <w:rPr>
          <w:rFonts w:ascii="IRNazanin" w:hAnsi="IRNazanin" w:eastAsia="IRNazanin"/>
          <w:color w:val="111111"/>
          <w:sz w:val="28"/>
          <w:sz w:val="28"/>
          <w:szCs w:val="28"/>
          <w:rtl w:val="true"/>
          <w:lang w:bidi="fa-IR"/>
        </w:rPr>
        <w:t xml:space="preserve">المتضمّنة لضمان منفعة المغصوب المستوفاة؛ردّاً علی أبی حنیفة القائل بأنّه إذا تحقّق ضمان العین و لو بالغصب سقط کراها </w:t>
      </w:r>
      <w:r>
        <w:rPr>
          <w:rStyle w:val="FootnoteAnchor"/>
          <w:rtl w:val="true"/>
        </w:rPr>
        <w:footnoteReference w:id="1089"/>
      </w:r>
      <w:r>
        <w:rPr>
          <w:rFonts w:ascii="IRNazanin" w:hAnsi="IRNazanin" w:eastAsia="IRNazanin"/>
          <w:color w:val="111111"/>
          <w:sz w:val="28"/>
          <w:sz w:val="28"/>
          <w:szCs w:val="28"/>
          <w:rtl w:val="true"/>
          <w:lang w:bidi="fa-IR"/>
        </w:rPr>
        <w:t>،کما یظهر من تلک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القول المذکور موافقاً لقول أبی حنیفة فی إطلاق القول بأنّ الخراج بالضمان،انتهضت الصحیحة و ما قبلها ردّاً علیه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المنفعة المستوفاة،و أمّا المنفعة الفائتة بغیر استیفاء،</w:t>
      </w:r>
    </w:p>
    <w:p>
      <w:pPr>
        <w:pStyle w:val="BookText"/>
        <w:rPr/>
      </w:pPr>
      <w:r>
        <w:rPr>
          <w:rFonts w:ascii="IRNazanin" w:hAnsi="IRNazanin" w:eastAsia="IRNazanin"/>
          <w:color w:val="111111"/>
          <w:sz w:val="28"/>
          <w:sz w:val="28"/>
          <w:szCs w:val="28"/>
          <w:rtl w:val="true"/>
          <w:lang w:bidi="fa-IR"/>
        </w:rPr>
        <w:t xml:space="preserve">فالمشهور فیها أیضاً الضمان،و قد عرفت عبارة السرائر المتقدّمة </w:t>
      </w:r>
      <w:r>
        <w:rPr>
          <w:rStyle w:val="FootnoteAnchor"/>
          <w:rtl w:val="true"/>
        </w:rPr>
        <w:footnoteReference w:id="1090"/>
      </w:r>
      <w:r>
        <w:rPr>
          <w:rFonts w:ascii="IRNazanin" w:hAnsi="IRNazanin" w:eastAsia="IRNazanin"/>
          <w:color w:val="111111"/>
          <w:sz w:val="28"/>
          <w:sz w:val="28"/>
          <w:szCs w:val="28"/>
          <w:rtl w:val="true"/>
          <w:lang w:bidi="fa-IR"/>
        </w:rPr>
        <w:t>،و لعلّه لکون المنافع أموالاً فی ید من بیده العین،فهی مقبوضة فی یده؛و لذا یجری علی المنفعة حکم المقبوض إذا قبض العین،فتدخل المنفعة فی ضمان المستأجر،و یتحقّق قبض الثمن فی السلَم بقبض الجاریة المجعول خدمتها ثمناً،و کذا الدار المجعول سکناها ثمناً،مضافاً إلی أنّه مقتضی احترام مال المسلم؛إذ کونه فی ید غیر مالکه مدّة طویلة من غیر اجرةٍ منافٍ للاحترام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یشکل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کون المنافع أموالاً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مجرّد ذلک لا یکفی فی تحقّق الضمان،إلّا أن یندرج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 xml:space="preserve">،و لا إشکال </w:t>
      </w:r>
      <w:r>
        <w:rPr>
          <w:rStyle w:val="FootnoteAnchor"/>
          <w:rtl w:val="true"/>
        </w:rPr>
        <w:footnoteReference w:id="1092"/>
      </w:r>
      <w:r>
        <w:rPr>
          <w:rFonts w:ascii="IRNazanin" w:hAnsi="IRNazanin" w:eastAsia="IRNazanin"/>
          <w:color w:val="111111"/>
          <w:sz w:val="28"/>
          <w:sz w:val="28"/>
          <w:szCs w:val="28"/>
          <w:rtl w:val="true"/>
          <w:lang w:bidi="fa-IR"/>
        </w:rPr>
        <w:t>فی عدم شمول صلة الموصول للمنافع،و حصولها فی الید بقبض العین لا یوجب صدق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کنایة عن مطلق الاستیلاء الحاصل فی المنافع بقبض </w:t>
      </w:r>
      <w:r>
        <w:rPr>
          <w:rStyle w:val="FootnoteAnchor"/>
          <w:rtl w:val="true"/>
        </w:rPr>
        <w:footnoteReference w:id="1093"/>
      </w:r>
      <w:r>
        <w:rPr>
          <w:rFonts w:ascii="IRNazanin" w:hAnsi="IRNazanin" w:eastAsia="IRNazanin"/>
          <w:color w:val="111111"/>
          <w:sz w:val="28"/>
          <w:sz w:val="28"/>
          <w:szCs w:val="28"/>
          <w:rtl w:val="true"/>
          <w:lang w:bidi="fa-IR"/>
        </w:rPr>
        <w:t>الأعیان،مشکلة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احترام مال المسلم،فإنّما یقتضی عدم حلّ التصرّف فیه </w:t>
      </w:r>
      <w:r>
        <w:rPr>
          <w:rStyle w:val="FootnoteAnchor"/>
          <w:rtl w:val="true"/>
        </w:rPr>
        <w:footnoteReference w:id="1094"/>
      </w:r>
      <w:r>
        <w:rPr>
          <w:rFonts w:ascii="IRNazanin" w:hAnsi="IRNazanin" w:eastAsia="IRNazanin"/>
          <w:color w:val="111111"/>
          <w:sz w:val="28"/>
          <w:sz w:val="28"/>
          <w:szCs w:val="28"/>
          <w:rtl w:val="true"/>
          <w:lang w:bidi="fa-IR"/>
        </w:rPr>
        <w:t>و إتلافه بلا عوض،و إنّما یتحقّق ذلک فی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بعدم الضمان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الإیضاح </w:t>
      </w:r>
      <w:r>
        <w:rPr>
          <w:rStyle w:val="FootnoteAnchor"/>
          <w:rtl w:val="true"/>
        </w:rPr>
        <w:footnoteReference w:id="10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علم البائع بالفساد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بعضٍ آخر </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للأصل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قد یدّعی شمول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w:t>
      </w:r>
      <w:r>
        <w:rPr>
          <w:rStyle w:val="FootnoteAnchor"/>
          <w:rtl w:val="true"/>
        </w:rPr>
        <w:footnoteReference w:id="1098"/>
      </w:r>
      <w:r>
        <w:rPr>
          <w:rFonts w:ascii="IRNazanin" w:hAnsi="IRNazanin" w:eastAsia="IRNazanin"/>
          <w:color w:val="111111"/>
          <w:sz w:val="28"/>
          <w:sz w:val="28"/>
          <w:szCs w:val="28"/>
          <w:rtl w:val="true"/>
          <w:lang w:bidi="fa-IR"/>
        </w:rPr>
        <w:t>أنّ صحیح البیع لا یوجب ضماناً للمشتری للمنفعة؛لأنّها له مجّاناً و لا یتقسّط الثمن علیها،و ضمانها مع الاستیفاء لأجل الإتلاف،فلا ینافی القاعدة المذکورة؛لأنّها بالنسبة إلی التلف لا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الأخبار الواردة فی ضمان المنافع المستوفاة من الجاریة المسروقة المبیعة </w:t>
      </w:r>
      <w:r>
        <w:rPr>
          <w:rStyle w:val="FootnoteAnchor"/>
          <w:rtl w:val="true"/>
        </w:rPr>
        <w:footnoteReference w:id="1099"/>
      </w:r>
      <w:r>
        <w:rPr>
          <w:rFonts w:ascii="IRNazanin" w:hAnsi="IRNazanin" w:eastAsia="IRNazanin"/>
          <w:color w:val="111111"/>
          <w:sz w:val="28"/>
          <w:sz w:val="28"/>
          <w:szCs w:val="28"/>
          <w:rtl w:val="true"/>
          <w:lang w:bidi="fa-IR"/>
        </w:rPr>
        <w:t>،الساکتة من ضمان غیرها فی مقام البیان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صحیحة محمّد بن قیس الواردة فی مَن باع ولیدة أبیه بغیر إذنه،فقال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أن یأخذ الولیدة و ابنها</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و سکت عن المنافع الفائتة،فإنّ عدم الضمان فی هذه الموارد مع کون العین لغیر البائع یوجب عدم الضمان هنا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للتوقّف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المسالک </w:t>
      </w:r>
      <w:r>
        <w:rPr>
          <w:rStyle w:val="FootnoteAnchor"/>
          <w:rtl w:val="true"/>
        </w:rPr>
        <w:footnoteReference w:id="1101"/>
      </w:r>
      <w:r>
        <w:rPr>
          <w:rFonts w:ascii="IRNazanin" w:hAnsi="IRNazanin" w:eastAsia="IRNazanin"/>
          <w:color w:val="111111"/>
          <w:sz w:val="28"/>
          <w:sz w:val="28"/>
          <w:szCs w:val="28"/>
          <w:rtl w:val="true"/>
          <w:lang w:bidi="fa-IR"/>
        </w:rPr>
        <w:t xml:space="preserve">تبعاً للدروس </w:t>
      </w:r>
      <w:r>
        <w:rPr>
          <w:rStyle w:val="FootnoteAnchor"/>
          <w:rtl w:val="true"/>
        </w:rPr>
        <w:footnoteReference w:id="1102"/>
      </w:r>
      <w:r>
        <w:rPr>
          <w:rFonts w:ascii="IRNazanin" w:hAnsi="IRNazanin" w:eastAsia="IRNazanin"/>
          <w:color w:val="111111"/>
          <w:sz w:val="28"/>
          <w:sz w:val="28"/>
          <w:szCs w:val="28"/>
          <w:rtl w:val="true"/>
          <w:lang w:bidi="fa-IR"/>
        </w:rPr>
        <w:t xml:space="preserve">و التنقیح </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یظهر من القواعد فی باب الغصب عند التعرّض لأحکام البیع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الإشکال و التوقّف بصورة علم البائع </w:t>
      </w:r>
      <w:r>
        <w:rPr>
          <w:rStyle w:val="FootnoteAnchor"/>
          <w:rtl w:val="true"/>
        </w:rPr>
        <w:footnoteReference w:id="1104"/>
      </w:r>
      <w:r>
        <w:rPr>
          <w:rFonts w:ascii="IRNazanin" w:hAnsi="IRNazanin" w:eastAsia="IRNazanin"/>
          <w:color w:val="111111"/>
          <w:sz w:val="28"/>
          <w:sz w:val="28"/>
          <w:szCs w:val="28"/>
          <w:rtl w:val="true"/>
          <w:lang w:bidi="fa-IR"/>
        </w:rPr>
        <w:t xml:space="preserve">علی ما استظهره السیّد العمید </w:t>
      </w:r>
      <w:r>
        <w:rPr>
          <w:rStyle w:val="FootnoteAnchor"/>
          <w:rtl w:val="true"/>
        </w:rPr>
        <w:footnoteReference w:id="1105"/>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106"/>
      </w:r>
      <w:r>
        <w:rPr>
          <w:rFonts w:ascii="IRNazanin" w:hAnsi="IRNazanin" w:eastAsia="IRNazanin"/>
          <w:color w:val="111111"/>
          <w:sz w:val="28"/>
          <w:sz w:val="28"/>
          <w:szCs w:val="28"/>
          <w:rtl w:val="true"/>
          <w:lang w:bidi="fa-IR"/>
        </w:rPr>
        <w:t>من عبارة الکتاب،و عن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الإشکال فی العبارة علی مطلق صورة عدم الاستیفاء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w:t>
      </w:r>
      <w:r>
        <w:rPr>
          <w:rStyle w:val="FootnoteAnchor"/>
          <w:rtl w:val="true"/>
        </w:rPr>
        <w:footnoteReference w:id="1108"/>
      </w:r>
      <w:r>
        <w:rPr>
          <w:rFonts w:ascii="IRNazanin" w:hAnsi="IRNazanin" w:eastAsia="IRNazanin"/>
          <w:color w:val="111111"/>
          <w:sz w:val="28"/>
          <w:sz w:val="28"/>
          <w:szCs w:val="28"/>
          <w:rtl w:val="true"/>
          <w:lang w:bidi="fa-IR"/>
        </w:rPr>
        <w:t>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الأقوال فی ضمان المنافع الغیر المستوفاة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الضمان،و کأنّه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الضمان،کما عن الإیضاح</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الضمان إلّا مع علم البائع،کما عن بعض مَن کتب علی الشرائع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فی هذه الصورة،کما استظهره جامع المقاصد و السیّد العمید من عبارة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مطلقاً،کما عن الدروس و التنقیح و المسالک و محتمل القواعد،کما یظهر من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أنّ التوقّف أقرب إلی الإنصاف،إلّا أنّ المحکی من التذکرة ما لفظه </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منافع الأموال من العبید </w:t>
      </w:r>
      <w:r>
        <w:rPr>
          <w:rStyle w:val="FootnoteAnchor"/>
          <w:rtl w:val="true"/>
        </w:rPr>
        <w:footnoteReference w:id="1111"/>
      </w:r>
      <w:r>
        <w:rPr>
          <w:rFonts w:ascii="IRNazanin" w:hAnsi="IRNazanin" w:eastAsia="IRNazanin"/>
          <w:color w:val="111111"/>
          <w:sz w:val="28"/>
          <w:sz w:val="28"/>
          <w:szCs w:val="28"/>
          <w:rtl w:val="true"/>
          <w:lang w:bidi="fa-IR"/>
        </w:rPr>
        <w:t xml:space="preserve">و الثیاب و العقار و غیرها مضمونة بالتفویت و الفوات تحت الید العادیة،فلو غصب عبداً أو جاریة </w:t>
      </w:r>
      <w:r>
        <w:rPr>
          <w:rStyle w:val="FootnoteAnchor"/>
          <w:rtl w:val="true"/>
        </w:rPr>
        <w:footnoteReference w:id="1112"/>
      </w:r>
      <w:r>
        <w:rPr>
          <w:rFonts w:ascii="IRNazanin" w:hAnsi="IRNazanin" w:eastAsia="IRNazanin"/>
          <w:color w:val="111111"/>
          <w:sz w:val="28"/>
          <w:sz w:val="28"/>
          <w:szCs w:val="28"/>
          <w:rtl w:val="true"/>
          <w:lang w:bidi="fa-IR"/>
        </w:rPr>
        <w:t>أو عقاراً أو حیواناً مملوکاً ضمن منافعه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أتلفها بأن استعملها،أو فاتت تحت یده بأن بقیت مدّة فی یده </w:t>
      </w:r>
      <w:r>
        <w:rPr>
          <w:rStyle w:val="FootnoteAnchor"/>
          <w:rtl w:val="true"/>
        </w:rPr>
        <w:footnoteReference w:id="1113"/>
      </w:r>
      <w:r>
        <w:rPr>
          <w:rFonts w:ascii="IRNazanin" w:hAnsi="IRNazanin" w:eastAsia="IRNazanin"/>
          <w:color w:val="111111"/>
          <w:sz w:val="28"/>
          <w:sz w:val="28"/>
          <w:szCs w:val="28"/>
          <w:rtl w:val="true"/>
          <w:lang w:bidi="fa-IR"/>
        </w:rPr>
        <w:t>لا یستعملها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علمائنا أجمع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یبعد أن یراد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 الید الحقّة،فیشمل ید المشتری فی ما نحن فیه،خصوصاً مع علمه </w:t>
      </w:r>
      <w:r>
        <w:rPr>
          <w:rStyle w:val="FootnoteAnchor"/>
          <w:rtl w:val="true"/>
        </w:rPr>
        <w:footnoteReference w:id="1115"/>
      </w:r>
      <w:r>
        <w:rPr>
          <w:rFonts w:ascii="IRNazanin" w:hAnsi="IRNazanin" w:eastAsia="IRNazanin"/>
          <w:color w:val="111111"/>
          <w:sz w:val="28"/>
          <w:sz w:val="28"/>
          <w:szCs w:val="28"/>
          <w:rtl w:val="true"/>
          <w:lang w:bidi="fa-IR"/>
        </w:rPr>
        <w:t>،سیّما مع جهل البائع به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أظهر منه ما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باب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الاتّفاق أیضاً علی ضمان منافع المغصوب الفائتة </w:t>
      </w:r>
      <w:r>
        <w:rPr>
          <w:rStyle w:val="FootnoteAnchor"/>
          <w:rtl w:val="true"/>
        </w:rPr>
        <w:footnoteReference w:id="1116"/>
      </w:r>
      <w:r>
        <w:rPr>
          <w:rFonts w:ascii="IRNazanin" w:hAnsi="IRNazanin" w:eastAsia="IRNazanin"/>
          <w:color w:val="111111"/>
          <w:sz w:val="28"/>
          <w:sz w:val="28"/>
          <w:szCs w:val="28"/>
          <w:rtl w:val="true"/>
          <w:lang w:bidi="fa-IR"/>
        </w:rPr>
        <w:t>،مع قوله فی باب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البیع الفاسد عند أصحابنا بمنزلة الشیء المغصوب إلّا فی ارتفاع الإثم عن إمساکه </w:t>
      </w:r>
      <w:r>
        <w:rPr>
          <w:rStyle w:val="FootnoteAnchor"/>
          <w:rtl w:val="true"/>
        </w:rPr>
        <w:footnoteReference w:id="111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هذا،فالقول بالضمان لا یخلو عن قوّة،و إن کان المتراءیٰ من ظاهر صحیحة أبی ولاّد </w:t>
      </w:r>
      <w:r>
        <w:rPr>
          <w:rStyle w:val="FootnoteAnchor"/>
          <w:rtl w:val="true"/>
        </w:rPr>
        <w:footnoteReference w:id="1118"/>
      </w:r>
      <w:r>
        <w:rPr>
          <w:rFonts w:ascii="IRNazanin" w:hAnsi="IRNazanin" w:eastAsia="IRNazanin"/>
          <w:color w:val="111111"/>
          <w:sz w:val="28"/>
          <w:sz w:val="28"/>
          <w:szCs w:val="28"/>
          <w:rtl w:val="true"/>
          <w:lang w:bidi="fa-IR"/>
        </w:rPr>
        <w:t>اختصاص الضمان فی المغصوب بالمنافع المستوفاة من البغل المتجاوز به إلی غیر محلّ الرخصة،إلّا أنّا لم نجد بذلک عاملاً فی المغصوب الذی هو موردها</w:t>
      </w:r>
      <w:r>
        <w:rPr>
          <w:rFonts w:eastAsia="IRNazanin" w:cs="IRNazanin"/>
          <w:color w:val="111111"/>
          <w:sz w:val="28"/>
          <w:szCs w:val="28"/>
          <w:rtl w:val="true"/>
          <w:lang w:bidi="fa-IR"/>
        </w:rPr>
        <w:t>.</w:t>
      </w:r>
      <w:bookmarkStart w:id="332" w:name="pg19763_247955"/>
    </w:p>
    <w:p>
      <w:pPr>
        <w:pStyle w:val="Heading5"/>
        <w:numPr>
          <w:ilvl w:val="4"/>
          <w:numId w:val="1"/>
        </w:numPr>
        <w:rPr/>
      </w:pPr>
      <w:bookmarkStart w:id="333" w:name="__RefHeading___Toc5082678_2314609296"/>
      <w:bookmarkStart w:id="334" w:name="_Toc130"/>
      <w:bookmarkEnd w:id="332"/>
      <w:bookmarkEnd w:id="333"/>
      <w:r>
        <w:rPr>
          <w:rtl w:val="true"/>
        </w:rPr>
        <w:t>الرابع إذا تلف المبیع،فإن کان مثلیّا وجب مثله</w:t>
      </w:r>
      <w:bookmarkEnd w:id="334"/>
    </w:p>
    <w:p>
      <w:pPr>
        <w:pStyle w:val="BookText"/>
        <w:rPr/>
      </w:pPr>
      <w:r>
        <w:rPr>
          <w:rFonts w:ascii="IRNazanin" w:hAnsi="IRNazanin" w:eastAsia="IRNazanin"/>
          <w:color w:val="111111"/>
          <w:sz w:val="28"/>
          <w:sz w:val="28"/>
          <w:szCs w:val="28"/>
          <w:rtl w:val="true"/>
          <w:lang w:bidi="fa-IR"/>
        </w:rPr>
        <w:t xml:space="preserve">بلا خلاف إلّا ما یحکی عن ظاهر الإسکافی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 کلمات أصحابنا فی تعریف المثلی،فالشیخ </w:t>
      </w:r>
      <w:r>
        <w:rPr>
          <w:rStyle w:val="FootnoteAnchor"/>
          <w:rtl w:val="true"/>
        </w:rPr>
        <w:footnoteReference w:id="1120"/>
      </w:r>
      <w:r>
        <w:rPr>
          <w:rFonts w:ascii="Amiri" w:hAnsi="Amiri" w:eastAsia="Amiri" w:cs="Amiri"/>
          <w:color w:val="111111"/>
          <w:sz w:val="28"/>
          <w:sz w:val="28"/>
          <w:szCs w:val="28"/>
          <w:rtl w:val="true"/>
          <w:lang w:bidi="ar-SA"/>
        </w:rPr>
        <w:t xml:space="preserve">و ابن زهرة </w:t>
      </w:r>
      <w:r>
        <w:rPr>
          <w:rStyle w:val="FootnoteAnchor"/>
          <w:rtl w:val="true"/>
        </w:rPr>
        <w:footnoteReference w:id="1121"/>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122"/>
      </w:r>
      <w:r>
        <w:rPr>
          <w:rFonts w:ascii="Amiri" w:hAnsi="Amiri" w:eastAsia="Amiri" w:cs="Amiri"/>
          <w:color w:val="111111"/>
          <w:sz w:val="28"/>
          <w:sz w:val="28"/>
          <w:szCs w:val="28"/>
          <w:rtl w:val="true"/>
          <w:lang w:bidi="ar-SA"/>
        </w:rPr>
        <w:t xml:space="preserve">و المحقّق </w:t>
      </w:r>
      <w:r>
        <w:rPr>
          <w:rStyle w:val="FootnoteAnchor"/>
          <w:rtl w:val="true"/>
        </w:rPr>
        <w:footnoteReference w:id="1123"/>
      </w:r>
      <w:r>
        <w:rPr>
          <w:rFonts w:ascii="IRNazanin" w:hAnsi="IRNazanin" w:eastAsia="IRNazanin"/>
          <w:color w:val="111111"/>
          <w:sz w:val="28"/>
          <w:sz w:val="28"/>
          <w:szCs w:val="28"/>
          <w:rtl w:val="true"/>
          <w:lang w:bidi="fa-IR"/>
        </w:rPr>
        <w:t xml:space="preserve">و تلمیذه </w:t>
      </w:r>
      <w:r>
        <w:rPr>
          <w:rStyle w:val="FootnoteAnchor"/>
          <w:rtl w:val="true"/>
        </w:rPr>
        <w:footnoteReference w:id="1124"/>
      </w:r>
      <w:r>
        <w:rPr>
          <w:rFonts w:ascii="Amiri" w:hAnsi="Amiri" w:eastAsia="Amiri" w:cs="Amiri"/>
          <w:color w:val="111111"/>
          <w:sz w:val="28"/>
          <w:sz w:val="28"/>
          <w:szCs w:val="28"/>
          <w:rtl w:val="true"/>
          <w:lang w:bidi="ar-SA"/>
        </w:rPr>
        <w:t xml:space="preserve">و العلّامة </w:t>
      </w:r>
      <w:r>
        <w:rPr>
          <w:rStyle w:val="FootnoteAnchor"/>
          <w:rtl w:val="true"/>
        </w:rPr>
        <w:footnoteReference w:id="1125"/>
      </w:r>
      <w:r>
        <w:rPr>
          <w:rFonts w:ascii="IRNazanin" w:hAnsi="IRNazanin" w:eastAsia="IRNazanin"/>
          <w:color w:val="111111"/>
          <w:sz w:val="28"/>
          <w:sz w:val="28"/>
          <w:szCs w:val="28"/>
          <w:rtl w:val="true"/>
          <w:lang w:bidi="fa-IR"/>
        </w:rPr>
        <w:t xml:space="preserve">و غیرهم </w:t>
      </w:r>
      <w:r>
        <w:rPr>
          <w:rStyle w:val="FootnoteAnchor"/>
          <w:rtl w:val="true"/>
        </w:rPr>
        <w:footnoteReference w:id="1126"/>
      </w:r>
      <w:r>
        <w:rPr>
          <w:rFonts w:ascii="IRNazanin" w:hAnsi="IRNazanin" w:eastAsia="IRNazanin"/>
          <w:color w:val="111111"/>
          <w:sz w:val="28"/>
          <w:sz w:val="28"/>
          <w:szCs w:val="28"/>
          <w:rtl w:val="true"/>
          <w:lang w:bidi="fa-IR"/>
        </w:rPr>
        <w:t>قدّس اللّه أسرارهم، بل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حکی </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یتساوی أجزاؤه من حیث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یصدق علیه اسم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بتساویها من حیث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تساویها بالنسبة،بمعنی کون قیمة کلّ بعضٍ بالنسبة إلی قیمة البعض الآخر کنسبة نفس البعضین من حیث المقدار؛و لذا قیل فی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المقدار منه إذا کان یستوی </w:t>
      </w:r>
      <w:r>
        <w:rPr>
          <w:rStyle w:val="FootnoteAnchor"/>
          <w:rtl w:val="true"/>
        </w:rPr>
        <w:footnoteReference w:id="1128"/>
      </w:r>
      <w:r>
        <w:rPr>
          <w:rFonts w:ascii="IRNazanin" w:hAnsi="IRNazanin" w:eastAsia="IRNazanin"/>
          <w:color w:val="111111"/>
          <w:sz w:val="28"/>
          <w:sz w:val="28"/>
          <w:szCs w:val="28"/>
          <w:rtl w:val="true"/>
          <w:lang w:bidi="fa-IR"/>
        </w:rPr>
        <w:t xml:space="preserve">قیمة </w:t>
      </w:r>
      <w:r>
        <w:rPr>
          <w:rStyle w:val="FootnoteAnchor"/>
          <w:rtl w:val="true"/>
        </w:rPr>
        <w:footnoteReference w:id="1129"/>
      </w:r>
      <w:r>
        <w:rPr>
          <w:rFonts w:ascii="IRNazanin" w:hAnsi="IRNazanin" w:eastAsia="IRNazanin"/>
          <w:color w:val="111111"/>
          <w:sz w:val="28"/>
          <w:sz w:val="28"/>
          <w:szCs w:val="28"/>
          <w:rtl w:val="true"/>
          <w:lang w:bidi="fa-IR"/>
        </w:rPr>
        <w:t xml:space="preserve">،فنصفه یستوی </w:t>
      </w:r>
      <w:r>
        <w:rPr>
          <w:rStyle w:val="FootnoteAnchor"/>
          <w:rtl w:val="true"/>
        </w:rPr>
        <w:footnoteReference w:id="1130"/>
      </w:r>
      <w:r>
        <w:rPr>
          <w:rFonts w:ascii="IRNazanin" w:hAnsi="IRNazanin" w:eastAsia="IRNazanin"/>
          <w:color w:val="111111"/>
          <w:sz w:val="28"/>
          <w:sz w:val="28"/>
          <w:szCs w:val="28"/>
          <w:rtl w:val="true"/>
          <w:lang w:bidi="fa-IR"/>
        </w:rPr>
        <w:t xml:space="preserve">نصف تلک القیمة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رجّح الشهید الثانی کون المصوغ من النقدین قیمیّاً،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لو انفصلت نقصت قیمتها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یوجب أن لا یکون الدرهم الواحد مثلیّا؛إذ لو انکسر نصفین نقص قیمة نصفه عن نصف قیمة المجموع </w:t>
      </w:r>
      <w:r>
        <w:rPr>
          <w:rStyle w:val="FootnoteAnchor"/>
          <w:rtl w:val="true"/>
        </w:rPr>
        <w:footnoteReference w:id="1133"/>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الدرهم مثلیّ بالنسبة إلی نوعه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الصحیح؛و لذا لا یعدّ الجریش مِثلاً للحنطة،و لا الدُّقاقة مِثلاً للأرُزّ</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کلّ نوعٍ من أنواع الجنس الواحد،بل کلّ</w:t>
      </w:r>
    </w:p>
    <w:p>
      <w:pPr>
        <w:pStyle w:val="BookText"/>
        <w:rPr/>
      </w:pPr>
      <w:r>
        <w:rPr>
          <w:rFonts w:ascii="IRNazanin" w:hAnsi="IRNazanin" w:eastAsia="IRNazanin"/>
          <w:color w:val="111111"/>
          <w:sz w:val="28"/>
          <w:sz w:val="28"/>
          <w:szCs w:val="28"/>
          <w:rtl w:val="true"/>
          <w:lang w:bidi="fa-IR"/>
        </w:rPr>
        <w:t>صنفٍ من أصناف نوعٍ واحد مثلیّ بالنسبة إلی أفراد ذلک النوع أو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یرد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إن أُرید التساوی بالکلّیة،فالظاهر عدم صدقه علی شیء من المعرَّف؛إذ ما من مثلیٍّ إلّا و أجزاؤه مختلفة فی القیمة کالحنطة؛فإنّ قفیزاً من حنطة </w:t>
      </w:r>
      <w:r>
        <w:rPr>
          <w:rStyle w:val="FootnoteAnchor"/>
          <w:rtl w:val="true"/>
        </w:rPr>
        <w:footnoteReference w:id="1134"/>
      </w:r>
      <w:r>
        <w:rPr>
          <w:rFonts w:ascii="IRNazanin" w:hAnsi="IRNazanin" w:eastAsia="IRNazanin"/>
          <w:color w:val="111111"/>
          <w:sz w:val="28"/>
          <w:sz w:val="28"/>
          <w:szCs w:val="28"/>
          <w:rtl w:val="true"/>
          <w:lang w:bidi="fa-IR"/>
        </w:rPr>
        <w:t>یساوی عشرة و من اخری یساوی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أُرید التساوی فی الجملة،فهو فی القیمی موجود، کالثوب و الأرض </w:t>
      </w:r>
      <w:r>
        <w:rPr>
          <w:rStyle w:val="FootnoteAnchor"/>
          <w:rtl w:val="true"/>
        </w:rPr>
        <w:footnoteReference w:id="11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لوّح هذا المورد فی آخر کلامه إلی دفع إیراده بما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کون الحنطة مثلیّة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صنفٍ منها </w:t>
      </w:r>
      <w:r>
        <w:rPr>
          <w:rStyle w:val="FootnoteAnchor"/>
          <w:rtl w:val="true"/>
        </w:rPr>
        <w:footnoteReference w:id="1136"/>
      </w:r>
      <w:r>
        <w:rPr>
          <w:rFonts w:ascii="IRNazanin" w:hAnsi="IRNazanin" w:eastAsia="IRNazanin"/>
          <w:color w:val="111111"/>
          <w:sz w:val="28"/>
          <w:sz w:val="28"/>
          <w:szCs w:val="28"/>
          <w:rtl w:val="true"/>
          <w:lang w:bidi="fa-IR"/>
        </w:rPr>
        <w:t xml:space="preserve">متماثل الأجزاء </w:t>
      </w:r>
      <w:r>
        <w:rPr>
          <w:rStyle w:val="FootnoteAnchor"/>
          <w:rtl w:val="true"/>
        </w:rPr>
        <w:footnoteReference w:id="1137"/>
      </w:r>
      <w:r>
        <w:rPr>
          <w:rFonts w:ascii="Amiri" w:hAnsi="Amiri" w:eastAsia="Amiri" w:cs="Amiri"/>
          <w:color w:val="111111"/>
          <w:sz w:val="28"/>
          <w:sz w:val="28"/>
          <w:szCs w:val="28"/>
          <w:rtl w:val="true"/>
          <w:lang w:bidi="ar-SA"/>
        </w:rPr>
        <w:t xml:space="preserve">و متساوٍ </w:t>
      </w:r>
      <w:r>
        <w:rPr>
          <w:rStyle w:val="FootnoteAnchor"/>
          <w:rtl w:val="true"/>
        </w:rPr>
        <w:footnoteReference w:id="1138"/>
      </w:r>
      <w:r>
        <w:rPr>
          <w:rFonts w:ascii="IRNazanin" w:hAnsi="IRNazanin" w:eastAsia="IRNazanin"/>
          <w:color w:val="111111"/>
          <w:sz w:val="28"/>
          <w:sz w:val="28"/>
          <w:szCs w:val="28"/>
          <w:rtl w:val="true"/>
          <w:lang w:bidi="fa-IR"/>
        </w:rPr>
        <w:t xml:space="preserve">فی القیمة،لا بمعنی أنّ جمیع أبعاض هذا النوع متساویة فی القیمة،فإذا کان المضمون بعضاً من صنف،فالواجب دفع مساویه من هذا الصنف،لا القیمة و لا بعض من صنف </w:t>
      </w:r>
      <w:r>
        <w:rPr>
          <w:rStyle w:val="FootnoteAnchor"/>
          <w:rtl w:val="true"/>
        </w:rPr>
        <w:footnoteReference w:id="1139"/>
      </w:r>
      <w:r>
        <w:rPr>
          <w:rFonts w:ascii="IRNazanin" w:hAnsi="IRNazanin" w:eastAsia="IRNazanin"/>
          <w:color w:val="111111"/>
          <w:sz w:val="28"/>
          <w:sz w:val="28"/>
          <w:szCs w:val="28"/>
          <w:rtl w:val="true"/>
          <w:lang w:bidi="fa-IR"/>
        </w:rPr>
        <w:t xml:space="preserve">آخر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خلاف ظاهر کلماتهم؛فإنّهم یطلقون المثلی علی جنس الحنطة و الشعیر و نحوهما،مع عدم صدق التعریف</w:t>
      </w:r>
    </w:p>
    <w:p>
      <w:pPr>
        <w:pStyle w:val="BookText"/>
        <w:rPr/>
      </w:pPr>
      <w:r>
        <w:rPr>
          <w:rFonts w:ascii="IRNazanin" w:hAnsi="IRNazanin" w:eastAsia="IRNazanin"/>
          <w:color w:val="111111"/>
          <w:sz w:val="28"/>
          <w:sz w:val="28"/>
          <w:szCs w:val="28"/>
          <w:rtl w:val="true"/>
          <w:lang w:bidi="fa-IR"/>
        </w:rPr>
        <w:t xml:space="preserve">علیه،و إطلاق المثلی علی الجنس باعتبار مثلیّة أنواعه أو أصنافه و إن لم یکن بعیداً،إلّا أنّ انطباق التعریف علی الجنس بهذا الاعتبار بعید جدّاً،إلّا أن یُهملوا خصوصیّات الأصناف الموجبة لزیادة القیمة و نقصانها،کما التزمه بعضهم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الأمر وجوب رعایة الخصوصیّات عند أداء المثل عوضاً عن التالف،أو القرض،و هذا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أنّه یشکل اطّراد التعریف بناءً علی هذا،بأنّه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أُرید تساوی الأجزاء من صنف واحد من حیث القیمة تساویاً حقیقیّا،فقلّ ما </w:t>
      </w:r>
      <w:r>
        <w:rPr>
          <w:rStyle w:val="FootnoteAnchor"/>
          <w:rtl w:val="true"/>
        </w:rPr>
        <w:footnoteReference w:id="1142"/>
      </w:r>
      <w:r>
        <w:rPr>
          <w:rFonts w:ascii="IRNazanin" w:hAnsi="IRNazanin" w:eastAsia="IRNazanin"/>
          <w:color w:val="111111"/>
          <w:sz w:val="28"/>
          <w:sz w:val="28"/>
          <w:szCs w:val="28"/>
          <w:rtl w:val="true"/>
          <w:lang w:bidi="fa-IR"/>
        </w:rPr>
        <w:t>یتّفق ذلک فی الصنف الواحد من النوع؛لأنّ أشخاص ذلک الصنف لا تکاد تتساوی فی القیمة؛لتفاوتها بالخصوصیّات الموجبة لزیادة الرغبة و نقصانها،کما لا یخفی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تقارب أجزاء ذلک الصنف من حیث القیمة و إن لم یتساو حقیقة،تحقّق ذلک فی أکثر القیمیّات؛فإنّ لنوع الجاریة أصنافاً متقاربة فی الصفات الموجبة لتساوی القیمة،و بهذا الاعتبار یصحّ السلَم فیها،و لذا اختار العلّامة فی باب القرض من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حکی عنه </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یصحّ فیه السلَم من القیمیّات مضمون فی القرض بمثله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عدّ الشیخ فی المبسوط الرطب و الفواکه من القیمیّات </w:t>
      </w:r>
      <w:r>
        <w:rPr>
          <w:rStyle w:val="FootnoteAnchor"/>
          <w:rtl w:val="true"/>
        </w:rPr>
        <w:footnoteReference w:id="1145"/>
      </w:r>
      <w:r>
        <w:rPr>
          <w:rFonts w:ascii="IRNazanin" w:hAnsi="IRNazanin" w:eastAsia="IRNazanin"/>
          <w:color w:val="111111"/>
          <w:sz w:val="28"/>
          <w:sz w:val="28"/>
          <w:szCs w:val="28"/>
          <w:rtl w:val="true"/>
          <w:lang w:bidi="fa-IR"/>
        </w:rPr>
        <w:t>،مع أنّ کلّ نوعٍ منها مشتمل علی أصناف متقاربة فی القیمة،بل متساویة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 أنّ الصنف المتساوی من حیث القیمة فی الأنواع القیمیّة عزیز الوجود بخلاف الأنواع المثلیّة،لم یوجب ذلک إصلاح طرد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نعم،یوجب ذلک الفرق بین النوعین فی حکمة الحکم بضمان المثلی بالمثل،و القیمی بالقیمة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قد </w:t>
      </w:r>
      <w:r>
        <w:rPr>
          <w:rStyle w:val="FootnoteAnchor"/>
          <w:rtl w:val="true"/>
        </w:rPr>
        <w:footnoteReference w:id="1146"/>
      </w:r>
      <w:r>
        <w:rPr>
          <w:rFonts w:ascii="Amiri" w:hAnsi="Amiri" w:eastAsia="Amiri" w:cs="Amiri"/>
          <w:color w:val="111111"/>
          <w:sz w:val="28"/>
          <w:sz w:val="28"/>
          <w:szCs w:val="28"/>
          <w:rtl w:val="true"/>
          <w:lang w:bidi="ar-SA"/>
        </w:rPr>
        <w:t>عُرِّف المثلی بتعاریف أُخر أعمّ من التعریف المتقدّم أو أخصّ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ما تماثلت أجزاؤه و تقاربت صفاته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الدروس و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المتساوی الأجزاء و المنفعة،المتقارب الصفات </w:t>
      </w:r>
      <w:r>
        <w:rPr>
          <w:rStyle w:val="FootnoteAnchor"/>
          <w:rtl w:val="true"/>
        </w:rPr>
        <w:footnoteReference w:id="1148"/>
      </w:r>
      <w:r>
        <w:rPr>
          <w:rFonts w:ascii="IRNazanin" w:hAnsi="IRNazanin" w:eastAsia="IRNazanin"/>
          <w:color w:val="111111"/>
          <w:sz w:val="28"/>
          <w:sz w:val="28"/>
          <w:szCs w:val="28"/>
          <w:rtl w:val="true"/>
          <w:lang w:bidi="fa-IR"/>
        </w:rPr>
        <w:t>،و عن المسالک و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أقرب التعریفات إلی السلامة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غایة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تساوی أجزاؤه فی الحقیقة النوعیة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ما قدّر بالکیل أو الوزن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آخر منهم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بیعه سلماً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ثالث منهم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بیع بعضه ببعض </w:t>
      </w:r>
      <w:r>
        <w:rPr>
          <w:rStyle w:val="FootnoteAnchor"/>
          <w:rtl w:val="true"/>
        </w:rPr>
        <w:footnoteReference w:id="1153"/>
      </w:r>
      <w:r>
        <w:rPr>
          <w:rFonts w:ascii="IRNazanin" w:hAnsi="IRNazanin" w:eastAsia="IRNazanin"/>
          <w:color w:val="111111"/>
          <w:sz w:val="28"/>
          <w:sz w:val="28"/>
          <w:szCs w:val="28"/>
          <w:rtl w:val="true"/>
          <w:lang w:bidi="fa-IR"/>
        </w:rPr>
        <w:t xml:space="preserve">،إلی غیر ذلک ممّا حکاه فی التذکرة عن العامّة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1155"/>
      </w:r>
      <w:r>
        <w:rPr>
          <w:rFonts w:ascii="IRNazanin" w:hAnsi="IRNazanin" w:eastAsia="IRNazanin"/>
          <w:color w:val="111111"/>
          <w:sz w:val="28"/>
          <w:sz w:val="28"/>
          <w:szCs w:val="28"/>
          <w:rtl w:val="true"/>
          <w:lang w:bidi="fa-IR"/>
        </w:rPr>
        <w:t>لا یخفی أنّه لیس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حقیقة شرعیّة و لا متشرّعیّة </w:t>
      </w:r>
      <w:r>
        <w:rPr>
          <w:rStyle w:val="FootnoteAnchor"/>
          <w:rtl w:val="true"/>
        </w:rPr>
        <w:footnoteReference w:id="1156"/>
      </w:r>
      <w:r>
        <w:rPr>
          <w:rFonts w:ascii="IRNazanin" w:hAnsi="IRNazanin" w:eastAsia="IRNazanin"/>
          <w:color w:val="111111"/>
          <w:sz w:val="28"/>
          <w:sz w:val="28"/>
          <w:szCs w:val="28"/>
          <w:rtl w:val="true"/>
          <w:lang w:bidi="fa-IR"/>
        </w:rPr>
        <w:t>،و لیس المراد معناه اللغوی؛إذ المراد بالمثل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المماثل،فإن أُرید من جمیع الجهات فغیر منعکس،و إن أُرید من بعضها،فغیر مطّرد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النصوص حکم یتعلّق بهذا العنوان حتّی یبحث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نعم،وقع هذا العنوان فی معقد إجماعهم </w:t>
      </w:r>
      <w:r>
        <w:rPr>
          <w:rStyle w:val="FootnoteAnchor"/>
          <w:rtl w:val="true"/>
        </w:rPr>
        <w:footnoteReference w:id="1157"/>
      </w:r>
      <w:r>
        <w:rPr>
          <w:rFonts w:ascii="IRNazanin" w:hAnsi="IRNazanin" w:eastAsia="IRNazanin"/>
          <w:color w:val="111111"/>
          <w:sz w:val="28"/>
          <w:sz w:val="28"/>
          <w:szCs w:val="28"/>
          <w:rtl w:val="true"/>
          <w:lang w:bidi="fa-IR"/>
        </w:rPr>
        <w:t>علی أنّ المثلی یضمن بالمثل، و غیره بالقیمة،و من المعلوم أنّه لا یجوز الاتّکال فی تعیین معقد الإجماع علی قول بعض المجمعین مع مخالفة الباقین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مثلیاً باتّفاق المجمعین فلا إشکال فی ضمانه بالمثل؛للإجماع،و یبقی ما کان مختلفاً فیه بینهم،</w:t>
      </w:r>
    </w:p>
    <w:p>
      <w:pPr>
        <w:pStyle w:val="BookText"/>
        <w:rPr/>
      </w:pPr>
      <w:r>
        <w:rPr>
          <w:rFonts w:ascii="IRNazanin" w:hAnsi="IRNazanin" w:eastAsia="IRNazanin"/>
          <w:color w:val="111111"/>
          <w:sz w:val="28"/>
          <w:sz w:val="28"/>
          <w:szCs w:val="28"/>
          <w:rtl w:val="true"/>
          <w:lang w:bidi="fa-IR"/>
        </w:rPr>
        <w:t xml:space="preserve">کالذهب و الفضّة الغیر المسکوکین،فإنّ صریح الشیخ فی المبسوط کونهما من القیمیّات </w:t>
      </w:r>
      <w:r>
        <w:rPr>
          <w:rStyle w:val="FootnoteAnchor"/>
          <w:rtl w:val="true"/>
        </w:rPr>
        <w:footnoteReference w:id="1158"/>
      </w:r>
      <w:r>
        <w:rPr>
          <w:rFonts w:ascii="IRNazanin" w:hAnsi="IRNazanin" w:eastAsia="IRNazanin"/>
          <w:color w:val="111111"/>
          <w:sz w:val="28"/>
          <w:sz w:val="28"/>
          <w:szCs w:val="28"/>
          <w:rtl w:val="true"/>
          <w:lang w:bidi="fa-IR"/>
        </w:rPr>
        <w:t xml:space="preserve">،و ظاهر غیره </w:t>
      </w:r>
      <w:r>
        <w:rPr>
          <w:rStyle w:val="FootnoteAnchor"/>
          <w:rtl w:val="true"/>
        </w:rPr>
        <w:footnoteReference w:id="1159"/>
      </w:r>
      <w:r>
        <w:rPr>
          <w:rFonts w:ascii="IRNazanin" w:hAnsi="IRNazanin" w:eastAsia="IRNazanin"/>
          <w:color w:val="111111"/>
          <w:sz w:val="28"/>
          <w:sz w:val="28"/>
          <w:szCs w:val="28"/>
          <w:rtl w:val="true"/>
          <w:lang w:bidi="fa-IR"/>
        </w:rPr>
        <w:t xml:space="preserve">کونهما مثلیین،و کذا الحدید و النحاس و الرصاص؛فإنّ ظواهر عبائر المبسوط </w:t>
      </w:r>
      <w:r>
        <w:rPr>
          <w:rStyle w:val="FootnoteAnchor"/>
          <w:rtl w:val="true"/>
        </w:rPr>
        <w:footnoteReference w:id="1160"/>
      </w:r>
      <w:r>
        <w:rPr>
          <w:rFonts w:ascii="IRNazanin" w:hAnsi="IRNazanin" w:eastAsia="IRNazanin"/>
          <w:color w:val="111111"/>
          <w:sz w:val="28"/>
          <w:sz w:val="28"/>
          <w:szCs w:val="28"/>
          <w:rtl w:val="true"/>
          <w:lang w:bidi="fa-IR"/>
        </w:rPr>
        <w:t xml:space="preserve">و الغنیة </w:t>
      </w:r>
      <w:r>
        <w:rPr>
          <w:rStyle w:val="FootnoteAnchor"/>
          <w:rtl w:val="true"/>
        </w:rPr>
        <w:footnoteReference w:id="1161"/>
      </w:r>
      <w:r>
        <w:rPr>
          <w:rFonts w:ascii="IRNazanin" w:hAnsi="IRNazanin" w:eastAsia="IRNazanin"/>
          <w:color w:val="111111"/>
          <w:sz w:val="28"/>
          <w:sz w:val="28"/>
          <w:szCs w:val="28"/>
          <w:rtl w:val="true"/>
          <w:lang w:bidi="fa-IR"/>
        </w:rPr>
        <w:t xml:space="preserve">و السرائر </w:t>
      </w:r>
      <w:r>
        <w:rPr>
          <w:rStyle w:val="FootnoteAnchor"/>
          <w:rtl w:val="true"/>
        </w:rPr>
        <w:footnoteReference w:id="1162"/>
      </w:r>
      <w:r>
        <w:rPr>
          <w:rFonts w:ascii="IRNazanin" w:hAnsi="IRNazanin" w:eastAsia="IRNazanin"/>
          <w:color w:val="111111"/>
          <w:sz w:val="28"/>
          <w:sz w:val="28"/>
          <w:szCs w:val="28"/>
          <w:rtl w:val="true"/>
          <w:lang w:bidi="fa-IR"/>
        </w:rPr>
        <w:t>کونها قیمیّة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عبارة التحریر صریحة فی کون أُصولها مثلیّة و إن کان المصوغ منها قیمیّاً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صرّح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بکون الرطب و العنب قیمیّاً </w:t>
      </w:r>
      <w:r>
        <w:rPr>
          <w:rStyle w:val="FootnoteAnchor"/>
          <w:rtl w:val="true"/>
        </w:rPr>
        <w:footnoteReference w:id="1164"/>
      </w:r>
      <w:r>
        <w:rPr>
          <w:rFonts w:ascii="IRNazanin" w:hAnsi="IRNazanin" w:eastAsia="IRNazanin"/>
          <w:color w:val="111111"/>
          <w:sz w:val="28"/>
          <w:sz w:val="28"/>
          <w:szCs w:val="28"/>
          <w:rtl w:val="true"/>
          <w:lang w:bidi="fa-IR"/>
        </w:rPr>
        <w:t xml:space="preserve">، و التمر و الزبیب مثلیّا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محکی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الفرق إشکالاً </w:t>
      </w:r>
      <w:r>
        <w:rPr>
          <w:rStyle w:val="FootnoteAnchor"/>
          <w:rtl w:val="true"/>
        </w:rPr>
        <w:footnoteReference w:id="1166"/>
      </w:r>
      <w:r>
        <w:rPr>
          <w:rFonts w:ascii="Amiri" w:hAnsi="Amiri" w:eastAsia="Amiri" w:cs="Amiri"/>
          <w:color w:val="111111"/>
          <w:sz w:val="28"/>
          <w:sz w:val="28"/>
          <w:szCs w:val="28"/>
          <w:rtl w:val="true"/>
          <w:lang w:bidi="ar-SA"/>
        </w:rPr>
        <w:t>،بل صرّح بعض</w:t>
      </w:r>
    </w:p>
    <w:p>
      <w:pPr>
        <w:pStyle w:val="BookText"/>
        <w:rPr/>
      </w:pPr>
      <w:r>
        <w:rPr>
          <w:rFonts w:ascii="IRNazanin" w:hAnsi="IRNazanin" w:eastAsia="IRNazanin"/>
          <w:color w:val="111111"/>
          <w:sz w:val="28"/>
          <w:sz w:val="28"/>
          <w:szCs w:val="28"/>
          <w:rtl w:val="true"/>
          <w:lang w:bidi="fa-IR"/>
        </w:rPr>
        <w:t xml:space="preserve">من قارب عصرنا بکون الرطب و العنب مثلیّین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حکی عن موضعٍ من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الثوب مثلیّ </w:t>
      </w:r>
      <w:r>
        <w:rPr>
          <w:rStyle w:val="FootnoteAnchor"/>
          <w:rtl w:val="true"/>
        </w:rPr>
        <w:footnoteReference w:id="1168"/>
      </w:r>
      <w:r>
        <w:rPr>
          <w:rFonts w:ascii="IRNazanin" w:hAnsi="IRNazanin" w:eastAsia="IRNazanin"/>
          <w:color w:val="111111"/>
          <w:sz w:val="28"/>
          <w:sz w:val="28"/>
          <w:szCs w:val="28"/>
          <w:rtl w:val="true"/>
          <w:lang w:bidi="fa-IR"/>
        </w:rPr>
        <w:t>، و المشهور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فقد مثّلوا للمثلی بالحنطة و الشعیر </w:t>
      </w:r>
      <w:r>
        <w:rPr>
          <w:rStyle w:val="FootnoteAnchor"/>
          <w:rtl w:val="true"/>
        </w:rPr>
        <w:footnoteReference w:id="1169"/>
      </w:r>
      <w:r>
        <w:rPr>
          <w:rFonts w:ascii="IRNazanin" w:hAnsi="IRNazanin" w:eastAsia="IRNazanin"/>
          <w:color w:val="111111"/>
          <w:sz w:val="28"/>
          <w:sz w:val="28"/>
          <w:szCs w:val="28"/>
          <w:rtl w:val="true"/>
          <w:lang w:bidi="fa-IR"/>
        </w:rPr>
        <w:t>،و لم یعلم أنّ المراد نوعهما أو کلّ صنف؟و ما المعیار فی الصنف؟و کذا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موارد عدم تحقّق الإجماع علی المثلیّة فیها کثیرة، فلا بدّ من ملاحظة أنّ الأصل الذی یرجع إلیه عند الشکّ هو الضمان بالمثل،أو بالقیمة،أو تخییر المالک أو الضامن بین المثل و القیمة؟ و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هو تخییر الضامن؛لأصالة براءة ذمّته عمّا زاد علی ما یختاره،فإن فُرِض إجماعٌ علی خلافه فالأصل تخییر المالک؛لأصالة عدم براءة ذمّته بدفع ما لا یرضی به المالک، مضافاً إلی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1170"/>
      </w:r>
      <w:r>
        <w:rPr>
          <w:rFonts w:ascii="IRNazanin" w:hAnsi="IRNazanin" w:eastAsia="IRNazanin"/>
          <w:color w:val="111111"/>
          <w:sz w:val="28"/>
          <w:sz w:val="28"/>
          <w:szCs w:val="28"/>
          <w:rtl w:val="true"/>
          <w:lang w:bidi="fa-IR"/>
        </w:rPr>
        <w:t>فإنّ مقتضاه عدم ارتفاع الضمان بغیر أداء العین،خرج ما إذا رضی المالک بشیءٍ آخر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المالک من أوّل الأمر؛لأصالة الاشتغال،و التمسّک بأصالة البراءة لا یخلو من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الدلیل لترجیح أحد الأقوال، و الإجماع علی عدم تخییر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فی الأداء من جهة دوران الأمر بین المحذورین،أعنی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تعیّن المثل بحیث لا یکون للمالک مطالبة القیمة و لا للضامن الامتناع،و تعیین </w:t>
      </w:r>
      <w:r>
        <w:rPr>
          <w:rStyle w:val="FootnoteAnchor"/>
          <w:rtl w:val="true"/>
        </w:rPr>
        <w:footnoteReference w:id="1171"/>
      </w:r>
      <w:r>
        <w:rPr>
          <w:rFonts w:ascii="IRNazanin" w:hAnsi="IRNazanin" w:eastAsia="IRNazanin"/>
          <w:color w:val="111111"/>
          <w:sz w:val="28"/>
          <w:sz w:val="28"/>
          <w:szCs w:val="28"/>
          <w:rtl w:val="true"/>
          <w:lang w:bidi="fa-IR"/>
        </w:rPr>
        <w:t>القیمة کذلک،فلا متیقّن فی البین، و لا یمکن البراءة الیقینیة عند التشاحّ،فهو من باب تخییر المجتهد فی الفتوی،فتأمّل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القاعدة المستفادة من إطلاقات الضمان فی المغصوبات و الأمانات المفرّط فیها،و غیر ذلک،هو الضمان بالمثل؛لأنّه أقرب إلی التالف من حیث المالیّة و الصفات،ثمّ بعده قیمة التالف من النقدین و شبههما؛لأنّهما </w:t>
      </w:r>
      <w:r>
        <w:rPr>
          <w:rStyle w:val="FootnoteAnchor"/>
          <w:rtl w:val="true"/>
        </w:rPr>
        <w:footnoteReference w:id="1172"/>
      </w:r>
      <w:r>
        <w:rPr>
          <w:rFonts w:ascii="IRNazanin" w:hAnsi="IRNazanin" w:eastAsia="IRNazanin"/>
          <w:color w:val="111111"/>
          <w:sz w:val="28"/>
          <w:sz w:val="28"/>
          <w:szCs w:val="28"/>
          <w:rtl w:val="true"/>
          <w:lang w:bidi="fa-IR"/>
        </w:rPr>
        <w:t>أقرب من حیث المالیّة؛لأنّ ما عداهما یلاحظ مساواته للتالف بعد إرجاعه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الاتّکال علی هذا الظهور لا تکاد تظفر علی موردٍ واحد من هذه الموارد علی کثرتها قد نصّ الشارع فیه علی ذکر المضمون به، بل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شذّ و 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أُطلق فیها الضمان،فلولا الاعتماد علی ما هو المتعارف لم یحسن من الشارع إهماله فی موارد البیان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استدلّ فی المبسوط </w:t>
      </w:r>
      <w:r>
        <w:rPr>
          <w:rStyle w:val="FootnoteAnchor"/>
          <w:rtl w:val="true"/>
        </w:rPr>
        <w:footnoteReference w:id="1173"/>
      </w:r>
      <w:r>
        <w:rPr>
          <w:rFonts w:ascii="IRNazanin" w:hAnsi="IRNazanin" w:eastAsia="IRNazanin"/>
          <w:color w:val="111111"/>
          <w:sz w:val="28"/>
          <w:sz w:val="28"/>
          <w:szCs w:val="28"/>
          <w:rtl w:val="true"/>
          <w:lang w:bidi="fa-IR"/>
        </w:rPr>
        <w:t xml:space="preserve">و الخلاف </w:t>
      </w:r>
      <w:r>
        <w:rPr>
          <w:rStyle w:val="FootnoteAnchor"/>
          <w:rtl w:val="true"/>
        </w:rPr>
        <w:footnoteReference w:id="1174"/>
      </w:r>
      <w:r>
        <w:rPr>
          <w:rFonts w:ascii="Amiri" w:hAnsi="Amiri" w:eastAsia="Amiri" w:cs="Amiri"/>
          <w:color w:val="111111"/>
          <w:sz w:val="28"/>
          <w:sz w:val="28"/>
          <w:szCs w:val="28"/>
          <w:rtl w:val="true"/>
          <w:lang w:bidi="ar-SA"/>
        </w:rPr>
        <w:t>علی ضمان المثلی بالمثل، و القیمی بالقیمة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عَلَیْکُمْ فَاعْتَدُوا عَلَیْهِ بِمِثْلِ</w:t>
      </w:r>
    </w:p>
    <w:p>
      <w:pPr>
        <w:pStyle w:val="BookText"/>
        <w:rPr/>
      </w:pPr>
      <w:r>
        <w:rPr>
          <w:rFonts w:ascii="Amiri" w:hAnsi="Amiri" w:eastAsia="Amiri" w:cs="Amiri"/>
          <w:color w:val="111111"/>
          <w:sz w:val="28"/>
          <w:sz w:val="28"/>
          <w:szCs w:val="28"/>
          <w:rtl w:val="true"/>
          <w:lang w:bidi="ar-SA"/>
        </w:rPr>
        <w:t>مَا اعْتَدیٰ عَلَیْکُمْ</w:t>
      </w:r>
    </w:p>
    <w:p>
      <w:pPr>
        <w:pStyle w:val="BookText"/>
        <w:rPr/>
      </w:pP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المثل فی المثلی،و القیمة فی غیره،و اختصاص الحکم بالمتلف عدواناً </w:t>
      </w:r>
      <w:r>
        <w:rPr>
          <w:rStyle w:val="FootnoteAnchor"/>
          <w:rtl w:val="true"/>
        </w:rPr>
        <w:footnoteReference w:id="1176"/>
      </w:r>
      <w:r>
        <w:rPr>
          <w:rFonts w:ascii="IRNazanin" w:hAnsi="IRNazanin" w:eastAsia="IRNazanin"/>
          <w:color w:val="111111"/>
          <w:sz w:val="28"/>
          <w:sz w:val="28"/>
          <w:szCs w:val="28"/>
          <w:rtl w:val="true"/>
          <w:lang w:bidi="fa-IR"/>
        </w:rPr>
        <w:t>لا یقدح بعد 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یناقش فی الآیة بأنّ مدلولها اعتبار المماثلة فی مقدار الاعتداء لا المعتدی به </w:t>
      </w:r>
      <w:r>
        <w:rPr>
          <w:rStyle w:val="FootnoteAnchor"/>
          <w:rtl w:val="true"/>
        </w:rPr>
        <w:footnoteReference w:id="1177"/>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نعم،الإنصاف عدم وفاء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کالدلیل السابق علیه </w:t>
      </w:r>
      <w:r>
        <w:rPr>
          <w:rStyle w:val="FootnoteAnchor"/>
          <w:rtl w:val="true"/>
        </w:rPr>
        <w:footnoteReference w:id="1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 المشهور؛لأنّ مقتضاهما وجوب المماثلة العرفیة فی الحقیقة و المالیّة،و هذا یقتضی اعتبار المثل حتّی فی القیمیّات،سواءً وجد المثل فیها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وجود المثل فیها،کما لو أتلف ذراعاً من کرباس طوله عشرون ذراعاً متساویة من جمیع الجهات،فإنّ مقتضی العرف و الآیة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إلزام الضامن بتحصیل ذراع آخر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بأضعاف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دفعه إلی مالک الذراع المتلف،مع أنّ القائل بقیمیة الثوب لا یقول به، و کذا لو أتلف علیه عبداً و له فی ذمّة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القرض أو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موصوف بصفات التالف،فإنّهم لا یحکمون بالتهاتر القهریّ،کما یشهد به ملاحظة کلماتهم فی بیع عبدٍ من عبدین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الشهیدان فی الدروس و المسالک </w:t>
      </w:r>
      <w:r>
        <w:rPr>
          <w:rStyle w:val="FootnoteAnchor"/>
          <w:rtl w:val="true"/>
        </w:rPr>
        <w:footnoteReference w:id="1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جواز ردّ العین المقترضة إذا کانت قیمیّة،لکن لعلّه من جهة صدق أداء القرض بأداء العین،لا من جهة ضمان القیمی </w:t>
      </w:r>
      <w:r>
        <w:rPr>
          <w:rStyle w:val="FootnoteAnchor"/>
          <w:rtl w:val="true"/>
        </w:rPr>
        <w:footnoteReference w:id="1181"/>
      </w:r>
      <w:r>
        <w:rPr>
          <w:rFonts w:ascii="IRNazanin" w:hAnsi="IRNazanin" w:eastAsia="IRNazanin"/>
          <w:color w:val="111111"/>
          <w:sz w:val="28"/>
          <w:sz w:val="28"/>
          <w:szCs w:val="28"/>
          <w:rtl w:val="true"/>
          <w:lang w:bidi="fa-IR"/>
        </w:rPr>
        <w:t>بالمثل؛و لذا اتّفقوا علی عدم وجوب قبول غیرها و إن کان مماثلاً لها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 عدم وجود المثل للقیمیّ التالف،فمقتضی الدلیلین </w:t>
      </w:r>
      <w:r>
        <w:rPr>
          <w:rStyle w:val="FootnoteAnchor"/>
          <w:rtl w:val="true"/>
        </w:rPr>
        <w:footnoteReference w:id="1182"/>
      </w:r>
      <w:r>
        <w:rPr>
          <w:rFonts w:ascii="IRNazanin" w:hAnsi="IRNazanin" w:eastAsia="IRNazanin"/>
          <w:color w:val="111111"/>
          <w:sz w:val="28"/>
          <w:sz w:val="28"/>
          <w:szCs w:val="28"/>
          <w:rtl w:val="true"/>
          <w:lang w:bidi="fa-IR"/>
        </w:rPr>
        <w:t>عدم سقوط المثل من الذمّة بالتعذّر،کما لو تعذّر المثل فی المثلی،فیضمن بقیمته یوم الدفع کالمثلی،و لا یقولون به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أیضاً،فلو فرض نقصان المثل عن التالف من حیث القیمة نقصاناً فاحشاً،فمقتضی ذلک عدم وجوب </w:t>
      </w:r>
      <w:r>
        <w:rPr>
          <w:rStyle w:val="FootnoteAnchor"/>
          <w:rtl w:val="true"/>
        </w:rPr>
        <w:footnoteReference w:id="1183"/>
      </w:r>
      <w:r>
        <w:rPr>
          <w:rFonts w:ascii="IRNazanin" w:hAnsi="IRNazanin" w:eastAsia="IRNazanin"/>
          <w:color w:val="111111"/>
          <w:sz w:val="28"/>
          <w:sz w:val="28"/>
          <w:szCs w:val="28"/>
          <w:rtl w:val="true"/>
          <w:lang w:bidi="fa-IR"/>
        </w:rPr>
        <w:t xml:space="preserve">إلزام المالک بالمثل؛لاقتضائهما </w:t>
      </w:r>
      <w:r>
        <w:rPr>
          <w:rStyle w:val="FootnoteAnchor"/>
          <w:rtl w:val="true"/>
        </w:rPr>
        <w:footnoteReference w:id="1184"/>
      </w:r>
      <w:r>
        <w:rPr>
          <w:rFonts w:ascii="IRNazanin" w:hAnsi="IRNazanin" w:eastAsia="IRNazanin"/>
          <w:color w:val="111111"/>
          <w:sz w:val="28"/>
          <w:sz w:val="28"/>
          <w:szCs w:val="28"/>
          <w:rtl w:val="true"/>
          <w:lang w:bidi="fa-IR"/>
        </w:rPr>
        <w:t>اعتبار المماثلة فی الحقیقة و المالیة،مع أنّ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بعض </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إلزامه به و إن قوّی خلافه بعض </w:t>
      </w:r>
      <w:r>
        <w:rPr>
          <w:rStyle w:val="FootnoteAnchor"/>
          <w:rtl w:val="true"/>
        </w:rPr>
        <w:footnoteReference w:id="1186"/>
      </w:r>
      <w:r>
        <w:rPr>
          <w:rFonts w:ascii="IRNazanin" w:hAnsi="IRNazanin" w:eastAsia="IRNazanin"/>
          <w:color w:val="111111"/>
          <w:sz w:val="28"/>
          <w:sz w:val="28"/>
          <w:szCs w:val="28"/>
          <w:rtl w:val="true"/>
          <w:lang w:bidi="fa-IR"/>
        </w:rPr>
        <w:t>،بل ربما احتمل جواز دفع</w:t>
      </w:r>
    </w:p>
    <w:p>
      <w:pPr>
        <w:pStyle w:val="BookText"/>
        <w:rPr/>
      </w:pPr>
      <w:r>
        <w:rPr>
          <w:rFonts w:ascii="IRNazanin" w:hAnsi="IRNazanin" w:eastAsia="IRNazanin"/>
          <w:color w:val="111111"/>
          <w:sz w:val="28"/>
          <w:sz w:val="28"/>
          <w:szCs w:val="28"/>
          <w:rtl w:val="true"/>
          <w:lang w:bidi="fa-IR"/>
        </w:rPr>
        <w:t xml:space="preserve">المثل و لو سقط من القیمة بالکلّیة </w:t>
      </w:r>
      <w:r>
        <w:rPr>
          <w:rStyle w:val="FootnoteAnchor"/>
          <w:rtl w:val="true"/>
        </w:rPr>
        <w:footnoteReference w:id="1187"/>
      </w:r>
      <w:r>
        <w:rPr>
          <w:rFonts w:ascii="IRNazanin" w:hAnsi="IRNazanin" w:eastAsia="IRNazanin"/>
          <w:color w:val="111111"/>
          <w:sz w:val="28"/>
          <w:sz w:val="28"/>
          <w:szCs w:val="28"/>
          <w:rtl w:val="true"/>
          <w:lang w:bidi="fa-IR"/>
        </w:rPr>
        <w:t>و إن کان الحقّ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النسبة بین مذهب المشهور و مقتضی العرف و الآیة عموم من وجه،فقد یضمن بالمثل بمقتضی الدلیلین و لا یضمن به عند المشهور،کما فی المثالین المتقدّمین </w:t>
      </w:r>
      <w:r>
        <w:rPr>
          <w:rStyle w:val="FootnoteAnchor"/>
          <w:rtl w:val="true"/>
        </w:rPr>
        <w:footnoteReference w:id="1188"/>
      </w:r>
      <w:r>
        <w:rPr>
          <w:rFonts w:ascii="IRNazanin" w:hAnsi="IRNazanin" w:eastAsia="IRNazanin"/>
          <w:color w:val="111111"/>
          <w:sz w:val="28"/>
          <w:sz w:val="28"/>
          <w:szCs w:val="28"/>
          <w:rtl w:val="true"/>
          <w:lang w:bidi="fa-IR"/>
        </w:rPr>
        <w:t xml:space="preserve">،و قد ینعکس الحکم کما فی المثال الثالث </w:t>
      </w:r>
      <w:r>
        <w:rPr>
          <w:rStyle w:val="FootnoteAnchor"/>
          <w:rtl w:val="true"/>
        </w:rPr>
        <w:footnoteReference w:id="1189"/>
      </w:r>
      <w:r>
        <w:rPr>
          <w:rFonts w:ascii="IRNazanin" w:hAnsi="IRNazanin" w:eastAsia="IRNazanin"/>
          <w:color w:val="111111"/>
          <w:sz w:val="28"/>
          <w:sz w:val="28"/>
          <w:szCs w:val="28"/>
          <w:rtl w:val="true"/>
          <w:lang w:bidi="fa-IR"/>
        </w:rPr>
        <w:t>،و قد یجتمعان فی المضمون به کما فی أکثر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الإجماع علی ضمان القیمی بالقیمة علی تقدیر تحقّقه لا یجدی بالنسبة إلی ما لم یجمعوا علی کونه قیمیّاً،ففی موارد الشکّ یجب الرجوع إلی المثل بمقتضی الدلیل السابق </w:t>
      </w:r>
      <w:r>
        <w:rPr>
          <w:rStyle w:val="FootnoteAnchor"/>
          <w:rtl w:val="true"/>
        </w:rPr>
        <w:footnoteReference w:id="1190"/>
      </w:r>
      <w:r>
        <w:rPr>
          <w:rFonts w:ascii="IRNazanin" w:hAnsi="IRNazanin" w:eastAsia="IRNazanin"/>
          <w:color w:val="111111"/>
          <w:sz w:val="28"/>
          <w:sz w:val="28"/>
          <w:szCs w:val="28"/>
          <w:rtl w:val="true"/>
          <w:lang w:bidi="fa-IR"/>
        </w:rPr>
        <w:t xml:space="preserve">و عموم الآیة </w:t>
      </w:r>
      <w:r>
        <w:rPr>
          <w:rStyle w:val="FootnoteAnchor"/>
          <w:rtl w:val="true"/>
        </w:rPr>
        <w:footnoteReference w:id="1191"/>
      </w:r>
      <w:r>
        <w:rPr>
          <w:rFonts w:ascii="IRNazanin" w:hAnsi="IRNazanin" w:eastAsia="IRNazanin"/>
          <w:color w:val="111111"/>
          <w:sz w:val="28"/>
          <w:sz w:val="28"/>
          <w:szCs w:val="28"/>
          <w:rtl w:val="true"/>
          <w:lang w:bidi="fa-IR"/>
        </w:rPr>
        <w:t>بناءً علی ما هو الحقّ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العام المخصّص بالمجمل مفهوماً، المتردّد بین الأقلّ و الأکثر لا یخرج عن الحجّیة بالنسبة إلی موارد الشکّ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أجمع علی کونه مثلیّا یضمن بالمثل،مع مراعاة الصفات التی تختلف بها الرغبات و إن فرض نقصان قیمته فی زمان الدفع أو مکانه </w:t>
      </w:r>
      <w:r>
        <w:rPr>
          <w:rStyle w:val="FootnoteAnchor"/>
          <w:rtl w:val="true"/>
        </w:rPr>
        <w:footnoteReference w:id="1192"/>
      </w:r>
      <w:r>
        <w:rPr>
          <w:rFonts w:ascii="IRNazanin" w:hAnsi="IRNazanin" w:eastAsia="IRNazanin"/>
          <w:color w:val="111111"/>
          <w:sz w:val="28"/>
          <w:sz w:val="28"/>
          <w:szCs w:val="28"/>
          <w:rtl w:val="true"/>
          <w:lang w:bidi="fa-IR"/>
        </w:rPr>
        <w:t>عن قیمة التالف؛بناءً علی تحقّق الإجماع علی إهمال هذا التفاوت،مضافاً إلی الخبر الوارد فی أنّ الثابت فی ذمّة من</w:t>
      </w:r>
    </w:p>
    <w:p>
      <w:pPr>
        <w:pStyle w:val="BookText"/>
        <w:rPr/>
      </w:pPr>
      <w:r>
        <w:rPr>
          <w:rFonts w:ascii="IRNazanin" w:hAnsi="IRNazanin" w:eastAsia="IRNazanin"/>
          <w:color w:val="111111"/>
          <w:sz w:val="28"/>
          <w:sz w:val="28"/>
          <w:szCs w:val="28"/>
          <w:rtl w:val="true"/>
          <w:lang w:bidi="fa-IR"/>
        </w:rPr>
        <w:t xml:space="preserve">اقترض دراهم </w:t>
      </w:r>
      <w:r>
        <w:rPr>
          <w:rStyle w:val="FootnoteAnchor"/>
          <w:rtl w:val="true"/>
        </w:rPr>
        <w:footnoteReference w:id="1193"/>
      </w:r>
      <w:r>
        <w:rPr>
          <w:rFonts w:ascii="IRNazanin" w:hAnsi="IRNazanin" w:eastAsia="IRNazanin"/>
          <w:color w:val="111111"/>
          <w:sz w:val="28"/>
          <w:sz w:val="28"/>
          <w:szCs w:val="28"/>
          <w:rtl w:val="true"/>
          <w:lang w:bidi="fa-IR"/>
        </w:rPr>
        <w:t xml:space="preserve">و أسقطها السلطان و روّج غیرها،هی الدراهم الأُولی </w:t>
      </w:r>
      <w:r>
        <w:rPr>
          <w:rStyle w:val="FootnoteAnchor"/>
          <w:rtl w:val="true"/>
        </w:rPr>
        <w:footnoteReference w:id="1194"/>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أجمع علی کونه قیمیّاً یضمن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ما سیجیء من الاتّفاق علی ذلک </w:t>
      </w:r>
      <w:r>
        <w:rPr>
          <w:rStyle w:val="FootnoteAnchor"/>
          <w:rtl w:val="true"/>
        </w:rPr>
        <w:footnoteReference w:id="1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وجد مثله أو کان مثله فی ذمّة الضامن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شکّ فی کونه قیمیّاً أو مثلیاً یلحق بالمثلی،مع عدم اختلاف قیمتی المدفوع و التالف،و مع الاختلاف الحق بالقیمی،فتأمّل</w:t>
      </w:r>
      <w:r>
        <w:rPr>
          <w:rFonts w:eastAsia="IRNazanin" w:cs="IRNazanin"/>
          <w:color w:val="111111"/>
          <w:sz w:val="28"/>
          <w:szCs w:val="28"/>
          <w:rtl w:val="true"/>
          <w:lang w:bidi="fa-IR"/>
        </w:rPr>
        <w:t>.</w:t>
      </w:r>
      <w:bookmarkStart w:id="335" w:name="pg19763_247968"/>
    </w:p>
    <w:p>
      <w:pPr>
        <w:pStyle w:val="Heading5"/>
        <w:numPr>
          <w:ilvl w:val="4"/>
          <w:numId w:val="1"/>
        </w:numPr>
        <w:rPr/>
      </w:pPr>
      <w:bookmarkStart w:id="336" w:name="__RefHeading___Toc5082680_2314609296"/>
      <w:bookmarkStart w:id="337" w:name="_Toc131"/>
      <w:bookmarkEnd w:id="335"/>
      <w:bookmarkEnd w:id="336"/>
      <w:r>
        <w:rPr>
          <w:rtl w:val="true"/>
        </w:rPr>
        <w:t>الخامس ذکر فی القواعد</w:t>
      </w:r>
      <w:r>
        <w:rPr>
          <w:rtl w:val="true"/>
        </w:rPr>
        <w:t>:</w:t>
      </w:r>
      <w:r>
        <w:rPr>
          <w:rtl w:val="true"/>
        </w:rPr>
        <w:t>أنّه لو لم یوجد المثل إلّا بأکثر من ثمن المثل، ففی وجوب الشراء تردّد</w:t>
      </w:r>
      <w:bookmarkEnd w:id="337"/>
    </w:p>
    <w:p>
      <w:pPr>
        <w:pStyle w:val="BookText"/>
        <w:rPr/>
      </w:pP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الثمن إن کانت لزیادة القیمة السوقیّة للمثل بأن صارت قیمته أضعاف قیمة التالف یوم تلفه،فالظاهر أنّه لا إشکال فی وجوب الشراء و لا خلاف،کما صرّح به فی الخلاف،حیث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غصب ما 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کالحبوب </w:t>
      </w:r>
      <w:r>
        <w:rPr>
          <w:rStyle w:val="FootnoteAnchor"/>
          <w:rtl w:val="true"/>
        </w:rPr>
        <w:footnoteReference w:id="1199"/>
      </w:r>
      <w:r>
        <w:rPr>
          <w:rFonts w:ascii="IRNazanin" w:hAnsi="IRNazanin" w:eastAsia="IRNazanin"/>
          <w:color w:val="111111"/>
          <w:sz w:val="28"/>
          <w:sz w:val="28"/>
          <w:szCs w:val="28"/>
          <w:rtl w:val="true"/>
          <w:lang w:bidi="fa-IR"/>
        </w:rPr>
        <w:t>و الأدهان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فعلیه مثل ما تلف فی یده، یشتریه بأیّ ثمنٍ کان،بلا خلاف </w:t>
      </w:r>
      <w:r>
        <w:rPr>
          <w:rStyle w:val="FootnoteAnchor"/>
          <w:rtl w:val="true"/>
        </w:rPr>
        <w:footnoteReference w:id="1200"/>
      </w:r>
      <w:r>
        <w:rPr>
          <w:rFonts w:ascii="IRNazanin" w:hAnsi="IRNazanin" w:eastAsia="IRNazanin"/>
          <w:color w:val="111111"/>
          <w:sz w:val="28"/>
          <w:sz w:val="28"/>
          <w:szCs w:val="28"/>
          <w:rtl w:val="true"/>
          <w:lang w:bidi="fa-IR"/>
        </w:rPr>
        <w:t xml:space="preserve">،انتهی </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یشتریه بأیّ ثمنٍ کان إجماعاً </w:t>
      </w:r>
      <w:r>
        <w:rPr>
          <w:rStyle w:val="FootnoteAnchor"/>
          <w:rtl w:val="true"/>
        </w:rPr>
        <w:footnoteReference w:id="1202"/>
      </w:r>
      <w:r>
        <w:rPr>
          <w:rFonts w:ascii="IRNazanin" w:hAnsi="IRNazanin" w:eastAsia="IRNazanin"/>
          <w:color w:val="111111"/>
          <w:sz w:val="28"/>
          <w:sz w:val="28"/>
          <w:szCs w:val="28"/>
          <w:rtl w:val="true"/>
          <w:lang w:bidi="fa-IR"/>
        </w:rPr>
        <w:t xml:space="preserve">،انتهی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النصّ و الفتوی بوجوب المثل فی المثلی،و یؤیّده فحوی حکمهم بأنّ تنزّل قیمة المثل حین الدفع عن یوم التلف لا یوجب الانتقال إلی القیمة،بل ربما احتمل بعضهم </w:t>
      </w:r>
      <w:r>
        <w:rPr>
          <w:rStyle w:val="FootnoteAnchor"/>
          <w:rtl w:val="true"/>
        </w:rPr>
        <w:footnoteReference w:id="1204"/>
      </w:r>
      <w:r>
        <w:rPr>
          <w:rFonts w:ascii="IRNazanin" w:hAnsi="IRNazanin" w:eastAsia="IRNazanin"/>
          <w:color w:val="111111"/>
          <w:sz w:val="28"/>
          <w:sz w:val="28"/>
          <w:szCs w:val="28"/>
          <w:rtl w:val="true"/>
          <w:lang w:bidi="fa-IR"/>
        </w:rPr>
        <w:t>ذلک مع سقوط المثل فی زمان الدفع عن المالیّة؛کالماء علی الشاطئ و الثلج فی الشتاء</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کان </w:t>
      </w:r>
      <w:r>
        <w:rPr>
          <w:rStyle w:val="FootnoteAnchor"/>
          <w:rtl w:val="true"/>
        </w:rPr>
        <w:footnoteReference w:id="1205"/>
      </w:r>
      <w:r>
        <w:rPr>
          <w:rFonts w:ascii="IRNazanin" w:hAnsi="IRNazanin" w:eastAsia="IRNazanin"/>
          <w:color w:val="111111"/>
          <w:sz w:val="28"/>
          <w:sz w:val="28"/>
          <w:szCs w:val="28"/>
          <w:rtl w:val="true"/>
          <w:lang w:bidi="fa-IR"/>
        </w:rPr>
        <w:t xml:space="preserve">لأجل تعذّر المثل و عدم وجدانه إلّا عند من یعطیه بأزید ممّا یرغب فیه الناس مع وصف الإعواز،بحیث یعدّ بذل ما یرید </w:t>
      </w:r>
      <w:r>
        <w:rPr>
          <w:rStyle w:val="FootnoteAnchor"/>
          <w:rtl w:val="true"/>
        </w:rPr>
        <w:footnoteReference w:id="1206"/>
      </w:r>
      <w:r>
        <w:rPr>
          <w:rFonts w:ascii="IRNazanin" w:hAnsi="IRNazanin" w:eastAsia="IRNazanin"/>
          <w:color w:val="111111"/>
          <w:sz w:val="28"/>
          <w:sz w:val="28"/>
          <w:szCs w:val="28"/>
          <w:rtl w:val="true"/>
          <w:lang w:bidi="fa-IR"/>
        </w:rPr>
        <w:t>مالکه بإزائه ضرراً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هذا هو المراد بعبارة القواعد </w:t>
      </w:r>
      <w:r>
        <w:rPr>
          <w:rStyle w:val="FootnoteAnchor"/>
          <w:rtl w:val="true"/>
        </w:rPr>
        <w:footnoteReference w:id="1207"/>
      </w:r>
      <w:r>
        <w:rPr>
          <w:rFonts w:ascii="IRNazanin" w:hAnsi="IRNazanin" w:eastAsia="IRNazanin"/>
          <w:color w:val="111111"/>
          <w:sz w:val="28"/>
          <w:sz w:val="28"/>
          <w:szCs w:val="28"/>
          <w:rtl w:val="true"/>
          <w:lang w:bidi="fa-IR"/>
        </w:rPr>
        <w:t>لأنّ الثمن فی الصورة الاُولی لیس بأزید من ثمن المثل،بل هو ثمن المثل،و إنّما زاد علی ثمن التالف یوم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w:t>
      </w:r>
      <w:r>
        <w:rPr>
          <w:rStyle w:val="FootnoteAnchor"/>
          <w:rtl w:val="true"/>
        </w:rPr>
        <w:footnoteReference w:id="1208"/>
      </w:r>
      <w:r>
        <w:rPr>
          <w:rFonts w:ascii="IRNazanin" w:hAnsi="IRNazanin" w:eastAsia="IRNazanin"/>
          <w:color w:val="111111"/>
          <w:sz w:val="28"/>
          <w:sz w:val="28"/>
          <w:szCs w:val="28"/>
          <w:rtl w:val="true"/>
          <w:lang w:bidi="fa-IR"/>
        </w:rPr>
        <w:t xml:space="preserve">فیمکن </w:t>
      </w:r>
      <w:r>
        <w:rPr>
          <w:rStyle w:val="FootnoteAnchor"/>
          <w:rtl w:val="true"/>
        </w:rPr>
        <w:footnoteReference w:id="1209"/>
      </w:r>
      <w:r>
        <w:rPr>
          <w:rFonts w:ascii="IRNazanin" w:hAnsi="IRNazanin" w:eastAsia="IRNazanin"/>
          <w:color w:val="111111"/>
          <w:sz w:val="28"/>
          <w:sz w:val="28"/>
          <w:szCs w:val="28"/>
          <w:rtl w:val="true"/>
          <w:lang w:bidi="fa-IR"/>
        </w:rPr>
        <w:t xml:space="preserve">التردّد فی الصورة الثانیة کما قیل </w:t>
      </w:r>
      <w:r>
        <w:rPr>
          <w:rStyle w:val="FootnoteAnchor"/>
          <w:rtl w:val="true"/>
        </w:rPr>
        <w:footnoteReference w:id="1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الموجود بأکثر من ثمن المثل کالمعدوم،کالرقبة فی الکفّارة و الهدی،و أنّه یمکن معاندة البائع و طلب أضعاف القیمة،و هو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211"/>
      </w:r>
      <w:r>
        <w:rPr>
          <w:rFonts w:ascii="IRNazanin" w:hAnsi="IRNazanin" w:eastAsia="IRNazanin"/>
          <w:color w:val="111111"/>
          <w:sz w:val="28"/>
          <w:sz w:val="28"/>
          <w:szCs w:val="28"/>
          <w:rtl w:val="true"/>
          <w:lang w:bidi="fa-IR"/>
        </w:rPr>
        <w:t>لکنّ الأقوی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الشراء؛وفاقاً للتحریر </w:t>
      </w:r>
      <w:r>
        <w:rPr>
          <w:rStyle w:val="FootnoteAnchor"/>
          <w:rtl w:val="true"/>
        </w:rPr>
        <w:footnoteReference w:id="1212"/>
      </w:r>
      <w:r>
        <w:rPr>
          <w:rFonts w:ascii="IRNazanin" w:hAnsi="IRNazanin" w:eastAsia="IRNazanin"/>
          <w:color w:val="111111"/>
          <w:sz w:val="28"/>
          <w:sz w:val="28"/>
          <w:szCs w:val="28"/>
          <w:rtl w:val="true"/>
          <w:lang w:bidi="fa-IR"/>
        </w:rPr>
        <w:t xml:space="preserve">کما عن الإیضاح </w:t>
      </w:r>
      <w:r>
        <w:rPr>
          <w:rStyle w:val="FootnoteAnchor"/>
          <w:rtl w:val="true"/>
        </w:rPr>
        <w:footnoteReference w:id="1213"/>
      </w:r>
      <w:r>
        <w:rPr>
          <w:rFonts w:ascii="IRNazanin" w:hAnsi="IRNazanin" w:eastAsia="IRNazanin"/>
          <w:color w:val="111111"/>
          <w:sz w:val="28"/>
          <w:sz w:val="28"/>
          <w:szCs w:val="28"/>
          <w:rtl w:val="true"/>
          <w:lang w:bidi="fa-IR"/>
        </w:rPr>
        <w:t xml:space="preserve">و الدروس </w:t>
      </w:r>
      <w:r>
        <w:rPr>
          <w:rStyle w:val="FootnoteAnchor"/>
          <w:rtl w:val="true"/>
        </w:rPr>
        <w:footnoteReference w:id="1214"/>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215"/>
      </w:r>
      <w:r>
        <w:rPr>
          <w:rFonts w:ascii="IRNazanin" w:hAnsi="IRNazanin" w:eastAsia="IRNazanin"/>
          <w:color w:val="111111"/>
          <w:sz w:val="28"/>
          <w:sz w:val="28"/>
          <w:szCs w:val="28"/>
          <w:rtl w:val="true"/>
          <w:lang w:bidi="fa-IR"/>
        </w:rPr>
        <w:t xml:space="preserve">،بل إطلاق السرائر </w:t>
      </w:r>
      <w:r>
        <w:rPr>
          <w:rStyle w:val="FootnoteAnchor"/>
          <w:rtl w:val="true"/>
        </w:rPr>
        <w:footnoteReference w:id="1216"/>
      </w:r>
      <w:r>
        <w:rPr>
          <w:rFonts w:ascii="IRNazanin" w:hAnsi="IRNazanin" w:eastAsia="IRNazanin"/>
          <w:color w:val="111111"/>
          <w:sz w:val="28"/>
          <w:sz w:val="28"/>
          <w:szCs w:val="28"/>
          <w:rtl w:val="true"/>
          <w:lang w:bidi="fa-IR"/>
        </w:rPr>
        <w:t xml:space="preserve">، و نفی الخلاف المتقدّم عن الخلاف </w:t>
      </w:r>
      <w:r>
        <w:rPr>
          <w:rStyle w:val="FootnoteAnchor"/>
          <w:rtl w:val="true"/>
        </w:rPr>
        <w:footnoteReference w:id="1217"/>
      </w:r>
      <w:r>
        <w:rPr>
          <w:rFonts w:ascii="IRNazanin" w:hAnsi="IRNazanin" w:eastAsia="IRNazanin"/>
          <w:color w:val="111111"/>
          <w:sz w:val="28"/>
          <w:sz w:val="28"/>
          <w:szCs w:val="28"/>
          <w:rtl w:val="true"/>
          <w:lang w:bidi="fa-IR"/>
        </w:rPr>
        <w:t xml:space="preserve">لعین ما ذکر فی الصورة الأُولی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فرق فی جواز مطالبة المالک بالمثل بین کونه فی مکان التلف أو غیره،و لا بین کون قیمته </w:t>
      </w:r>
      <w:r>
        <w:rPr>
          <w:rStyle w:val="FootnoteAnchor"/>
          <w:rtl w:val="true"/>
        </w:rPr>
        <w:footnoteReference w:id="1219"/>
      </w:r>
      <w:r>
        <w:rPr>
          <w:rFonts w:ascii="IRNazanin" w:hAnsi="IRNazanin" w:eastAsia="IRNazanin"/>
          <w:color w:val="111111"/>
          <w:sz w:val="28"/>
          <w:sz w:val="28"/>
          <w:szCs w:val="28"/>
          <w:rtl w:val="true"/>
          <w:lang w:bidi="fa-IR"/>
        </w:rPr>
        <w:t xml:space="preserve">فی مکان المطالبة أزید من قیمته فی مکان التلف،أم لا؛وفاقاً لظاهر المحکیّ </w:t>
      </w:r>
      <w:r>
        <w:rPr>
          <w:rStyle w:val="FootnoteAnchor"/>
          <w:rtl w:val="true"/>
        </w:rPr>
        <w:footnoteReference w:id="1220"/>
      </w:r>
      <w:r>
        <w:rPr>
          <w:rFonts w:ascii="IRNazanin" w:hAnsi="IRNazanin" w:eastAsia="IRNazanin"/>
          <w:color w:val="111111"/>
          <w:sz w:val="28"/>
          <w:sz w:val="28"/>
          <w:szCs w:val="28"/>
          <w:rtl w:val="true"/>
          <w:lang w:bidi="fa-IR"/>
        </w:rPr>
        <w:t xml:space="preserve">عن السرائر </w:t>
      </w:r>
      <w:r>
        <w:rPr>
          <w:rStyle w:val="FootnoteAnchor"/>
          <w:rtl w:val="true"/>
        </w:rPr>
        <w:footnoteReference w:id="1221"/>
      </w:r>
      <w:r>
        <w:rPr>
          <w:rFonts w:ascii="IRNazanin" w:hAnsi="IRNazanin" w:eastAsia="IRNazanin"/>
          <w:color w:val="111111"/>
          <w:sz w:val="28"/>
          <w:sz w:val="28"/>
          <w:szCs w:val="28"/>
          <w:rtl w:val="true"/>
          <w:lang w:bidi="fa-IR"/>
        </w:rPr>
        <w:t xml:space="preserve">و التذکرة </w:t>
      </w:r>
      <w:r>
        <w:rPr>
          <w:rStyle w:val="FootnoteAnchor"/>
          <w:rtl w:val="true"/>
        </w:rPr>
        <w:footnoteReference w:id="1222"/>
      </w:r>
      <w:r>
        <w:rPr>
          <w:rFonts w:ascii="IRNazanin" w:hAnsi="IRNazanin" w:eastAsia="IRNazanin"/>
          <w:color w:val="111111"/>
          <w:sz w:val="28"/>
          <w:sz w:val="28"/>
          <w:szCs w:val="28"/>
          <w:rtl w:val="true"/>
          <w:lang w:bidi="fa-IR"/>
        </w:rPr>
        <w:t xml:space="preserve">و الإیضاح </w:t>
      </w:r>
      <w:r>
        <w:rPr>
          <w:rStyle w:val="FootnoteAnchor"/>
          <w:rtl w:val="true"/>
        </w:rPr>
        <w:footnoteReference w:id="1223"/>
      </w:r>
      <w:r>
        <w:rPr>
          <w:rFonts w:ascii="IRNazanin" w:hAnsi="IRNazanin" w:eastAsia="IRNazanin"/>
          <w:color w:val="111111"/>
          <w:sz w:val="28"/>
          <w:sz w:val="28"/>
          <w:szCs w:val="28"/>
          <w:rtl w:val="true"/>
          <w:lang w:bidi="fa-IR"/>
        </w:rPr>
        <w:t xml:space="preserve">و الدروس </w:t>
      </w:r>
      <w:r>
        <w:rPr>
          <w:rStyle w:val="FootnoteAnchor"/>
          <w:rtl w:val="true"/>
        </w:rPr>
        <w:footnoteReference w:id="1224"/>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الذی یقتضیه عدل الإسلام و الأدلّة و أُصول المذهب </w:t>
      </w:r>
      <w:r>
        <w:rPr>
          <w:rStyle w:val="FootnoteAnchor"/>
          <w:rtl w:val="true"/>
        </w:rPr>
        <w:footnoteReference w:id="1226"/>
      </w:r>
      <w:r>
        <w:rPr>
          <w:rFonts w:ascii="IRNazanin" w:hAnsi="IRNazanin" w:eastAsia="IRNazanin"/>
          <w:color w:val="111111"/>
          <w:sz w:val="28"/>
          <w:sz w:val="28"/>
          <w:szCs w:val="28"/>
          <w:rtl w:val="true"/>
          <w:lang w:bidi="fa-IR"/>
        </w:rPr>
        <w:t>،و هو کذلک؛لعموم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وجود المثل فی بلد المطالبة،و أمّا مع تعذّره فسیأتی حکمه فی المسألة السادسة</w:t>
      </w:r>
      <w:r>
        <w:rPr>
          <w:rFonts w:eastAsia="IRNazanin" w:cs="IRNazanin"/>
          <w:color w:val="111111"/>
          <w:sz w:val="28"/>
          <w:szCs w:val="28"/>
          <w:rtl w:val="true"/>
          <w:lang w:bidi="fa-IR"/>
        </w:rPr>
        <w:t>.</w:t>
      </w:r>
      <w:bookmarkStart w:id="338" w:name="pg19763_247972"/>
    </w:p>
    <w:p>
      <w:pPr>
        <w:pStyle w:val="Heading5"/>
        <w:numPr>
          <w:ilvl w:val="4"/>
          <w:numId w:val="1"/>
        </w:numPr>
        <w:rPr/>
      </w:pPr>
      <w:bookmarkStart w:id="339" w:name="__RefHeading___Toc5082682_2314609296"/>
      <w:bookmarkStart w:id="340" w:name="_Toc132"/>
      <w:bookmarkEnd w:id="338"/>
      <w:bookmarkEnd w:id="339"/>
      <w:r>
        <w:rPr>
          <w:rtl w:val="true"/>
        </w:rPr>
        <w:t>السادس لو تعذّر المثل فی المثلی،فمقتضی القاعدة وجوب دفع القیمة مع مطالبة المالک؛</w:t>
      </w:r>
      <w:bookmarkEnd w:id="340"/>
    </w:p>
    <w:p>
      <w:pPr>
        <w:pStyle w:val="Heading6"/>
        <w:numPr>
          <w:ilvl w:val="5"/>
          <w:numId w:val="1"/>
        </w:numPr>
        <w:rPr/>
      </w:pPr>
      <w:bookmarkStart w:id="341" w:name="__RefHeading___Toc5082684_2314609296"/>
      <w:bookmarkStart w:id="342" w:name="_Toc133"/>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لأنّ منع المالک ظلم،و إلزام الضامن بالمثل منفیّ بالتعذّر، فوجب القیمة؛جمعاً بین الحقّین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فَاعْتَدُوا عَلَیْهِ بِمِثْلِ مَا اعْتَدیٰ عَلَیْکُمْ </w:t>
      </w:r>
      <w:r>
        <w:rPr>
          <w:rStyle w:val="FootnoteAnchor"/>
          <w:rtl w:val="true"/>
        </w:rPr>
        <w:footnoteReference w:id="1228"/>
      </w:r>
      <w:r>
        <w:rPr>
          <w:rFonts w:ascii="IRNazanin" w:hAnsi="IRNazanin" w:eastAsia="IRNazanin"/>
          <w:color w:val="111111"/>
          <w:sz w:val="28"/>
          <w:sz w:val="28"/>
          <w:szCs w:val="28"/>
          <w:rtl w:val="true"/>
          <w:lang w:bidi="fa-IR"/>
        </w:rPr>
        <w:t>فإنّ الضامن إذا أُلزم بالقیمة مع تعذّر المثل لم یعتد علیه أزید ممّا اعتدی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 عدم مطالبة المالک،فلا دلیل علی إلزامه بقبول القیمة؛ لأنّ المتیقّن أنّ دفع القیمة علاجٌ لمطالبة المالک،و جمعٌ بین حقّ المالک بتسلیطه علی المطالبة و حقّ الضامن بعدم </w:t>
      </w:r>
      <w:r>
        <w:rPr>
          <w:rStyle w:val="FootnoteAnchor"/>
          <w:rtl w:val="true"/>
        </w:rPr>
        <w:footnoteReference w:id="1229"/>
      </w:r>
      <w:r>
        <w:rPr>
          <w:rFonts w:ascii="IRNazanin" w:hAnsi="IRNazanin" w:eastAsia="IRNazanin"/>
          <w:color w:val="111111"/>
          <w:sz w:val="28"/>
          <w:sz w:val="28"/>
          <w:szCs w:val="28"/>
          <w:rtl w:val="true"/>
          <w:lang w:bidi="fa-IR"/>
        </w:rPr>
        <w:t>تکلیفه بالمعذور أو المعسور، أمّا مع عدم المطالبة فلا دلیل علی سقوط حقّه عن المثل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ذکرناه </w:t>
      </w:r>
      <w:r>
        <w:rPr>
          <w:rStyle w:val="FootnoteAnchor"/>
          <w:rtl w:val="true"/>
        </w:rPr>
        <w:footnoteReference w:id="1230"/>
      </w:r>
      <w:r>
        <w:rPr>
          <w:rFonts w:ascii="IRNazanin" w:hAnsi="IRNazanin" w:eastAsia="IRNazanin"/>
          <w:color w:val="111111"/>
          <w:sz w:val="28"/>
          <w:sz w:val="28"/>
          <w:szCs w:val="28"/>
          <w:rtl w:val="true"/>
          <w:lang w:bidi="fa-IR"/>
        </w:rPr>
        <w:t>یظهر من المحکیّ عن التذکرة و الإیضاح،حیث ذکرا</w:t>
      </w:r>
    </w:p>
    <w:p>
      <w:pPr>
        <w:pStyle w:val="BookText"/>
        <w:rPr/>
      </w:pPr>
      <w:r>
        <w:rPr>
          <w:rFonts w:ascii="IRNazanin" w:hAnsi="IRNazanin" w:eastAsia="IRNazanin"/>
          <w:color w:val="111111"/>
          <w:sz w:val="28"/>
          <w:sz w:val="28"/>
          <w:szCs w:val="28"/>
          <w:rtl w:val="true"/>
          <w:lang w:bidi="fa-IR"/>
        </w:rPr>
        <w:t>فی ردّ بعض الاحتمالات الآتیة فی حکم تعذّر المثل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المثل لا یسقط بالإعواز،أ لا تری أنّ المغصوب منه لو صبر إلی زمان وجدان المثل ملک المطالبة به؟و إنّما المصیر إلی القیمة وقت تغریمها </w:t>
      </w:r>
      <w:r>
        <w:rPr>
          <w:rStyle w:val="FootnoteAnchor"/>
          <w:rtl w:val="true"/>
        </w:rPr>
        <w:footnoteReference w:id="123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أطلق کثیرٌ منهم الحکم بالقیمة عند تعذّر المثل،و لعلّهم یریدون صورة المطالبة،و إلّا فلا دلیل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المحکیّ عن الأکثر فی باب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المعتبر فی المثل </w:t>
      </w:r>
      <w:r>
        <w:rPr>
          <w:rStyle w:val="FootnoteAnchor"/>
          <w:rtl w:val="true"/>
        </w:rPr>
        <w:footnoteReference w:id="1232"/>
      </w:r>
      <w:r>
        <w:rPr>
          <w:rFonts w:ascii="IRNazanin" w:hAnsi="IRNazanin" w:eastAsia="IRNazanin"/>
          <w:color w:val="111111"/>
          <w:sz w:val="28"/>
          <w:sz w:val="28"/>
          <w:szCs w:val="28"/>
          <w:rtl w:val="true"/>
          <w:lang w:bidi="fa-IR"/>
        </w:rPr>
        <w:t xml:space="preserve">المتعذّر قیمته یوم المطالبة </w:t>
      </w:r>
      <w:r>
        <w:rPr>
          <w:rStyle w:val="FootnoteAnchor"/>
          <w:rtl w:val="true"/>
        </w:rPr>
        <w:footnoteReference w:id="1233"/>
      </w:r>
      <w:r>
        <w:rPr>
          <w:rFonts w:ascii="IRNazanin" w:hAnsi="IRNazanin" w:eastAsia="IRNazanin"/>
          <w:color w:val="111111"/>
          <w:sz w:val="28"/>
          <w:sz w:val="28"/>
          <w:szCs w:val="28"/>
          <w:rtl w:val="true"/>
          <w:lang w:bidi="fa-IR"/>
        </w:rPr>
        <w:t xml:space="preserve">،نعم عبّر بعضهم بیوم الدفع </w:t>
      </w:r>
      <w:r>
        <w:rPr>
          <w:rStyle w:val="FootnoteAnchor"/>
          <w:rtl w:val="true"/>
        </w:rPr>
        <w:footnoteReference w:id="1234"/>
      </w:r>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کان،فلنرجع إلی حکم المسألة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w:t>
      </w:r>
      <w:r>
        <w:rPr>
          <w:rStyle w:val="FootnoteAnchor"/>
          <w:rtl w:val="true"/>
        </w:rPr>
        <w:footnoteReference w:id="1235"/>
      </w:r>
      <w:r>
        <w:rPr>
          <w:rFonts w:ascii="IRNazanin" w:hAnsi="IRNazanin" w:eastAsia="IRNazanin"/>
          <w:color w:val="111111"/>
          <w:sz w:val="28"/>
          <w:sz w:val="28"/>
          <w:szCs w:val="28"/>
          <w:rtl w:val="true"/>
          <w:lang w:bidi="fa-IR"/>
        </w:rPr>
        <w:t xml:space="preserve">أنّ العبرة فی قیمة المثل المتعذّر بقیمته یوم الدفع </w:t>
      </w:r>
      <w:r>
        <w:rPr>
          <w:rStyle w:val="FootnoteAnchor"/>
          <w:rtl w:val="true"/>
        </w:rPr>
        <w:footnoteReference w:id="1236"/>
      </w:r>
      <w:r>
        <w:rPr>
          <w:rFonts w:ascii="Amiri" w:hAnsi="Amiri" w:eastAsia="Amiri" w:cs="Amiri"/>
          <w:color w:val="111111"/>
          <w:sz w:val="28"/>
          <w:sz w:val="28"/>
          <w:szCs w:val="28"/>
          <w:rtl w:val="true"/>
          <w:lang w:bidi="ar-SA"/>
        </w:rPr>
        <w:t xml:space="preserve">لأنّ المثل </w:t>
      </w:r>
      <w:r>
        <w:rPr>
          <w:rStyle w:val="FootnoteAnchor"/>
          <w:rtl w:val="true"/>
        </w:rPr>
        <w:footnoteReference w:id="1237"/>
      </w:r>
      <w:r>
        <w:rPr>
          <w:rFonts w:ascii="IRNazanin" w:hAnsi="IRNazanin" w:eastAsia="IRNazanin"/>
          <w:color w:val="111111"/>
          <w:sz w:val="28"/>
          <w:sz w:val="28"/>
          <w:szCs w:val="28"/>
          <w:rtl w:val="true"/>
          <w:lang w:bidi="fa-IR"/>
        </w:rPr>
        <w:t>ثابت فی الذمّة إلی ذلک الزمان،و لا دلیل علی سقوطه بتعذّره،کما لا یسقط الدّین بتعذّر أدائه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بما ذکرنا المحقّق الثانی </w:t>
      </w:r>
      <w:r>
        <w:rPr>
          <w:rStyle w:val="FootnoteAnchor"/>
          <w:rtl w:val="true"/>
        </w:rPr>
        <w:footnoteReference w:id="1238"/>
      </w:r>
      <w:r>
        <w:rPr>
          <w:rFonts w:ascii="IRNazanin" w:hAnsi="IRNazanin" w:eastAsia="IRNazanin"/>
          <w:color w:val="111111"/>
          <w:sz w:val="28"/>
          <w:sz w:val="28"/>
          <w:szCs w:val="28"/>
          <w:rtl w:val="true"/>
          <w:lang w:bidi="fa-IR"/>
        </w:rPr>
        <w:t xml:space="preserve">،و قد عرفت من التذکرة و الإیضاح ما یدلّ علیه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یحتمل اعتبار وقت تعذّر المثل،و هو للحلّی فی البیع الفاسد </w:t>
      </w:r>
      <w:r>
        <w:rPr>
          <w:rStyle w:val="FootnoteAnchor"/>
          <w:rtl w:val="true"/>
        </w:rPr>
        <w:footnoteReference w:id="1240"/>
      </w:r>
      <w:r>
        <w:rPr>
          <w:rFonts w:ascii="IRNazanin" w:hAnsi="IRNazanin" w:eastAsia="IRNazanin"/>
          <w:color w:val="111111"/>
          <w:sz w:val="28"/>
          <w:sz w:val="28"/>
          <w:szCs w:val="28"/>
          <w:rtl w:val="true"/>
          <w:lang w:bidi="fa-IR"/>
        </w:rPr>
        <w:t xml:space="preserve">، و للتحریر فی باب القرض </w:t>
      </w:r>
      <w:r>
        <w:rPr>
          <w:rStyle w:val="FootnoteAnchor"/>
          <w:rtl w:val="true"/>
        </w:rPr>
        <w:footnoteReference w:id="1241"/>
      </w:r>
      <w:r>
        <w:rPr>
          <w:rFonts w:ascii="Amiri" w:hAnsi="Amiri" w:eastAsia="Amiri" w:cs="Amiri"/>
          <w:color w:val="111111"/>
          <w:sz w:val="28"/>
          <w:sz w:val="28"/>
          <w:szCs w:val="28"/>
          <w:rtl w:val="true"/>
          <w:lang w:bidi="ar-SA"/>
        </w:rPr>
        <w:t xml:space="preserve">،و محکیّ </w:t>
      </w:r>
      <w:r>
        <w:rPr>
          <w:rStyle w:val="FootnoteAnchor"/>
          <w:rtl w:val="true"/>
        </w:rPr>
        <w:footnoteReference w:id="1242"/>
      </w:r>
      <w:r>
        <w:rPr>
          <w:rFonts w:ascii="IRNazanin" w:hAnsi="IRNazanin" w:eastAsia="IRNazanin"/>
          <w:color w:val="111111"/>
          <w:sz w:val="28"/>
          <w:sz w:val="28"/>
          <w:szCs w:val="28"/>
          <w:rtl w:val="true"/>
          <w:lang w:bidi="fa-IR"/>
        </w:rPr>
        <w:t xml:space="preserve">عن المسالک </w:t>
      </w:r>
      <w:r>
        <w:rPr>
          <w:rStyle w:val="FootnoteAnchor"/>
          <w:rtl w:val="true"/>
        </w:rPr>
        <w:footnoteReference w:id="1243"/>
      </w:r>
      <w:r>
        <w:rPr>
          <w:rFonts w:ascii="IRNazanin" w:hAnsi="IRNazanin" w:eastAsia="IRNazanin"/>
          <w:color w:val="111111"/>
          <w:sz w:val="28"/>
          <w:sz w:val="28"/>
          <w:szCs w:val="28"/>
          <w:rtl w:val="true"/>
          <w:lang w:bidi="fa-IR"/>
        </w:rPr>
        <w:t>لأنّه وقت الانتقال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أُرید بالانتقال انقلاب ما فی الذمّة إلی القیمة فی ذلک الوقت،فلا دلیل علیه،و إن أُرید عدم وجوب إسقاط ما فی الذمّة إلّا بالقیمة،فوجوب الإسقاط بها و إن حدث یوم التعذّر مع المطالبة،إلّا أنّه لو أخّر الإسقاط بقی المثل فی الذمّة إلی تحقّق الإسقاط،و إسقاطه فی کلّ زمانٍ بأداء قیمته فی ذلک الزمان،و لیس فی الزمان الثانی مکلّفاً بما صدق علیه الإسقاط فی الزمان الأوّل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لو استندنا فی لزوم القیمة فی المسألة إلی ما تقدّم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الآیة </w:t>
      </w:r>
      <w:r>
        <w:rPr>
          <w:rStyle w:val="FootnoteAnchor"/>
          <w:rtl w:val="true"/>
        </w:rPr>
        <w:footnoteReference w:id="1244"/>
      </w:r>
      <w:r>
        <w:rPr>
          <w:rFonts w:ascii="IRNazanin" w:hAnsi="IRNazanin" w:eastAsia="IRNazanin"/>
          <w:color w:val="111111"/>
          <w:sz w:val="28"/>
          <w:sz w:val="28"/>
          <w:szCs w:val="28"/>
          <w:rtl w:val="true"/>
          <w:lang w:bidi="fa-IR"/>
        </w:rPr>
        <w:t>،و من أنّ المتبادر من إطلاقات الضمان هو وجوب الرجوع إلی أقرب الأموال إلی التالف بعد تعذّر المثل،توجّه القول</w:t>
      </w:r>
    </w:p>
    <w:p>
      <w:pPr>
        <w:pStyle w:val="BookText"/>
        <w:rPr/>
      </w:pPr>
      <w:r>
        <w:rPr>
          <w:rFonts w:ascii="IRNazanin" w:hAnsi="IRNazanin" w:eastAsia="IRNazanin"/>
          <w:color w:val="111111"/>
          <w:sz w:val="28"/>
          <w:sz w:val="28"/>
          <w:szCs w:val="28"/>
          <w:rtl w:val="true"/>
          <w:lang w:bidi="fa-IR"/>
        </w:rPr>
        <w:t>بصیرورة التالف قیمیّاً بمجرّد تعذّر المثل؛إذ لا فرق فی تعذّر المثل بین تحقّقه ابتداء کما فی القیمیّات،و بین طروّه بعد التمکّن،کما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الآیة و إطلاقات الضمان بالحکم بالقیمة بتعذّر المثل ابتداء،لا یخلو عن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المسألة احتمالات أُخر،ذکر أکثرها فی القواعد </w:t>
      </w:r>
      <w:r>
        <w:rPr>
          <w:rStyle w:val="FootnoteAnchor"/>
          <w:rtl w:val="true"/>
        </w:rPr>
        <w:footnoteReference w:id="1245"/>
      </w:r>
      <w:r>
        <w:rPr>
          <w:rFonts w:ascii="IRNazanin" w:hAnsi="IRNazanin" w:eastAsia="IRNazanin"/>
          <w:color w:val="111111"/>
          <w:sz w:val="28"/>
          <w:sz w:val="28"/>
          <w:szCs w:val="28"/>
          <w:rtl w:val="true"/>
          <w:lang w:bidi="fa-IR"/>
        </w:rPr>
        <w:t xml:space="preserve">،و قوّی بعضها فی الإیضاح </w:t>
      </w:r>
      <w:r>
        <w:rPr>
          <w:rStyle w:val="FootnoteAnchor"/>
          <w:rtl w:val="true"/>
        </w:rPr>
        <w:footnoteReference w:id="1246"/>
      </w:r>
      <w:r>
        <w:rPr>
          <w:rFonts w:ascii="IRNazanin" w:hAnsi="IRNazanin" w:eastAsia="IRNazanin"/>
          <w:color w:val="111111"/>
          <w:sz w:val="28"/>
          <w:sz w:val="28"/>
          <w:szCs w:val="28"/>
          <w:rtl w:val="true"/>
          <w:lang w:bidi="fa-IR"/>
        </w:rPr>
        <w:t xml:space="preserve">،و بعضها بعض الشافعیة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حاصل جمیع الاحتمالات فی المسألة مع مبانیها </w:t>
      </w:r>
      <w:r>
        <w:rPr>
          <w:rStyle w:val="FootnoteAnchor"/>
          <w:rtl w:val="true"/>
        </w:rPr>
        <w:footnoteReference w:id="124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أن نقول باستقرار المثل فی الذمّة إلی أوان الفراغ منه بدفع القیمة،و هو الذی اخترناه تبعاً للأکثر من اعتبار القیمة عند الإقباض،و ذکره فی القواعد خامس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نقول بصیرورته قیمیّاً عند الإعواز،فإذا صار کذلک، فإمّا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المثل المستقرّ فی الذمّة قیمیّ،فتکون القیمیّة صفة للمثل بمعنی أنّه لو تلف وجب قیمته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المغصوب انقلب قیمیّاً بعد أن کان مثلیّا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 بالأوّل،فإن جعلنا الاعتبار فی القیمیّ بیوم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هو أحد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المتعیّن قیمة المثل یوم الإعواز،کما صرّح به فی السرائر فی البیع الفاسد </w:t>
      </w:r>
      <w:r>
        <w:rPr>
          <w:rStyle w:val="FootnoteAnchor"/>
          <w:rtl w:val="true"/>
        </w:rPr>
        <w:footnoteReference w:id="1249"/>
      </w:r>
      <w:r>
        <w:rPr>
          <w:rFonts w:ascii="IRNazanin" w:hAnsi="IRNazanin" w:eastAsia="IRNazanin"/>
          <w:color w:val="111111"/>
          <w:sz w:val="28"/>
          <w:sz w:val="28"/>
          <w:szCs w:val="28"/>
          <w:rtl w:val="true"/>
          <w:lang w:bidi="fa-IR"/>
        </w:rPr>
        <w:t xml:space="preserve">،و التحریر فی باب القرض </w:t>
      </w:r>
      <w:r>
        <w:rPr>
          <w:rStyle w:val="FootnoteAnchor"/>
          <w:rtl w:val="true"/>
        </w:rPr>
        <w:footnoteReference w:id="1250"/>
      </w:r>
      <w:r>
        <w:rPr>
          <w:rFonts w:ascii="Amiri" w:hAnsi="Amiri" w:eastAsia="Amiri" w:cs="Amiri"/>
          <w:color w:val="111111"/>
          <w:sz w:val="28"/>
          <w:sz w:val="28"/>
          <w:szCs w:val="28"/>
          <w:rtl w:val="true"/>
          <w:lang w:bidi="ar-SA"/>
        </w:rPr>
        <w:t>لأنّه یوم تلف القیمیّ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جعلنا الاعتبار فیه بزمان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القول الآخر فی القیمیّ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المتّجه اعتبار زمان تلف العین؛لأنّه أوّل أزمنة وجوب المثل فی الذمّة المستلزم لضمانه بقیمته عند تلفه،و هذا مبنیّ علی القول بالاعتبار فی القیمیّ بوقت الغصب کما عن الأکثر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جعلنا الاعتبار فیه بأعلی القیم من زمان الضمان إلی زمان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حکی عن جماعة من القدماء فی الغصب </w:t>
      </w:r>
      <w:r>
        <w:rPr>
          <w:rStyle w:val="FootnoteAnchor"/>
          <w:rtl w:val="true"/>
        </w:rPr>
        <w:footnoteReference w:id="1252"/>
      </w:r>
      <w:r>
        <w:rPr>
          <w:rFonts w:ascii="IRNazanin" w:hAnsi="IRNazanin" w:eastAsia="IRNazanin"/>
          <w:color w:val="111111"/>
          <w:sz w:val="28"/>
          <w:sz w:val="28"/>
          <w:szCs w:val="28"/>
          <w:rtl w:val="true"/>
          <w:lang w:bidi="fa-IR"/>
        </w:rPr>
        <w:t xml:space="preserve">کان المتّجه الاعتبار بأعلی القیم من یوم تلف العین إلی زمان الإعواز،و ذکر هذا الوجه فی القواعد ثانی الاحتمالات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التالف انقلب قیمیّاً،احتمل الاعتبار بیوم 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القیمیّ المغصوب و الاعتبار بالأعلی منه إلی </w:t>
      </w:r>
      <w:r>
        <w:rPr>
          <w:rStyle w:val="FootnoteAnchor"/>
          <w:rtl w:val="true"/>
        </w:rPr>
        <w:footnoteReference w:id="1254"/>
      </w:r>
      <w:r>
        <w:rPr>
          <w:rFonts w:ascii="IRNazanin" w:hAnsi="IRNazanin" w:eastAsia="IRNazanin"/>
          <w:color w:val="111111"/>
          <w:sz w:val="28"/>
          <w:sz w:val="28"/>
          <w:szCs w:val="28"/>
          <w:rtl w:val="true"/>
          <w:lang w:bidi="fa-IR"/>
        </w:rPr>
        <w:t xml:space="preserve">یوم التلف، و ذکر هذا أوّل الاحتمالات فی القواعد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المشترک بین العین و المثل صار قیمیّاً،جاء احتمال الاعتبار بالأعلی من یوم الضمان إلی یوم تعذّر المثل؛لاستمرار الضمان فیما قبله من الزمان،إمّا للعین و إمّا للمثل،فهو مناسب لضمان الأعلی من حین الغصب إلی التلف،و هذا ذکره فی القواعد ثالث الاحتمالات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احتمل الاعتبار بالأعلی من یوم الغصب إلی دفع المثل </w:t>
      </w:r>
      <w:r>
        <w:rPr>
          <w:rStyle w:val="FootnoteAnchor"/>
          <w:rtl w:val="true"/>
        </w:rPr>
        <w:footnoteReference w:id="1257"/>
      </w:r>
      <w:r>
        <w:rPr>
          <w:rFonts w:ascii="IRNazanin" w:hAnsi="IRNazanin" w:eastAsia="IRNazanin"/>
          <w:color w:val="111111"/>
          <w:sz w:val="28"/>
          <w:sz w:val="28"/>
          <w:szCs w:val="28"/>
          <w:rtl w:val="true"/>
          <w:lang w:bidi="fa-IR"/>
        </w:rPr>
        <w:t>، و وجّهه فی محکیّ التذکرة و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المثل لا یسقط بالإعواز،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تری أنّه لو صبر المالک إلی وجدان المثل،استحقّه؟فالمصیر إلی القیمة عند تغریمها </w:t>
      </w: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القیمة الواجبة علی الغاصب أعلی القیم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وجوب دفع قیمة المثل </w:t>
      </w:r>
      <w:r>
        <w:rPr>
          <w:rStyle w:val="FootnoteAnchor"/>
          <w:rtl w:val="true"/>
        </w:rPr>
        <w:footnoteReference w:id="1259"/>
      </w:r>
      <w:r>
        <w:rPr>
          <w:rFonts w:ascii="IRNazanin" w:hAnsi="IRNazanin" w:eastAsia="IRNazanin"/>
          <w:color w:val="111111"/>
          <w:sz w:val="28"/>
          <w:sz w:val="28"/>
          <w:szCs w:val="28"/>
          <w:rtl w:val="true"/>
          <w:lang w:bidi="fa-IR"/>
        </w:rPr>
        <w:t xml:space="preserve">یعتبر </w:t>
      </w:r>
      <w:r>
        <w:rPr>
          <w:rStyle w:val="FootnoteAnchor"/>
          <w:rtl w:val="true"/>
        </w:rPr>
        <w:footnoteReference w:id="1260"/>
      </w:r>
      <w:r>
        <w:rPr>
          <w:rFonts w:ascii="IRNazanin" w:hAnsi="IRNazanin" w:eastAsia="IRNazanin"/>
          <w:color w:val="111111"/>
          <w:sz w:val="28"/>
          <w:sz w:val="28"/>
          <w:szCs w:val="28"/>
          <w:rtl w:val="true"/>
          <w:lang w:bidi="fa-IR"/>
        </w:rPr>
        <w:t xml:space="preserve">من زمن وجوبه أو </w:t>
      </w:r>
      <w:r>
        <w:rPr>
          <w:rStyle w:val="FootnoteAnchor"/>
          <w:rtl w:val="true"/>
        </w:rPr>
        <w:footnoteReference w:id="1261"/>
      </w:r>
      <w:r>
        <w:rPr>
          <w:rFonts w:ascii="IRNazanin" w:hAnsi="IRNazanin" w:eastAsia="IRNazanin"/>
          <w:color w:val="111111"/>
          <w:sz w:val="28"/>
          <w:sz w:val="28"/>
          <w:szCs w:val="28"/>
          <w:rtl w:val="true"/>
          <w:lang w:bidi="fa-IR"/>
        </w:rPr>
        <w:t>وجوب مبدله أعنی العین فیجب أعلی القیم منها،فافهم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المناسب لإطلاق کلامهم لضمان المثل فی المثلی هو أنّه مع تعذّر المثل لا یسقط المثل عن الذمّة،غایة الأمر یجب إسقاطه مع مطالبة المالک،فالعبرة بما هو إسقاط حین الفعل، فلا عبرة بالقیمة إلّا یوم الإسقاط و تفریغ الذمّة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بناءً علی ما ذکرنا </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المتبادر من أدلّة الضمان التغریم بالأقرب إلی التالف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المثل مقدّماً مع تیسّره،و مع تعذّره ابتداءً کما فی القیمی،أو بعد التمکّن کما فیما نحن فیه،کان المتعیّن هو القیمة،فالقیمة قیمة للمغصوب من حین </w:t>
      </w:r>
      <w:r>
        <w:rPr>
          <w:rStyle w:val="FootnoteAnchor"/>
          <w:rtl w:val="true"/>
        </w:rPr>
        <w:footnoteReference w:id="1263"/>
      </w:r>
      <w:r>
        <w:rPr>
          <w:rFonts w:ascii="IRNazanin" w:hAnsi="IRNazanin" w:eastAsia="IRNazanin"/>
          <w:color w:val="111111"/>
          <w:sz w:val="28"/>
          <w:sz w:val="28"/>
          <w:szCs w:val="28"/>
          <w:rtl w:val="true"/>
          <w:lang w:bidi="fa-IR"/>
        </w:rPr>
        <w:t xml:space="preserve">صار قیمیّاً،و هو حال الإعواز،فحال الإعواز معتبر من حیث أنّه أوّل أزمنة صیرورة التالف قیمیّاً،لا من حیث ملاحظة القیمة قیمة للمثل دون العین،فعلی القول باعتبار یوم التلف فی القیمی توجّه ما اختاره الحلّی رحمه اللّه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 بضمان القیمی بأعلی القیم من حین الغصب إلی حین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علیه جماعة من القدماء </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ضمانه فیما نحن فیه بأعلی القیم من حین الغصب إلی زمان الإعواز؛إذ </w:t>
      </w:r>
      <w:r>
        <w:rPr>
          <w:rStyle w:val="FootnoteAnchor"/>
          <w:rtl w:val="true"/>
        </w:rPr>
        <w:footnoteReference w:id="1266"/>
      </w:r>
      <w:r>
        <w:rPr>
          <w:rFonts w:ascii="IRNazanin" w:hAnsi="IRNazanin" w:eastAsia="IRNazanin"/>
          <w:color w:val="111111"/>
          <w:sz w:val="28"/>
          <w:sz w:val="28"/>
          <w:szCs w:val="28"/>
          <w:rtl w:val="true"/>
          <w:lang w:bidi="fa-IR"/>
        </w:rPr>
        <w:t xml:space="preserve">کما أنّ ارتفاع القیمة مع بقاء العین مضمون بشرط تعذّر أدائه </w:t>
      </w:r>
      <w:r>
        <w:rPr>
          <w:rStyle w:val="FootnoteAnchor"/>
          <w:rtl w:val="true"/>
        </w:rPr>
        <w:footnoteReference w:id="1267"/>
      </w:r>
      <w:r>
        <w:rPr>
          <w:rFonts w:ascii="IRNazanin" w:hAnsi="IRNazanin" w:eastAsia="IRNazanin"/>
          <w:color w:val="111111"/>
          <w:sz w:val="28"/>
          <w:sz w:val="28"/>
          <w:szCs w:val="28"/>
          <w:rtl w:val="true"/>
          <w:lang w:bidi="fa-IR"/>
        </w:rPr>
        <w:t>المتدارک لارتفاع القیم،</w:t>
      </w:r>
    </w:p>
    <w:p>
      <w:pPr>
        <w:pStyle w:val="BookText"/>
        <w:rPr/>
      </w:pPr>
      <w:r>
        <w:rPr>
          <w:rFonts w:ascii="IRNazanin" w:hAnsi="IRNazanin" w:eastAsia="IRNazanin"/>
          <w:color w:val="111111"/>
          <w:sz w:val="28"/>
          <w:sz w:val="28"/>
          <w:szCs w:val="28"/>
          <w:rtl w:val="true"/>
          <w:lang w:bidi="fa-IR"/>
        </w:rPr>
        <w:t xml:space="preserve">کذلک </w:t>
      </w:r>
      <w:r>
        <w:rPr>
          <w:rStyle w:val="FootnoteAnchor"/>
          <w:rtl w:val="true"/>
        </w:rPr>
        <w:footnoteReference w:id="1268"/>
      </w:r>
      <w:r>
        <w:rPr>
          <w:rFonts w:ascii="IRNazanin" w:hAnsi="IRNazanin" w:eastAsia="IRNazanin"/>
          <w:color w:val="111111"/>
          <w:sz w:val="28"/>
          <w:sz w:val="28"/>
          <w:szCs w:val="28"/>
          <w:rtl w:val="true"/>
          <w:lang w:bidi="fa-IR"/>
        </w:rPr>
        <w:t xml:space="preserve">بشرط </w:t>
      </w:r>
      <w:r>
        <w:rPr>
          <w:rStyle w:val="FootnoteAnchor"/>
          <w:rtl w:val="true"/>
        </w:rPr>
        <w:footnoteReference w:id="1269"/>
      </w:r>
      <w:r>
        <w:rPr>
          <w:rFonts w:ascii="IRNazanin" w:hAnsi="IRNazanin" w:eastAsia="IRNazanin"/>
          <w:color w:val="111111"/>
          <w:sz w:val="28"/>
          <w:sz w:val="28"/>
          <w:szCs w:val="28"/>
          <w:rtl w:val="true"/>
          <w:lang w:bidi="fa-IR"/>
        </w:rPr>
        <w:t xml:space="preserve">تعذّر المثل فی المثلی؛إذ مع ردّ المثل یرتفع ضمان القیمة السوقیة،و حیث </w:t>
      </w:r>
      <w:r>
        <w:rPr>
          <w:rStyle w:val="FootnoteAnchor"/>
          <w:rtl w:val="true"/>
        </w:rPr>
        <w:footnoteReference w:id="1270"/>
      </w:r>
      <w:r>
        <w:rPr>
          <w:rFonts w:ascii="IRNazanin" w:hAnsi="IRNazanin" w:eastAsia="IRNazanin"/>
          <w:color w:val="111111"/>
          <w:sz w:val="28"/>
          <w:sz w:val="28"/>
          <w:szCs w:val="28"/>
          <w:rtl w:val="true"/>
          <w:lang w:bidi="fa-IR"/>
        </w:rPr>
        <w:t xml:space="preserve">کانت العین فیما نحن فیه مثلیة </w:t>
      </w:r>
      <w:r>
        <w:rPr>
          <w:rStyle w:val="FootnoteAnchor"/>
          <w:rtl w:val="true"/>
        </w:rPr>
        <w:footnoteReference w:id="1271"/>
      </w:r>
      <w:r>
        <w:rPr>
          <w:rFonts w:ascii="IRNazanin" w:hAnsi="IRNazanin" w:eastAsia="IRNazanin"/>
          <w:color w:val="111111"/>
          <w:sz w:val="28"/>
          <w:sz w:val="28"/>
          <w:szCs w:val="28"/>
          <w:rtl w:val="true"/>
          <w:lang w:bidi="fa-IR"/>
        </w:rPr>
        <w:t xml:space="preserve">کان أداء مثلها عند تلفها کردّ عینها </w:t>
      </w:r>
      <w:r>
        <w:rPr>
          <w:rStyle w:val="FootnoteAnchor"/>
          <w:rtl w:val="true"/>
        </w:rPr>
        <w:footnoteReference w:id="1272"/>
      </w:r>
      <w:r>
        <w:rPr>
          <w:rFonts w:ascii="IRNazanin" w:hAnsi="IRNazanin" w:eastAsia="IRNazanin"/>
          <w:color w:val="111111"/>
          <w:sz w:val="28"/>
          <w:sz w:val="28"/>
          <w:szCs w:val="28"/>
          <w:rtl w:val="true"/>
          <w:lang w:bidi="fa-IR"/>
        </w:rPr>
        <w:t>فی إلغاء ارتفاع القیم،فاستقرار ارتفاع القیم إنّما یحصل بتلف العین و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تعذّر المثل یسقط المثل </w:t>
      </w:r>
      <w:r>
        <w:rPr>
          <w:rStyle w:val="FootnoteAnchor"/>
          <w:rtl w:val="true"/>
        </w:rPr>
        <w:footnoteReference w:id="1273"/>
      </w:r>
      <w:r>
        <w:rPr>
          <w:rFonts w:ascii="IRNazanin" w:hAnsi="IRNazanin" w:eastAsia="IRNazanin"/>
          <w:color w:val="111111"/>
          <w:sz w:val="28"/>
          <w:sz w:val="28"/>
          <w:szCs w:val="28"/>
          <w:rtl w:val="true"/>
          <w:lang w:bidi="fa-IR"/>
        </w:rPr>
        <w:t xml:space="preserve">کما أنّ تلف العین یسقط العین توجّه القول بضمان القیمة من زمان الغصب إلی زمان الإعواز، و هو أصحّ الاحتمالات فی المسألة عند الشافعیة علی ما قیل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تعذّر المثل لا یسقط المثل و لیس کتلف العین،کان ارتفاع القیمة فیما بعد تعذّر المثل أیضاً مضموناً،فیتوجّه ضمان القیمة من</w:t>
      </w:r>
    </w:p>
    <w:p>
      <w:pPr>
        <w:pStyle w:val="BookText"/>
        <w:rPr/>
      </w:pPr>
      <w:r>
        <w:rPr>
          <w:rFonts w:ascii="IRNazanin" w:hAnsi="IRNazanin" w:eastAsia="IRNazanin"/>
          <w:color w:val="111111"/>
          <w:sz w:val="28"/>
          <w:sz w:val="28"/>
          <w:szCs w:val="28"/>
          <w:rtl w:val="true"/>
          <w:lang w:bidi="fa-IR"/>
        </w:rPr>
        <w:t xml:space="preserve">حین الغصب إلی حین دفع القیمة،و هو المحکیّ عن الإیضاح </w:t>
      </w:r>
      <w:r>
        <w:rPr>
          <w:rStyle w:val="FootnoteAnchor"/>
          <w:rtl w:val="true"/>
        </w:rPr>
        <w:footnoteReference w:id="1275"/>
      </w:r>
      <w:r>
        <w:rPr>
          <w:rFonts w:ascii="IRNazanin" w:hAnsi="IRNazanin" w:eastAsia="IRNazanin"/>
          <w:color w:val="111111"/>
          <w:sz w:val="28"/>
          <w:sz w:val="28"/>
          <w:szCs w:val="28"/>
          <w:rtl w:val="true"/>
          <w:lang w:bidi="fa-IR"/>
        </w:rPr>
        <w:t>،و هو أوجه الاحتمالات علی القول بضمان ارتفاع القیمة مراعی بعدم ردّ العین أو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العلّامة ذکر فی عنوان هذه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تلف المثلی و المثل موجود ثمّ أعوز </w:t>
      </w:r>
      <w:r>
        <w:rPr>
          <w:rStyle w:val="FootnoteAnchor"/>
          <w:rtl w:val="true"/>
        </w:rPr>
        <w:footnoteReference w:id="1276"/>
      </w:r>
      <w:r>
        <w:rPr>
          <w:rFonts w:ascii="IRNazanin" w:hAnsi="IRNazanin" w:eastAsia="IRNazanin"/>
          <w:color w:val="111111"/>
          <w:sz w:val="28"/>
          <w:sz w:val="28"/>
          <w:szCs w:val="28"/>
          <w:rtl w:val="true"/>
          <w:lang w:bidi="fa-IR"/>
        </w:rPr>
        <w:t xml:space="preserve">،و ظاهره اختصاص هذه الاحتمالات بما إذا طرأ </w:t>
      </w:r>
      <w:r>
        <w:rPr>
          <w:rStyle w:val="FootnoteAnchor"/>
          <w:rtl w:val="true"/>
        </w:rPr>
        <w:footnoteReference w:id="1277"/>
      </w:r>
      <w:r>
        <w:rPr>
          <w:rFonts w:ascii="Amiri" w:hAnsi="Amiri" w:eastAsia="Amiri" w:cs="Amiri"/>
          <w:color w:val="111111"/>
          <w:sz w:val="28"/>
          <w:sz w:val="28"/>
          <w:szCs w:val="28"/>
          <w:rtl w:val="true"/>
          <w:lang w:bidi="ar-SA"/>
        </w:rPr>
        <w:t xml:space="preserve">تعذّر المثل بعد تیسّره </w:t>
      </w:r>
      <w:r>
        <w:rPr>
          <w:rStyle w:val="FootnoteAnchor"/>
          <w:rtl w:val="true"/>
        </w:rPr>
        <w:footnoteReference w:id="1278"/>
      </w:r>
      <w:r>
        <w:rPr>
          <w:rFonts w:ascii="IRNazanin" w:hAnsi="IRNazanin" w:eastAsia="IRNazanin"/>
          <w:color w:val="111111"/>
          <w:sz w:val="28"/>
          <w:sz w:val="28"/>
          <w:szCs w:val="28"/>
          <w:rtl w:val="true"/>
          <w:lang w:bidi="fa-IR"/>
        </w:rPr>
        <w:t>فی بعض أزمنة التلف، لا ما تعذّر فیه المثل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یتعیّن حینئذٍ قیمته </w:t>
      </w:r>
      <w:r>
        <w:rPr>
          <w:rStyle w:val="FootnoteAnchor"/>
          <w:rtl w:val="true"/>
        </w:rPr>
        <w:footnoteReference w:id="1279"/>
      </w:r>
      <w:r>
        <w:rPr>
          <w:rFonts w:ascii="IRNazanin" w:hAnsi="IRNazanin" w:eastAsia="IRNazanin"/>
          <w:color w:val="111111"/>
          <w:sz w:val="28"/>
          <w:sz w:val="28"/>
          <w:szCs w:val="28"/>
          <w:rtl w:val="true"/>
          <w:lang w:bidi="fa-IR"/>
        </w:rPr>
        <w:t xml:space="preserve">یوم التلف </w:t>
      </w:r>
      <w:r>
        <w:rPr>
          <w:rStyle w:val="FootnoteAnchor"/>
          <w:rtl w:val="true"/>
        </w:rPr>
        <w:footnoteReference w:id="1280"/>
      </w:r>
      <w:r>
        <w:rPr>
          <w:rFonts w:ascii="IRNazanin" w:hAnsi="IRNazanin" w:eastAsia="IRNazanin"/>
          <w:color w:val="111111"/>
          <w:sz w:val="28"/>
          <w:sz w:val="28"/>
          <w:szCs w:val="28"/>
          <w:rtl w:val="true"/>
          <w:lang w:bidi="fa-IR"/>
        </w:rPr>
        <w:t>،و لعلّه لعدم تنجّز التکلیف بالمثل علیه فی وقت من الأوقات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یخدش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التمکّن من المثل لیس بشرط لحدوثه فی الذمّة ابتداءً،کما لا یشترط فی استقراره استدامة </w:t>
      </w:r>
      <w:r>
        <w:rPr>
          <w:rStyle w:val="FootnoteAnchor"/>
          <w:rtl w:val="true"/>
        </w:rPr>
        <w:footnoteReference w:id="1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اعترف به </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طروّ التعذّر بعد التلف؛و لذا لم یذکر أحد هذا التفصیل فی باب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بالجملة،فاشتغال الذمّة بالمثل إن قیّد بالتمکّن لزم الحکم بارتفاعه بطروّ التعذّر،و إلّا لزم الحکم بحدوثه مع التعذّر من أوّل الأمر،إلّا أن یقول </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وجوب المثل ظاهرة فی صورة التمکّن و إن لم یکن مشروطاً به عقلاً،فلا تعمّ صورة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طرأ العجز فلا دلیل علی سقوط المثل و انقلابه 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علی المحقّق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اللازم ممّا ذکره </w:t>
      </w:r>
      <w:r>
        <w:rPr>
          <w:rStyle w:val="FootnoteAnchor"/>
          <w:rtl w:val="true"/>
        </w:rPr>
        <w:footnoteReference w:id="1284"/>
      </w:r>
      <w:r>
        <w:rPr>
          <w:rFonts w:ascii="IRNazanin" w:hAnsi="IRNazanin" w:eastAsia="IRNazanin"/>
          <w:color w:val="111111"/>
          <w:sz w:val="28"/>
          <w:sz w:val="28"/>
          <w:szCs w:val="28"/>
          <w:rtl w:val="true"/>
          <w:lang w:bidi="fa-IR"/>
        </w:rPr>
        <w:t>أنّه لو ظفر المالک بالمثل قبل أخذ القیمة لم یکن له المطالبة،و لا أظنّ أحداً یلتزمه،و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المحکیّ عن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بإعواز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یوجد فی البلد و ما </w:t>
      </w:r>
      <w:r>
        <w:rPr>
          <w:rStyle w:val="FootnoteAnchor"/>
          <w:rtl w:val="true"/>
        </w:rPr>
        <w:footnoteReference w:id="1285"/>
      </w:r>
      <w:r>
        <w:rPr>
          <w:rFonts w:ascii="IRNazanin" w:hAnsi="IRNazanin" w:eastAsia="IRNazanin"/>
          <w:color w:val="111111"/>
          <w:sz w:val="28"/>
          <w:sz w:val="28"/>
          <w:szCs w:val="28"/>
          <w:rtl w:val="true"/>
          <w:lang w:bidi="fa-IR"/>
        </w:rPr>
        <w:t xml:space="preserve">حوله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فی المسالک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ینقل عادة منه إلیه،کما ذکروا فی انقطاع المسْلَم فیه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الرجوع فیه إلی العرف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مقتضی عموم وجوب أداء مال الناس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 xml:space="preserve">و تسلیطهم علی أموالهم </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أعیاناً کانت أم فی الذمّة </w:t>
      </w:r>
      <w:r>
        <w:rPr>
          <w:rStyle w:val="FootnoteAnchor"/>
          <w:rtl w:val="true"/>
        </w:rPr>
        <w:footnoteReference w:id="1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تحصیل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یجب ردّ العین أینما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کانت فی تحصیله مئونة کثیرة،و لذا کان یجب تحصیل المثل بأیّ ثمنٍ کان،و لیس هنا تحدید التکلیف بما عن التذکرة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نعم،لو انعقد الإجماع علی ثبوت القیمة عند الإعواز تعیّن ما عن جامع المقاصد،کما أنّ المجمعین إذا کانوا بین معبّرٍ بالإعواز و معبّرٍ بالتعذّر، کان المتیقّن الرجوع إلی الأخصّ و هو التعذّر </w:t>
      </w:r>
      <w:r>
        <w:rPr>
          <w:rStyle w:val="FootnoteAnchor"/>
          <w:rtl w:val="true"/>
        </w:rPr>
        <w:footnoteReference w:id="1293"/>
      </w:r>
      <w:r>
        <w:rPr>
          <w:rFonts w:ascii="IRNazanin" w:hAnsi="IRNazanin" w:eastAsia="IRNazanin"/>
          <w:color w:val="111111"/>
          <w:sz w:val="28"/>
          <w:sz w:val="28"/>
          <w:szCs w:val="28"/>
          <w:rtl w:val="true"/>
          <w:lang w:bidi="fa-IR"/>
        </w:rPr>
        <w:t>لأنّه المجمع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نعم،ورد فی بعض أخبار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لم یقدر المسلم إلیه علی إیفاء المسلم فیه تخیّر المشتری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بعدم القدرة لیس التعذّر العقلی المتوقّف علی استحالة النقل من بلد آخر،بل الظاهر منه عرفاً ما عن التذکرة، و هذا یستأنس به للحکم فیما نحن فیه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ثمّ،إنّ فی معرفة قیمة المثل مع فرض عدمه إشکالاً؛من حیث إنّ العبرة بفرض وجوده و لو فی غایة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کالفاکهة فی أوّل زمانها أو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وجود المتوسّط؟الظاهر هو الأوّل،لکن مع فرض وجوده بحیث یرغب فی بیعه و شرائه،فلا عبرة بفرض وجوده عند من</w:t>
      </w:r>
    </w:p>
    <w:p>
      <w:pPr>
        <w:pStyle w:val="BookText"/>
        <w:rPr/>
      </w:pPr>
      <w:r>
        <w:rPr>
          <w:rFonts w:ascii="IRNazanin" w:hAnsi="IRNazanin" w:eastAsia="IRNazanin"/>
          <w:color w:val="111111"/>
          <w:sz w:val="28"/>
          <w:sz w:val="28"/>
          <w:szCs w:val="28"/>
          <w:rtl w:val="true"/>
          <w:lang w:bidi="fa-IR"/>
        </w:rPr>
        <w:t xml:space="preserve">یستغنی عن بیعه بحیث لا یبیعه إلّا إذا بذل له عوض لا یبذله </w:t>
      </w:r>
      <w:r>
        <w:rPr>
          <w:rStyle w:val="FootnoteAnchor"/>
          <w:rtl w:val="true"/>
        </w:rPr>
        <w:footnoteReference w:id="1295"/>
      </w:r>
      <w:r>
        <w:rPr>
          <w:rFonts w:ascii="IRNazanin" w:hAnsi="IRNazanin" w:eastAsia="IRNazanin"/>
          <w:color w:val="111111"/>
          <w:sz w:val="28"/>
          <w:sz w:val="28"/>
          <w:szCs w:val="28"/>
          <w:rtl w:val="true"/>
          <w:lang w:bidi="fa-IR"/>
        </w:rPr>
        <w:t xml:space="preserve">الراغبون فی هذا الجنس بمقتضی </w:t>
      </w:r>
      <w:r>
        <w:rPr>
          <w:rStyle w:val="FootnoteAnchor"/>
          <w:rtl w:val="true"/>
        </w:rPr>
        <w:footnoteReference w:id="1296"/>
      </w:r>
      <w:r>
        <w:rPr>
          <w:rFonts w:ascii="IRNazanin" w:hAnsi="IRNazanin" w:eastAsia="IRNazanin"/>
          <w:color w:val="111111"/>
          <w:sz w:val="28"/>
          <w:sz w:val="28"/>
          <w:szCs w:val="28"/>
          <w:rtl w:val="true"/>
          <w:lang w:bidi="fa-IR"/>
        </w:rPr>
        <w:t>رغبتهم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1297"/>
      </w:r>
      <w:r>
        <w:rPr>
          <w:rFonts w:ascii="IRNazanin" w:hAnsi="IRNazanin" w:eastAsia="IRNazanin"/>
          <w:color w:val="111111"/>
          <w:sz w:val="28"/>
          <w:sz w:val="28"/>
          <w:szCs w:val="28"/>
          <w:rtl w:val="true"/>
          <w:lang w:bidi="fa-IR"/>
        </w:rPr>
        <w:t xml:space="preserve">،لو الجئ إلی شرائه لغرضٍ آخر بذل ذلک،کما لو فرض الجَمد فی الصیف عند ملک العراق، بحیث لا یعطیه إلّا أن یبذله بإزاء عتاق الخیل و شبهها،فإنّ الراغب فی الجَمد فی العراق من حیث إنّه راغب لا یبذل هذا العوض بإزائه،و إنّما یبذله من یحتاج إلیه لغرض آخر کالإهداء إلی سلطان قادم إلی العراق مثلاً،أو معالجة مشرف علی الهلاک به،و نحو ذلک من الأغراض؛و لذا لو وجد هذا الفرد من المثل لم یقدح فی صدق التعذّر کما ذکرنا فی المسألة الخامسة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موجود لا یقدح وجوده فی صدق التعذّر فلا عبرة بفرض وجوده فی التقویم عند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 قد عرفت أنّ للمالک مطالبة الضامن بالمثل عند تمکّنه و لو کان فی غیر بلد الضمان و کان قیمة المثل هناک أزید </w:t>
      </w:r>
      <w:r>
        <w:rPr>
          <w:rStyle w:val="FootnoteAnchor"/>
          <w:rtl w:val="true"/>
        </w:rPr>
        <w:footnoteReference w:id="1299"/>
      </w:r>
      <w:r>
        <w:rPr>
          <w:rFonts w:ascii="IRNazanin" w:hAnsi="IRNazanin" w:eastAsia="IRNazanin"/>
          <w:color w:val="111111"/>
          <w:sz w:val="28"/>
          <w:sz w:val="28"/>
          <w:szCs w:val="28"/>
          <w:rtl w:val="true"/>
          <w:lang w:bidi="fa-IR"/>
        </w:rPr>
        <w:t>،و أمّا مع تعذّره و کون قیمة المثل فی بلد التلف مخالفاً لها فی بلد المطالبة،فهل له المطالبة بأعلی القیمتین،أم یتعیّن قیمة بلد المطالبة،أم بلد التلف؟وجوه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الشیخ فی المبسوط فی باب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 لم یکن فی نقله مئونة کالنقدین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المطالبة بالمثل،سواء أ کانت القیمتان</w:t>
      </w:r>
    </w:p>
    <w:p>
      <w:pPr>
        <w:pStyle w:val="BookText"/>
        <w:rPr/>
      </w:pPr>
      <w:r>
        <w:rPr>
          <w:rFonts w:ascii="IRNazanin" w:hAnsi="IRNazanin" w:eastAsia="IRNazanin"/>
          <w:color w:val="111111"/>
          <w:sz w:val="28"/>
          <w:sz w:val="28"/>
          <w:szCs w:val="28"/>
          <w:rtl w:val="true"/>
          <w:lang w:bidi="fa-IR"/>
        </w:rPr>
        <w:t>مختلفتین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نقله مئونة،فإن کانت القیمتان متساویتین کان له المطالبة أیضاً؛لأنّه لا ضرر علیه فی ذلک،و إلّا فالحکم أن یأخذ قیمة بلد التلف أو یصبر حتّی یوفّیه بذلک البلد،ثمّ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الکلام فی القرض کالکلام فی الغصب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نحو هذا عن القاضی أیضاً </w:t>
      </w:r>
      <w:r>
        <w:rPr>
          <w:rStyle w:val="FootnoteAnchor"/>
          <w:rtl w:val="true"/>
        </w:rPr>
        <w:footnoteReference w:id="130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باعتبار بلد القرض أو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الإطلاق لانصراف العقد إلیه،و لیس فی باب الضمان ما یوجب هذا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أنّه هل یعدّ مِن تعذّر المثل خروجه عن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کالماء علی الشاطئ إذا أتلفه فی مفازة،و الجَمد فی الشتاء إذا أتلفه فی الصیف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لا؟الأقوی بل المتعیّن هو الأوّل،بل حکی عن بعض نسبته إلی الأصحاب و غیرهم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المصرّح به فی محکیّ التذکرة </w:t>
      </w:r>
      <w:r>
        <w:rPr>
          <w:rStyle w:val="FootnoteAnchor"/>
          <w:rtl w:val="true"/>
        </w:rPr>
        <w:footnoteReference w:id="1303"/>
      </w:r>
      <w:r>
        <w:rPr>
          <w:rFonts w:ascii="IRNazanin" w:hAnsi="IRNazanin" w:eastAsia="IRNazanin"/>
          <w:color w:val="111111"/>
          <w:sz w:val="28"/>
          <w:sz w:val="28"/>
          <w:szCs w:val="28"/>
          <w:rtl w:val="true"/>
          <w:lang w:bidi="fa-IR"/>
        </w:rPr>
        <w:t xml:space="preserve">و الإیضاح </w:t>
      </w:r>
      <w:r>
        <w:rPr>
          <w:rStyle w:val="FootnoteAnchor"/>
          <w:rtl w:val="true"/>
        </w:rPr>
        <w:footnoteReference w:id="1304"/>
      </w:r>
      <w:r>
        <w:rPr>
          <w:rFonts w:ascii="IRNazanin" w:hAnsi="IRNazanin" w:eastAsia="IRNazanin"/>
          <w:color w:val="111111"/>
          <w:sz w:val="28"/>
          <w:sz w:val="28"/>
          <w:szCs w:val="28"/>
          <w:rtl w:val="true"/>
          <w:lang w:bidi="fa-IR"/>
        </w:rPr>
        <w:t xml:space="preserve">و الدروس </w:t>
      </w:r>
      <w:r>
        <w:rPr>
          <w:rStyle w:val="FootnoteAnchor"/>
          <w:rtl w:val="true"/>
        </w:rPr>
        <w:footnoteReference w:id="1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قیمة المثل فی تلک المفازة،و یحتمل آخر مکان أو زمانٍ سقط المثل فیه </w:t>
      </w:r>
      <w:r>
        <w:rPr>
          <w:rStyle w:val="FootnoteAnchor"/>
          <w:rtl w:val="true"/>
        </w:rPr>
        <w:footnoteReference w:id="1306"/>
      </w:r>
      <w:r>
        <w:rPr>
          <w:rFonts w:ascii="IRNazanin" w:hAnsi="IRNazanin" w:eastAsia="IRNazanin"/>
          <w:color w:val="111111"/>
          <w:sz w:val="28"/>
          <w:sz w:val="28"/>
          <w:szCs w:val="28"/>
          <w:rtl w:val="true"/>
          <w:lang w:bidi="fa-IR"/>
        </w:rPr>
        <w:t>عن المالیة</w:t>
      </w:r>
      <w:r>
        <w:rPr>
          <w:rFonts w:eastAsia="IRNazanin" w:cs="IRNazanin"/>
          <w:color w:val="111111"/>
          <w:sz w:val="28"/>
          <w:szCs w:val="28"/>
          <w:rtl w:val="true"/>
          <w:lang w:bidi="fa-IR"/>
        </w:rPr>
        <w:t>.</w:t>
      </w:r>
      <w:bookmarkStart w:id="343" w:name="pg19763_247985"/>
    </w:p>
    <w:p>
      <w:pPr>
        <w:pStyle w:val="Heading6"/>
        <w:numPr>
          <w:ilvl w:val="5"/>
          <w:numId w:val="1"/>
        </w:numPr>
        <w:rPr/>
      </w:pPr>
      <w:bookmarkStart w:id="344" w:name="__RefHeading___Toc5082686_2314609296"/>
      <w:bookmarkStart w:id="345" w:name="_Toc134"/>
      <w:bookmarkEnd w:id="343"/>
      <w:bookmarkEnd w:id="344"/>
      <w:r>
        <w:rPr>
          <w:rtl w:val="true"/>
        </w:rPr>
        <w:t>«</w:t>
      </w:r>
      <w:r>
        <w:rPr>
          <w:rtl w:val="true"/>
        </w:rPr>
        <w:t>فرع</w:t>
      </w:r>
      <w:r>
        <w:rPr>
          <w:rtl w:val="true"/>
        </w:rPr>
        <w:t>» [</w:t>
      </w:r>
      <w:r>
        <w:rPr>
          <w:rtl w:val="true"/>
        </w:rPr>
        <w:t>لو تمکن من المثل بعد دفع القیمة</w:t>
      </w:r>
      <w:r>
        <w:rPr>
          <w:rtl w:val="true"/>
        </w:rPr>
        <w:t>]</w:t>
      </w:r>
      <w:bookmarkEnd w:id="345"/>
    </w:p>
    <w:p>
      <w:pPr>
        <w:pStyle w:val="BookText"/>
        <w:rPr/>
      </w:pPr>
      <w:r>
        <w:rPr>
          <w:rFonts w:ascii="IRNazanin" w:hAnsi="IRNazanin" w:eastAsia="IRNazanin"/>
          <w:color w:val="111111"/>
          <w:sz w:val="28"/>
          <w:sz w:val="28"/>
          <w:szCs w:val="28"/>
          <w:rtl w:val="true"/>
          <w:lang w:bidi="fa-IR"/>
        </w:rPr>
        <w:t xml:space="preserve">لو دفع القیمة فی المثلی </w:t>
      </w:r>
      <w:r>
        <w:rPr>
          <w:rStyle w:val="FootnoteAnchor"/>
          <w:rtl w:val="true"/>
        </w:rPr>
        <w:footnoteReference w:id="1307"/>
      </w:r>
      <w:r>
        <w:rPr>
          <w:rFonts w:ascii="IRNazanin" w:hAnsi="IRNazanin" w:eastAsia="IRNazanin"/>
          <w:color w:val="111111"/>
          <w:sz w:val="28"/>
          <w:sz w:val="28"/>
          <w:szCs w:val="28"/>
          <w:rtl w:val="true"/>
          <w:lang w:bidi="fa-IR"/>
        </w:rPr>
        <w:t xml:space="preserve">المتعذّر مثله ثم تمکّن من المثل،فالظاهر عدم عود المثل فی ذمّته؛وفاقاً للعلّامة رحمه اللّه </w:t>
      </w:r>
      <w:r>
        <w:rPr>
          <w:rStyle w:val="FootnoteAnchor"/>
          <w:rtl w:val="true"/>
        </w:rPr>
        <w:footnoteReference w:id="1308"/>
      </w:r>
      <w:r>
        <w:rPr>
          <w:rFonts w:ascii="Amiri" w:hAnsi="Amiri" w:eastAsia="Amiri" w:cs="Amiri"/>
          <w:color w:val="111111"/>
          <w:sz w:val="28"/>
          <w:sz w:val="28"/>
          <w:szCs w:val="28"/>
          <w:rtl w:val="true"/>
          <w:lang w:bidi="ar-SA"/>
        </w:rPr>
        <w:t xml:space="preserve">و مَن تأخّر عنه </w:t>
      </w:r>
      <w:r>
        <w:rPr>
          <w:rStyle w:val="FootnoteAnchor"/>
          <w:rtl w:val="true"/>
        </w:rPr>
        <w:footnoteReference w:id="1309"/>
      </w:r>
      <w:r>
        <w:rPr>
          <w:rFonts w:ascii="IRNazanin" w:hAnsi="IRNazanin" w:eastAsia="IRNazanin"/>
          <w:color w:val="111111"/>
          <w:sz w:val="28"/>
          <w:sz w:val="28"/>
          <w:szCs w:val="28"/>
          <w:rtl w:val="true"/>
          <w:lang w:bidi="fa-IR"/>
        </w:rPr>
        <w:t>ممّن تعرّض للمسألة؛لأنّ المثل کان دیناً فی الذمّة سقط بأداء عوضه مع التراضی فلا یعود،کما لو تراضیا بعوضه مع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المختار،من عدم سقوط المثل عن الذمّة بالإعواز،و أمّا علی القول بسقوطه و انقلابه قیمیّاً،فإن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المغصوب انقلب قیمیّاً عند تعذّر مثله،فأولی بالسقوط؛لأنّ المدفوع نفس ما فی الذمّة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Style w:val="FootnoteAnchor"/>
          <w:rtl w:val="true"/>
        </w:rPr>
        <w:footnoteReference w:id="1310"/>
      </w:r>
      <w:r>
        <w:rPr>
          <w:rFonts w:ascii="IRNazanin" w:hAnsi="IRNazanin" w:eastAsia="IRNazanin"/>
          <w:color w:val="111111"/>
          <w:sz w:val="28"/>
          <w:sz w:val="28"/>
          <w:szCs w:val="28"/>
          <w:rtl w:val="true"/>
          <w:lang w:bidi="fa-IR"/>
        </w:rPr>
        <w:t>المثل بتعذّره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 منزلة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 قیمیّاً، احتمل وجوب المثل عند وجوده؛لأنّ القیمة حینئذٍ بدل الحیلولة عن المثل،و سیأتی أنّ حکمه عود المبدل عند انتفاء الحیلولة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bookmarkStart w:id="346" w:name="pg19763_247986"/>
    </w:p>
    <w:p>
      <w:pPr>
        <w:pStyle w:val="Heading5"/>
        <w:numPr>
          <w:ilvl w:val="4"/>
          <w:numId w:val="1"/>
        </w:numPr>
        <w:rPr/>
      </w:pPr>
      <w:bookmarkStart w:id="347" w:name="__RefHeading___Toc5082688_2314609296"/>
      <w:bookmarkStart w:id="348" w:name="_Toc135"/>
      <w:bookmarkEnd w:id="346"/>
      <w:bookmarkEnd w:id="347"/>
      <w:r>
        <w:rPr>
          <w:rtl w:val="true"/>
        </w:rPr>
        <w:t>السابع لو کان التالف المبیع فاسداً قیمیّاً،فقد حکی</w:t>
      </w:r>
      <w:r>
        <w:rPr>
          <w:rtl w:val="true"/>
        </w:rPr>
        <w:t>:</w:t>
      </w:r>
      <w:r>
        <w:rPr>
          <w:rtl w:val="true"/>
        </w:rPr>
        <w:t>الاتّفاق علی کونه</w:t>
      </w:r>
      <w:bookmarkEnd w:id="348"/>
    </w:p>
    <w:p>
      <w:pPr>
        <w:pStyle w:val="Heading6"/>
        <w:numPr>
          <w:ilvl w:val="5"/>
          <w:numId w:val="1"/>
        </w:numPr>
        <w:rPr/>
      </w:pPr>
      <w:bookmarkStart w:id="349" w:name="__RefHeading___Toc5082690_2314609296"/>
      <w:bookmarkStart w:id="350" w:name="_Toc136"/>
      <w:bookmarkEnd w:id="349"/>
      <w:r>
        <w:rPr>
          <w:rtl w:val="true"/>
        </w:rPr>
        <w:t>[</w:t>
      </w:r>
      <w:r>
        <w:rPr>
          <w:rtl w:val="true"/>
        </w:rPr>
        <w:t>ضمان القیمی بالقیمة فی المقبوض بالعقد الفاسد،و الدلیل علیه</w:t>
      </w:r>
      <w:r>
        <w:rPr>
          <w:rtl w:val="true"/>
        </w:rPr>
        <w:t>]</w:t>
      </w:r>
      <w:bookmarkEnd w:id="35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مضموناً بالقیمة </w:t>
      </w:r>
      <w:r>
        <w:rPr>
          <w:rStyle w:val="FootnoteAnchor"/>
          <w:rtl w:val="true"/>
        </w:rPr>
        <w:footnoteReference w:id="1312"/>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المتفرّقة فی کثیرٍ من القیمیّات </w:t>
      </w:r>
      <w:r>
        <w:rPr>
          <w:rStyle w:val="FootnoteAnchor"/>
          <w:rtl w:val="true"/>
        </w:rPr>
        <w:footnoteReference w:id="1313"/>
      </w:r>
      <w:r>
        <w:rPr>
          <w:rFonts w:ascii="IRNazanin" w:hAnsi="IRNazanin" w:eastAsia="IRNazanin"/>
          <w:color w:val="111111"/>
          <w:sz w:val="28"/>
          <w:sz w:val="28"/>
          <w:szCs w:val="28"/>
          <w:rtl w:val="true"/>
          <w:lang w:bidi="fa-IR"/>
        </w:rPr>
        <w:t xml:space="preserve">، فلا حاجة إلی التمسّک بصحیحة أبی ولاّد الآتیة فی ضمان البغل </w:t>
      </w:r>
      <w:r>
        <w:rPr>
          <w:rStyle w:val="FootnoteAnchor"/>
          <w:rtl w:val="true"/>
        </w:rPr>
        <w:footnoteReference w:id="1314"/>
      </w:r>
      <w:r>
        <w:rPr>
          <w:rFonts w:ascii="Amiri" w:hAnsi="Amiri" w:eastAsia="Amiri" w:cs="Amiri"/>
          <w:color w:val="111111"/>
          <w:sz w:val="28"/>
          <w:sz w:val="28"/>
          <w:szCs w:val="28"/>
          <w:rtl w:val="true"/>
          <w:lang w:bidi="ar-SA"/>
        </w:rPr>
        <w:t>، و لا بقوله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شقصاً من عبدٍ قُوِّم علیه</w:t>
      </w:r>
      <w:r>
        <w:rPr>
          <w:rFonts w:eastAsia="Amiri" w:cs="Amiri" w:ascii="Amiri" w:hAnsi="Amiri"/>
          <w:color w:val="111111"/>
          <w:sz w:val="28"/>
          <w:szCs w:val="28"/>
          <w:rtl w:val="true"/>
          <w:lang w:bidi="ar-SA"/>
        </w:rPr>
        <w:t xml:space="preserve">» </w:t>
      </w:r>
      <w:r>
        <w:rPr>
          <w:rStyle w:val="FootnoteAnchor"/>
          <w:rtl w:val="true"/>
        </w:rPr>
        <w:footnoteReference w:id="1315"/>
      </w:r>
      <w:r>
        <w:rPr>
          <w:rFonts w:ascii="IRNazanin" w:hAnsi="IRNazanin" w:eastAsia="IRNazanin"/>
          <w:color w:val="111111"/>
          <w:sz w:val="28"/>
          <w:sz w:val="28"/>
          <w:szCs w:val="28"/>
          <w:rtl w:val="true"/>
          <w:lang w:bidi="fa-IR"/>
        </w:rPr>
        <w:t>بل الأخبار</w:t>
      </w:r>
    </w:p>
    <w:p>
      <w:pPr>
        <w:pStyle w:val="BookText"/>
        <w:rPr/>
      </w:pPr>
      <w:r>
        <w:rPr>
          <w:rFonts w:ascii="IRNazanin" w:hAnsi="IRNazanin" w:eastAsia="IRNazanin"/>
          <w:color w:val="111111"/>
          <w:sz w:val="28"/>
          <w:sz w:val="28"/>
          <w:szCs w:val="28"/>
          <w:rtl w:val="true"/>
          <w:lang w:bidi="fa-IR"/>
        </w:rPr>
        <w:t xml:space="preserve">کثیرة </w:t>
      </w:r>
      <w:r>
        <w:rPr>
          <w:rStyle w:val="FootnoteAnchor"/>
          <w:rtl w:val="true"/>
        </w:rPr>
        <w:footnoteReference w:id="1316"/>
      </w:r>
      <w:r>
        <w:rPr>
          <w:rFonts w:ascii="IRNazanin" w:hAnsi="IRNazanin" w:eastAsia="IRNazanin"/>
          <w:color w:val="111111"/>
          <w:sz w:val="28"/>
          <w:sz w:val="28"/>
          <w:szCs w:val="28"/>
          <w:rtl w:val="true"/>
          <w:lang w:bidi="fa-IR"/>
        </w:rPr>
        <w:t xml:space="preserve">،بل قد عرفت </w:t>
      </w:r>
      <w:r>
        <w:rPr>
          <w:rStyle w:val="FootnoteAnchor"/>
          <w:rtl w:val="true"/>
        </w:rPr>
        <w:footnoteReference w:id="1317"/>
      </w:r>
      <w:r>
        <w:rPr>
          <w:rFonts w:ascii="IRNazanin" w:hAnsi="IRNazanin" w:eastAsia="IRNazanin"/>
          <w:color w:val="111111"/>
          <w:sz w:val="28"/>
          <w:sz w:val="28"/>
          <w:szCs w:val="28"/>
          <w:rtl w:val="true"/>
          <w:lang w:bidi="fa-IR"/>
        </w:rPr>
        <w:t xml:space="preserve">أنّ مقتضی إطلاق أدلّة الضمان فی القیمیّات هو ذلک بحسب المتعارف،إلّا أنّ المتیقّن من هذا المتعارف </w:t>
      </w:r>
      <w:r>
        <w:rPr>
          <w:rStyle w:val="FootnoteAnchor"/>
          <w:rtl w:val="true"/>
        </w:rPr>
        <w:footnoteReference w:id="1318"/>
      </w:r>
      <w:r>
        <w:rPr>
          <w:rFonts w:ascii="IRNazanin" w:hAnsi="IRNazanin" w:eastAsia="IRNazanin"/>
          <w:color w:val="111111"/>
          <w:sz w:val="28"/>
          <w:sz w:val="28"/>
          <w:szCs w:val="28"/>
          <w:rtl w:val="true"/>
          <w:lang w:bidi="fa-IR"/>
        </w:rPr>
        <w:t>ما کان المثل فیه متعذّراً،بل یمکن دعوی انصراف الإطلاقات الواردة فی خصوص بعض القیمیّات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کالبغل و العبد و نحوهما </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لصورة تعذّر المثل،کما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فالمرجع فی وجوب القیمة فی القیمی و إن فرض تیسّر المثل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مَن أتلف عبداً من شخص باعه عبداً موصوفاً بصفات ذلک العبد بعینه،و کما لو أتلف علیه ذراعاً من مائة ذراع کرباس منسوج علی طریقة واحدة لا تفاوت فی أجزائه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الإجماع،کما یستظهر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تقدیره،ففی شموله لصورة تیسّر المثل من جمیع الجهات تأمّل،خصوصاً مع الاستدلال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r>
        <w:rPr>
          <w:rStyle w:val="FootnoteAnchor"/>
          <w:rtl w:val="true"/>
        </w:rPr>
        <w:footnoteReference w:id="1320"/>
      </w:r>
      <w:r>
        <w:rPr>
          <w:rFonts w:ascii="IRNazanin" w:hAnsi="IRNazanin" w:eastAsia="IRNazanin"/>
          <w:color w:val="111111"/>
          <w:sz w:val="28"/>
          <w:sz w:val="28"/>
          <w:szCs w:val="28"/>
          <w:rtl w:val="true"/>
          <w:lang w:bidi="fa-IR"/>
        </w:rPr>
        <w:t xml:space="preserve">فی الخلاف </w:t>
      </w:r>
      <w:r>
        <w:rPr>
          <w:rStyle w:val="FootnoteAnchor"/>
          <w:rtl w:val="true"/>
        </w:rPr>
        <w:footnoteReference w:id="1321"/>
      </w:r>
      <w:r>
        <w:rPr>
          <w:rFonts w:ascii="IRNazanin" w:hAnsi="IRNazanin" w:eastAsia="IRNazanin"/>
          <w:color w:val="111111"/>
          <w:sz w:val="28"/>
          <w:sz w:val="28"/>
          <w:szCs w:val="28"/>
          <w:rtl w:val="true"/>
          <w:lang w:bidi="fa-IR"/>
        </w:rPr>
        <w:t xml:space="preserve">و غیره </w:t>
      </w:r>
      <w:r>
        <w:rPr>
          <w:rStyle w:val="FootnoteAnchor"/>
          <w:rtl w:val="true"/>
        </w:rPr>
        <w:footnoteReference w:id="1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فَاعْتَدُوا عَلَیْهِ بِمِثْلِ مَا اعْتَدیٰ عَلَیْکُمْ </w:t>
      </w:r>
      <w:r>
        <w:rPr>
          <w:rStyle w:val="FootnoteAnchor"/>
          <w:rtl w:val="true"/>
        </w:rPr>
        <w:footnoteReference w:id="1323"/>
      </w:r>
      <w:r>
        <w:rPr>
          <w:rFonts w:ascii="Amiri" w:hAnsi="Amiri" w:eastAsia="Amiri" w:cs="Amiri"/>
          <w:color w:val="111111"/>
          <w:sz w:val="28"/>
          <w:sz w:val="28"/>
          <w:szCs w:val="28"/>
          <w:rtl w:val="true"/>
          <w:lang w:bidi="ar-SA"/>
        </w:rPr>
        <w:t>بناءً علی أنّ القیمة</w:t>
      </w:r>
    </w:p>
    <w:p>
      <w:pPr>
        <w:pStyle w:val="BookText"/>
        <w:rPr/>
      </w:pPr>
      <w:r>
        <w:rPr>
          <w:rFonts w:ascii="Amiri" w:hAnsi="Amiri" w:eastAsia="Amiri" w:cs="Amiri"/>
          <w:color w:val="111111"/>
          <w:sz w:val="28"/>
          <w:sz w:val="28"/>
          <w:szCs w:val="28"/>
          <w:rtl w:val="true"/>
          <w:lang w:bidi="ar-SA"/>
        </w:rPr>
        <w:t xml:space="preserve">مماثلة </w:t>
      </w:r>
      <w:r>
        <w:rPr>
          <w:rStyle w:val="FootnoteAnchor"/>
          <w:rtl w:val="true"/>
        </w:rPr>
        <w:footnoteReference w:id="1324"/>
      </w:r>
      <w:r>
        <w:rPr>
          <w:rFonts w:ascii="IRNazanin" w:hAnsi="IRNazanin" w:eastAsia="IRNazanin"/>
          <w:color w:val="111111"/>
          <w:sz w:val="28"/>
          <w:sz w:val="28"/>
          <w:szCs w:val="28"/>
          <w:rtl w:val="true"/>
          <w:lang w:bidi="fa-IR"/>
        </w:rPr>
        <w:t>للتالف فی المالیة،فإنّ ظاهر ذلک جعلها من باب الأقرب إلی التالف بعد تعذّر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کان،فقد حکی الخلاف فی ذلک عن الإسکافی </w:t>
      </w:r>
      <w:r>
        <w:rPr>
          <w:rStyle w:val="FootnoteAnchor"/>
          <w:rtl w:val="true"/>
        </w:rPr>
        <w:footnoteReference w:id="1325"/>
      </w:r>
      <w:r>
        <w:rPr>
          <w:rFonts w:ascii="IRNazanin" w:hAnsi="IRNazanin" w:eastAsia="IRNazanin"/>
          <w:color w:val="111111"/>
          <w:sz w:val="28"/>
          <w:sz w:val="28"/>
          <w:szCs w:val="28"/>
          <w:rtl w:val="true"/>
          <w:lang w:bidi="fa-IR"/>
        </w:rPr>
        <w:t xml:space="preserve">،و عن الشیخ و المحقّق فی الخلاف و الشرائع فی باب القرض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أرادوا ذلک مطلقاً حتّی مع تعذّر المثل فیکون القیمة عندهم بدلاً عن المثل حتّی یترتّب علیه وجوب قیمة یوم 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ذکروا ذلک احتمالاً فی مسألة تعیّن القیمة </w:t>
      </w:r>
      <w:r>
        <w:rPr>
          <w:rStyle w:val="FootnoteAnchor"/>
          <w:rtl w:val="true"/>
        </w:rPr>
        <w:footnoteReference w:id="1327"/>
      </w:r>
      <w:r>
        <w:rPr>
          <w:rFonts w:ascii="IRNazanin" w:hAnsi="IRNazanin" w:eastAsia="IRNazanin"/>
          <w:color w:val="111111"/>
          <w:sz w:val="28"/>
          <w:sz w:val="28"/>
          <w:szCs w:val="28"/>
          <w:rtl w:val="true"/>
          <w:lang w:bidi="fa-IR"/>
        </w:rPr>
        <w:t>متفرّعاً علی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فیردّه إطلاقات </w:t>
      </w:r>
      <w:r>
        <w:rPr>
          <w:rStyle w:val="FootnoteAnchor"/>
          <w:rtl w:val="true"/>
        </w:rPr>
        <w:footnoteReference w:id="1328"/>
      </w:r>
      <w:r>
        <w:rPr>
          <w:rFonts w:ascii="IRNazanin" w:hAnsi="IRNazanin" w:eastAsia="IRNazanin"/>
          <w:color w:val="111111"/>
          <w:sz w:val="28"/>
          <w:sz w:val="28"/>
          <w:szCs w:val="28"/>
          <w:rtl w:val="true"/>
          <w:lang w:bidi="fa-IR"/>
        </w:rPr>
        <w:t>الروایات الکثیرة فی موارد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أبی ولاّد الآتیة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تقویم العبد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أنّه إذا تلف الرهن بتفریط المرتهن سقط من ذمّته </w:t>
      </w:r>
      <w:r>
        <w:rPr>
          <w:rStyle w:val="FootnoteAnchor"/>
          <w:rtl w:val="true"/>
        </w:rPr>
        <w:footnoteReference w:id="1331"/>
      </w:r>
      <w:bookmarkStart w:id="351" w:name="pg19763_247989"/>
    </w:p>
    <w:p>
      <w:pPr>
        <w:pStyle w:val="BookText"/>
        <w:rPr/>
      </w:pPr>
      <w:bookmarkEnd w:id="351"/>
      <w:r>
        <w:rPr>
          <w:rFonts w:ascii="IRNazanin" w:hAnsi="IRNazanin" w:eastAsia="IRNazanin"/>
          <w:color w:val="111111"/>
          <w:sz w:val="28"/>
          <w:sz w:val="28"/>
          <w:szCs w:val="28"/>
          <w:rtl w:val="true"/>
          <w:lang w:bidi="fa-IR"/>
        </w:rPr>
        <w:t xml:space="preserve">بحساب ذلک </w:t>
      </w:r>
      <w:r>
        <w:rPr>
          <w:rStyle w:val="FootnoteAnchor"/>
          <w:rtl w:val="true"/>
        </w:rPr>
        <w:footnoteReference w:id="1332"/>
      </w:r>
      <w:r>
        <w:rPr>
          <w:rFonts w:ascii="IRNazanin" w:hAnsi="IRNazanin" w:eastAsia="IRNazanin"/>
          <w:color w:val="111111"/>
          <w:sz w:val="28"/>
          <w:sz w:val="28"/>
          <w:szCs w:val="28"/>
          <w:rtl w:val="true"/>
          <w:lang w:bidi="fa-IR"/>
        </w:rPr>
        <w:t>،فلولا ضمان التالف بالقیمة لم یکن وجه لسقوط الدین بمجرّد ضمان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ذلک من الأخبار الکثیرة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أرادوا أنّه مع تیسّر المثل یجب المثل لم یکن بعیداً؛نظراً إلی ظاهر آیة الاعتداء </w:t>
      </w:r>
      <w:r>
        <w:rPr>
          <w:rStyle w:val="FootnoteAnchor"/>
          <w:rtl w:val="true"/>
        </w:rPr>
        <w:footnoteReference w:id="1334"/>
      </w:r>
      <w:r>
        <w:rPr>
          <w:rFonts w:ascii="IRNazanin" w:hAnsi="IRNazanin" w:eastAsia="IRNazanin"/>
          <w:color w:val="111111"/>
          <w:sz w:val="28"/>
          <w:sz w:val="28"/>
          <w:szCs w:val="28"/>
          <w:rtl w:val="true"/>
          <w:lang w:bidi="fa-IR"/>
        </w:rPr>
        <w:t xml:space="preserve">و نفی الضرر </w:t>
      </w:r>
      <w:r>
        <w:rPr>
          <w:rStyle w:val="FootnoteAnchor"/>
          <w:rtl w:val="true"/>
        </w:rPr>
        <w:footnoteReference w:id="1335"/>
      </w:r>
      <w:r>
        <w:rPr>
          <w:rFonts w:ascii="IRNazanin" w:hAnsi="IRNazanin" w:eastAsia="IRNazanin"/>
          <w:color w:val="111111"/>
          <w:sz w:val="28"/>
          <w:sz w:val="28"/>
          <w:szCs w:val="28"/>
          <w:rtl w:val="true"/>
          <w:lang w:bidi="fa-IR"/>
        </w:rPr>
        <w:t xml:space="preserve">لأنّ خصوصیات الحقائق قد تقصد،اللّهم إلّا أن یحقّق إجماع علی خلافه و لو من جهة أنّ ظاهر کلمات هؤلاء </w:t>
      </w:r>
      <w:r>
        <w:rPr>
          <w:rStyle w:val="FootnoteAnchor"/>
          <w:rtl w:val="true"/>
        </w:rPr>
        <w:footnoteReference w:id="1336"/>
      </w:r>
      <w:r>
        <w:rPr>
          <w:rFonts w:ascii="IRNazanin" w:hAnsi="IRNazanin" w:eastAsia="IRNazanin"/>
          <w:color w:val="111111"/>
          <w:sz w:val="28"/>
          <w:sz w:val="28"/>
          <w:szCs w:val="28"/>
          <w:rtl w:val="true"/>
          <w:lang w:bidi="fa-IR"/>
        </w:rPr>
        <w:t>إطلاق القول بضمان المثل،فیکون الفصل بین التیسّر و عدمه قولاً ثالثاً فی المسألة</w:t>
      </w:r>
      <w:r>
        <w:rPr>
          <w:rFonts w:eastAsia="IRNazanin" w:cs="IRNazanin"/>
          <w:color w:val="111111"/>
          <w:sz w:val="28"/>
          <w:szCs w:val="28"/>
          <w:rtl w:val="true"/>
          <w:lang w:bidi="fa-IR"/>
        </w:rPr>
        <w:t>.</w:t>
      </w:r>
    </w:p>
    <w:p>
      <w:pPr>
        <w:pStyle w:val="Heading6"/>
        <w:numPr>
          <w:ilvl w:val="5"/>
          <w:numId w:val="1"/>
        </w:numPr>
        <w:rPr/>
      </w:pPr>
      <w:bookmarkStart w:id="352" w:name="__RefHeading___Toc5082692_2314609296"/>
      <w:bookmarkStart w:id="353" w:name="_Toc137"/>
      <w:bookmarkEnd w:id="352"/>
      <w:r>
        <w:rPr>
          <w:rtl w:val="true"/>
        </w:rPr>
        <w:t>[</w:t>
      </w:r>
      <w:r>
        <w:rPr>
          <w:rtl w:val="true"/>
        </w:rPr>
        <w:t>ما هو المعیار فی تعیین القیمة فی المقبوض بالعقد الفاسد؟</w:t>
      </w:r>
      <w:r>
        <w:rPr>
          <w:rtl w:val="true"/>
        </w:rPr>
        <w:t>]</w:t>
      </w:r>
      <w:bookmarkEnd w:id="353"/>
    </w:p>
    <w:p>
      <w:pPr>
        <w:pStyle w:val="BookText"/>
        <w:rPr/>
      </w:pPr>
      <w:r>
        <w:rPr>
          <w:rFonts w:ascii="IRNazanin" w:hAnsi="IRNazanin" w:eastAsia="IRNazanin"/>
          <w:color w:val="111111"/>
          <w:sz w:val="28"/>
          <w:sz w:val="28"/>
          <w:szCs w:val="28"/>
          <w:rtl w:val="true"/>
          <w:lang w:bidi="fa-IR"/>
        </w:rPr>
        <w:t>ثمّ إنّهم اختلفوا فی تعیین القیمة فی المقبوض بالبیع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فالمحکیّ فی غایة المراد </w:t>
      </w:r>
      <w:r>
        <w:rPr>
          <w:rStyle w:val="FootnoteAnchor"/>
          <w:rtl w:val="true"/>
        </w:rPr>
        <w:footnoteReference w:id="1337"/>
      </w:r>
      <w:r>
        <w:rPr>
          <w:rFonts w:ascii="IRNazanin" w:hAnsi="IRNazanin" w:eastAsia="IRNazanin"/>
          <w:color w:val="111111"/>
          <w:sz w:val="28"/>
          <w:sz w:val="28"/>
          <w:szCs w:val="28"/>
          <w:rtl w:val="true"/>
          <w:lang w:bidi="fa-IR"/>
        </w:rPr>
        <w:t>عن الشیخین و أتباعهما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تعیّن قیمة یوم التلف،و عن الدروس </w:t>
      </w:r>
      <w:r>
        <w:rPr>
          <w:rStyle w:val="FootnoteAnchor"/>
          <w:rtl w:val="true"/>
        </w:rPr>
        <w:footnoteReference w:id="1338"/>
      </w:r>
      <w:r>
        <w:rPr>
          <w:rFonts w:ascii="Amiri" w:hAnsi="Amiri" w:eastAsia="Amiri" w:cs="Amiri"/>
          <w:color w:val="111111"/>
          <w:sz w:val="28"/>
          <w:sz w:val="28"/>
          <w:szCs w:val="28"/>
          <w:rtl w:val="true"/>
          <w:lang w:bidi="ar-SA"/>
        </w:rPr>
        <w:t xml:space="preserve">و الروضة </w:t>
      </w:r>
      <w:r>
        <w:rPr>
          <w:rStyle w:val="FootnoteAnchor"/>
          <w:rtl w:val="true"/>
        </w:rPr>
        <w:footnoteReference w:id="1339"/>
      </w:r>
      <w:r>
        <w:rPr>
          <w:rFonts w:ascii="IRNazanin" w:hAnsi="IRNazanin" w:eastAsia="IRNazanin"/>
          <w:color w:val="111111"/>
          <w:sz w:val="28"/>
          <w:sz w:val="28"/>
          <w:szCs w:val="28"/>
          <w:rtl w:val="true"/>
          <w:lang w:bidi="fa-IR"/>
        </w:rPr>
        <w:t>نسبته إلی الأکثر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نبّه علیه جماعة،منهم العلّامة فی التحریر </w:t>
      </w:r>
      <w:r>
        <w:rPr>
          <w:rStyle w:val="FootnoteAnchor"/>
          <w:rtl w:val="true"/>
        </w:rPr>
        <w:footnoteReference w:id="1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الانتقال إلی البدل إنّما هو یوم التلف؛إذ الواجب قبله</w:t>
      </w:r>
      <w:bookmarkStart w:id="354" w:name="pg19763_247990"/>
    </w:p>
    <w:p>
      <w:pPr>
        <w:pStyle w:val="BookText"/>
        <w:rPr/>
      </w:pPr>
      <w:bookmarkEnd w:id="354"/>
      <w:r>
        <w:rPr>
          <w:rFonts w:ascii="Amiri" w:hAnsi="Amiri" w:eastAsia="Amiri" w:cs="Amiri"/>
          <w:color w:val="111111"/>
          <w:sz w:val="28"/>
          <w:sz w:val="28"/>
          <w:szCs w:val="28"/>
          <w:rtl w:val="true"/>
          <w:lang w:bidi="ar-SA"/>
        </w:rPr>
        <w:t>هو ردّ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یورد </w:t>
      </w:r>
      <w:r>
        <w:rPr>
          <w:rStyle w:val="FootnoteAnchor"/>
          <w:rtl w:val="true"/>
        </w:rPr>
        <w:footnoteReference w:id="1341"/>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یوم التلف یوم الانتقال إلی القیمة،أمّا کون المنتقل إلیها قیمة یوم التلف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معنی ضمان العین عند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فی عهدته،و معنی ذلک وجوب تدارکه ببدله عند التلف،حتّی یکون عند التلف </w:t>
      </w:r>
      <w:r>
        <w:rPr>
          <w:rStyle w:val="FootnoteAnchor"/>
          <w:rtl w:val="true"/>
        </w:rPr>
        <w:footnoteReference w:id="1342"/>
      </w:r>
      <w:r>
        <w:rPr>
          <w:rFonts w:ascii="IRNazanin" w:hAnsi="IRNazanin" w:eastAsia="IRNazanin"/>
          <w:color w:val="111111"/>
          <w:sz w:val="28"/>
          <w:sz w:val="28"/>
          <w:szCs w:val="28"/>
          <w:rtl w:val="true"/>
          <w:lang w:bidi="fa-IR"/>
        </w:rPr>
        <w:t xml:space="preserve">کأنه لم یتلف،و تدارکه </w:t>
      </w:r>
      <w:r>
        <w:rPr>
          <w:rStyle w:val="FootnoteAnchor"/>
          <w:rtl w:val="true"/>
        </w:rPr>
        <w:footnoteReference w:id="1343"/>
      </w:r>
      <w:r>
        <w:rPr>
          <w:rFonts w:ascii="IRNazanin" w:hAnsi="IRNazanin" w:eastAsia="IRNazanin"/>
          <w:color w:val="111111"/>
          <w:sz w:val="28"/>
          <w:sz w:val="28"/>
          <w:szCs w:val="28"/>
          <w:rtl w:val="true"/>
          <w:lang w:bidi="fa-IR"/>
        </w:rPr>
        <w:t>علی هذا النحو بالتزام مال معادل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w:t>
      </w:r>
    </w:p>
    <w:p>
      <w:pPr>
        <w:pStyle w:val="Heading6"/>
        <w:numPr>
          <w:ilvl w:val="5"/>
          <w:numId w:val="1"/>
        </w:numPr>
        <w:rPr/>
      </w:pPr>
      <w:bookmarkStart w:id="355" w:name="__RefHeading___Toc5082694_2314609296"/>
      <w:bookmarkStart w:id="356" w:name="_Toc138"/>
      <w:bookmarkEnd w:id="355"/>
      <w:r>
        <w:rPr>
          <w:rtl w:val="true"/>
        </w:rPr>
        <w:t>[</w:t>
      </w:r>
      <w:r>
        <w:rPr>
          <w:rtl w:val="true"/>
        </w:rPr>
        <w:t>الأصل فی ضمان التالف</w:t>
      </w:r>
      <w:r>
        <w:rPr>
          <w:rtl w:val="true"/>
        </w:rPr>
        <w:t>:</w:t>
      </w:r>
      <w:r>
        <w:rPr>
          <w:rtl w:val="true"/>
        </w:rPr>
        <w:t>ضمانه بقیمته یوم التلف</w:t>
      </w:r>
      <w:r>
        <w:rPr>
          <w:rtl w:val="true"/>
        </w:rPr>
        <w:t>]</w:t>
      </w:r>
      <w:bookmarkEnd w:id="356"/>
    </w:p>
    <w:p>
      <w:pPr>
        <w:pStyle w:val="BookText"/>
        <w:rPr/>
      </w:pPr>
      <w:r>
        <w:rPr>
          <w:rFonts w:ascii="IRNazanin" w:hAnsi="IRNazanin" w:eastAsia="IRNazanin"/>
          <w:color w:val="111111"/>
          <w:sz w:val="28"/>
          <w:sz w:val="28"/>
          <w:szCs w:val="28"/>
          <w:rtl w:val="true"/>
          <w:lang w:bidi="fa-IR"/>
        </w:rPr>
        <w:t>و ممّا ذکرنا ظهر أنّ الأصل فی ضمان 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ضمانه بقیمته یوم التلف،فإن خرج المغصوب من ذلک </w:t>
      </w:r>
      <w:r>
        <w:rPr>
          <w:rStyle w:val="FootnoteAnchor"/>
          <w:rtl w:val="true"/>
        </w:rPr>
        <w:footnoteReference w:id="1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فبدلیل من </w:t>
      </w:r>
      <w:r>
        <w:rPr>
          <w:rStyle w:val="FootnoteAnchor"/>
          <w:rtl w:val="true"/>
        </w:rPr>
        <w:footnoteReference w:id="1346"/>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w:t>
      </w:r>
    </w:p>
    <w:p>
      <w:pPr>
        <w:pStyle w:val="Heading6"/>
        <w:numPr>
          <w:ilvl w:val="5"/>
          <w:numId w:val="1"/>
        </w:numPr>
        <w:rPr/>
      </w:pPr>
      <w:bookmarkStart w:id="357" w:name="__RefHeading___Toc5082696_2314609296"/>
      <w:bookmarkStart w:id="358" w:name="_Toc139"/>
      <w:bookmarkEnd w:id="357"/>
      <w:r>
        <w:rPr>
          <w:rtl w:val="true"/>
        </w:rPr>
        <w:t>[</w:t>
      </w:r>
      <w:r>
        <w:rPr>
          <w:rtl w:val="true"/>
        </w:rPr>
        <w:t>الاستدلال بصحیحة أبی ولاد علی أن العبرة بقیمة یوم الضمان</w:t>
      </w:r>
      <w:r>
        <w:rPr>
          <w:rtl w:val="true"/>
        </w:rPr>
        <w:t>]</w:t>
      </w:r>
      <w:bookmarkEnd w:id="35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تمّ ما تقدّم عن الحلّی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دعوی الاتّفاق علی کون البیع </w:t>
      </w:r>
      <w:r>
        <w:rPr>
          <w:rStyle w:val="FootnoteAnchor"/>
          <w:rtl w:val="true"/>
        </w:rPr>
        <w:footnoteReference w:id="1347"/>
      </w:r>
      <w:r>
        <w:rPr>
          <w:rFonts w:ascii="IRNazanin" w:hAnsi="IRNazanin" w:eastAsia="IRNazanin"/>
          <w:color w:val="111111"/>
          <w:sz w:val="28"/>
          <w:sz w:val="28"/>
          <w:szCs w:val="28"/>
          <w:rtl w:val="true"/>
          <w:lang w:bidi="fa-IR"/>
        </w:rPr>
        <w:t xml:space="preserve">فاسداً بمنزلة المغصوب إلّا فی ارتفاع الإثم </w:t>
      </w:r>
      <w:r>
        <w:rPr>
          <w:rStyle w:val="FootnoteAnchor"/>
          <w:rtl w:val="true"/>
        </w:rPr>
        <w:footnoteReference w:id="1348"/>
      </w:r>
      <w:r>
        <w:rPr>
          <w:rFonts w:ascii="IRNazanin" w:hAnsi="IRNazanin" w:eastAsia="IRNazanin"/>
          <w:color w:val="111111"/>
          <w:sz w:val="28"/>
          <w:sz w:val="28"/>
          <w:szCs w:val="28"/>
          <w:rtl w:val="true"/>
          <w:lang w:bidi="fa-IR"/>
        </w:rPr>
        <w:t>،ألحقناه بالمغصوب إن ثبت فیه حکم مخالف لهذا الأصل،بل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فی المغصوب الاعتبار بقیمة یوم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صحیحة</w:t>
      </w:r>
    </w:p>
    <w:p>
      <w:pPr>
        <w:pStyle w:val="BookText"/>
        <w:rPr/>
      </w:pPr>
      <w:r>
        <w:rPr>
          <w:rFonts w:ascii="IRNazanin" w:hAnsi="IRNazanin" w:eastAsia="IRNazanin"/>
          <w:color w:val="111111"/>
          <w:sz w:val="28"/>
          <w:sz w:val="28"/>
          <w:szCs w:val="28"/>
          <w:rtl w:val="true"/>
          <w:lang w:bidi="fa-IR"/>
        </w:rPr>
        <w:t>أبی ولاّد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ذلک عن عدم اقتضاء إطلاقات الضمان لاعتبار قیمة یوم التلف؛إذ یلزم حینئذٍ أن یکون المغصوب عند کون قیمته یوم التلف أضعاف ما کانت یوم الغصب غیر واجب التدارک عند التلف؛لما ذکرنا من أنّ معنی التدارک التزام </w:t>
      </w:r>
      <w:r>
        <w:rPr>
          <w:rStyle w:val="FootnoteAnchor"/>
          <w:rtl w:val="true"/>
        </w:rPr>
        <w:footnoteReference w:id="1349"/>
      </w:r>
      <w:r>
        <w:rPr>
          <w:rFonts w:ascii="IRNazanin" w:hAnsi="IRNazanin" w:eastAsia="IRNazanin"/>
          <w:color w:val="111111"/>
          <w:sz w:val="28"/>
          <w:sz w:val="28"/>
          <w:szCs w:val="28"/>
          <w:rtl w:val="true"/>
          <w:lang w:bidi="fa-IR"/>
        </w:rPr>
        <w:t>بقیمته یوم وجوب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فرض دلالة الصحیحة علی وجوب أعلی القیم،أمکن جعل التزام الغاصب بالزائد علی مقتضی التدارک مؤاخذة له بأشقّ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الکلام إلی معنی الصحیحة بعد ذکرها؛ لیلحق به البیع الفاسد،إمّا لما ادّعاه الحلّی </w:t>
      </w:r>
      <w:r>
        <w:rPr>
          <w:rStyle w:val="FootnoteAnchor"/>
          <w:rtl w:val="true"/>
        </w:rPr>
        <w:footnoteReference w:id="1350"/>
      </w:r>
      <w:r>
        <w:rPr>
          <w:rFonts w:ascii="IRNazanin" w:hAnsi="IRNazanin" w:eastAsia="IRNazanin"/>
          <w:color w:val="111111"/>
          <w:sz w:val="28"/>
          <w:sz w:val="28"/>
          <w:szCs w:val="28"/>
          <w:rtl w:val="true"/>
          <w:lang w:bidi="fa-IR"/>
        </w:rPr>
        <w:t>،و إمّا لکشف الصحیحة عن معنی التدارک و الغرامة فی المضمونات،و کون العبرة فی جمیعها بیوم الضمان،کما هو أحد الأقوال فیما نحن فیه من البیع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الصحیحة مشتملة علی أحکام کثیرة و فوائد خطیرة، فلا بأس بذکرها جمیعاً و إن کان الغرض متعلّقاً ببعضها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w:t>
      </w:r>
      <w:r>
        <w:rPr>
          <w:rStyle w:val="FootnoteAnchor"/>
          <w:rtl w:val="true"/>
        </w:rPr>
        <w:footnoteReference w:id="1351"/>
      </w:r>
      <w:r>
        <w:rPr>
          <w:rFonts w:ascii="IRNazanin" w:hAnsi="IRNazanin" w:eastAsia="IRNazanin"/>
          <w:color w:val="111111"/>
          <w:sz w:val="28"/>
          <w:sz w:val="28"/>
          <w:szCs w:val="28"/>
          <w:rtl w:val="true"/>
          <w:lang w:bidi="fa-IR"/>
        </w:rPr>
        <w:t>الشیخ فی الصحیح عن أبی ولاّد،قال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اکتریت بغلاً إلی قصر بنی هبیرة </w:t>
      </w:r>
      <w:r>
        <w:rPr>
          <w:rStyle w:val="FootnoteAnchor"/>
          <w:rtl w:val="true"/>
        </w:rPr>
        <w:footnoteReference w:id="1352"/>
      </w:r>
      <w:r>
        <w:rPr>
          <w:rFonts w:ascii="IRNazanin" w:hAnsi="IRNazanin" w:eastAsia="IRNazanin"/>
          <w:color w:val="111111"/>
          <w:sz w:val="28"/>
          <w:sz w:val="28"/>
          <w:szCs w:val="28"/>
          <w:rtl w:val="true"/>
          <w:lang w:bidi="fa-IR"/>
        </w:rPr>
        <w:t>ذاهباً و جائیاً بکذا و کذا،و خرجت فی طلب غریمٍ</w:t>
      </w:r>
    </w:p>
    <w:p>
      <w:pPr>
        <w:pStyle w:val="BookText"/>
        <w:rPr/>
      </w:pPr>
      <w:r>
        <w:rPr>
          <w:rFonts w:ascii="IRNazanin" w:hAnsi="IRNazanin" w:eastAsia="IRNazanin"/>
          <w:color w:val="111111"/>
          <w:sz w:val="28"/>
          <w:sz w:val="28"/>
          <w:szCs w:val="28"/>
          <w:rtl w:val="true"/>
          <w:lang w:bidi="fa-IR"/>
        </w:rPr>
        <w:t xml:space="preserve">لی،فلمّا صرت إلی قرب قنطرة الکوفة خُبّرت أنّ صاحبی توجّه إلی النیل </w:t>
      </w:r>
      <w:r>
        <w:rPr>
          <w:rStyle w:val="FootnoteAnchor"/>
          <w:rtl w:val="true"/>
        </w:rPr>
        <w:footnoteReference w:id="1353"/>
      </w:r>
      <w:r>
        <w:rPr>
          <w:rFonts w:ascii="IRNazanin" w:hAnsi="IRNazanin" w:eastAsia="IRNazanin"/>
          <w:color w:val="111111"/>
          <w:sz w:val="28"/>
          <w:sz w:val="28"/>
          <w:szCs w:val="28"/>
          <w:rtl w:val="true"/>
          <w:lang w:bidi="fa-IR"/>
        </w:rPr>
        <w:t>،فتوجّهت نحو النیل،فلمّا أتیت النیل خُبّرت أنّه توجّه إلی بغداد،فأتبعته فظفرت به و فرغت فیما بینی و بینه،و رجعت إلی الکوفة، و کان ذهابی و مجیئی خمسة عشر یوماً،فأخبرت صاحب البغل بعذری، و أردت أن أتحلّل منه فیما صنعت و أُرضیه،فبذلت له خمسة عشر درهماً فأبی أن یقبل،فتراضینا بأبی حنیفة،و أخبرته بالقصّة و أخبره الرجل،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بالبغل؟فقلت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رجعته 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نعم،بعد خمسة عشر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ترید من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کری بغلی فقد حبسه علیّ خمسة عشر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ما أری لک حقّا؛لأنّه اکتراه إلی قصر بنی هبیرة فخالف فرکبه إلی النیل و إلی بغداد،فضمن قیمة البغل و سقط الکری،فلمّا ردّ البغل سلیماً و قبضته لم یلزمه الکری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فخرجنا من عنده و جعل صاحب البغل یسترجع،فرحمته ممّا أفتی به أبو حنیفة،و أعطیته شیئاً و تحلّلت منه،و حججت تلک السنة فأخبرت أبا عبد اللّه علیه السلام بما أفتی به أبو حنیفة،فقال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هذا القضاء و شبهه تحبس السماء ماءَها و تمنع الأرض برکتها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له علیک مثل کری البغل ذاهباً من الکوفة إلی النیل و مثل کری البغل من النیل إلی بغداد، و مثل کری البغل من بغداد إلی الکوفة،و توفّیه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فداک،قد علفته بدراهم،فلی علیه علفه؟قال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لا؛لأنّک 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عطب البغل أو أنفق،أ لیس کان یلزمنی؟</w:t>
      </w:r>
      <w:bookmarkStart w:id="359" w:name="pg19763_247993"/>
    </w:p>
    <w:p>
      <w:pPr>
        <w:pStyle w:val="BookText"/>
        <w:rPr/>
      </w:pPr>
      <w:bookmarkEnd w:id="35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نعم،قیمة بغل یوم 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 البغل کسر أو دَبر أو عقر؟فقال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قیمة ما بین الصحّة و العیب یوم تردّه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یعرف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هو،إمّا أن یحلف هو علی القیمة فیلزمک،فإن ردّ الیمین علیک فحلفت علی القیمة لزمک ذلک،أو یأتی صاحب البغل بشهود یشهدون أنّ قیمة البغل حین اکتری کذا و کذا فیلزمک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أعطیته دراهم و رضی بها و حلّلنی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رضی فأحلّک حین قضی علیه أبو حنیفة بالجور و الظلم،و لکن ارجع إلیه و أخبره بما أفتیتک به،فإن جعلک فی حلٍّ بعد معرفته فلا شیء علیک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0" w:name="__RefHeading___Toc5082698_2314609296"/>
      <w:bookmarkStart w:id="361" w:name="_Toc140"/>
      <w:bookmarkEnd w:id="360"/>
      <w:r>
        <w:rPr>
          <w:rtl w:val="true"/>
        </w:rPr>
        <w:t>و محلّ الاستشهاد فیه فِقْرتان</w:t>
      </w:r>
      <w:r>
        <w:rPr>
          <w:rtl w:val="true"/>
        </w:rPr>
        <w:t>:</w:t>
      </w:r>
      <w:bookmarkEnd w:id="361"/>
    </w:p>
    <w:p>
      <w:pPr>
        <w:pStyle w:val="Heading6"/>
        <w:numPr>
          <w:ilvl w:val="5"/>
          <w:numId w:val="1"/>
        </w:numPr>
        <w:rPr/>
      </w:pPr>
      <w:bookmarkStart w:id="362" w:name="__RefHeading___Toc5082700_2314609296"/>
      <w:bookmarkStart w:id="363" w:name="_Toc141"/>
      <w:bookmarkEnd w:id="362"/>
      <w:r>
        <w:rPr>
          <w:rtl w:val="true"/>
        </w:rPr>
        <w:t>الاُولی</w:t>
      </w:r>
      <w:r>
        <w:rPr>
          <w:rtl w:val="true"/>
        </w:rPr>
        <w:t>:</w:t>
      </w:r>
      <w:r>
        <w:rPr>
          <w:rtl w:val="true"/>
        </w:rPr>
        <w:t>قوله</w:t>
      </w:r>
      <w:r>
        <w:rPr>
          <w:rtl w:val="true"/>
        </w:rPr>
        <w:t>:«</w:t>
      </w:r>
      <w:r>
        <w:rPr>
          <w:rtl w:val="true"/>
        </w:rPr>
        <w:t>نعم،قیمة بغل یوم خالفته</w:t>
      </w:r>
      <w:r>
        <w:rPr>
          <w:rtl w:val="true"/>
        </w:rPr>
        <w:t>»</w:t>
      </w:r>
      <w:r>
        <w:rPr>
          <w:rtl w:val="true"/>
        </w:rPr>
        <w:t>إلی ما بعد،</w:t>
      </w:r>
      <w:bookmarkEnd w:id="363"/>
    </w:p>
    <w:p>
      <w:pPr>
        <w:pStyle w:val="BookText"/>
        <w:rPr/>
      </w:pPr>
      <w:r>
        <w:rPr>
          <w:rFonts w:ascii="IRNazanin" w:hAnsi="IRNazanin" w:eastAsia="IRNazanin"/>
          <w:color w:val="111111"/>
          <w:sz w:val="28"/>
          <w:sz w:val="28"/>
          <w:szCs w:val="28"/>
          <w:rtl w:val="true"/>
          <w:lang w:bidi="fa-IR"/>
        </w:rPr>
        <w:t>فإنّ الظاهر أنّ الیوم قید للقیمة،إمّا بإضافة القیمة المضافة إلی البغل إلیه ثانیاً،یعنی قیمة یوم المخالفة للبغل،فیکون إسقاط حرف التعریف من البغل للإضافة،لا لأنّ ذا القیمة بغل غیر معیّن،حتّی توهم الروایة مذهب مَن جعل القیمی مضموناً بالمثل،و القیمة إنّما هی قیمة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بجعل الیوم قیداً للاختصاص الحاصل من إضافة القیمة إلی البغل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احتمله جماعة </w:t>
      </w:r>
      <w:r>
        <w:rPr>
          <w:rStyle w:val="FootnoteAnchor"/>
          <w:rtl w:val="true"/>
        </w:rPr>
        <w:footnoteReference w:id="1355"/>
      </w:r>
      <w:r>
        <w:rPr>
          <w:rFonts w:ascii="IRNazanin" w:hAnsi="IRNazanin" w:eastAsia="IRNazanin"/>
          <w:color w:val="111111"/>
          <w:sz w:val="28"/>
          <w:sz w:val="28"/>
          <w:szCs w:val="28"/>
          <w:rtl w:val="true"/>
          <w:lang w:bidi="fa-IR"/>
        </w:rPr>
        <w:t>من تعلّق الظرف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bookmarkStart w:id="364" w:name="pg19763_247994"/>
    </w:p>
    <w:p>
      <w:pPr>
        <w:pStyle w:val="BookText"/>
        <w:rPr/>
      </w:pPr>
      <w:bookmarkEnd w:id="364"/>
      <w:r>
        <w:rPr>
          <w:rFonts w:ascii="IRNazanin" w:hAnsi="IRNazanin" w:eastAsia="IRNazanin"/>
          <w:color w:val="111111"/>
          <w:sz w:val="28"/>
          <w:sz w:val="28"/>
          <w:szCs w:val="28"/>
          <w:rtl w:val="true"/>
          <w:lang w:bidi="fa-IR"/>
        </w:rPr>
        <w:t>مقام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یلزمک یوم المخالفة قیمة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فبعید جدّاً،بل غیر ممکن؛لأنّ السائل إنّما سأل عمّا یلزمه بعد التلف بسبب المخالفة بعد العلم بکون زمان المخالفة زمان حدوث الضمان،کما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عطب البغل،أو نفق أ لیس کان یلزمنی؟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یلزمک بعد التلف بسبب المخالفة قیمة بغل یوم 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أطنب بعضٌ فی </w:t>
      </w:r>
      <w:r>
        <w:rPr>
          <w:rStyle w:val="FootnoteAnchor"/>
          <w:rtl w:val="true"/>
        </w:rPr>
        <w:footnoteReference w:id="1356"/>
      </w:r>
      <w:r>
        <w:rPr>
          <w:rFonts w:ascii="IRNazanin" w:hAnsi="IRNazanin" w:eastAsia="IRNazanin"/>
          <w:color w:val="111111"/>
          <w:sz w:val="28"/>
          <w:sz w:val="28"/>
          <w:szCs w:val="28"/>
          <w:rtl w:val="true"/>
          <w:lang w:bidi="fa-IR"/>
        </w:rPr>
        <w:t xml:space="preserve">جعل الفِقْرة ظاهرة فی تعلّق الظرف بلزوم القیمة علیه </w:t>
      </w:r>
      <w:r>
        <w:rPr>
          <w:rStyle w:val="FootnoteAnchor"/>
          <w:rtl w:val="true"/>
        </w:rPr>
        <w:footnoteReference w:id="1357"/>
      </w:r>
      <w:r>
        <w:rPr>
          <w:rFonts w:ascii="IRNazanin" w:hAnsi="IRNazanin" w:eastAsia="IRNazanin"/>
          <w:color w:val="111111"/>
          <w:sz w:val="28"/>
          <w:sz w:val="28"/>
          <w:szCs w:val="28"/>
          <w:rtl w:val="true"/>
          <w:lang w:bidi="fa-IR"/>
        </w:rPr>
        <w:t>،و لم یأتِ بشیءٍ یساعده الترکیب اللغوی،و لا المتفاهم العرفی</w:t>
      </w:r>
      <w:r>
        <w:rPr>
          <w:rFonts w:eastAsia="IRNazanin" w:cs="IRNazanin"/>
          <w:color w:val="111111"/>
          <w:sz w:val="28"/>
          <w:szCs w:val="28"/>
          <w:rtl w:val="true"/>
          <w:lang w:bidi="fa-IR"/>
        </w:rPr>
        <w:t>.</w:t>
      </w:r>
    </w:p>
    <w:p>
      <w:pPr>
        <w:pStyle w:val="Heading6"/>
        <w:numPr>
          <w:ilvl w:val="5"/>
          <w:numId w:val="1"/>
        </w:numPr>
        <w:rPr/>
      </w:pPr>
      <w:bookmarkStart w:id="365" w:name="__RefHeading___Toc5082702_2314609296"/>
      <w:bookmarkStart w:id="366" w:name="_Toc142"/>
      <w:bookmarkEnd w:id="365"/>
      <w:r>
        <w:rPr>
          <w:rtl w:val="true"/>
        </w:rPr>
        <w:t>الثانیة</w:t>
      </w:r>
      <w:r>
        <w:rPr>
          <w:rtl w:val="true"/>
        </w:rPr>
        <w:t>:</w:t>
      </w:r>
      <w:r>
        <w:rPr>
          <w:rtl w:val="true"/>
        </w:rPr>
        <w:t>قوله</w:t>
      </w:r>
      <w:r>
        <w:rPr>
          <w:rtl w:val="true"/>
        </w:rPr>
        <w:t>:«</w:t>
      </w:r>
      <w:r>
        <w:rPr>
          <w:rtl w:val="true"/>
        </w:rPr>
        <w:t>أو یأتی صاحب البغل بشهود یشهدون أنّ قیمة البغل یوم اکتری کذا و کذا</w:t>
      </w:r>
      <w:r>
        <w:rPr>
          <w:rtl w:val="true"/>
        </w:rPr>
        <w:t>»</w:t>
      </w:r>
      <w:r>
        <w:rPr>
          <w:rtl w:val="true"/>
        </w:rPr>
        <w:t>،</w:t>
      </w:r>
      <w:bookmarkEnd w:id="36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إثبات قیمة یوم الاکتراء من حیث هو یوم الاکتراء لا جدوی فیه؛لعدم الاعتبار به </w:t>
      </w:r>
      <w:r>
        <w:rPr>
          <w:rStyle w:val="FootnoteAnchor"/>
          <w:rtl w:val="true"/>
        </w:rPr>
        <w:footnoteReference w:id="1358"/>
      </w:r>
      <w:r>
        <w:rPr>
          <w:rFonts w:ascii="IRNazanin" w:hAnsi="IRNazanin" w:eastAsia="IRNazanin"/>
          <w:color w:val="111111"/>
          <w:sz w:val="28"/>
          <w:sz w:val="28"/>
          <w:szCs w:val="28"/>
          <w:rtl w:val="true"/>
          <w:lang w:bidi="fa-IR"/>
        </w:rPr>
        <w:t xml:space="preserve">،فلا بدّ أن یکون الغرض منه إثبات قیمة یوم المخالفة؛بناءً علی أنّه یوم الاکتراء؛لأنّ الظاهر من صدر الروایة أنّه خالف المالک بمجرّد خروجه من </w:t>
      </w:r>
      <w:r>
        <w:rPr>
          <w:rStyle w:val="FootnoteAnchor"/>
          <w:rtl w:val="true"/>
        </w:rPr>
        <w:footnoteReference w:id="1359"/>
      </w:r>
      <w:r>
        <w:rPr>
          <w:rFonts w:ascii="IRNazanin" w:hAnsi="IRNazanin" w:eastAsia="IRNazanin"/>
          <w:color w:val="111111"/>
          <w:sz w:val="28"/>
          <w:sz w:val="28"/>
          <w:szCs w:val="28"/>
          <w:rtl w:val="true"/>
          <w:lang w:bidi="fa-IR"/>
        </w:rPr>
        <w:t xml:space="preserve">الکوفة، و من المعلوم أنّ اکتراء البغل لمثل تلک </w:t>
      </w:r>
      <w:r>
        <w:rPr>
          <w:rStyle w:val="FootnoteAnchor"/>
          <w:rtl w:val="true"/>
        </w:rPr>
        <w:footnoteReference w:id="1360"/>
      </w:r>
      <w:r>
        <w:rPr>
          <w:rFonts w:ascii="IRNazanin" w:hAnsi="IRNazanin" w:eastAsia="IRNazanin"/>
          <w:color w:val="111111"/>
          <w:sz w:val="28"/>
          <w:sz w:val="28"/>
          <w:szCs w:val="28"/>
          <w:rtl w:val="true"/>
          <w:lang w:bidi="fa-IR"/>
        </w:rPr>
        <w:t>المسافة القلیلة إنّما یکون یوم</w:t>
      </w:r>
    </w:p>
    <w:p>
      <w:pPr>
        <w:pStyle w:val="BookText"/>
        <w:rPr/>
      </w:pPr>
      <w:r>
        <w:rPr>
          <w:rFonts w:ascii="IRNazanin" w:hAnsi="IRNazanin" w:eastAsia="IRNazanin"/>
          <w:color w:val="111111"/>
          <w:sz w:val="28"/>
          <w:sz w:val="28"/>
          <w:szCs w:val="28"/>
          <w:rtl w:val="true"/>
          <w:lang w:bidi="fa-IR"/>
        </w:rPr>
        <w:t>الخروج،أو فی عصر الیوم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أیضاً عدم اختلاف القیمة فی هذه المدّة 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 فی جواب السؤال عن إصابة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قیمة ما بین الصحّة و العیب یوم 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فالظرف 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قید للقیمة؛إذ لا عبرة فی أرش العیب بیوم الردّ إجماعاً؛لأنّ النقص الحادث تابع فی تعیین یوم قیمته لأصل العین،فالمعنی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أداء الأرش یوم ردّ البغلة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قیداً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العیب الموجود فی یوم الردّ؛لاحتمال ازدیاد العیب إلی یوم الردّ فهو المضمون،دون العیب القلیل الحادث أوّلاً،لکن یحتمل أن یکون العیب قد تناقص إلی یوم الردّ،و العبرة حینئذٍ بالعیب الموجود حال حدوثه؛لأنّ المعیب لو رُدّ إلی الصحّة أو نقص لم یسقط ضمان ما حدث منه و ارتفع علی مقتضی الفتوی </w:t>
      </w:r>
      <w:r>
        <w:rPr>
          <w:rStyle w:val="FootnoteAnchor"/>
          <w:rtl w:val="true"/>
        </w:rPr>
        <w:footnoteReference w:id="1361"/>
      </w:r>
      <w:r>
        <w:rPr>
          <w:rFonts w:ascii="IRNazanin" w:hAnsi="IRNazanin" w:eastAsia="IRNazanin"/>
          <w:color w:val="111111"/>
          <w:sz w:val="28"/>
          <w:sz w:val="28"/>
          <w:szCs w:val="28"/>
          <w:rtl w:val="true"/>
          <w:lang w:bidi="fa-IR"/>
        </w:rPr>
        <w:t>،فهذا الاحتمال من هذه الجهة ضعیف أیضاً،فتعیّن تعلّقه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قیمة ما بین الصحّة </w:t>
      </w:r>
      <w:r>
        <w:rPr>
          <w:rStyle w:val="FootnoteAnchor"/>
          <w:rtl w:val="true"/>
        </w:rPr>
        <w:footnoteReference w:id="1362"/>
      </w:r>
      <w:r>
        <w:rPr>
          <w:rFonts w:ascii="IRNazanin" w:hAnsi="IRNazanin" w:eastAsia="IRNazanin"/>
          <w:color w:val="111111"/>
          <w:sz w:val="28"/>
          <w:sz w:val="28"/>
          <w:szCs w:val="28"/>
          <w:rtl w:val="true"/>
          <w:lang w:bidi="fa-IR"/>
        </w:rPr>
        <w:t>و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التفاوت بین الصحّة و العیب،و لا تعرّض فی الروایة لیوم هذه القیمة،فیحتمل یوم الغصب،و یحتمل یوم حدوث العیب الذی هو یوم تلف وصف الصحّة الذی هو بمنزلة جزء العین فی باب الضمانات و المعاوضات،و حیث عرفت ظهور الفِقْرة السابقة علیه و اللاحقة له فی اعتبار یوم الغصب، تعیّن حمل هذا أیضاً علی ذلک</w:t>
      </w:r>
      <w:r>
        <w:rPr>
          <w:rFonts w:eastAsia="IRNazanin" w:cs="IRNazanin"/>
          <w:color w:val="111111"/>
          <w:sz w:val="28"/>
          <w:szCs w:val="28"/>
          <w:rtl w:val="true"/>
          <w:lang w:bidi="fa-IR"/>
        </w:rPr>
        <w:t>.</w:t>
      </w:r>
      <w:bookmarkStart w:id="367" w:name="pg19763_247996"/>
    </w:p>
    <w:p>
      <w:pPr>
        <w:pStyle w:val="Heading6"/>
        <w:numPr>
          <w:ilvl w:val="5"/>
          <w:numId w:val="1"/>
        </w:numPr>
        <w:rPr/>
      </w:pPr>
      <w:bookmarkStart w:id="368" w:name="__RefHeading___Toc5082704_2314609296"/>
      <w:bookmarkStart w:id="369" w:name="_Toc143"/>
      <w:bookmarkEnd w:id="367"/>
      <w:bookmarkEnd w:id="368"/>
      <w:r>
        <w:rPr>
          <w:rtl w:val="true"/>
        </w:rPr>
        <w:t>[</w:t>
      </w:r>
      <w:r>
        <w:rPr>
          <w:rtl w:val="true"/>
        </w:rPr>
        <w:t>ما یوهن الاستدلال بالصحیحة علی اعتبار قیمة یوم الضمان</w:t>
      </w:r>
      <w:r>
        <w:rPr>
          <w:rtl w:val="true"/>
        </w:rPr>
        <w:t>]</w:t>
      </w:r>
      <w:bookmarkEnd w:id="369"/>
    </w:p>
    <w:p>
      <w:pPr>
        <w:pStyle w:val="BookText"/>
        <w:rPr/>
      </w:pPr>
      <w:r>
        <w:rPr>
          <w:rFonts w:ascii="IRNazanin" w:hAnsi="IRNazanin" w:eastAsia="IRNazanin"/>
          <w:color w:val="111111"/>
          <w:sz w:val="28"/>
          <w:sz w:val="28"/>
          <w:szCs w:val="28"/>
          <w:rtl w:val="true"/>
          <w:lang w:bidi="fa-IR"/>
        </w:rPr>
        <w:t>نعم،یمکن أن یوهن ما استظهرناه من الصحیحة بأنّه لا یبعد أن یکون مبنی الحکم فی الروایة علی ما هو الغالب فی مثل مورد الروایة من عدم اختلاف قیمة البغل فی مدّة خمسة عشر یوماً،و یکون السرّ فی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ما ربما یتوهّمه أمثال صاحب البغل من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العبرة بقیمة ما اشتری به البغل و إن نقص بعد ذلک؛لأنّه خسّره </w:t>
      </w:r>
      <w:r>
        <w:rPr>
          <w:rStyle w:val="FootnoteAnchor"/>
          <w:rtl w:val="true"/>
        </w:rPr>
        <w:footnoteReference w:id="1363"/>
      </w:r>
      <w:r>
        <w:rPr>
          <w:rFonts w:ascii="IRNazanin" w:hAnsi="IRNazanin" w:eastAsia="IRNazanin"/>
          <w:color w:val="111111"/>
          <w:sz w:val="28"/>
          <w:sz w:val="28"/>
          <w:szCs w:val="28"/>
          <w:rtl w:val="true"/>
          <w:lang w:bidi="fa-IR"/>
        </w:rPr>
        <w:t>المبلغ الذی اشتری به البغلة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عن یوم المخالفة فی ذیل الروایة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الاکتراء</w:t>
      </w:r>
      <w:r>
        <w:rPr>
          <w:rFonts w:eastAsia="IRNazanin" w:cs="IRNazanin"/>
          <w:color w:val="111111"/>
          <w:sz w:val="28"/>
          <w:szCs w:val="28"/>
          <w:rtl w:val="true"/>
          <w:lang w:bidi="fa-IR"/>
        </w:rPr>
        <w:t xml:space="preserve">» </w:t>
      </w:r>
      <w:r>
        <w:rPr>
          <w:rStyle w:val="FootnoteAnchor"/>
          <w:rtl w:val="true"/>
        </w:rPr>
        <w:footnoteReference w:id="1364"/>
      </w:r>
      <w:r>
        <w:rPr>
          <w:rFonts w:ascii="IRNazanin" w:hAnsi="IRNazanin" w:eastAsia="IRNazanin"/>
          <w:color w:val="111111"/>
          <w:sz w:val="28"/>
          <w:sz w:val="28"/>
          <w:szCs w:val="28"/>
          <w:rtl w:val="true"/>
          <w:lang w:bidi="fa-IR"/>
        </w:rPr>
        <w:t>فإنّ فیه إشعاراً بعدم عنایة المتکلّم بیوم المخالفة من حیث إنّه یوم المخالفة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الوجه فی التعبیر بیوم الاکتراء مع کون المناط یوم المخالفة هو التنبیه علی سهولة إقامة الشهود علی قیمته فی زمان الاکتراء؛لکون البغل فیه غالباً بمشهد من الناس و جماعةٍ من المُکارین، بخلاف زمان المخالفة من حیث إنّه زمان المخالفة،فتغییر التعبیر لیس لعدم العبرة بزمان المخالفة،بل للتنبیه علی سهولة معرفة القیمة بالبیّنة کالیمین </w:t>
      </w:r>
      <w:r>
        <w:rPr>
          <w:rStyle w:val="FootnoteAnchor"/>
          <w:rtl w:val="true"/>
        </w:rPr>
        <w:footnoteReference w:id="1365"/>
      </w:r>
      <w:r>
        <w:rPr>
          <w:rFonts w:ascii="IRNazanin" w:hAnsi="IRNazanin" w:eastAsia="IRNazanin"/>
          <w:color w:val="111111"/>
          <w:sz w:val="28"/>
          <w:sz w:val="28"/>
          <w:szCs w:val="28"/>
          <w:rtl w:val="true"/>
          <w:lang w:bidi="fa-IR"/>
        </w:rPr>
        <w:t>،فی مقابل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یعرف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ما بعد،فی جواب قول 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یعرف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و هو،إمّا أن یحلف هو علی القیمة فیلزمک،فإن ردّ الیمین علیک </w:t>
      </w:r>
      <w:r>
        <w:rPr>
          <w:rStyle w:val="FootnoteAnchor"/>
          <w:rtl w:val="true"/>
        </w:rPr>
        <w:footnoteReference w:id="1366"/>
      </w:r>
      <w:r>
        <w:rPr>
          <w:rFonts w:ascii="IRNazanin" w:hAnsi="IRNazanin" w:eastAsia="IRNazanin"/>
          <w:color w:val="111111"/>
          <w:sz w:val="28"/>
          <w:sz w:val="28"/>
          <w:szCs w:val="28"/>
          <w:rtl w:val="true"/>
          <w:lang w:bidi="fa-IR"/>
        </w:rPr>
        <w:t xml:space="preserve">فحلفت علی القیمة </w:t>
      </w:r>
      <w:r>
        <w:rPr>
          <w:rStyle w:val="FootnoteAnchor"/>
          <w:rtl w:val="true"/>
        </w:rPr>
        <w:footnoteReference w:id="1367"/>
      </w:r>
      <w:r>
        <w:rPr>
          <w:rFonts w:ascii="IRNazanin" w:hAnsi="IRNazanin" w:eastAsia="IRNazanin"/>
          <w:color w:val="111111"/>
          <w:sz w:val="28"/>
          <w:sz w:val="28"/>
          <w:szCs w:val="28"/>
          <w:rtl w:val="true"/>
          <w:lang w:bidi="fa-IR"/>
        </w:rPr>
        <w:t xml:space="preserve">لزمه،أو یأتی صاحب البغل بشهودٍ یشهدون علی </w:t>
      </w:r>
      <w:r>
        <w:rPr>
          <w:rStyle w:val="FootnoteAnchor"/>
          <w:rtl w:val="true"/>
        </w:rPr>
        <w:footnoteReference w:id="1368"/>
      </w:r>
      <w:r>
        <w:rPr>
          <w:rFonts w:ascii="IRNazanin" w:hAnsi="IRNazanin" w:eastAsia="IRNazanin"/>
          <w:color w:val="111111"/>
          <w:sz w:val="28"/>
          <w:sz w:val="28"/>
          <w:szCs w:val="28"/>
          <w:rtl w:val="true"/>
          <w:lang w:bidi="fa-IR"/>
        </w:rPr>
        <w:t>أنّ قیمة البغل یوم اکتری کذا و کذا،فیلزمک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العبرة لو کان </w:t>
      </w:r>
      <w:r>
        <w:rPr>
          <w:rStyle w:val="FootnoteAnchor"/>
          <w:rtl w:val="true"/>
        </w:rPr>
        <w:footnoteReference w:id="1369"/>
      </w:r>
      <w:r>
        <w:rPr>
          <w:rFonts w:ascii="IRNazanin" w:hAnsi="IRNazanin" w:eastAsia="IRNazanin"/>
          <w:color w:val="111111"/>
          <w:sz w:val="28"/>
          <w:sz w:val="28"/>
          <w:szCs w:val="28"/>
          <w:rtl w:val="true"/>
          <w:lang w:bidi="fa-IR"/>
        </w:rPr>
        <w:t>بخصوص یوم المخالفة لم یکن وجه لکون القول قول المالک مع کونه مخالفاً للأصل،ثمّ لا وجه لقبول بیّنته؛لأنّ من کان القول قوله فالبیّنة بیّنة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الحلف هنا علی الحلف المتعارف الذی یرضی به المحلوف له و یصدّقه فیه من دون محاکمة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التعبیر بردّه </w:t>
      </w:r>
      <w:r>
        <w:rPr>
          <w:rStyle w:val="FootnoteAnchor"/>
          <w:rtl w:val="true"/>
        </w:rPr>
        <w:footnoteReference w:id="1370"/>
      </w:r>
      <w:r>
        <w:rPr>
          <w:rFonts w:ascii="IRNazanin" w:hAnsi="IRNazanin" w:eastAsia="IRNazanin"/>
          <w:color w:val="111111"/>
          <w:sz w:val="28"/>
          <w:sz w:val="28"/>
          <w:szCs w:val="28"/>
          <w:rtl w:val="true"/>
          <w:lang w:bidi="fa-IR"/>
        </w:rPr>
        <w:t xml:space="preserve">الیمین علی الغاصب من جهة أنّ المالک أعرف بقیمة بغله،فکأنّ الحلف حقّ </w:t>
      </w:r>
      <w:r>
        <w:rPr>
          <w:rStyle w:val="FootnoteAnchor"/>
          <w:rtl w:val="true"/>
        </w:rPr>
        <w:footnoteReference w:id="1371"/>
      </w:r>
      <w:r>
        <w:rPr>
          <w:rFonts w:ascii="IRNazanin" w:hAnsi="IRNazanin" w:eastAsia="IRNazanin"/>
          <w:color w:val="111111"/>
          <w:sz w:val="28"/>
          <w:sz w:val="28"/>
          <w:szCs w:val="28"/>
          <w:rtl w:val="true"/>
          <w:lang w:bidi="fa-IR"/>
        </w:rPr>
        <w:t>له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ما لو اعتبرنا یوم التلف؛فإنّه یمکن أن یحمل توجّه الیمین علی المالک علی ما إذا اختلفا فی تنزّل القیمة یوم التلف مع اتّفاقهما أو الاطّلاع من الخارج علی قیمته سابقاً،و لا شکّ حینئذٍ أنّ القول قول المالک،و یکون سماع البیّنة فی صورة اختلافهما فی قیمة البغل</w:t>
      </w:r>
      <w:bookmarkStart w:id="370" w:name="pg19763_247998"/>
    </w:p>
    <w:p>
      <w:pPr>
        <w:pStyle w:val="BookText"/>
        <w:rPr/>
      </w:pPr>
      <w:bookmarkEnd w:id="370"/>
      <w:r>
        <w:rPr>
          <w:rFonts w:ascii="IRNazanin" w:hAnsi="IRNazanin" w:eastAsia="IRNazanin"/>
          <w:color w:val="111111"/>
          <w:sz w:val="28"/>
          <w:sz w:val="28"/>
          <w:szCs w:val="28"/>
          <w:rtl w:val="true"/>
          <w:lang w:bidi="fa-IR"/>
        </w:rPr>
        <w:t>سابقاً مع اتّفاقهما علی بقائه علیها إلی یوم التلف،فتکون الروایة قد تکفّلت بحکم صورتین من صور تنازعهما،و یبقی بعض الصور، مثل دعوی المالک زیادة قیمة یوم التلف عن یوم المخالفة،و لعلّ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حلف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من حکم عکسها المذکور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تقدیر کون العبرة فی القیمة بیوم المخالفة،فلا بدّ من حمل الروایة علی ما إذا اتّفقا علی قیمة الیوم السابق علی یوم المخالفة، أو اللاحق له و ادّعی الغاصب نقصانه عن تلک </w:t>
      </w:r>
      <w:r>
        <w:rPr>
          <w:rStyle w:val="FootnoteAnchor"/>
          <w:rtl w:val="true"/>
        </w:rPr>
        <w:footnoteReference w:id="1372"/>
      </w:r>
      <w:r>
        <w:rPr>
          <w:rFonts w:ascii="IRNazanin" w:hAnsi="IRNazanin" w:eastAsia="IRNazanin"/>
          <w:color w:val="111111"/>
          <w:sz w:val="28"/>
          <w:sz w:val="28"/>
          <w:szCs w:val="28"/>
          <w:rtl w:val="true"/>
          <w:lang w:bidi="fa-IR"/>
        </w:rPr>
        <w:t>یوم المخالفة،و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أبعد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النصّ علی التعبّد،و جعل الحکم فی خصوص الدابّة المغصوبة أو مطلقاً </w:t>
      </w:r>
      <w:r>
        <w:rPr>
          <w:rStyle w:val="FootnoteAnchor"/>
          <w:rtl w:val="true"/>
        </w:rPr>
        <w:footnoteReference w:id="1373"/>
      </w:r>
      <w:r>
        <w:rPr>
          <w:rFonts w:ascii="Amiri" w:hAnsi="Amiri" w:eastAsia="Amiri" w:cs="Amiri"/>
          <w:color w:val="111111"/>
          <w:sz w:val="28"/>
          <w:sz w:val="28"/>
          <w:szCs w:val="28"/>
          <w:rtl w:val="true"/>
          <w:lang w:bidi="ar-SA"/>
        </w:rPr>
        <w:t xml:space="preserve">مخالفاً للقاعدة المتّفق علیها نصّاً </w:t>
      </w:r>
      <w:r>
        <w:rPr>
          <w:rStyle w:val="FootnoteAnchor"/>
          <w:rtl w:val="true"/>
        </w:rPr>
        <w:footnoteReference w:id="1374"/>
      </w:r>
      <w:r>
        <w:rPr>
          <w:rFonts w:ascii="IRNazanin" w:hAnsi="IRNazanin" w:eastAsia="IRNazanin"/>
          <w:color w:val="111111"/>
          <w:sz w:val="28"/>
          <w:sz w:val="28"/>
          <w:szCs w:val="28"/>
          <w:rtl w:val="true"/>
          <w:lang w:bidi="fa-IR"/>
        </w:rPr>
        <w:t>و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کون البیّنة علی المدّعی و الیمین علی من أنکر </w:t>
      </w:r>
      <w:r>
        <w:rPr>
          <w:rStyle w:val="FootnoteAnchor"/>
          <w:rtl w:val="true"/>
        </w:rPr>
        <w:footnoteReference w:id="1375"/>
      </w:r>
      <w:r>
        <w:rPr>
          <w:rFonts w:ascii="IRNazanin" w:hAnsi="IRNazanin" w:eastAsia="IRNazanin"/>
          <w:color w:val="111111"/>
          <w:sz w:val="28"/>
          <w:sz w:val="28"/>
          <w:szCs w:val="28"/>
          <w:rtl w:val="true"/>
          <w:lang w:bidi="fa-IR"/>
        </w:rPr>
        <w:t xml:space="preserve">،کما حکی عن الشیخ فی بابی الإجارة و الغصب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1" w:name="__RefHeading___Toc5082706_2314609296"/>
      <w:bookmarkStart w:id="372" w:name="_Toc144"/>
      <w:bookmarkEnd w:id="371"/>
      <w:r>
        <w:rPr>
          <w:rtl w:val="true"/>
        </w:rPr>
        <w:t>[</w:t>
      </w:r>
      <w:r>
        <w:rPr>
          <w:rtl w:val="true"/>
        </w:rPr>
        <w:t>الاستشهاد بالصحیحة علی ضمان أعلی القیم و المناقشة فیه</w:t>
      </w:r>
      <w:r>
        <w:rPr>
          <w:rtl w:val="true"/>
        </w:rPr>
        <w:t>]</w:t>
      </w:r>
      <w:bookmarkEnd w:id="37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الاستشهاد بالروایة علی اعتبار أعلی القیم من</w:t>
      </w:r>
      <w:bookmarkStart w:id="373" w:name="pg19763_247999"/>
    </w:p>
    <w:p>
      <w:pPr>
        <w:pStyle w:val="BookText"/>
        <w:rPr/>
      </w:pPr>
      <w:bookmarkEnd w:id="373"/>
      <w:r>
        <w:rPr>
          <w:rFonts w:ascii="IRNazanin" w:hAnsi="IRNazanin" w:eastAsia="IRNazanin"/>
          <w:color w:val="111111"/>
          <w:sz w:val="28"/>
          <w:sz w:val="28"/>
          <w:szCs w:val="28"/>
          <w:rtl w:val="true"/>
          <w:lang w:bidi="fa-IR"/>
        </w:rPr>
        <w:t>حین الغصب إلی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حکی عن الشهید الثانی </w:t>
      </w:r>
      <w:r>
        <w:rPr>
          <w:rStyle w:val="FootnoteAnchor"/>
          <w:rtl w:val="true"/>
        </w:rPr>
        <w:footnoteReference w:id="1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یعلم لذلک وجهٌ صحیح،و لم أظفر بمن وجّه دلالتها علی هذا المطلب</w:t>
      </w:r>
      <w:r>
        <w:rPr>
          <w:rFonts w:eastAsia="IRNazanin" w:cs="IRNazanin"/>
          <w:color w:val="111111"/>
          <w:sz w:val="28"/>
          <w:szCs w:val="28"/>
          <w:rtl w:val="true"/>
          <w:lang w:bidi="fa-IR"/>
        </w:rPr>
        <w:t>.</w:t>
      </w:r>
    </w:p>
    <w:p>
      <w:pPr>
        <w:pStyle w:val="Heading6"/>
        <w:numPr>
          <w:ilvl w:val="5"/>
          <w:numId w:val="1"/>
        </w:numPr>
        <w:rPr/>
      </w:pPr>
      <w:bookmarkStart w:id="374" w:name="__RefHeading___Toc5082708_2314609296"/>
      <w:bookmarkStart w:id="375" w:name="_Toc145"/>
      <w:bookmarkEnd w:id="374"/>
      <w:r>
        <w:rPr>
          <w:rtl w:val="true"/>
        </w:rPr>
        <w:t>[</w:t>
      </w:r>
      <w:r>
        <w:rPr>
          <w:rtl w:val="true"/>
        </w:rPr>
        <w:t>الاستدلال علی أعلی القیم بوجه آخر،و المناقشة فیه</w:t>
      </w:r>
      <w:r>
        <w:rPr>
          <w:rtl w:val="true"/>
        </w:rPr>
        <w:t>]</w:t>
      </w:r>
      <w:bookmarkEnd w:id="375"/>
    </w:p>
    <w:p>
      <w:pPr>
        <w:pStyle w:val="BookText"/>
        <w:rPr/>
      </w:pPr>
      <w:r>
        <w:rPr>
          <w:rFonts w:ascii="IRNazanin" w:hAnsi="IRNazanin" w:eastAsia="IRNazanin"/>
          <w:color w:val="111111"/>
          <w:sz w:val="28"/>
          <w:sz w:val="28"/>
          <w:szCs w:val="28"/>
          <w:rtl w:val="true"/>
          <w:lang w:bidi="fa-IR"/>
        </w:rPr>
        <w:t xml:space="preserve">نعم،استدلّوا علی هذا القول بأنّ العین مضمونة فی جمیع تلک الأزمنة التی منها زمان ارتفاع قیمته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ضمانها فی تلک الحال،إن أُرید به وجوب قیمة ذلک الزمان لو تلف فیه فمسلّم؛إذ تدارکه لا یکون إلّا بذلک،لکنّ المفروض أنّها لم تتلف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به استقرار قیمة ذلک الزمان علیه فعلاً و إن تنزّلت بعد ذلک،فهو مخالف لما تسالموا علیه من عدم ضمان ارتفاع القیمة مع ردّ العین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أُرید استقرارها علیه بمجرّد الارتفاع مراعی بالتلف،فهو و إن لم یخالف الاتّفاق إلّا أنّه مخالف لأصالة البراءة من غیر دلیلٍ شاغل،عدا ما حکاه فی الریاض عن خاله العلّامة قدّس اللّه تعالی روحهما من قاعدة نفی الضرر الحاصل علی المالک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نظر،کما اعترف به بعض من تأخّر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نعم،یمکن توجیه الاستدلال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العین مضمونة فی جمیع الأزمنة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العین إذا ارتفعت قیمتها فی زمان و صار مالیتها مقوّمة بتلک القیمة،فکما أنّه إذا تلفت حینئذٍ یجب تدارکها بتلک القیمة، فکذا إذا حیل بینها و بین المالک حتّی تلفت؛إذ لا فرق مع عدم التمکّن منها بین أن تتلف أو تبقی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ردّت تُدارَک تلک المالیّة بنفس العین،و ارتفاع القیمة السوقیّة أمر اعتباری لا یضمن بنفسه؛لعدم کونه مالاً،و إنّما هو مقوّم لمالیة المال،و به تمایز </w:t>
      </w:r>
      <w:r>
        <w:rPr>
          <w:rStyle w:val="FootnoteAnchor"/>
          <w:rtl w:val="true"/>
        </w:rPr>
        <w:footnoteReference w:id="1381"/>
      </w:r>
      <w:r>
        <w:rPr>
          <w:rFonts w:ascii="Amiri" w:hAnsi="Amiri" w:eastAsia="Amiri" w:cs="Amiri"/>
          <w:color w:val="111111"/>
          <w:sz w:val="28"/>
          <w:sz w:val="28"/>
          <w:szCs w:val="28"/>
          <w:rtl w:val="true"/>
          <w:lang w:bidi="ar-SA"/>
        </w:rPr>
        <w:t>الأموال کثرةً و 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للعین فی کلّ زمانٍ من أزمنة تفاوت قیمته مرتبة من المالیّة،أُزیلت ید المالک منها و انقطعت سلطنته عنها،فإن رُدّت العین فلا مال سواها یضمن،و إن تلفت استقرّت علیا </w:t>
      </w:r>
      <w:r>
        <w:rPr>
          <w:rStyle w:val="FootnoteAnchor"/>
          <w:rtl w:val="true"/>
        </w:rPr>
        <w:footnoteReference w:id="1382"/>
      </w:r>
      <w:r>
        <w:rPr>
          <w:rFonts w:ascii="IRNazanin" w:hAnsi="IRNazanin" w:eastAsia="IRNazanin"/>
          <w:color w:val="111111"/>
          <w:sz w:val="28"/>
          <w:sz w:val="28"/>
          <w:szCs w:val="28"/>
          <w:rtl w:val="true"/>
          <w:lang w:bidi="fa-IR"/>
        </w:rPr>
        <w:t xml:space="preserve">تلک المراتب </w:t>
      </w:r>
      <w:r>
        <w:rPr>
          <w:rStyle w:val="FootnoteAnchor"/>
          <w:rtl w:val="true"/>
        </w:rPr>
        <w:footnoteReference w:id="1383"/>
      </w:r>
      <w:r>
        <w:rPr>
          <w:rFonts w:ascii="IRNazanin" w:hAnsi="IRNazanin" w:eastAsia="IRNazanin"/>
          <w:color w:val="111111"/>
          <w:sz w:val="28"/>
          <w:sz w:val="28"/>
          <w:szCs w:val="28"/>
          <w:rtl w:val="true"/>
          <w:lang w:bidi="fa-IR"/>
        </w:rPr>
        <w:t>لدخول الأدنی تحت الأعلی،نظیر ما لو فرض للعین منافع متفاوتة متضادّة،حیث إنّه یضمن الأعلی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استدلّ العلّامة فی التحریر للقول باعتبار یوم الغصب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زمان إزالة ید المالک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فی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زمانٍ من أزمنة الغصب قد أُزیلت</w:t>
      </w:r>
      <w:bookmarkStart w:id="376" w:name="pg19763_248001"/>
    </w:p>
    <w:p>
      <w:pPr>
        <w:pStyle w:val="BookText"/>
        <w:rPr/>
      </w:pPr>
      <w:bookmarkEnd w:id="376"/>
      <w:r>
        <w:rPr>
          <w:rFonts w:ascii="IRNazanin" w:hAnsi="IRNazanin" w:eastAsia="IRNazanin"/>
          <w:color w:val="111111"/>
          <w:sz w:val="28"/>
          <w:sz w:val="28"/>
          <w:szCs w:val="28"/>
          <w:rtl w:val="true"/>
          <w:lang w:bidi="fa-IR"/>
        </w:rPr>
        <w:t>فیه ید المالک من العین علی حسب مالیّته،ففی زمانٍ أُزیلت من مقدار درهم،و فی آخر عن درهمین،و فی ثالث عن ثلاثة،فإذا استمرّت الإزالة إلی زمان التلف وجبت غرامة أکثرها،فتأمّل</w:t>
      </w:r>
      <w:r>
        <w:rPr>
          <w:rFonts w:eastAsia="IRNazanin" w:cs="IRNazanin"/>
          <w:color w:val="111111"/>
          <w:sz w:val="28"/>
          <w:szCs w:val="28"/>
          <w:rtl w:val="true"/>
          <w:lang w:bidi="fa-IR"/>
        </w:rPr>
        <w:t>.</w:t>
      </w:r>
    </w:p>
    <w:p>
      <w:pPr>
        <w:pStyle w:val="Heading6"/>
        <w:numPr>
          <w:ilvl w:val="5"/>
          <w:numId w:val="1"/>
        </w:numPr>
        <w:rPr/>
      </w:pPr>
      <w:bookmarkStart w:id="377" w:name="__RefHeading___Toc5082710_2314609296"/>
      <w:bookmarkStart w:id="378" w:name="_Toc146"/>
      <w:bookmarkEnd w:id="377"/>
      <w:r>
        <w:rPr>
          <w:rtl w:val="true"/>
        </w:rPr>
        <w:t>[</w:t>
      </w:r>
      <w:r>
        <w:rPr>
          <w:rtl w:val="true"/>
        </w:rPr>
        <w:t>الاستدلال ثالث علی أعلی القیم و توجیهه</w:t>
      </w:r>
      <w:r>
        <w:rPr>
          <w:rtl w:val="true"/>
        </w:rPr>
        <w:t>]</w:t>
      </w:r>
      <w:bookmarkEnd w:id="378"/>
    </w:p>
    <w:p>
      <w:pPr>
        <w:pStyle w:val="BookText"/>
        <w:rPr/>
      </w:pPr>
      <w:r>
        <w:rPr>
          <w:rFonts w:ascii="IRNazanin" w:hAnsi="IRNazanin" w:eastAsia="IRNazanin"/>
          <w:color w:val="111111"/>
          <w:sz w:val="28"/>
          <w:sz w:val="28"/>
          <w:szCs w:val="28"/>
          <w:rtl w:val="true"/>
          <w:lang w:bidi="fa-IR"/>
        </w:rPr>
        <w:t xml:space="preserve">و استدلّ فی السرائر و غیرها علی هذا القول بأصالة الاشتغال </w:t>
      </w:r>
      <w:r>
        <w:rPr>
          <w:rStyle w:val="FootnoteAnchor"/>
          <w:rtl w:val="true"/>
        </w:rPr>
        <w:footnoteReference w:id="1385"/>
      </w:r>
      <w:r>
        <w:rPr>
          <w:rFonts w:ascii="IRNazanin" w:hAnsi="IRNazanin" w:eastAsia="IRNazanin"/>
          <w:color w:val="111111"/>
          <w:sz w:val="28"/>
          <w:sz w:val="28"/>
          <w:szCs w:val="28"/>
          <w:rtl w:val="true"/>
          <w:lang w:bidi="fa-IR"/>
        </w:rPr>
        <w:t xml:space="preserve">لاشتغال ذمّته بحقّ المالک </w:t>
      </w:r>
      <w:r>
        <w:rPr>
          <w:rStyle w:val="FootnoteAnchor"/>
          <w:rtl w:val="true"/>
        </w:rPr>
        <w:footnoteReference w:id="1386"/>
      </w:r>
      <w:r>
        <w:rPr>
          <w:rFonts w:ascii="IRNazanin" w:hAnsi="IRNazanin" w:eastAsia="IRNazanin"/>
          <w:color w:val="111111"/>
          <w:sz w:val="28"/>
          <w:sz w:val="28"/>
          <w:szCs w:val="28"/>
          <w:rtl w:val="true"/>
          <w:lang w:bidi="fa-IR"/>
        </w:rPr>
        <w:t>،و لا یحصل البراءة إلّا بالأعلی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یجاب بأنّ الأصل فی المقام البراءة؛حیث إنّ الشکّ فی التکلیف بالزائد </w:t>
      </w:r>
      <w:r>
        <w:rPr>
          <w:rStyle w:val="FootnoteAnchor"/>
          <w:rtl w:val="true"/>
        </w:rPr>
        <w:footnoteReference w:id="1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نعم،لا بأس بالتمسّک باستصحاب الضمان المستفاد من حدیث الید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9" w:name="__RefHeading___Toc5082712_2314609296"/>
      <w:bookmarkStart w:id="380" w:name="_Toc147"/>
      <w:bookmarkEnd w:id="379"/>
      <w:r>
        <w:rPr>
          <w:rtl w:val="true"/>
        </w:rPr>
        <w:t>[</w:t>
      </w:r>
      <w:r>
        <w:rPr>
          <w:rtl w:val="true"/>
        </w:rPr>
        <w:t>المحکی عن جماعة أن الاعتبار بیوم البیع،و توجیهه</w:t>
      </w:r>
      <w:r>
        <w:rPr>
          <w:rtl w:val="true"/>
        </w:rPr>
        <w:t>]</w:t>
      </w:r>
      <w:bookmarkEnd w:id="38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حکی عن المفید و القاضی و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الاعتبار بیوم البیع فیما کان فساده من جهة التفویض </w:t>
      </w:r>
      <w:r>
        <w:rPr>
          <w:rStyle w:val="FootnoteAnchor"/>
          <w:rtl w:val="true"/>
        </w:rPr>
        <w:footnoteReference w:id="1389"/>
      </w:r>
      <w:r>
        <w:rPr>
          <w:rFonts w:ascii="IRNazanin" w:hAnsi="IRNazanin" w:eastAsia="IRNazanin"/>
          <w:color w:val="111111"/>
          <w:sz w:val="28"/>
          <w:sz w:val="28"/>
          <w:szCs w:val="28"/>
          <w:rtl w:val="true"/>
          <w:lang w:bidi="fa-IR"/>
        </w:rPr>
        <w:t xml:space="preserve">إلی حکم المشتری </w:t>
      </w:r>
      <w:r>
        <w:rPr>
          <w:rStyle w:val="FootnoteAnchor"/>
          <w:rtl w:val="true"/>
        </w:rPr>
        <w:footnoteReference w:id="1390"/>
      </w:r>
      <w:r>
        <w:rPr>
          <w:rFonts w:ascii="IRNazanin" w:hAnsi="IRNazanin" w:eastAsia="IRNazanin"/>
          <w:color w:val="111111"/>
          <w:sz w:val="28"/>
          <w:sz w:val="28"/>
          <w:szCs w:val="28"/>
          <w:rtl w:val="true"/>
          <w:lang w:bidi="fa-IR"/>
        </w:rPr>
        <w:t>،و لم یعلم له وجه، و لعلّهم یریدون به یوم القبض؛لغلبة اتّحاد زمان البیع و القبض،فافهم</w:t>
      </w:r>
      <w:r>
        <w:rPr>
          <w:rFonts w:eastAsia="IRNazanin" w:cs="IRNazanin"/>
          <w:color w:val="111111"/>
          <w:sz w:val="28"/>
          <w:szCs w:val="28"/>
          <w:rtl w:val="true"/>
          <w:lang w:bidi="fa-IR"/>
        </w:rPr>
        <w:t>.</w:t>
      </w:r>
      <w:bookmarkStart w:id="381" w:name="pg19763_248002"/>
    </w:p>
    <w:p>
      <w:pPr>
        <w:pStyle w:val="Heading6"/>
        <w:numPr>
          <w:ilvl w:val="5"/>
          <w:numId w:val="1"/>
        </w:numPr>
        <w:rPr/>
      </w:pPr>
      <w:bookmarkStart w:id="382" w:name="__RefHeading___Toc5082714_2314609296"/>
      <w:bookmarkStart w:id="383" w:name="_Toc148"/>
      <w:bookmarkEnd w:id="381"/>
      <w:bookmarkEnd w:id="382"/>
      <w:r>
        <w:rPr>
          <w:rtl w:val="true"/>
        </w:rPr>
        <w:t>ثمّ إنّه لا عبرة بزیادة القیمة بعد التلف علی جمیع الأقوال،</w:t>
      </w:r>
      <w:bookmarkEnd w:id="383"/>
    </w:p>
    <w:p>
      <w:pPr>
        <w:pStyle w:val="BookText"/>
        <w:rPr/>
      </w:pPr>
      <w:r>
        <w:rPr>
          <w:rFonts w:ascii="Amiri" w:hAnsi="Amiri" w:eastAsia="Amiri" w:cs="Amiri"/>
          <w:color w:val="111111"/>
          <w:sz w:val="28"/>
          <w:sz w:val="28"/>
          <w:szCs w:val="28"/>
          <w:rtl w:val="true"/>
          <w:lang w:bidi="ar-SA"/>
        </w:rPr>
        <w:t xml:space="preserve">إلّا أنّه تردّد فیه فی الشرائع </w:t>
      </w:r>
      <w:r>
        <w:rPr>
          <w:rStyle w:val="FootnoteAnchor"/>
          <w:rtl w:val="true"/>
        </w:rPr>
        <w:footnoteReference w:id="1391"/>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قیل </w:t>
      </w:r>
      <w:r>
        <w:rPr>
          <w:rStyle w:val="FootnoteAnchor"/>
          <w:rtl w:val="true"/>
        </w:rPr>
        <w:footnoteReference w:id="1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احتمال کون القیمی مضموناً بمثله،و دفع القیمة إنّما هو لإسقاط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أنّه مخالفٌ لإطلاق النصوص و الفتاوی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4" w:name="__RefHeading___Toc5082716_2314609296"/>
      <w:bookmarkStart w:id="385" w:name="_Toc149"/>
      <w:bookmarkEnd w:id="384"/>
      <w:r>
        <w:rPr>
          <w:rtl w:val="true"/>
        </w:rPr>
        <w:t>[</w:t>
      </w:r>
      <w:r>
        <w:rPr>
          <w:rtl w:val="true"/>
        </w:rPr>
        <w:t>ارتفاع القیمة بسبب الأمکنة</w:t>
      </w:r>
      <w:r>
        <w:rPr>
          <w:rtl w:val="true"/>
        </w:rPr>
        <w:t>]</w:t>
      </w:r>
      <w:bookmarkEnd w:id="385"/>
    </w:p>
    <w:p>
      <w:pPr>
        <w:pStyle w:val="BookText"/>
        <w:rPr/>
      </w:pPr>
      <w:r>
        <w:rPr>
          <w:rFonts w:ascii="Amiri" w:hAnsi="Amiri" w:eastAsia="Amiri" w:cs="Amiri"/>
          <w:color w:val="111111"/>
          <w:sz w:val="28"/>
          <w:sz w:val="28"/>
          <w:szCs w:val="28"/>
          <w:rtl w:val="true"/>
          <w:lang w:bidi="ar-SA"/>
        </w:rPr>
        <w:t xml:space="preserve">ثمّ إنّ ما ذکرنا </w:t>
      </w:r>
      <w:r>
        <w:rPr>
          <w:rStyle w:val="FootnoteAnchor"/>
          <w:rtl w:val="true"/>
        </w:rPr>
        <w:footnoteReference w:id="1394"/>
      </w:r>
      <w:r>
        <w:rPr>
          <w:rFonts w:ascii="IRNazanin" w:hAnsi="IRNazanin" w:eastAsia="IRNazanin"/>
          <w:color w:val="111111"/>
          <w:sz w:val="28"/>
          <w:sz w:val="28"/>
          <w:szCs w:val="28"/>
          <w:rtl w:val="true"/>
          <w:lang w:bidi="fa-IR"/>
        </w:rPr>
        <w:t>من الخلاف إنّما هو فی ارتفاع القیمة بحسب الأزمنة، و أمّا إذا کان بسبب الأمکنة،کما إذا کان فی محلّ الضمان بعشرة،و فی مکان التلف بعشرین،و فی مکان المطالبة بثلاثین،فالظاهر اعتبار محلّ التلف؛لأنّ مالیة الشیء تختلف بحسب الأماکن،و تدارکه بحسب مالیّته</w:t>
      </w:r>
      <w:r>
        <w:rPr>
          <w:rFonts w:eastAsia="IRNazanin" w:cs="IRNazanin"/>
          <w:color w:val="111111"/>
          <w:sz w:val="28"/>
          <w:szCs w:val="28"/>
          <w:rtl w:val="true"/>
          <w:lang w:bidi="fa-IR"/>
        </w:rPr>
        <w:t>.</w:t>
      </w:r>
    </w:p>
    <w:p>
      <w:pPr>
        <w:pStyle w:val="Heading6"/>
        <w:numPr>
          <w:ilvl w:val="5"/>
          <w:numId w:val="1"/>
        </w:numPr>
        <w:rPr/>
      </w:pPr>
      <w:bookmarkStart w:id="386" w:name="__RefHeading___Toc5082718_2314609296"/>
      <w:bookmarkStart w:id="387" w:name="_Toc150"/>
      <w:bookmarkEnd w:id="386"/>
      <w:r>
        <w:rPr>
          <w:rtl w:val="true"/>
        </w:rPr>
        <w:t>[</w:t>
      </w:r>
      <w:r>
        <w:rPr>
          <w:rtl w:val="true"/>
        </w:rPr>
        <w:t>ارتفاع القیمة بسبب الزیادة العینیة</w:t>
      </w:r>
      <w:r>
        <w:rPr>
          <w:rtl w:val="true"/>
        </w:rPr>
        <w:t>]</w:t>
      </w:r>
      <w:bookmarkEnd w:id="38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جمیع ما ذکرنا من الخلاف إنّما هو فی ارتفاع القیمة السوقیّة الناشئة من تفاوت رغبة الناس،و أمّا إذا کان حاصلاً من زیادةٍ فی العین،فالظاهر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قیل </w:t>
      </w:r>
      <w:r>
        <w:rPr>
          <w:rStyle w:val="FootnoteAnchor"/>
          <w:rtl w:val="true"/>
        </w:rPr>
        <w:footnoteReference w:id="1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الخلاف فی ضمان أعلی القیم، و فی الحقیقة لیست قِیَم التالف مختلفة،و إنّما زیادتها فی بعض أوقات الضمان لأجل الزیادة العینیّة الحاصلة فیه النازلة منزلة الجزء الفائت</w:t>
      </w:r>
      <w:r>
        <w:rPr>
          <w:rFonts w:eastAsia="IRNazanin" w:cs="IRNazanin"/>
          <w:color w:val="111111"/>
          <w:sz w:val="28"/>
          <w:szCs w:val="28"/>
          <w:rtl w:val="true"/>
          <w:lang w:bidi="fa-IR"/>
        </w:rPr>
        <w:t>.</w:t>
      </w:r>
      <w:bookmarkStart w:id="388" w:name="pg19763_248003"/>
    </w:p>
    <w:p>
      <w:pPr>
        <w:pStyle w:val="BookText"/>
        <w:rPr/>
      </w:pPr>
      <w:bookmarkEnd w:id="388"/>
      <w:r>
        <w:rPr>
          <w:rFonts w:ascii="IRNazanin" w:hAnsi="IRNazanin" w:eastAsia="IRNazanin"/>
          <w:color w:val="111111"/>
          <w:sz w:val="28"/>
          <w:sz w:val="28"/>
          <w:szCs w:val="28"/>
          <w:rtl w:val="true"/>
          <w:lang w:bidi="fa-IR"/>
        </w:rPr>
        <w:t xml:space="preserve">نعم،یجری الخلاف المتقدّم فی قیمة هذه الزیادة الفائتة،و أنّ </w:t>
      </w:r>
      <w:r>
        <w:rPr>
          <w:rStyle w:val="FootnoteAnchor"/>
          <w:rtl w:val="true"/>
        </w:rPr>
        <w:footnoteReference w:id="1396"/>
      </w:r>
      <w:r>
        <w:rPr>
          <w:rFonts w:ascii="IRNazanin" w:hAnsi="IRNazanin" w:eastAsia="IRNazanin"/>
          <w:color w:val="111111"/>
          <w:sz w:val="28"/>
          <w:sz w:val="28"/>
          <w:szCs w:val="28"/>
          <w:rtl w:val="true"/>
          <w:lang w:bidi="fa-IR"/>
        </w:rPr>
        <w:t>العبرة بیوم فواتها أو یوم ضمانها أو أعلی القیم</w:t>
      </w:r>
      <w:r>
        <w:rPr>
          <w:rFonts w:eastAsia="IRNazanin" w:cs="IRNazanin"/>
          <w:color w:val="111111"/>
          <w:sz w:val="28"/>
          <w:szCs w:val="28"/>
          <w:rtl w:val="true"/>
          <w:lang w:bidi="fa-IR"/>
        </w:rPr>
        <w:t>.</w:t>
      </w:r>
    </w:p>
    <w:p>
      <w:pPr>
        <w:pStyle w:val="Heading6"/>
        <w:numPr>
          <w:ilvl w:val="5"/>
          <w:numId w:val="1"/>
        </w:numPr>
        <w:rPr/>
      </w:pPr>
      <w:bookmarkStart w:id="389" w:name="__RefHeading___Toc5082720_2314609296"/>
      <w:bookmarkStart w:id="390" w:name="_Toc151"/>
      <w:bookmarkEnd w:id="389"/>
      <w:r>
        <w:rPr>
          <w:rtl w:val="true"/>
        </w:rPr>
        <w:t>[</w:t>
      </w:r>
      <w:r>
        <w:rPr>
          <w:rtl w:val="true"/>
        </w:rPr>
        <w:t>تعذر الوصول إلی العین فی حکم التلف</w:t>
      </w:r>
      <w:r>
        <w:rPr>
          <w:rtl w:val="true"/>
        </w:rPr>
        <w:t>]</w:t>
      </w:r>
      <w:bookmarkEnd w:id="390"/>
    </w:p>
    <w:p>
      <w:pPr>
        <w:pStyle w:val="BookText"/>
        <w:rPr/>
      </w:pPr>
      <w:r>
        <w:rPr>
          <w:rFonts w:ascii="IRNazanin" w:hAnsi="IRNazanin" w:eastAsia="IRNazanin"/>
          <w:color w:val="111111"/>
          <w:sz w:val="28"/>
          <w:sz w:val="28"/>
          <w:szCs w:val="28"/>
          <w:rtl w:val="true"/>
          <w:lang w:bidi="fa-IR"/>
        </w:rPr>
        <w:t>ثمّ إنّ فی حکم تلف العین فی جمیع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ضمان 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تعذّر الوصول إلیه و إن لم یهلک،کما لو سرق أو غرق أو ضاع أو أبق؛لما دلّ علی الضمان بهذه الأُمور فی باب الأمانات المضمونة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یقیّد ذلک بما إذا حصل الیأس من الوصول إلیه،أو بعدم رجاء وجدانه،أو یشمل ما لو علم وجدانه فی مدّة طویلة </w:t>
      </w:r>
      <w:r>
        <w:rPr>
          <w:rStyle w:val="FootnoteAnchor"/>
          <w:rtl w:val="true"/>
        </w:rPr>
        <w:footnoteReference w:id="1398"/>
      </w:r>
      <w:r>
        <w:rPr>
          <w:rFonts w:ascii="IRNazanin" w:hAnsi="IRNazanin" w:eastAsia="IRNazanin"/>
          <w:color w:val="111111"/>
          <w:sz w:val="28"/>
          <w:sz w:val="28"/>
          <w:szCs w:val="28"/>
          <w:rtl w:val="true"/>
          <w:lang w:bidi="fa-IR"/>
        </w:rPr>
        <w:t xml:space="preserve">یتضرّر المالک من انتظارها،أو </w:t>
      </w:r>
      <w:r>
        <w:rPr>
          <w:rStyle w:val="FootnoteAnchor"/>
          <w:rtl w:val="true"/>
        </w:rPr>
        <w:footnoteReference w:id="1399"/>
      </w:r>
      <w:r>
        <w:rPr>
          <w:rFonts w:ascii="IRNazanin" w:hAnsi="IRNazanin" w:eastAsia="IRNazanin"/>
          <w:color w:val="111111"/>
          <w:sz w:val="28"/>
          <w:sz w:val="28"/>
          <w:szCs w:val="28"/>
          <w:rtl w:val="true"/>
          <w:lang w:bidi="fa-IR"/>
        </w:rPr>
        <w:t>و لو کانت قصیرة؟وجوه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أدلّة ما ذکر من الأُمور </w:t>
      </w:r>
      <w:r>
        <w:rPr>
          <w:rStyle w:val="FootnoteAnchor"/>
          <w:rtl w:val="true"/>
        </w:rPr>
        <w:footnoteReference w:id="1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بأحد الأوّلین،لکنّ ظاهر إطلاق الفتاوی الأخیر،کما یظهر من إطلاقهم أنّ اللوح المغصوب فی السفینة إذا خیف من نزعه غَرْقُ مالٍ لغیر الغاصب انتقل إلی قیمته إلی أن یبلغ الساحل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bookmarkStart w:id="391" w:name="pg19763_248004"/>
    </w:p>
    <w:p>
      <w:pPr>
        <w:pStyle w:val="BookText"/>
        <w:rPr/>
      </w:pPr>
      <w:bookmarkEnd w:id="391"/>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فیه جمعاً بین الحقّین بعد فرض رجوع القیمة إلی ملک الضامن عند التمکّن من العین؛فإنّ تسلّط الناس علی مالهم الذی فرض کونه فی عهدته یقتضی جواز مطالبة الخروج عن عهدته عند تعذّر نفسه،نظیر ما تقدّم فی تسلّطه علی مطالبة القیمة للمثل المتعذّر فی المثلی </w:t>
      </w:r>
      <w:r>
        <w:rPr>
          <w:rStyle w:val="FootnoteAnchor"/>
          <w:rtl w:val="true"/>
        </w:rPr>
        <w:footnoteReference w:id="1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زمان التعذّر قصیراً جدّاً،بحیث لا یحصل صدق عنوان الغرامة و التدارک علی أداء القیمة،أشکل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عدم اعتبار التعذّر المسقط للتکلیف،بل لو کان ممکناً بحیث یجب علیه السعی فی مقدّماته لم یسقط القیمة زمان السعی، لکن ظاهر کلمات بعضهم </w:t>
      </w:r>
      <w:r>
        <w:rPr>
          <w:rStyle w:val="FootnoteAnchor"/>
          <w:rtl w:val="true"/>
        </w:rPr>
        <w:footnoteReference w:id="1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بالتعذّر،و هو الأوفق بأصالة عدم تسلّط المالک علی أزید من إلزامه بردّ العین،فتأمّل،و لعلّ المراد به التعذّر فی الحال و إن کان لتوقّفه علی مقدّمات زمانیّة یتأخّر لأجلها ذو المقدّمة</w:t>
      </w:r>
      <w:r>
        <w:rPr>
          <w:rFonts w:eastAsia="IRNazanin" w:cs="IRNazanin"/>
          <w:color w:val="111111"/>
          <w:sz w:val="28"/>
          <w:szCs w:val="28"/>
          <w:rtl w:val="true"/>
          <w:lang w:bidi="fa-IR"/>
        </w:rPr>
        <w:t>.</w:t>
      </w:r>
    </w:p>
    <w:p>
      <w:pPr>
        <w:pStyle w:val="Heading6"/>
        <w:numPr>
          <w:ilvl w:val="5"/>
          <w:numId w:val="1"/>
        </w:numPr>
        <w:rPr/>
      </w:pPr>
      <w:bookmarkStart w:id="392" w:name="__RefHeading___Toc5082722_2314609296"/>
      <w:bookmarkStart w:id="393" w:name="_Toc152"/>
      <w:bookmarkEnd w:id="392"/>
      <w:r>
        <w:rPr>
          <w:rtl w:val="true"/>
        </w:rPr>
        <w:t>[</w:t>
      </w:r>
      <w:r>
        <w:rPr>
          <w:rtl w:val="true"/>
        </w:rPr>
        <w:t>هل یلزم المالک بأخذ البدل؟</w:t>
      </w:r>
      <w:r>
        <w:rPr>
          <w:rtl w:val="true"/>
        </w:rPr>
        <w:t>]</w:t>
      </w:r>
      <w:bookmarkEnd w:id="39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ثبوت القیمة مع تعذّر العین لیس کثبوتها مع تلفها فی کون دفعها حقّا للضامن،فلا یجوز للمالک الامتناع </w:t>
      </w:r>
      <w:r>
        <w:rPr>
          <w:rStyle w:val="FootnoteAnchor"/>
          <w:rtl w:val="true"/>
        </w:rPr>
        <w:footnoteReference w:id="1404"/>
      </w:r>
      <w:r>
        <w:rPr>
          <w:rFonts w:ascii="IRNazanin" w:hAnsi="IRNazanin" w:eastAsia="IRNazanin"/>
          <w:color w:val="111111"/>
          <w:sz w:val="28"/>
          <w:sz w:val="28"/>
          <w:szCs w:val="28"/>
          <w:rtl w:val="true"/>
          <w:lang w:bidi="fa-IR"/>
        </w:rPr>
        <w:t xml:space="preserve">،بل له أن یمتنع </w:t>
      </w:r>
      <w:r>
        <w:rPr>
          <w:rStyle w:val="FootnoteAnchor"/>
          <w:rtl w:val="true"/>
        </w:rPr>
        <w:footnoteReference w:id="1405"/>
      </w:r>
      <w:r>
        <w:rPr>
          <w:rFonts w:ascii="IRNazanin" w:hAnsi="IRNazanin" w:eastAsia="IRNazanin"/>
          <w:color w:val="111111"/>
          <w:sz w:val="28"/>
          <w:sz w:val="28"/>
          <w:szCs w:val="28"/>
          <w:rtl w:val="true"/>
          <w:lang w:bidi="fa-IR"/>
        </w:rPr>
        <w:t>من</w:t>
      </w:r>
      <w:bookmarkStart w:id="394" w:name="pg19763_248005"/>
    </w:p>
    <w:p>
      <w:pPr>
        <w:pStyle w:val="BookText"/>
        <w:rPr/>
      </w:pPr>
      <w:bookmarkEnd w:id="394"/>
      <w:r>
        <w:rPr>
          <w:rFonts w:ascii="IRNazanin" w:hAnsi="IRNazanin" w:eastAsia="IRNazanin"/>
          <w:color w:val="111111"/>
          <w:sz w:val="28"/>
          <w:sz w:val="28"/>
          <w:szCs w:val="28"/>
          <w:rtl w:val="true"/>
          <w:lang w:bidi="fa-IR"/>
        </w:rPr>
        <w:t xml:space="preserve">أخذها و یصبر إلی زوال العذر،کما صرّح به الشیخ فی المبسوط </w:t>
      </w:r>
      <w:r>
        <w:rPr>
          <w:rStyle w:val="FootnoteAnchor"/>
          <w:rtl w:val="true"/>
        </w:rPr>
        <w:footnoteReference w:id="1406"/>
      </w:r>
      <w:r>
        <w:rPr>
          <w:rFonts w:ascii="IRNazanin" w:hAnsi="IRNazanin" w:eastAsia="IRNazanin"/>
          <w:color w:val="111111"/>
          <w:sz w:val="28"/>
          <w:sz w:val="28"/>
          <w:szCs w:val="28"/>
          <w:rtl w:val="true"/>
          <w:lang w:bidi="fa-IR"/>
        </w:rPr>
        <w:t>، و یدلّ علیه قاعدة تسلّط الناس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تعذّر ردّ العین فی حکم التلف فکذا خروجه عن التقویم</w:t>
      </w:r>
      <w:r>
        <w:rPr>
          <w:rFonts w:eastAsia="IRNazanin" w:cs="IRNazanin"/>
          <w:color w:val="111111"/>
          <w:sz w:val="28"/>
          <w:szCs w:val="28"/>
          <w:rtl w:val="true"/>
          <w:lang w:bidi="fa-IR"/>
        </w:rPr>
        <w:t>.</w:t>
      </w:r>
    </w:p>
    <w:p>
      <w:pPr>
        <w:pStyle w:val="Heading6"/>
        <w:numPr>
          <w:ilvl w:val="5"/>
          <w:numId w:val="1"/>
        </w:numPr>
        <w:rPr/>
      </w:pPr>
      <w:bookmarkStart w:id="395" w:name="__RefHeading___Toc5082724_2314609296"/>
      <w:bookmarkStart w:id="396" w:name="_Toc153"/>
      <w:bookmarkEnd w:id="395"/>
      <w:r>
        <w:rPr>
          <w:rtl w:val="true"/>
        </w:rPr>
        <w:t>ثمّ إنّ المال المبذول یملکه المالک بلا خلاف،</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المبسوط </w:t>
      </w:r>
      <w:r>
        <w:rPr>
          <w:rStyle w:val="FootnoteAnchor"/>
          <w:rtl w:val="true"/>
        </w:rPr>
        <w:footnoteReference w:id="1407"/>
      </w:r>
      <w:r>
        <w:rPr>
          <w:rFonts w:ascii="IRNazanin" w:hAnsi="IRNazanin" w:eastAsia="IRNazanin"/>
          <w:color w:val="111111"/>
          <w:sz w:val="28"/>
          <w:sz w:val="28"/>
          <w:szCs w:val="28"/>
          <w:rtl w:val="true"/>
          <w:lang w:bidi="fa-IR"/>
        </w:rPr>
        <w:t xml:space="preserve">و الخلاف </w:t>
      </w:r>
      <w:r>
        <w:rPr>
          <w:rStyle w:val="FootnoteAnchor"/>
          <w:rtl w:val="true"/>
        </w:rPr>
        <w:footnoteReference w:id="1408"/>
      </w:r>
      <w:r>
        <w:rPr>
          <w:rFonts w:ascii="IRNazanin" w:hAnsi="IRNazanin" w:eastAsia="IRNazanin"/>
          <w:color w:val="111111"/>
          <w:sz w:val="28"/>
          <w:sz w:val="28"/>
          <w:szCs w:val="28"/>
          <w:rtl w:val="true"/>
          <w:lang w:bidi="fa-IR"/>
        </w:rPr>
        <w:t xml:space="preserve">و الغنیة </w:t>
      </w:r>
      <w:r>
        <w:rPr>
          <w:rStyle w:val="FootnoteAnchor"/>
          <w:rtl w:val="true"/>
        </w:rPr>
        <w:footnoteReference w:id="1409"/>
      </w:r>
      <w:r>
        <w:rPr>
          <w:rFonts w:ascii="IRNazanin" w:hAnsi="IRNazanin" w:eastAsia="IRNazanin"/>
          <w:color w:val="111111"/>
          <w:sz w:val="28"/>
          <w:sz w:val="28"/>
          <w:szCs w:val="28"/>
          <w:rtl w:val="true"/>
          <w:lang w:bidi="fa-IR"/>
        </w:rPr>
        <w:t xml:space="preserve">و السرائر </w:t>
      </w:r>
      <w:r>
        <w:rPr>
          <w:rStyle w:val="FootnoteAnchor"/>
          <w:rtl w:val="true"/>
        </w:rPr>
        <w:footnoteReference w:id="1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 إرادة نفی الخلاف بین المسلمین،و لعلّ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التدارک لا یتحقّق إلّا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ظهور الإجماع و أدلّة الغرامة </w:t>
      </w:r>
      <w:r>
        <w:rPr>
          <w:rStyle w:val="FootnoteAnchor"/>
          <w:rtl w:val="true"/>
        </w:rPr>
        <w:footnoteReference w:id="1411"/>
      </w:r>
      <w:r>
        <w:rPr>
          <w:rFonts w:ascii="IRNazanin" w:hAnsi="IRNazanin" w:eastAsia="IRNazanin"/>
          <w:color w:val="111111"/>
          <w:sz w:val="28"/>
          <w:sz w:val="28"/>
          <w:szCs w:val="28"/>
          <w:rtl w:val="true"/>
          <w:lang w:bidi="fa-IR"/>
        </w:rPr>
        <w:t xml:space="preserve">فی الملکیة لاحتملنا أن یکون مباحاً له إباحةً مطلقة و إن لم یدخل فی ملکه،نظیر الإباحة المطلقة فی المعاطاة علی القول بها فیها،و یکون دخوله فی ملکه مشروطاً بتلف العین،و حکی الجزم بهذا الاحتمال عن المحقّق القمّی رحمه اللّه فی أجوبة مسائله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7" w:name="__RefHeading___Toc5082726_2314609296"/>
      <w:bookmarkStart w:id="398" w:name="_Toc154"/>
      <w:bookmarkEnd w:id="397"/>
      <w:r>
        <w:rPr>
          <w:rtl w:val="true"/>
        </w:rPr>
        <w:t>[</w:t>
      </w:r>
      <w:r>
        <w:rPr>
          <w:rtl w:val="true"/>
        </w:rPr>
        <w:t>هل تنقل العین إلی الضامن بإعطاء البدل</w:t>
      </w:r>
      <w:r>
        <w:rPr>
          <w:rtl w:val="true"/>
        </w:rPr>
        <w:t>]</w:t>
      </w:r>
      <w:bookmarkEnd w:id="39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حالٍ،فلا ینتقل العین إلی الضامن،فهی غرامة لا تلازم فیها بین خروج المبذول عن ملکه و دخول العین فی ملکه،</w:t>
      </w:r>
    </w:p>
    <w:p>
      <w:pPr>
        <w:pStyle w:val="BookText"/>
        <w:rPr/>
      </w:pPr>
      <w:r>
        <w:rPr>
          <w:rFonts w:ascii="IRNazanin" w:hAnsi="IRNazanin" w:eastAsia="IRNazanin"/>
          <w:color w:val="111111"/>
          <w:sz w:val="28"/>
          <w:sz w:val="28"/>
          <w:szCs w:val="28"/>
          <w:rtl w:val="true"/>
          <w:lang w:bidi="fa-IR"/>
        </w:rPr>
        <w:t>و لیست معاوضة لیلزم الجمع بین العوض و المعوض،فالمبذول هنا کالمبذول مع تلف العین فی عدم البدل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فی ذلک المحقّق و الشهید الثانیان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الأوّل فی محکیّ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هنا إشکالاً؛فإنّه کیف یجب القیمة و یملکها الآخذ و یبقی العین علی ملکه؟و جعلها فی مقابلة الحیلولة لا یکاد یتّضح معناه </w:t>
      </w:r>
      <w:r>
        <w:rPr>
          <w:rStyle w:val="FootnoteAnchor"/>
          <w:rtl w:val="true"/>
        </w:rPr>
        <w:footnoteReference w:id="14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لا یخلو من إشکال من حیث اجتماع العوض و المعوَّض علی ملک المالک من دون دلیلٍ واضح،و لو قیل بحصول الملک لکلّ منهما متزلزلاً،و </w:t>
      </w:r>
      <w:r>
        <w:rPr>
          <w:rStyle w:val="FootnoteAnchor"/>
          <w:rtl w:val="true"/>
        </w:rPr>
        <w:footnoteReference w:id="1414"/>
      </w:r>
      <w:r>
        <w:rPr>
          <w:rFonts w:ascii="IRNazanin" w:hAnsi="IRNazanin" w:eastAsia="IRNazanin"/>
          <w:color w:val="111111"/>
          <w:sz w:val="28"/>
          <w:sz w:val="28"/>
          <w:szCs w:val="28"/>
          <w:rtl w:val="true"/>
          <w:lang w:bidi="fa-IR"/>
        </w:rPr>
        <w:t xml:space="preserve">توقّف تملّک المغصوب منه للبدل علی الیأس من العین و إن جاز له التصرّف،کان وجهاً فی المسألة </w:t>
      </w:r>
      <w:r>
        <w:rPr>
          <w:rStyle w:val="FootnoteAnchor"/>
          <w:rtl w:val="true"/>
        </w:rPr>
        <w:footnoteReference w:id="141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استحسنه فی محکیّ الکفایة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ینبغی أن یقال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معنی ضمان العین ذهابها من مال الضامن،و لازم ذلک إقامة مقابله من ماله مقامه </w:t>
      </w:r>
      <w:r>
        <w:rPr>
          <w:rStyle w:val="FootnoteAnchor"/>
          <w:rtl w:val="true"/>
        </w:rPr>
        <w:footnoteReference w:id="1417"/>
      </w:r>
      <w:r>
        <w:rPr>
          <w:rFonts w:ascii="IRNazanin" w:hAnsi="IRNazanin" w:eastAsia="IRNazanin"/>
          <w:color w:val="111111"/>
          <w:sz w:val="28"/>
          <w:sz w:val="28"/>
          <w:szCs w:val="28"/>
          <w:rtl w:val="true"/>
          <w:lang w:bidi="fa-IR"/>
        </w:rPr>
        <w:t>لیصدق ذهابها من کیسه</w:t>
      </w:r>
      <w:r>
        <w:rPr>
          <w:rFonts w:eastAsia="IRNazanin" w:cs="IRNazanin"/>
          <w:color w:val="111111"/>
          <w:sz w:val="28"/>
          <w:szCs w:val="28"/>
          <w:rtl w:val="true"/>
          <w:lang w:bidi="fa-IR"/>
        </w:rPr>
        <w:t>.</w:t>
      </w:r>
      <w:bookmarkStart w:id="399" w:name="pg19763_248007"/>
    </w:p>
    <w:p>
      <w:pPr>
        <w:pStyle w:val="BookText"/>
        <w:rPr/>
      </w:pPr>
      <w:bookmarkEnd w:id="399"/>
      <w:r>
        <w:rPr>
          <w:rFonts w:ascii="IRNazanin" w:hAnsi="IRNazanin" w:eastAsia="IRNazanin"/>
          <w:color w:val="111111"/>
          <w:sz w:val="28"/>
          <w:sz w:val="28"/>
          <w:szCs w:val="28"/>
          <w:rtl w:val="true"/>
          <w:lang w:bidi="fa-IR"/>
        </w:rPr>
        <w:t xml:space="preserve">ثمّ إنّ الذهاب إن کان علی وجه التلف الحقیقی،أو العرفی المُخرج للعین عن قابلیّة الملکیّة </w:t>
      </w:r>
      <w:r>
        <w:rPr>
          <w:rStyle w:val="FootnoteAnchor"/>
          <w:rtl w:val="true"/>
        </w:rPr>
        <w:footnoteReference w:id="1418"/>
      </w:r>
      <w:r>
        <w:rPr>
          <w:rFonts w:ascii="IRNazanin" w:hAnsi="IRNazanin" w:eastAsia="IRNazanin"/>
          <w:color w:val="111111"/>
          <w:sz w:val="28"/>
          <w:sz w:val="28"/>
          <w:szCs w:val="28"/>
          <w:rtl w:val="true"/>
          <w:lang w:bidi="fa-IR"/>
        </w:rPr>
        <w:t>عرفاً،وجب قیام مقابله من ماله مقامه فی الملکیّة،و إن کان الذهاب بمعنی انقطاع سلطنته عنه و فوات الانتفاع به فی الوجوه التی بها قوام الملکیّة،وجب قیام مقابله مقامه فی السلطنة،لا فی الملکیّة؛لیکون مقابلاً و تدارکاً للسلطنة الفائتة،فالتدارک لا یقتضی ملکیّة المتدارک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نعم،لمّا کانت السلطنة المطلقة المتدارکة للسلطنة الفائتة متوقّفة علی الملک؛لتوقّف بعض التصرّفات علیها،وجب ملکیّته للمبذول تحقیقاً لمعنی التدارک و الخروج عن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ینبغی الإشکال فی بقاء العین المضمونة علی ملک مالکها،إنّما الکلام فی البدل المبذول،و لا کلام أیضاً فی وجوب الحکم بالإباحة و بالسلطنة المطلقة علیها </w:t>
      </w:r>
      <w:r>
        <w:rPr>
          <w:rStyle w:val="FootnoteAnchor"/>
          <w:rtl w:val="true"/>
        </w:rPr>
        <w:footnoteReference w:id="1419"/>
      </w:r>
      <w:r>
        <w:rPr>
          <w:rFonts w:ascii="IRNazanin" w:hAnsi="IRNazanin" w:eastAsia="IRNazanin"/>
          <w:color w:val="111111"/>
          <w:sz w:val="28"/>
          <w:sz w:val="28"/>
          <w:szCs w:val="28"/>
          <w:rtl w:val="true"/>
          <w:lang w:bidi="fa-IR"/>
        </w:rPr>
        <w:t>،و بعد ذلک فیرجع محصّل الکلام حینئذٍ إلی أنّ إباحة جمیع التصرّفات حتّی المتوقّفة علی الملک هل تستلزم الملک من حین الإباحة،أو یکفی فیه حصوله من حین التصرّف؟و قد تقدّم فی المعاطاة بیان ذلک</w:t>
      </w:r>
      <w:r>
        <w:rPr>
          <w:rFonts w:eastAsia="IRNazanin" w:cs="IRNazanin"/>
          <w:color w:val="111111"/>
          <w:sz w:val="28"/>
          <w:szCs w:val="28"/>
          <w:rtl w:val="true"/>
          <w:lang w:bidi="fa-IR"/>
        </w:rPr>
        <w:t>.</w:t>
      </w:r>
    </w:p>
    <w:p>
      <w:pPr>
        <w:pStyle w:val="Heading6"/>
        <w:numPr>
          <w:ilvl w:val="5"/>
          <w:numId w:val="1"/>
        </w:numPr>
        <w:rPr/>
      </w:pPr>
      <w:bookmarkStart w:id="400" w:name="__RefHeading___Toc5082728_2314609296"/>
      <w:bookmarkStart w:id="401" w:name="_Toc155"/>
      <w:bookmarkEnd w:id="400"/>
      <w:r>
        <w:rPr>
          <w:rtl w:val="true"/>
        </w:rPr>
        <w:t>[</w:t>
      </w:r>
      <w:r>
        <w:rPr>
          <w:rtl w:val="true"/>
        </w:rPr>
        <w:t>التفصیل بین فوات معظم المنافع أو بعضها</w:t>
      </w:r>
      <w:r>
        <w:rPr>
          <w:rtl w:val="true"/>
        </w:rPr>
        <w:t>]</w:t>
      </w:r>
      <w:bookmarkEnd w:id="40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تحصّل ممّا ذکرنا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تحقّق </w:t>
      </w:r>
      <w:r>
        <w:rPr>
          <w:rStyle w:val="FootnoteAnchor"/>
          <w:rtl w:val="true"/>
        </w:rPr>
        <w:footnoteReference w:id="1420"/>
      </w:r>
      <w:r>
        <w:rPr>
          <w:rFonts w:ascii="IRNazanin" w:hAnsi="IRNazanin" w:eastAsia="IRNazanin"/>
          <w:color w:val="111111"/>
          <w:sz w:val="28"/>
          <w:sz w:val="28"/>
          <w:szCs w:val="28"/>
          <w:rtl w:val="true"/>
          <w:lang w:bidi="fa-IR"/>
        </w:rPr>
        <w:t>ملکیّة البدل أو السلطنة المطلقة علیه مع بقاء العین علی ملک مالکها،إنّما هو مع فوات معظم الانتفاعات به،بحیث یعدّ بذل البدل غرامة و تدارکاً،أمّا لو لم یفت إلّا</w:t>
      </w:r>
      <w:bookmarkStart w:id="402" w:name="pg19763_248008"/>
    </w:p>
    <w:p>
      <w:pPr>
        <w:pStyle w:val="BookText"/>
        <w:rPr/>
      </w:pPr>
      <w:bookmarkEnd w:id="402"/>
      <w:r>
        <w:rPr>
          <w:rFonts w:ascii="IRNazanin" w:hAnsi="IRNazanin" w:eastAsia="IRNazanin"/>
          <w:color w:val="111111"/>
          <w:sz w:val="28"/>
          <w:sz w:val="28"/>
          <w:szCs w:val="28"/>
          <w:rtl w:val="true"/>
          <w:lang w:bidi="fa-IR"/>
        </w:rPr>
        <w:t>بعض ما لیس به قوام الملکیّة،فالتدارک لا یقتضی ملکه و لا السلطنة المطلقة علی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حکم الشارع بوجوب غرامة قیمته حینئذٍ لم یبعد انکشاف </w:t>
      </w:r>
      <w:r>
        <w:rPr>
          <w:rStyle w:val="FootnoteAnchor"/>
          <w:rtl w:val="true"/>
        </w:rPr>
        <w:footnoteReference w:id="1421"/>
      </w:r>
      <w:r>
        <w:rPr>
          <w:rFonts w:ascii="IRNazanin" w:hAnsi="IRNazanin" w:eastAsia="IRNazanin"/>
          <w:color w:val="111111"/>
          <w:sz w:val="28"/>
          <w:sz w:val="28"/>
          <w:szCs w:val="28"/>
          <w:rtl w:val="true"/>
          <w:lang w:bidi="fa-IR"/>
        </w:rPr>
        <w:t xml:space="preserve">ذلک عن انتقال العین إلی الغارم؛و لذا استظهر غیر واحد </w:t>
      </w:r>
      <w:r>
        <w:rPr>
          <w:rStyle w:val="FootnoteAnchor"/>
          <w:rtl w:val="true"/>
        </w:rPr>
        <w:footnoteReference w:id="1422"/>
      </w:r>
      <w:r>
        <w:rPr>
          <w:rFonts w:ascii="IRNazanin" w:hAnsi="IRNazanin" w:eastAsia="IRNazanin"/>
          <w:color w:val="111111"/>
          <w:sz w:val="28"/>
          <w:sz w:val="28"/>
          <w:szCs w:val="28"/>
          <w:rtl w:val="true"/>
          <w:lang w:bidi="fa-IR"/>
        </w:rPr>
        <w:t>أنّ الغارم لقیمة الحیوان الذی وطأه یملکه؛لأنّه و إن وجب بالوطء نفیه عن البلد و بیعه فی بلدٍ آخر،لکن هذا لا یعدّ فواتاً لما به قوام المالیّة</w:t>
      </w:r>
      <w:r>
        <w:rPr>
          <w:rFonts w:eastAsia="IRNazanin" w:cs="IRNazanin"/>
          <w:color w:val="111111"/>
          <w:sz w:val="28"/>
          <w:szCs w:val="28"/>
          <w:rtl w:val="true"/>
          <w:lang w:bidi="fa-IR"/>
        </w:rPr>
        <w:t>.</w:t>
      </w:r>
    </w:p>
    <w:p>
      <w:pPr>
        <w:pStyle w:val="Heading6"/>
        <w:numPr>
          <w:ilvl w:val="5"/>
          <w:numId w:val="1"/>
        </w:numPr>
        <w:rPr/>
      </w:pPr>
      <w:bookmarkStart w:id="403" w:name="__RefHeading___Toc5082730_2314609296"/>
      <w:bookmarkStart w:id="404" w:name="_Toc156"/>
      <w:bookmarkEnd w:id="403"/>
      <w:r>
        <w:rPr>
          <w:rtl w:val="true"/>
        </w:rPr>
        <w:t>[</w:t>
      </w:r>
      <w:r>
        <w:rPr>
          <w:rtl w:val="true"/>
        </w:rPr>
        <w:t>خروج العین عن التقویم</w:t>
      </w:r>
      <w:r>
        <w:rPr>
          <w:rtl w:val="true"/>
        </w:rPr>
        <w:t>]</w:t>
      </w:r>
      <w:bookmarkEnd w:id="404"/>
    </w:p>
    <w:p>
      <w:pPr>
        <w:pStyle w:val="BookText"/>
        <w:rPr/>
      </w:pPr>
      <w:r>
        <w:rPr>
          <w:rFonts w:ascii="IRNazanin" w:hAnsi="IRNazanin" w:eastAsia="IRNazanin"/>
          <w:color w:val="111111"/>
          <w:sz w:val="28"/>
          <w:sz w:val="28"/>
          <w:szCs w:val="28"/>
          <w:rtl w:val="true"/>
          <w:lang w:bidi="fa-IR"/>
        </w:rPr>
        <w:t xml:space="preserve">هذا کلّه مع انقطاع السلطنة عن العین مع بقائها علی مقدار ملکیّتها </w:t>
      </w:r>
      <w:r>
        <w:rPr>
          <w:rStyle w:val="FootnoteAnchor"/>
          <w:rtl w:val="true"/>
        </w:rPr>
        <w:footnoteReference w:id="1423"/>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خرج </w:t>
      </w:r>
      <w:r>
        <w:rPr>
          <w:rStyle w:val="FootnoteAnchor"/>
          <w:rtl w:val="true"/>
        </w:rPr>
        <w:footnoteReference w:id="1424"/>
      </w:r>
      <w:r>
        <w:rPr>
          <w:rFonts w:ascii="IRNazanin" w:hAnsi="IRNazanin" w:eastAsia="IRNazanin"/>
          <w:color w:val="111111"/>
          <w:sz w:val="28"/>
          <w:sz w:val="28"/>
          <w:szCs w:val="28"/>
          <w:rtl w:val="true"/>
          <w:lang w:bidi="fa-IR"/>
        </w:rPr>
        <w:t xml:space="preserve">عن التقویم مع بقائها علی صفة الملکیة،فمقتضی قاعدة الضمان وجوب کمال القیمة،مع بقاء العین علی ملک المالک </w:t>
      </w:r>
      <w:r>
        <w:rPr>
          <w:rStyle w:val="FootnoteAnchor"/>
          <w:rtl w:val="true"/>
        </w:rPr>
        <w:footnoteReference w:id="1425"/>
      </w:r>
      <w:r>
        <w:rPr>
          <w:rFonts w:ascii="IRNazanin" w:hAnsi="IRNazanin" w:eastAsia="IRNazanin"/>
          <w:color w:val="111111"/>
          <w:sz w:val="28"/>
          <w:sz w:val="28"/>
          <w:szCs w:val="28"/>
          <w:rtl w:val="true"/>
          <w:lang w:bidi="fa-IR"/>
        </w:rPr>
        <w:t xml:space="preserve">لأنّ القیمة عوض الأوصاف أو الأجزاء </w:t>
      </w:r>
      <w:r>
        <w:rPr>
          <w:rStyle w:val="FootnoteAnchor"/>
          <w:rtl w:val="true"/>
        </w:rPr>
        <w:footnoteReference w:id="1426"/>
      </w:r>
      <w:r>
        <w:rPr>
          <w:rFonts w:ascii="IRNazanin" w:hAnsi="IRNazanin" w:eastAsia="IRNazanin"/>
          <w:color w:val="111111"/>
          <w:sz w:val="28"/>
          <w:sz w:val="28"/>
          <w:szCs w:val="28"/>
          <w:rtl w:val="true"/>
          <w:lang w:bidi="fa-IR"/>
        </w:rPr>
        <w:t>التی خرجت العین لفواتها عن التقویم،لا عوض العین نفسها،کما فی الرطوبة الباقیة بعد الوضوء بالماء المغصوب،فإنّ بقاءها علی ملک مالکها لا ینافی معنی الغرامة؛</w:t>
      </w:r>
    </w:p>
    <w:p>
      <w:pPr>
        <w:pStyle w:val="BookText"/>
        <w:rPr/>
      </w:pPr>
      <w:r>
        <w:rPr>
          <w:rFonts w:ascii="IRNazanin" w:hAnsi="IRNazanin" w:eastAsia="IRNazanin"/>
          <w:color w:val="111111"/>
          <w:sz w:val="28"/>
          <w:sz w:val="28"/>
          <w:szCs w:val="28"/>
          <w:rtl w:val="true"/>
          <w:lang w:bidi="fa-IR"/>
        </w:rPr>
        <w:t xml:space="preserve">لفوات معظم الانتفاعات به </w:t>
      </w:r>
      <w:r>
        <w:rPr>
          <w:rStyle w:val="FootnoteAnchor"/>
          <w:rtl w:val="true"/>
        </w:rPr>
        <w:footnoteReference w:id="1427"/>
      </w:r>
      <w:r>
        <w:rPr>
          <w:rFonts w:ascii="IRNazanin" w:hAnsi="IRNazanin" w:eastAsia="IRNazanin"/>
          <w:color w:val="111111"/>
          <w:sz w:val="28"/>
          <w:sz w:val="28"/>
          <w:szCs w:val="28"/>
          <w:rtl w:val="true"/>
          <w:lang w:bidi="fa-IR"/>
        </w:rPr>
        <w:t>،فیقوی عدم جواز المسح بها إلّا بإذن المالک و لو بذل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القواعد </w:t>
      </w:r>
      <w:r>
        <w:rPr>
          <w:rStyle w:val="FootnoteAnchor"/>
          <w:rtl w:val="true"/>
        </w:rPr>
        <w:footnoteReference w:id="1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لو خاط ثوبه بخیوط 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 المالک نزعها و إن أفضی إلی التلف وجب،ثمّ یضمن الغاصب النقص،و لو لم یبقَ لها قیمةٌ غرم جمیع القیمة،انتهی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عطف علی ذلک فی محکیّ جامع المقاصد </w:t>
      </w:r>
      <w:r>
        <w:rPr>
          <w:rStyle w:val="FootnoteAnchor"/>
          <w:rtl w:val="true"/>
        </w:rPr>
        <w:footnoteReference w:id="1429"/>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یوجب ذلک خروجها عن ملک المالک،کما سبق من أنّ جنایة الغاصب توجب أکثر الأمرین،و لو استوعبت </w:t>
      </w:r>
      <w:r>
        <w:rPr>
          <w:rStyle w:val="FootnoteAnchor"/>
          <w:rtl w:val="true"/>
        </w:rPr>
        <w:footnoteReference w:id="1430"/>
      </w:r>
      <w:r>
        <w:rPr>
          <w:rFonts w:ascii="IRNazanin" w:hAnsi="IRNazanin" w:eastAsia="IRNazanin"/>
          <w:color w:val="111111"/>
          <w:sz w:val="28"/>
          <w:sz w:val="28"/>
          <w:szCs w:val="28"/>
          <w:rtl w:val="true"/>
          <w:lang w:bidi="fa-IR"/>
        </w:rPr>
        <w:t xml:space="preserve">القیمة أخذها و لم تدفع العین </w:t>
      </w:r>
      <w:r>
        <w:rPr>
          <w:rStyle w:val="FootnoteAnchor"/>
          <w:rtl w:val="true"/>
        </w:rPr>
        <w:footnoteReference w:id="14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المسالک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 لم یبقَ له قیمة ضمن جمیع القیمة،و لا یخرج بذلک عن ملک مالکه کما سبق،فیجمع بین العین و القیمة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عن مجمع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عدم وجوب النزع،بل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لا یجوز و یتعیّن القیمة؛لکونه بمنزلة التلف، و حینئذٍ یمکن جواز الصلاة فی هذا الثوب المخیط؛إذ لا غصب فیه یجب</w:t>
      </w:r>
    </w:p>
    <w:p>
      <w:pPr>
        <w:pStyle w:val="BookText"/>
        <w:rPr/>
      </w:pPr>
      <w:r>
        <w:rPr>
          <w:rFonts w:ascii="IRNazanin" w:hAnsi="IRNazanin" w:eastAsia="IRNazanin"/>
          <w:color w:val="111111"/>
          <w:sz w:val="28"/>
          <w:sz w:val="28"/>
          <w:szCs w:val="28"/>
          <w:rtl w:val="true"/>
          <w:lang w:bidi="fa-IR"/>
        </w:rPr>
        <w:t xml:space="preserve">ردّه،کما قیل بجواز المسح بالرطوبة الباقیة من الماء المغصوب الذی حصل العلم به بعد إکمال الغسل و قبل المسح </w:t>
      </w:r>
      <w:r>
        <w:rPr>
          <w:rStyle w:val="FootnoteAnchor"/>
          <w:rtl w:val="true"/>
        </w:rPr>
        <w:footnoteReference w:id="14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استجوده بعض المعاصرین </w:t>
      </w:r>
      <w:r>
        <w:rPr>
          <w:rStyle w:val="FootnoteAnchor"/>
          <w:rtl w:val="true"/>
        </w:rPr>
        <w:footnoteReference w:id="1434"/>
      </w:r>
      <w:r>
        <w:rPr>
          <w:rFonts w:ascii="IRNazanin" w:hAnsi="IRNazanin" w:eastAsia="IRNazanin"/>
          <w:color w:val="111111"/>
          <w:sz w:val="28"/>
          <w:sz w:val="28"/>
          <w:szCs w:val="28"/>
          <w:rtl w:val="true"/>
          <w:lang w:bidi="fa-IR"/>
        </w:rPr>
        <w:t>ترجیحاً لاقتضاء ملک المالک للقیمة خروج المضمون عن ملکه؛لصیرورته عوضاً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منشأ لهذا الاقتضاء،و أدلّة الضمان قد عرفت أنّ محصّلها یرجع إلی وجوب تدارک ما ذهب من المالک،سواءً کان الذاهب نفس العین کما فی التلف الحقیقی،أو کان الذاهب السلطنة علیها التی بها قوام مالیّتها کغرق المال،أو کان الذاهب الأجزاء أو الأوصاف التی یخرج بذهابها العین عن التقویم مع بقاء ملکیّته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أنّ العین علی التقدیر الأوّل خارج </w:t>
      </w:r>
      <w:r>
        <w:rPr>
          <w:rStyle w:val="FootnoteAnchor"/>
          <w:rtl w:val="true"/>
        </w:rPr>
        <w:footnoteReference w:id="1436"/>
      </w:r>
      <w:r>
        <w:rPr>
          <w:rFonts w:ascii="Amiri" w:hAnsi="Amiri" w:eastAsia="Amiri" w:cs="Amiri"/>
          <w:color w:val="111111"/>
          <w:sz w:val="28"/>
          <w:sz w:val="28"/>
          <w:szCs w:val="28"/>
          <w:rtl w:val="true"/>
          <w:lang w:bidi="ar-SA"/>
        </w:rPr>
        <w:t>عن الملکیّة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 المطلقة علی البدل بدل عن السلطنة المنقطعة عن العین،و هذا معنی بدل الحیلولة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فالمبذول عوض عمّا خرج المال بذهابه عن التقویم،لا عن نفس العین،فالمضمون فی الحقیقة هی تلک الأوصاف التی تقابل بجمیع القیمة،لا نفس العین الباقیة،کیف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تتلف هی، و لیس لها علی تقدیر التلف أیضاً عهدة مالیة؟بل الأمر بردّها مجرّد تکلیف لا یقابل بالمال،بل لو استلزم ردّه </w:t>
      </w:r>
      <w:r>
        <w:rPr>
          <w:rStyle w:val="FootnoteAnchor"/>
          <w:rtl w:val="true"/>
        </w:rPr>
        <w:footnoteReference w:id="1437"/>
      </w:r>
      <w:r>
        <w:rPr>
          <w:rFonts w:ascii="Amiri" w:hAnsi="Amiri" w:eastAsia="Amiri" w:cs="Amiri"/>
          <w:color w:val="111111"/>
          <w:sz w:val="28"/>
          <w:sz w:val="28"/>
          <w:szCs w:val="28"/>
          <w:rtl w:val="true"/>
          <w:lang w:bidi="ar-SA"/>
        </w:rPr>
        <w:t>ضرراً مالیاً علی الغاصب</w:t>
      </w:r>
      <w:bookmarkStart w:id="405" w:name="pg19763_248011"/>
    </w:p>
    <w:p>
      <w:pPr>
        <w:pStyle w:val="BookText"/>
        <w:rPr/>
      </w:pPr>
      <w:bookmarkEnd w:id="405"/>
      <w:r>
        <w:rPr>
          <w:rFonts w:ascii="IRNazanin" w:hAnsi="IRNazanin" w:eastAsia="IRNazanin"/>
          <w:color w:val="111111"/>
          <w:sz w:val="28"/>
          <w:sz w:val="28"/>
          <w:szCs w:val="28"/>
          <w:rtl w:val="true"/>
          <w:lang w:bidi="fa-IR"/>
        </w:rPr>
        <w:t>أمکن سقوطه،فتأمّل</w:t>
      </w:r>
      <w:r>
        <w:rPr>
          <w:rFonts w:eastAsia="IRNazanin" w:cs="IRNazanin"/>
          <w:color w:val="111111"/>
          <w:sz w:val="28"/>
          <w:szCs w:val="28"/>
          <w:rtl w:val="true"/>
          <w:lang w:bidi="fa-IR"/>
        </w:rPr>
        <w:t>.</w:t>
      </w:r>
    </w:p>
    <w:p>
      <w:pPr>
        <w:pStyle w:val="Heading6"/>
        <w:numPr>
          <w:ilvl w:val="5"/>
          <w:numId w:val="1"/>
        </w:numPr>
        <w:rPr/>
      </w:pPr>
      <w:bookmarkStart w:id="406" w:name="__RefHeading___Toc5082732_2314609296"/>
      <w:bookmarkStart w:id="407" w:name="_Toc157"/>
      <w:bookmarkEnd w:id="406"/>
      <w:r>
        <w:rPr>
          <w:rtl w:val="true"/>
        </w:rPr>
        <w:t>[</w:t>
      </w:r>
      <w:r>
        <w:rPr>
          <w:rtl w:val="true"/>
        </w:rPr>
        <w:t>خروج العین عن الملکیة مع بقاء حق الأولویة</w:t>
      </w:r>
      <w:r>
        <w:rPr>
          <w:rtl w:val="true"/>
        </w:rPr>
        <w:t>]</w:t>
      </w:r>
      <w:bookmarkEnd w:id="407"/>
    </w:p>
    <w:p>
      <w:pPr>
        <w:pStyle w:val="BookText"/>
        <w:rPr/>
      </w:pPr>
      <w:r>
        <w:rPr>
          <w:rFonts w:ascii="IRNazanin" w:hAnsi="IRNazanin" w:eastAsia="IRNazanin"/>
          <w:color w:val="111111"/>
          <w:sz w:val="28"/>
          <w:sz w:val="28"/>
          <w:szCs w:val="28"/>
          <w:rtl w:val="true"/>
          <w:lang w:bidi="fa-IR"/>
        </w:rPr>
        <w:t>و لعلّ ما عن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ظاهرهم عدم وجوب إخراج الخیط المغصوب عن الثوب بعد خروجه عن القیمة بالإخراج،فتعیّن القیمة فقط </w:t>
      </w:r>
      <w:r>
        <w:rPr>
          <w:rStyle w:val="FootnoteAnchor"/>
          <w:rtl w:val="true"/>
        </w:rPr>
        <w:footnoteReference w:id="1438"/>
      </w:r>
      <w:r>
        <w:rPr>
          <w:rFonts w:ascii="IRNazanin" w:hAnsi="IRNazanin" w:eastAsia="IRNazanin"/>
          <w:color w:val="111111"/>
          <w:sz w:val="28"/>
          <w:sz w:val="28"/>
          <w:szCs w:val="28"/>
          <w:rtl w:val="true"/>
          <w:lang w:bidi="fa-IR"/>
        </w:rPr>
        <w:t xml:space="preserve">،محمول علی صورة تضرّر المالک بفساد الثوب المخیط أو البناء المستدخل فیه الخشبة،کما لا یأبی عنه عنوان المسألة،فلاحظ، و حینئذٍ فلا تنافی ما تقدّم عنه </w:t>
      </w:r>
      <w:r>
        <w:rPr>
          <w:rStyle w:val="FootnoteAnchor"/>
          <w:rtl w:val="true"/>
        </w:rPr>
        <w:footnoteReference w:id="1439"/>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بقاء الخیط علی ملک مالکه و إن وجب بذل قیمته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هنا قسماً رابعاً،و هو ما لو خرج المضمون عن الملکیّة مع بقاء حقّ الأولویة فیه،کما لو صار الخلّ المغصوب خمراً،فاستشکل فی القواعد وجوب ردّها مع القیمة </w:t>
      </w:r>
      <w:r>
        <w:rPr>
          <w:rStyle w:val="FootnoteAnchor"/>
          <w:rtl w:val="true"/>
        </w:rPr>
        <w:footnoteReference w:id="1441"/>
      </w:r>
      <w:r>
        <w:rPr>
          <w:rFonts w:ascii="IRNazanin" w:hAnsi="IRNazanin" w:eastAsia="IRNazanin"/>
          <w:color w:val="111111"/>
          <w:sz w:val="28"/>
          <w:sz w:val="28"/>
          <w:szCs w:val="28"/>
          <w:rtl w:val="true"/>
          <w:lang w:bidi="fa-IR"/>
        </w:rPr>
        <w:t xml:space="preserve">و لعلّه من استصحاب وجوب ردّها، و من أنّ الموضوع فی المستصحب ملک المالک؛إذ لم یجب إلّا ردّه و لم یکن المالک إلّا أولی به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الموضوع فی الاستصحاب عرفیّ،و لذا کان الوجوب مذهب جماعة،منهم الشهیدان </w:t>
      </w:r>
      <w:r>
        <w:rPr>
          <w:rStyle w:val="FootnoteAnchor"/>
          <w:rtl w:val="true"/>
        </w:rPr>
        <w:footnoteReference w:id="1443"/>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444"/>
      </w:r>
      <w:r>
        <w:rPr>
          <w:rFonts w:ascii="Amiri" w:hAnsi="Amiri" w:eastAsia="Amiri" w:cs="Amiri"/>
          <w:color w:val="111111"/>
          <w:sz w:val="28"/>
          <w:sz w:val="28"/>
          <w:szCs w:val="28"/>
          <w:rtl w:val="true"/>
          <w:lang w:bidi="ar-SA"/>
        </w:rPr>
        <w:t>،و یؤیّده أنّه لو عاد خلاّ ردّت إلی المالک بلا خلافٍ ظاهر</w:t>
      </w:r>
      <w:r>
        <w:rPr>
          <w:rFonts w:eastAsia="Amiri" w:cs="Amiri" w:ascii="Amiri" w:hAnsi="Amiri"/>
          <w:color w:val="111111"/>
          <w:sz w:val="28"/>
          <w:szCs w:val="28"/>
          <w:rtl w:val="true"/>
          <w:lang w:bidi="ar-SA"/>
        </w:rPr>
        <w:t>.</w:t>
      </w:r>
      <w:bookmarkStart w:id="408" w:name="pg19763_248012"/>
    </w:p>
    <w:p>
      <w:pPr>
        <w:pStyle w:val="Heading6"/>
        <w:numPr>
          <w:ilvl w:val="5"/>
          <w:numId w:val="1"/>
        </w:numPr>
        <w:rPr/>
      </w:pPr>
      <w:bookmarkStart w:id="409" w:name="__RefHeading___Toc5082734_2314609296"/>
      <w:bookmarkStart w:id="410" w:name="_Toc158"/>
      <w:bookmarkEnd w:id="408"/>
      <w:bookmarkEnd w:id="409"/>
      <w:r>
        <w:rPr>
          <w:rtl w:val="true"/>
        </w:rPr>
        <w:t>[</w:t>
      </w:r>
      <w:r>
        <w:rPr>
          <w:rtl w:val="true"/>
        </w:rPr>
        <w:t>حکم ارتفاع قیمة العین بعد دفع بدلها</w:t>
      </w:r>
      <w:r>
        <w:rPr>
          <w:rtl w:val="true"/>
        </w:rPr>
        <w:t>]</w:t>
      </w:r>
      <w:bookmarkEnd w:id="410"/>
    </w:p>
    <w:p>
      <w:pPr>
        <w:pStyle w:val="BookText"/>
        <w:rPr/>
      </w:pPr>
      <w:r>
        <w:rPr>
          <w:rFonts w:ascii="IRNazanin" w:hAnsi="IRNazanin" w:eastAsia="IRNazanin"/>
          <w:color w:val="111111"/>
          <w:sz w:val="28"/>
          <w:sz w:val="28"/>
          <w:szCs w:val="28"/>
          <w:rtl w:val="true"/>
          <w:lang w:bidi="fa-IR"/>
        </w:rPr>
        <w:t>ثمّ إنّ مقتضی صدق الغرامة علی المدفوع خروج الغارم عن عهدة العین و ضمانها،فلا یضمن ارتفاع قیمة العین بعد الدفع،سواءً کان للسوق أو للزیادة المتّصلة،بل المنفصلة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منافعه، فلا یطالب الغارم بالمنفعة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التذکرة </w:t>
      </w:r>
      <w:r>
        <w:rPr>
          <w:rStyle w:val="FootnoteAnchor"/>
          <w:rtl w:val="true"/>
        </w:rPr>
        <w:footnoteReference w:id="1445"/>
      </w:r>
      <w:r>
        <w:rPr>
          <w:rFonts w:ascii="IRNazanin" w:hAnsi="IRNazanin" w:eastAsia="IRNazanin"/>
          <w:color w:val="111111"/>
          <w:sz w:val="28"/>
          <w:sz w:val="28"/>
          <w:szCs w:val="28"/>
          <w:rtl w:val="true"/>
          <w:lang w:bidi="fa-IR"/>
        </w:rPr>
        <w:t xml:space="preserve">و بعض آخر </w:t>
      </w:r>
      <w:r>
        <w:rPr>
          <w:rStyle w:val="FootnoteAnchor"/>
          <w:rtl w:val="true"/>
        </w:rPr>
        <w:footnoteReference w:id="1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المنافع،و قوّاه فی المبسوط بعد أن جعل الأقوی خلافه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من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موضع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موضعٍ آخر رجّح الوجوب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1" w:name="__RefHeading___Toc5082736_2314609296"/>
      <w:bookmarkStart w:id="412" w:name="_Toc159"/>
      <w:bookmarkEnd w:id="411"/>
      <w:r>
        <w:rPr>
          <w:rtl w:val="true"/>
        </w:rPr>
        <w:t>[</w:t>
      </w:r>
      <w:r>
        <w:rPr>
          <w:rtl w:val="true"/>
        </w:rPr>
        <w:t>حکم ارتفاع القیمة بعد التعذر و قبل الدفع</w:t>
      </w:r>
      <w:r>
        <w:rPr>
          <w:rtl w:val="true"/>
        </w:rPr>
        <w:t>]</w:t>
      </w:r>
      <w:bookmarkEnd w:id="41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عطف التعذّر علی التلف فی کلام بعضهم </w:t>
      </w:r>
      <w:r>
        <w:rPr>
          <w:rStyle w:val="FootnoteAnchor"/>
          <w:rtl w:val="true"/>
        </w:rPr>
        <w:footnoteReference w:id="1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التعرّض لضمان المغصوب بالمثل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یقتضی عدم ضمان ارتفاع القیمة السوقیة الحاصل بعد التعذّر و قبل الدفع،کالحاصل بعد التلف، لکنّ مقتضی القاعدة ضمانه له؛لأنّ </w:t>
      </w:r>
      <w:r>
        <w:rPr>
          <w:rStyle w:val="FootnoteAnchor"/>
          <w:rtl w:val="true"/>
        </w:rPr>
        <w:footnoteReference w:id="1450"/>
      </w:r>
      <w:r>
        <w:rPr>
          <w:rFonts w:ascii="IRNazanin" w:hAnsi="IRNazanin" w:eastAsia="IRNazanin"/>
          <w:color w:val="111111"/>
          <w:sz w:val="28"/>
          <w:sz w:val="28"/>
          <w:szCs w:val="28"/>
          <w:rtl w:val="true"/>
          <w:lang w:bidi="fa-IR"/>
        </w:rPr>
        <w:t>مع التلف یتعیّن القیمة؛و لذا لیس له الامتناع من أخذها،بخلاف تعذّر العین؛فإنّ القیمة غیر متعیّنة،فلو صبر المالک حتّی یتمکّن من العین کان له ذلک و یبقی العین فی عهدة</w:t>
      </w:r>
      <w:bookmarkStart w:id="413" w:name="pg19763_248013"/>
    </w:p>
    <w:p>
      <w:pPr>
        <w:pStyle w:val="BookText"/>
        <w:rPr/>
      </w:pPr>
      <w:bookmarkEnd w:id="413"/>
      <w:r>
        <w:rPr>
          <w:rFonts w:ascii="IRNazanin" w:hAnsi="IRNazanin" w:eastAsia="IRNazanin"/>
          <w:color w:val="111111"/>
          <w:sz w:val="28"/>
          <w:sz w:val="28"/>
          <w:szCs w:val="28"/>
          <w:rtl w:val="true"/>
          <w:lang w:bidi="fa-IR"/>
        </w:rPr>
        <w:t>الضامن فی هذه المدّة،فلو تلفت کان له قیمتها من حین التلف،أو أعلی القیم إلیه،أو یوم الغصب،علی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قبل دفع القیمة یکون العین الموجودة فی عهدة الضامن،فلا عبرة بیوم التعذّر،و الحکم بکون یوم التعذّر بمنزلة یوم التلف مع الحکم بضمان الأُجرة و النماء إلی دفع البدل و إن تراخی عن التعذّر،ممّا لا یجتمعان ظاهراً،فمقتضی القاعدة ضمان الارتفاع إلی یوم دفع البدل،نظیر دفع القیمة عن المثل المتعذّر فی المثلیّ</w:t>
      </w:r>
      <w:r>
        <w:rPr>
          <w:rFonts w:eastAsia="IRNazanin" w:cs="IRNazanin"/>
          <w:color w:val="111111"/>
          <w:sz w:val="28"/>
          <w:szCs w:val="28"/>
          <w:rtl w:val="true"/>
          <w:lang w:bidi="fa-IR"/>
        </w:rPr>
        <w:t>.</w:t>
      </w:r>
    </w:p>
    <w:p>
      <w:pPr>
        <w:pStyle w:val="Heading6"/>
        <w:numPr>
          <w:ilvl w:val="5"/>
          <w:numId w:val="1"/>
        </w:numPr>
        <w:rPr/>
      </w:pPr>
      <w:bookmarkStart w:id="414" w:name="__RefHeading___Toc5082738_2314609296"/>
      <w:bookmarkStart w:id="415" w:name="_Toc160"/>
      <w:bookmarkEnd w:id="414"/>
      <w:r>
        <w:rPr>
          <w:rtl w:val="true"/>
        </w:rPr>
        <w:t>[</w:t>
      </w:r>
      <w:r>
        <w:rPr>
          <w:rtl w:val="true"/>
        </w:rPr>
        <w:t>إذا ارتفع التعذر وجب رد العین</w:t>
      </w:r>
      <w:r>
        <w:rPr>
          <w:rtl w:val="true"/>
        </w:rPr>
        <w:t>]</w:t>
      </w:r>
      <w:bookmarkEnd w:id="41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إشکال فی أنّه إذا ارتفع تعذّر ردّ العین و صار ممکناً، وجب ردّها إلی مالکها </w:t>
      </w:r>
      <w:r>
        <w:rPr>
          <w:rStyle w:val="FootnoteAnchor"/>
          <w:rtl w:val="true"/>
        </w:rPr>
        <w:footnoteReference w:id="1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فی جامع المقاصد </w:t>
      </w:r>
      <w:r>
        <w:rPr>
          <w:rStyle w:val="FootnoteAnchor"/>
          <w:rtl w:val="true"/>
        </w:rPr>
        <w:footnoteReference w:id="1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فوراً، و إن کان فی إحضارها </w:t>
      </w:r>
      <w:r>
        <w:rPr>
          <w:rStyle w:val="FootnoteAnchor"/>
          <w:rtl w:val="true"/>
        </w:rPr>
        <w:footnoteReference w:id="1453"/>
      </w:r>
      <w:r>
        <w:rPr>
          <w:rFonts w:ascii="IRNazanin" w:hAnsi="IRNazanin" w:eastAsia="IRNazanin"/>
          <w:color w:val="111111"/>
          <w:sz w:val="28"/>
          <w:sz w:val="28"/>
          <w:szCs w:val="28"/>
          <w:rtl w:val="true"/>
          <w:lang w:bidi="fa-IR"/>
        </w:rPr>
        <w:t>مئونة،کما کان قبل التعذّر؛لعموم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1454"/>
      </w:r>
      <w:r>
        <w:rPr>
          <w:rFonts w:ascii="IRNazanin" w:hAnsi="IRNazanin" w:eastAsia="IRNazanin"/>
          <w:color w:val="111111"/>
          <w:sz w:val="28"/>
          <w:sz w:val="28"/>
          <w:szCs w:val="28"/>
          <w:rtl w:val="true"/>
          <w:lang w:bidi="fa-IR"/>
        </w:rPr>
        <w:t xml:space="preserve">،و دفع البدل لأجل الحیلولة إنّما أفاد خروج الغاصب عن الضمان،بمعنی أنّه لو تلف لم یکن علیه قیمته بعد ذلک، و استلزم </w:t>
      </w:r>
      <w:r>
        <w:rPr>
          <w:rStyle w:val="FootnoteAnchor"/>
          <w:rtl w:val="true"/>
        </w:rPr>
        <w:footnoteReference w:id="1455"/>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اخترناه </w:t>
      </w:r>
      <w:r>
        <w:rPr>
          <w:rStyle w:val="FootnoteAnchor"/>
          <w:rtl w:val="true"/>
        </w:rPr>
        <w:footnoteReference w:id="1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w:t>
      </w:r>
      <w:r>
        <w:rPr>
          <w:rStyle w:val="FootnoteAnchor"/>
          <w:rtl w:val="true"/>
        </w:rPr>
        <w:footnoteReference w:id="1457"/>
      </w:r>
      <w:r>
        <w:rPr>
          <w:rFonts w:ascii="Amiri" w:hAnsi="Amiri" w:eastAsia="Amiri" w:cs="Amiri"/>
          <w:color w:val="111111"/>
          <w:sz w:val="28"/>
          <w:sz w:val="28"/>
          <w:szCs w:val="28"/>
          <w:rtl w:val="true"/>
          <w:lang w:bidi="ar-SA"/>
        </w:rPr>
        <w:t>ضمان المنافع و النماء المنفصل و المتّصل بعد دفع الغرامة</w:t>
      </w:r>
      <w:r>
        <w:rPr>
          <w:rFonts w:eastAsia="Amiri" w:cs="Amiri" w:ascii="Amiri" w:hAnsi="Amiri"/>
          <w:color w:val="111111"/>
          <w:sz w:val="28"/>
          <w:szCs w:val="28"/>
          <w:rtl w:val="true"/>
          <w:lang w:bidi="ar-SA"/>
        </w:rPr>
        <w:t>.</w:t>
      </w:r>
      <w:bookmarkStart w:id="416" w:name="pg19763_248014"/>
    </w:p>
    <w:p>
      <w:pPr>
        <w:pStyle w:val="BookText"/>
        <w:rPr/>
      </w:pPr>
      <w:bookmarkEnd w:id="416"/>
      <w:r>
        <w:rPr>
          <w:rFonts w:ascii="IRNazanin" w:hAnsi="IRNazanin" w:eastAsia="IRNazanin"/>
          <w:color w:val="111111"/>
          <w:sz w:val="28"/>
          <w:sz w:val="28"/>
          <w:szCs w:val="28"/>
          <w:rtl w:val="true"/>
          <w:lang w:bidi="fa-IR"/>
        </w:rPr>
        <w:t>و سقوط وجوب الردّ حین التعذّر للعذر العقلی،فلا یجوز استصحابه،بل مقتضی الاستصحاب و العموم هو الضمان المدلول علیه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w:t>
      </w:r>
      <w:r>
        <w:rPr>
          <w:rFonts w:eastAsia="IRNazanin" w:cs="IRNazanin"/>
          <w:color w:val="111111"/>
          <w:sz w:val="28"/>
          <w:szCs w:val="28"/>
          <w:rtl w:val="true"/>
          <w:lang w:bidi="fa-IR"/>
        </w:rPr>
        <w:t>».</w:t>
      </w:r>
    </w:p>
    <w:p>
      <w:pPr>
        <w:pStyle w:val="Heading6"/>
        <w:numPr>
          <w:ilvl w:val="5"/>
          <w:numId w:val="1"/>
        </w:numPr>
        <w:rPr/>
      </w:pPr>
      <w:bookmarkStart w:id="417" w:name="__RefHeading___Toc5082740_2314609296"/>
      <w:bookmarkStart w:id="418" w:name="_Toc161"/>
      <w:bookmarkEnd w:id="417"/>
      <w:r>
        <w:rPr>
          <w:rtl w:val="true"/>
        </w:rPr>
        <w:t>و هل الغرامة المدفوعة تعود ملکه</w:t>
      </w:r>
      <w:bookmarkEnd w:id="418"/>
    </w:p>
    <w:p>
      <w:pPr>
        <w:pStyle w:val="BookText"/>
        <w:rPr/>
      </w:pPr>
      <w:r>
        <w:rPr>
          <w:rFonts w:ascii="IRNazanin" w:hAnsi="IRNazanin" w:eastAsia="IRNazanin"/>
          <w:color w:val="111111"/>
          <w:sz w:val="28"/>
          <w:sz w:val="28"/>
          <w:szCs w:val="28"/>
          <w:rtl w:val="true"/>
          <w:lang w:bidi="fa-IR"/>
        </w:rPr>
        <w:t xml:space="preserve">و هل الغرامة المدفوعة تعود ملکه </w:t>
      </w:r>
      <w:r>
        <w:rPr>
          <w:rStyle w:val="FootnoteAnchor"/>
          <w:rtl w:val="true"/>
        </w:rPr>
        <w:footnoteReference w:id="1458"/>
      </w:r>
      <w:r>
        <w:rPr>
          <w:rFonts w:ascii="Amiri" w:hAnsi="Amiri" w:eastAsia="Amiri" w:cs="Amiri"/>
          <w:color w:val="111111"/>
          <w:sz w:val="28"/>
          <w:sz w:val="28"/>
          <w:szCs w:val="28"/>
          <w:rtl w:val="true"/>
          <w:lang w:bidi="ar-SA"/>
        </w:rPr>
        <w:t>إلی الغارم بمجرّد طروّ التمکّن،</w:t>
      </w:r>
    </w:p>
    <w:p>
      <w:pPr>
        <w:pStyle w:val="BookText"/>
        <w:rPr/>
      </w:pPr>
      <w:r>
        <w:rPr>
          <w:rFonts w:ascii="IRNazanin" w:hAnsi="IRNazanin" w:eastAsia="IRNazanin"/>
          <w:color w:val="111111"/>
          <w:sz w:val="28"/>
          <w:sz w:val="28"/>
          <w:szCs w:val="28"/>
          <w:rtl w:val="true"/>
          <w:lang w:bidi="fa-IR"/>
        </w:rPr>
        <w:t xml:space="preserve">فیضمن العین من یوم التمکّن ضماناً جدیداً بمثله أو قیمته یوم حدوث الضمان أو یوم التلف أو أعلی القیم،أو أنّها باقیة علی ملک مالک العین،و کون </w:t>
      </w:r>
      <w:r>
        <w:rPr>
          <w:rStyle w:val="FootnoteAnchor"/>
          <w:rtl w:val="true"/>
        </w:rPr>
        <w:footnoteReference w:id="1459"/>
      </w:r>
      <w:r>
        <w:rPr>
          <w:rFonts w:ascii="IRNazanin" w:hAnsi="IRNazanin" w:eastAsia="IRNazanin"/>
          <w:color w:val="111111"/>
          <w:sz w:val="28"/>
          <w:sz w:val="28"/>
          <w:szCs w:val="28"/>
          <w:rtl w:val="true"/>
          <w:lang w:bidi="fa-IR"/>
        </w:rPr>
        <w:t>العین مضمونة بها لا بشیءٍ آخر فی ذمّة الغاصب،فلو تلفت استقرّ ملک المالک علی الغرامة،فلم یحدث فی العین إلّا حکم تکلیفی بوجوب ردّه،و أمّا الضمان و عهدة جدیدة فلا؟وجهان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أظهرهما الثانی؛لاستصحاب کون العین مضمونة بالغرامة،و عدم طروّ ما یزیل ملکیّته عن الغرامة أو یُحدث ضماناً جدیداً،و مجرّد عود التمکّن لا یوجب عود سلطنة المالک حتّی یلزم من بقاء ملکیّته </w:t>
      </w:r>
      <w:r>
        <w:rPr>
          <w:rStyle w:val="FootnoteAnchor"/>
          <w:rtl w:val="true"/>
        </w:rPr>
        <w:footnoteReference w:id="1460"/>
      </w:r>
      <w:r>
        <w:rPr>
          <w:rFonts w:ascii="IRNazanin" w:hAnsi="IRNazanin" w:eastAsia="IRNazanin"/>
          <w:color w:val="111111"/>
          <w:sz w:val="28"/>
          <w:sz w:val="28"/>
          <w:szCs w:val="28"/>
          <w:rtl w:val="true"/>
          <w:lang w:bidi="fa-IR"/>
        </w:rPr>
        <w:t xml:space="preserve">علی الغرامة الجمع بین العوض و المعوض،غایة ما فی الباب قدرة الغاصب علی إعادة السلطنة الفائتة المبدلة </w:t>
      </w:r>
      <w:r>
        <w:rPr>
          <w:rStyle w:val="FootnoteAnchor"/>
          <w:rtl w:val="true"/>
        </w:rPr>
        <w:footnoteReference w:id="1461"/>
      </w:r>
      <w:r>
        <w:rPr>
          <w:rFonts w:ascii="IRNazanin" w:hAnsi="IRNazanin" w:eastAsia="IRNazanin"/>
          <w:color w:val="111111"/>
          <w:sz w:val="28"/>
          <w:sz w:val="28"/>
          <w:szCs w:val="28"/>
          <w:rtl w:val="true"/>
          <w:lang w:bidi="fa-IR"/>
        </w:rPr>
        <w:t>عنها بالغرامة و وجوبها علیه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حینئذٍ،فإن دفع العین فلا إشکال فی زوال ملکیّة </w:t>
      </w:r>
      <w:r>
        <w:rPr>
          <w:rStyle w:val="FootnoteAnchor"/>
          <w:rtl w:val="true"/>
        </w:rPr>
        <w:footnoteReference w:id="1462"/>
      </w:r>
      <w:r>
        <w:rPr>
          <w:rFonts w:ascii="IRNazanin" w:hAnsi="IRNazanin" w:eastAsia="IRNazanin"/>
          <w:color w:val="111111"/>
          <w:sz w:val="28"/>
          <w:sz w:val="28"/>
          <w:szCs w:val="28"/>
          <w:rtl w:val="true"/>
          <w:lang w:bidi="fa-IR"/>
        </w:rPr>
        <w:t>المالک</w:t>
      </w:r>
      <w:bookmarkStart w:id="419" w:name="pg19763_248015"/>
    </w:p>
    <w:p>
      <w:pPr>
        <w:pStyle w:val="BookText"/>
        <w:rPr/>
      </w:pPr>
      <w:bookmarkEnd w:id="419"/>
      <w:r>
        <w:rPr>
          <w:rFonts w:ascii="IRNazanin" w:hAnsi="IRNazanin" w:eastAsia="IRNazanin"/>
          <w:color w:val="111111"/>
          <w:sz w:val="28"/>
          <w:sz w:val="28"/>
          <w:szCs w:val="28"/>
          <w:rtl w:val="true"/>
          <w:lang w:bidi="fa-IR"/>
        </w:rPr>
        <w:t>للغرامة،و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المدفوع کان بدلاً </w:t>
      </w:r>
      <w:r>
        <w:rPr>
          <w:rStyle w:val="FootnoteAnchor"/>
          <w:rtl w:val="true"/>
        </w:rPr>
        <w:footnoteReference w:id="1463"/>
      </w:r>
      <w:r>
        <w:rPr>
          <w:rFonts w:ascii="IRNazanin" w:hAnsi="IRNazanin" w:eastAsia="IRNazanin"/>
          <w:color w:val="111111"/>
          <w:sz w:val="28"/>
          <w:sz w:val="28"/>
          <w:szCs w:val="28"/>
          <w:rtl w:val="true"/>
          <w:lang w:bidi="fa-IR"/>
        </w:rPr>
        <w:t>عن القدر الفائت من السلطنة فی زمان التعذّر فلا یعود لعدم عود مبدله،ضعیف فی الغایة،بل کان بدلاً عن أصل السلطنة یرتفع بعودها،فیجب دفعه،أو دفع بدله مع تلفه،أو خروجه عن ملکه بناقلٍ لازم بل جائز،و لا یجب ردّ نمائه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یدفعها </w:t>
      </w:r>
      <w:r>
        <w:rPr>
          <w:rStyle w:val="FootnoteAnchor"/>
          <w:rtl w:val="true"/>
        </w:rPr>
        <w:footnoteReference w:id="1464"/>
      </w:r>
      <w:r>
        <w:rPr>
          <w:rFonts w:ascii="IRNazanin" w:hAnsi="IRNazanin" w:eastAsia="IRNazanin"/>
          <w:color w:val="111111"/>
          <w:sz w:val="28"/>
          <w:sz w:val="28"/>
          <w:szCs w:val="28"/>
          <w:rtl w:val="true"/>
          <w:lang w:bidi="fa-IR"/>
        </w:rPr>
        <w:t>لم یکن له مطالبة الغرامة أوّلاً؛إذ ما لم یتحقّق السلطنة لم یعد الملک إلی الغارم؛فإنّ الغرامة عوض السلطنة لا عوض قدرة الغاصب علی تحصیلها للمالک،فتأمّل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نعم،للمالک مطالبة عین ماله؛لعموم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 xml:space="preserve">،و لیس ما عنده من المال عوضاً من مطلق السلطنة حتّی سلطنة المطالبة،بل سلطنة الانتفاع بها علی الوجه المقصود من الأملاک؛ و لذا لا یباح </w:t>
      </w:r>
      <w:r>
        <w:rPr>
          <w:rStyle w:val="FootnoteAnchor"/>
          <w:rtl w:val="true"/>
        </w:rPr>
        <w:footnoteReference w:id="1466"/>
      </w:r>
      <w:r>
        <w:rPr>
          <w:rFonts w:ascii="IRNazanin" w:hAnsi="IRNazanin" w:eastAsia="IRNazanin"/>
          <w:color w:val="111111"/>
          <w:sz w:val="28"/>
          <w:sz w:val="28"/>
          <w:szCs w:val="28"/>
          <w:rtl w:val="true"/>
          <w:lang w:bidi="fa-IR"/>
        </w:rPr>
        <w:t>لغیره بمجرّد بذل الغرامة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ذکرنا </w:t>
      </w:r>
      <w:r>
        <w:rPr>
          <w:rStyle w:val="FootnoteAnchor"/>
          <w:rtl w:val="true"/>
        </w:rPr>
        <w:footnoteReference w:id="1467"/>
      </w:r>
      <w:r>
        <w:rPr>
          <w:rFonts w:ascii="IRNazanin" w:hAnsi="IRNazanin" w:eastAsia="IRNazanin"/>
          <w:color w:val="111111"/>
          <w:sz w:val="28"/>
          <w:sz w:val="28"/>
          <w:szCs w:val="28"/>
          <w:rtl w:val="true"/>
          <w:lang w:bidi="fa-IR"/>
        </w:rPr>
        <w:t>یظهر أنّه لیس للغاصب حبس العین إلی أن یدفع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20" w:name="__RefHeading___Toc5082742_2314609296"/>
      <w:bookmarkStart w:id="421" w:name="_Toc162"/>
      <w:bookmarkEnd w:id="420"/>
      <w:r>
        <w:rPr>
          <w:rtl w:val="true"/>
        </w:rPr>
        <w:t>[</w:t>
      </w:r>
      <w:r>
        <w:rPr>
          <w:rtl w:val="true"/>
        </w:rPr>
        <w:t>لیس للغاصب حبس العین إلی أن یأخذ البدل</w:t>
      </w:r>
      <w:r>
        <w:rPr>
          <w:rtl w:val="true"/>
        </w:rPr>
        <w:t>]</w:t>
      </w:r>
      <w:bookmarkStart w:id="422" w:name="pg19763_248016"/>
      <w:bookmarkEnd w:id="421"/>
    </w:p>
    <w:p>
      <w:pPr>
        <w:pStyle w:val="BookText"/>
        <w:rPr/>
      </w:pPr>
      <w:bookmarkEnd w:id="422"/>
      <w:r>
        <w:rPr>
          <w:rFonts w:ascii="IRNazanin" w:hAnsi="IRNazanin" w:eastAsia="IRNazanin"/>
          <w:color w:val="111111"/>
          <w:sz w:val="28"/>
          <w:sz w:val="28"/>
          <w:szCs w:val="28"/>
          <w:rtl w:val="true"/>
          <w:lang w:bidi="fa-IR"/>
        </w:rPr>
        <w:t xml:space="preserve">المالک القیمة،کما اختاره فی التذکرة </w:t>
      </w:r>
      <w:r>
        <w:rPr>
          <w:rStyle w:val="FootnoteAnchor"/>
          <w:rtl w:val="true"/>
        </w:rPr>
        <w:footnoteReference w:id="1468"/>
      </w:r>
      <w:r>
        <w:rPr>
          <w:rFonts w:ascii="IRNazanin" w:hAnsi="IRNazanin" w:eastAsia="IRNazanin"/>
          <w:color w:val="111111"/>
          <w:sz w:val="28"/>
          <w:sz w:val="28"/>
          <w:szCs w:val="28"/>
          <w:rtl w:val="true"/>
          <w:lang w:bidi="fa-IR"/>
        </w:rPr>
        <w:t xml:space="preserve">و الإیضاح </w:t>
      </w:r>
      <w:r>
        <w:rPr>
          <w:rStyle w:val="FootnoteAnchor"/>
          <w:rtl w:val="true"/>
        </w:rPr>
        <w:footnoteReference w:id="1469"/>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الجزم بأنّ له ذلک </w:t>
      </w:r>
      <w:r>
        <w:rPr>
          <w:rStyle w:val="FootnoteAnchor"/>
          <w:rtl w:val="true"/>
        </w:rPr>
        <w:footnoteReference w:id="1471"/>
      </w:r>
      <w:r>
        <w:rPr>
          <w:rFonts w:ascii="IRNazanin" w:hAnsi="IRNazanin" w:eastAsia="IRNazanin"/>
          <w:color w:val="111111"/>
          <w:sz w:val="28"/>
          <w:sz w:val="28"/>
          <w:szCs w:val="28"/>
          <w:rtl w:val="true"/>
          <w:lang w:bidi="fa-IR"/>
        </w:rPr>
        <w:t xml:space="preserve">و لعلّه لأنّ القیمة عوض إمّا عن العین،و إمّا عن السلطنة علیه </w:t>
      </w:r>
      <w:r>
        <w:rPr>
          <w:rStyle w:val="FootnoteAnchor"/>
          <w:rtl w:val="true"/>
        </w:rPr>
        <w:footnoteReference w:id="1472"/>
      </w:r>
      <w:r>
        <w:rPr>
          <w:rFonts w:ascii="Amiri" w:hAnsi="Amiri" w:eastAsia="Amiri" w:cs="Amiri"/>
          <w:color w:val="111111"/>
          <w:sz w:val="28"/>
          <w:sz w:val="28"/>
          <w:szCs w:val="28"/>
          <w:rtl w:val="true"/>
          <w:lang w:bidi="ar-SA"/>
        </w:rPr>
        <w:t>،و علی أیّ تقدیرٍ فیتحقّق الترادّ، و حینئذٍ فلکلٍّ من صاحبی العوضین حبس ما بیده حتّی یتسلّم ما بید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العین بنفسها لیست عوضاً و لا معوَّضاً؛و لذا تحقّق للمالک الجمع بینها و بین الغرامة،فالمالک مسلَّطٌ علیها،و المعوّض للغرامة </w:t>
      </w:r>
      <w:r>
        <w:rPr>
          <w:rStyle w:val="FootnoteAnchor"/>
          <w:rtl w:val="true"/>
        </w:rPr>
        <w:footnoteReference w:id="1473"/>
      </w:r>
      <w:r>
        <w:rPr>
          <w:rFonts w:ascii="IRNazanin" w:hAnsi="IRNazanin" w:eastAsia="IRNazanin"/>
          <w:color w:val="111111"/>
          <w:sz w:val="28"/>
          <w:sz w:val="28"/>
          <w:szCs w:val="28"/>
          <w:rtl w:val="true"/>
          <w:lang w:bidi="fa-IR"/>
        </w:rPr>
        <w:t>السلطنة الفائتة التی هی فی معرض العود بالترادّ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حبس العین من حیث تضمّنه لحبس مبدل الغرامة و هی السلطنة الفائتة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Heading6"/>
        <w:numPr>
          <w:ilvl w:val="5"/>
          <w:numId w:val="1"/>
        </w:numPr>
        <w:rPr/>
      </w:pPr>
      <w:bookmarkStart w:id="423" w:name="__RefHeading___Toc5082744_2314609296"/>
      <w:bookmarkStart w:id="424" w:name="_Toc163"/>
      <w:bookmarkEnd w:id="423"/>
      <w:r>
        <w:rPr>
          <w:rtl w:val="true"/>
        </w:rPr>
        <w:t>[</w:t>
      </w:r>
      <w:r>
        <w:rPr>
          <w:rtl w:val="true"/>
        </w:rPr>
        <w:t>لو حبس العین فتلفت</w:t>
      </w:r>
      <w:r>
        <w:rPr>
          <w:rtl w:val="true"/>
        </w:rPr>
        <w:t>]</w:t>
      </w:r>
      <w:bookmarkEnd w:id="42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قلنا بجواز الحبس،لو حبسه </w:t>
      </w:r>
      <w:r>
        <w:rPr>
          <w:rStyle w:val="FootnoteAnchor"/>
          <w:rtl w:val="true"/>
        </w:rPr>
        <w:footnoteReference w:id="1474"/>
      </w:r>
      <w:r>
        <w:rPr>
          <w:rFonts w:ascii="IRNazanin" w:hAnsi="IRNazanin" w:eastAsia="IRNazanin"/>
          <w:color w:val="111111"/>
          <w:sz w:val="28"/>
          <w:sz w:val="28"/>
          <w:szCs w:val="28"/>
          <w:rtl w:val="true"/>
          <w:lang w:bidi="fa-IR"/>
        </w:rPr>
        <w:t>فتلفت العین محبوساً، فالظاهر أنّه لا یجری علیه حکم المغصوب؛لأنّه حبسه بحقّ،نعم</w:t>
      </w:r>
    </w:p>
    <w:p>
      <w:pPr>
        <w:pStyle w:val="BookText"/>
        <w:rPr/>
      </w:pPr>
      <w:r>
        <w:rPr>
          <w:rFonts w:ascii="IRNazanin" w:hAnsi="IRNazanin" w:eastAsia="IRNazanin"/>
          <w:color w:val="111111"/>
          <w:sz w:val="28"/>
          <w:sz w:val="28"/>
          <w:szCs w:val="28"/>
          <w:rtl w:val="true"/>
          <w:lang w:bidi="fa-IR"/>
        </w:rPr>
        <w:t>یضمنه؛لأنّه قبضه لمصلحة نفسه،و الظاهر أنّه بقیمة یوم التلف علی ما هو الأصل فی کلّ مضمون و من قال بضمان المقبوض بأعلی القیم یقول به هنا من زمان الحبس إلی زمان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العلّامة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حبس فتلف محبوساً،فالأقرب ضمان قیمته الآن و استرجاع القیمة الأُولی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مراده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قیمة </w:t>
      </w:r>
      <w:r>
        <w:rPr>
          <w:rStyle w:val="FootnoteAnchor"/>
          <w:rtl w:val="true"/>
        </w:rPr>
        <w:footnoteReference w:id="1476"/>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القیمة السابقة؛ بناءً علی زوال حکم الغصب عن العین،لکونه محبوساً بغیر عدوان،لا خصوص حین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کلمات کثیرٍ منهم لا یخلو عن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أکثر ما ذکرناه مذکور فی کلماتهم فی باب الغصب،لکنّ الظاهر أنّ أکثرها بل جمیعها حکم المغصوب من حیث کونه مضموناً؛إذ لیس فی الغصب خصوصیّة زائدة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نعم،ربما یفرّق من جهة نصٍّ فی المغصوب مخالفٍ لقاعدة الضمان، کما احتمل فی الحکم بوجوب قیمة یوم الضمان من جهة صحیحة أبی ولاّد </w:t>
      </w:r>
      <w:r>
        <w:rPr>
          <w:rStyle w:val="FootnoteAnchor"/>
          <w:rtl w:val="true"/>
        </w:rPr>
        <w:footnoteReference w:id="1477"/>
      </w:r>
      <w:r>
        <w:rPr>
          <w:rFonts w:ascii="IRNazanin" w:hAnsi="IRNazanin" w:eastAsia="IRNazanin"/>
          <w:color w:val="111111"/>
          <w:sz w:val="28"/>
          <w:sz w:val="28"/>
          <w:szCs w:val="28"/>
          <w:rtl w:val="true"/>
          <w:lang w:bidi="fa-IR"/>
        </w:rPr>
        <w:t xml:space="preserve">أو أعلی القیم علی ما تقدّم من الشهید الثانی دعوی دلالة الصحیحة علیه </w:t>
      </w:r>
      <w:r>
        <w:rPr>
          <w:rStyle w:val="FootnoteAnchor"/>
          <w:rtl w:val="true"/>
        </w:rPr>
        <w:footnoteReference w:id="1478"/>
      </w:r>
      <w:r>
        <w:rPr>
          <w:rFonts w:ascii="IRNazanin" w:hAnsi="IRNazanin" w:eastAsia="IRNazanin"/>
          <w:color w:val="111111"/>
          <w:sz w:val="28"/>
          <w:sz w:val="28"/>
          <w:szCs w:val="28"/>
          <w:rtl w:val="true"/>
          <w:lang w:bidi="fa-IR"/>
        </w:rPr>
        <w:t>،و أمّا ما اشتهر من أنّ الغاصب مأخوذ بأشقّ الأحوال،فلم نعرف له مأخذاً واضحاً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لنختم بذلک أحکام المبیع بالبیع الفاسد و إن بقی منه أحکامٌ </w:t>
      </w:r>
      <w:r>
        <w:rPr>
          <w:rStyle w:val="FootnoteAnchor"/>
          <w:rtl w:val="true"/>
        </w:rPr>
        <w:footnoteReference w:id="1479"/>
      </w:r>
      <w:r>
        <w:rPr>
          <w:rFonts w:ascii="IRNazanin" w:hAnsi="IRNazanin" w:eastAsia="IRNazanin"/>
          <w:color w:val="111111"/>
          <w:sz w:val="28"/>
          <w:sz w:val="28"/>
          <w:szCs w:val="28"/>
          <w:rtl w:val="true"/>
          <w:lang w:bidi="fa-IR"/>
        </w:rPr>
        <w:t xml:space="preserve">أُخر أکثر ممّا ذکر،و لعلّ بعضها یجیء فی بیع الفضولی إن شاء اللّه تعالی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bookmarkStart w:id="425" w:name="pg19763_248019"/>
    </w:p>
    <w:p>
      <w:pPr>
        <w:pStyle w:val="Heading3"/>
        <w:numPr>
          <w:ilvl w:val="2"/>
          <w:numId w:val="1"/>
        </w:numPr>
        <w:rPr/>
      </w:pPr>
      <w:bookmarkStart w:id="426" w:name="__RefHeading___Toc5082746_2314609296"/>
      <w:bookmarkStart w:id="427" w:name="_Toc164"/>
      <w:bookmarkEnd w:id="425"/>
      <w:bookmarkEnd w:id="426"/>
      <w:r>
        <w:rPr>
          <w:rtl w:val="true"/>
        </w:rPr>
        <w:t>الکلام فی شروط المتعاقدین</w:t>
      </w:r>
      <w:bookmarkEnd w:id="42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8" w:name="__RefHeading___Toc5082748_2314609296"/>
      <w:bookmarkStart w:id="429" w:name="_Toc165"/>
      <w:bookmarkEnd w:id="428"/>
      <w:r>
        <w:rPr>
          <w:rtl w:val="true"/>
        </w:rPr>
        <w:t>اشاره</w:t>
      </w:r>
      <w:bookmarkStart w:id="430" w:name="pg19763_248021"/>
      <w:bookmarkEnd w:id="429"/>
    </w:p>
    <w:p>
      <w:pPr>
        <w:pStyle w:val="Heading4"/>
        <w:numPr>
          <w:ilvl w:val="3"/>
          <w:numId w:val="1"/>
        </w:numPr>
        <w:rPr/>
      </w:pPr>
      <w:bookmarkStart w:id="431" w:name="__RefHeading___Toc5082750_2314609296"/>
      <w:bookmarkStart w:id="432" w:name="_Toc166"/>
      <w:bookmarkEnd w:id="430"/>
      <w:bookmarkEnd w:id="431"/>
      <w:r>
        <w:rPr>
          <w:rtl w:val="true"/>
        </w:rPr>
        <w:t xml:space="preserve">مسألة </w:t>
      </w:r>
      <w:r>
        <w:rPr>
          <w:rtl w:val="true"/>
        </w:rPr>
        <w:t>[</w:t>
      </w:r>
      <w:r>
        <w:rPr>
          <w:rtl w:val="true"/>
        </w:rPr>
        <w:t>من شروط المتعاقدین البلوغ</w:t>
      </w:r>
      <w:r>
        <w:rPr>
          <w:rtl w:val="true"/>
        </w:rPr>
        <w:t>]</w:t>
      </w:r>
      <w:bookmarkEnd w:id="432"/>
    </w:p>
    <w:p>
      <w:pPr>
        <w:pStyle w:val="Heading5"/>
        <w:numPr>
          <w:ilvl w:val="4"/>
          <w:numId w:val="1"/>
        </w:numPr>
        <w:rPr/>
      </w:pPr>
      <w:bookmarkStart w:id="433" w:name="__RefHeading___Toc5082752_2314609296"/>
      <w:bookmarkStart w:id="434" w:name="_Toc167"/>
      <w:bookmarkEnd w:id="433"/>
      <w:r>
        <w:rPr>
          <w:rtl w:val="true"/>
        </w:rPr>
        <w:t>[</w:t>
      </w:r>
      <w:r>
        <w:rPr>
          <w:rtl w:val="true"/>
        </w:rPr>
        <w:t>فی عقد الصبی</w:t>
      </w:r>
      <w:r>
        <w:rPr>
          <w:rtl w:val="true"/>
        </w:rPr>
        <w:t>]</w:t>
      </w:r>
      <w:bookmarkEnd w:id="434"/>
    </w:p>
    <w:p>
      <w:pPr>
        <w:pStyle w:val="Heading6"/>
        <w:numPr>
          <w:ilvl w:val="5"/>
          <w:numId w:val="1"/>
        </w:numPr>
        <w:rPr/>
      </w:pPr>
      <w:bookmarkStart w:id="435" w:name="__RefHeading___Toc5082754_2314609296"/>
      <w:bookmarkStart w:id="436" w:name="_Toc168"/>
      <w:bookmarkEnd w:id="435"/>
      <w:r>
        <w:rPr>
          <w:rtl w:val="true"/>
        </w:rPr>
        <w:t>[</w:t>
      </w:r>
      <w:r>
        <w:rPr>
          <w:rtl w:val="true"/>
        </w:rPr>
        <w:t>المشهور بطلان عقد الصبی</w:t>
      </w:r>
      <w:r>
        <w:rPr>
          <w:rtl w:val="true"/>
        </w:rPr>
        <w:t>]</w:t>
      </w:r>
      <w:bookmarkEnd w:id="436"/>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الدروس </w:t>
      </w:r>
      <w:r>
        <w:rPr>
          <w:rStyle w:val="FootnoteAnchor"/>
          <w:rtl w:val="true"/>
        </w:rPr>
        <w:footnoteReference w:id="1481"/>
      </w:r>
      <w:r>
        <w:rPr>
          <w:rFonts w:ascii="IRNazanin" w:hAnsi="IRNazanin" w:eastAsia="IRNazanin"/>
          <w:color w:val="111111"/>
          <w:sz w:val="28"/>
          <w:sz w:val="28"/>
          <w:szCs w:val="28"/>
          <w:rtl w:val="true"/>
          <w:lang w:bidi="fa-IR"/>
        </w:rPr>
        <w:t xml:space="preserve">و الکفایة </w:t>
      </w:r>
      <w:r>
        <w:rPr>
          <w:rStyle w:val="FootnoteAnchor"/>
          <w:rtl w:val="true"/>
        </w:rPr>
        <w:footnoteReference w:id="1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عقد الصبی،بل عن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و إن أجاز الولی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عدم صحّة عقد الصبی إلی أصحابنا </w:t>
      </w:r>
      <w:r>
        <w:rPr>
          <w:rStyle w:val="FootnoteAnchor"/>
          <w:rtl w:val="true"/>
        </w:rPr>
        <w:footnoteReference w:id="1484"/>
      </w:r>
      <w:r>
        <w:rPr>
          <w:rFonts w:ascii="IRNazanin" w:hAnsi="IRNazanin" w:eastAsia="IRNazanin"/>
          <w:color w:val="111111"/>
          <w:sz w:val="28"/>
          <w:sz w:val="28"/>
          <w:szCs w:val="28"/>
          <w:rtl w:val="true"/>
          <w:lang w:bidi="fa-IR"/>
        </w:rPr>
        <w:t>، و ظاهره إرادة التعمیم لصورة إذن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الصغیر محجور علیه بالنصّ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ممیّزاً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جمیع التصرّفات إلّا ما استثنی،کعباداته و إسلامه و إحرامه و تدبیره و وصیّته و إیصال الهدیّة و إذنه فی الدخول،علی خلافٍ فی ذلک </w:t>
      </w:r>
      <w:r>
        <w:rPr>
          <w:rStyle w:val="FootnoteAnchor"/>
          <w:rtl w:val="true"/>
        </w:rPr>
        <w:footnoteReference w:id="14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استثناء إیصال الهدیّة و إذنه فی دخول الدار،یکشف بفحواه عن</w:t>
      </w:r>
      <w:bookmarkStart w:id="437" w:name="pg19763_248022"/>
    </w:p>
    <w:p>
      <w:pPr>
        <w:pStyle w:val="BookText"/>
        <w:rPr/>
      </w:pPr>
      <w:bookmarkEnd w:id="437"/>
      <w:r>
        <w:rPr>
          <w:rFonts w:ascii="IRNazanin" w:hAnsi="IRNazanin" w:eastAsia="IRNazanin"/>
          <w:color w:val="111111"/>
          <w:sz w:val="28"/>
          <w:sz w:val="28"/>
          <w:szCs w:val="28"/>
          <w:rtl w:val="true"/>
          <w:lang w:bidi="fa-IR"/>
        </w:rPr>
        <w:t>شمول المستثنی منه لمطلق أفعاله؛لأنّ الإیصال و الإذن لیسا من التصرّفات القولیّة و الفعلیّة،و إنّما الأوّل آلة فی إیصال الملک کما لو حملها علی حیوان و أرسلها،و الثانی کاشف عن موضوعٍ تعلّق علیه إباحة الدخول،و هو رضا المالک</w:t>
      </w:r>
      <w:r>
        <w:rPr>
          <w:rFonts w:eastAsia="IRNazanin" w:cs="IRNazanin"/>
          <w:color w:val="111111"/>
          <w:sz w:val="28"/>
          <w:szCs w:val="28"/>
          <w:rtl w:val="true"/>
          <w:lang w:bidi="fa-IR"/>
        </w:rPr>
        <w:t>.</w:t>
      </w:r>
    </w:p>
    <w:p>
      <w:pPr>
        <w:pStyle w:val="Heading6"/>
        <w:numPr>
          <w:ilvl w:val="5"/>
          <w:numId w:val="1"/>
        </w:numPr>
        <w:rPr/>
      </w:pPr>
      <w:bookmarkStart w:id="438" w:name="__RefHeading___Toc5082756_2314609296"/>
      <w:bookmarkStart w:id="439" w:name="_Toc169"/>
      <w:bookmarkEnd w:id="438"/>
      <w:r>
        <w:rPr>
          <w:rtl w:val="true"/>
        </w:rPr>
        <w:t>[</w:t>
      </w:r>
      <w:r>
        <w:rPr>
          <w:rtl w:val="true"/>
        </w:rPr>
        <w:t>الاستدلال علی البطلان بحدیث رفع القلم</w:t>
      </w:r>
      <w:r>
        <w:rPr>
          <w:rtl w:val="true"/>
        </w:rPr>
        <w:t>]</w:t>
      </w:r>
      <w:bookmarkEnd w:id="439"/>
    </w:p>
    <w:p>
      <w:pPr>
        <w:pStyle w:val="BookText"/>
        <w:rPr/>
      </w:pPr>
      <w:r>
        <w:rPr>
          <w:rFonts w:ascii="IRNazanin" w:hAnsi="IRNazanin" w:eastAsia="IRNazanin"/>
          <w:color w:val="111111"/>
          <w:sz w:val="28"/>
          <w:sz w:val="28"/>
          <w:szCs w:val="28"/>
          <w:rtl w:val="true"/>
          <w:lang w:bidi="fa-IR"/>
        </w:rPr>
        <w:t xml:space="preserve">و احتجّ علی الحکم فی الغنیة </w:t>
      </w:r>
      <w:r>
        <w:rPr>
          <w:rStyle w:val="FootnoteAnchor"/>
          <w:rtl w:val="true"/>
        </w:rPr>
        <w:footnoteReference w:id="1486"/>
      </w:r>
      <w:r>
        <w:rPr>
          <w:rFonts w:ascii="IRNazanin" w:hAnsi="IRNazanin" w:eastAsia="IRNazanin"/>
          <w:color w:val="111111"/>
          <w:sz w:val="28"/>
          <w:sz w:val="28"/>
          <w:szCs w:val="28"/>
          <w:rtl w:val="true"/>
          <w:lang w:bidi="fa-IR"/>
        </w:rPr>
        <w:t>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 حتّی یحتلم،و عن المجنون حتّی یفیق،و عن النائم حتّی یستیقظ</w:t>
      </w:r>
      <w:r>
        <w:rPr>
          <w:rFonts w:eastAsia="IRNazanin" w:cs="IRNazanin"/>
          <w:color w:val="111111"/>
          <w:sz w:val="28"/>
          <w:szCs w:val="28"/>
          <w:rtl w:val="true"/>
          <w:lang w:bidi="fa-IR"/>
        </w:rPr>
        <w:t xml:space="preserve">» </w:t>
      </w:r>
      <w:r>
        <w:rPr>
          <w:rStyle w:val="FootnoteAnchor"/>
          <w:rtl w:val="true"/>
        </w:rPr>
        <w:footnoteReference w:id="1487"/>
      </w:r>
      <w:r>
        <w:rPr>
          <w:rFonts w:ascii="IRNazanin" w:hAnsi="IRNazanin" w:eastAsia="IRNazanin"/>
          <w:color w:val="111111"/>
          <w:sz w:val="28"/>
          <w:sz w:val="28"/>
          <w:szCs w:val="28"/>
          <w:rtl w:val="true"/>
          <w:lang w:bidi="fa-IR"/>
        </w:rPr>
        <w:t>،و قد سبقه فی ذلک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المبسوط فی مسألة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مقتضی رفع القلم أن لا یکون لکلامه حکم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الحلّی فی السرائر فی مسألة عدم جواز وصیّة البالغ عشراً </w:t>
      </w:r>
      <w:r>
        <w:rPr>
          <w:rStyle w:val="FootnoteAnchor"/>
          <w:rtl w:val="true"/>
        </w:rPr>
        <w:footnoteReference w:id="1489"/>
      </w:r>
      <w:r>
        <w:rPr>
          <w:rFonts w:ascii="IRNazanin" w:hAnsi="IRNazanin" w:eastAsia="IRNazanin"/>
          <w:color w:val="111111"/>
          <w:sz w:val="28"/>
          <w:sz w:val="28"/>
          <w:szCs w:val="28"/>
          <w:rtl w:val="true"/>
          <w:lang w:bidi="fa-IR"/>
        </w:rPr>
        <w:t xml:space="preserve">، و تبعهم فی الاستدلال به جماعة،کالعلّامة </w:t>
      </w:r>
      <w:r>
        <w:rPr>
          <w:rStyle w:val="FootnoteAnchor"/>
          <w:rtl w:val="true"/>
        </w:rPr>
        <w:footnoteReference w:id="1490"/>
      </w:r>
      <w:r>
        <w:rPr>
          <w:rFonts w:ascii="IRNazanin" w:hAnsi="IRNazanin" w:eastAsia="IRNazanin"/>
          <w:color w:val="111111"/>
          <w:sz w:val="28"/>
          <w:sz w:val="28"/>
          <w:szCs w:val="28"/>
          <w:rtl w:val="true"/>
          <w:lang w:bidi="fa-IR"/>
        </w:rPr>
        <w:t xml:space="preserve">و غیره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0" w:name="__RefHeading___Toc5082758_2314609296"/>
      <w:bookmarkStart w:id="441" w:name="_Toc170"/>
      <w:bookmarkEnd w:id="440"/>
      <w:r>
        <w:rPr>
          <w:rtl w:val="true"/>
        </w:rPr>
        <w:t>[</w:t>
      </w:r>
      <w:r>
        <w:rPr>
          <w:rtl w:val="true"/>
        </w:rPr>
        <w:t>الاستدلال بروایات عدم جواز أمر الصبی</w:t>
      </w:r>
      <w:r>
        <w:rPr>
          <w:rtl w:val="true"/>
        </w:rPr>
        <w:t>]</w:t>
      </w:r>
      <w:bookmarkEnd w:id="441"/>
    </w:p>
    <w:p>
      <w:pPr>
        <w:pStyle w:val="BookText"/>
        <w:rPr/>
      </w:pPr>
      <w:r>
        <w:rPr>
          <w:rFonts w:ascii="Amiri" w:hAnsi="Amiri" w:eastAsia="Amiri" w:cs="Amiri"/>
          <w:color w:val="111111"/>
          <w:sz w:val="28"/>
          <w:sz w:val="28"/>
          <w:szCs w:val="28"/>
          <w:rtl w:val="true"/>
          <w:lang w:bidi="ar-SA"/>
        </w:rPr>
        <w:t xml:space="preserve">و استدلّوا </w:t>
      </w:r>
      <w:r>
        <w:rPr>
          <w:rStyle w:val="FootnoteAnchor"/>
          <w:rtl w:val="true"/>
        </w:rPr>
        <w:footnoteReference w:id="1492"/>
      </w:r>
      <w:r>
        <w:rPr>
          <w:rFonts w:ascii="IRNazanin" w:hAnsi="IRNazanin" w:eastAsia="IRNazanin"/>
          <w:color w:val="111111"/>
          <w:sz w:val="28"/>
          <w:sz w:val="28"/>
          <w:szCs w:val="28"/>
          <w:rtl w:val="true"/>
          <w:lang w:bidi="fa-IR"/>
        </w:rPr>
        <w:t>أیضاً بخبر حمزة بن حمران عن مولانا الباقر علیه السلام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الجاریة إذا زوّجت و دخل بها و لها تسع سنین ذهب عنها الیتم،</w:t>
      </w:r>
      <w:bookmarkStart w:id="442" w:name="pg19763_248023"/>
    </w:p>
    <w:p>
      <w:pPr>
        <w:pStyle w:val="BookText"/>
        <w:rPr/>
      </w:pPr>
      <w:bookmarkEnd w:id="442"/>
      <w:r>
        <w:rPr>
          <w:rFonts w:ascii="IRNazanin" w:hAnsi="IRNazanin" w:eastAsia="IRNazanin"/>
          <w:color w:val="111111"/>
          <w:sz w:val="28"/>
          <w:sz w:val="28"/>
          <w:szCs w:val="28"/>
          <w:rtl w:val="true"/>
          <w:lang w:bidi="fa-IR"/>
        </w:rPr>
        <w:t xml:space="preserve">و دفع إلیها مالها،و جاز أمرها فی الشراء </w:t>
      </w:r>
      <w:r>
        <w:rPr>
          <w:rStyle w:val="FootnoteAnchor"/>
          <w:rtl w:val="true"/>
        </w:rPr>
        <w:footnoteReference w:id="1493"/>
      </w:r>
      <w:r>
        <w:rPr>
          <w:rFonts w:ascii="IRNazanin" w:hAnsi="IRNazanin" w:eastAsia="IRNazanin"/>
          <w:color w:val="111111"/>
          <w:sz w:val="28"/>
          <w:sz w:val="28"/>
          <w:szCs w:val="28"/>
          <w:rtl w:val="true"/>
          <w:lang w:bidi="fa-IR"/>
        </w:rPr>
        <w:t>،و الغلام لا یجوز أمره فی البیع و الشراء و لا یخرج عن الیتم حتّی یبلغ خمس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یجوز أمر الیتیم؟قال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احتلامه</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 xml:space="preserve">،و فی معناها روایات أُخر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3" w:name="__RefHeading___Toc5082760_2314609296"/>
      <w:bookmarkStart w:id="444" w:name="_Toc171"/>
      <w:bookmarkEnd w:id="443"/>
      <w:r>
        <w:rPr>
          <w:rtl w:val="true"/>
        </w:rPr>
        <w:t>[</w:t>
      </w:r>
      <w:r>
        <w:rPr>
          <w:rtl w:val="true"/>
        </w:rPr>
        <w:t>المناقشة فی دلالة هذه الروایات</w:t>
      </w:r>
      <w:r>
        <w:rPr>
          <w:rtl w:val="true"/>
        </w:rPr>
        <w:t>]</w:t>
      </w:r>
      <w:bookmarkEnd w:id="444"/>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الأمر فی هذه الروایات ظاهر فی استقلاله فی التصرّف؛لأنّ الجواز مرادفٌ للمضیّ،فلا ینافی عدمه ثبوت الوقوف علی الإجازة،کما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الفضولی غیر ماضٍ،بل موقوف</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الاستثناء فی بعض تلک الأخبار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سفیهاً</w:t>
      </w:r>
      <w:r>
        <w:rPr>
          <w:rFonts w:eastAsia="IRNazanin" w:cs="IRNazanin"/>
          <w:color w:val="111111"/>
          <w:sz w:val="28"/>
          <w:szCs w:val="28"/>
          <w:rtl w:val="true"/>
          <w:lang w:bidi="fa-IR"/>
        </w:rPr>
        <w:t xml:space="preserve">» </w:t>
      </w:r>
      <w:r>
        <w:rPr>
          <w:rStyle w:val="FootnoteAnchor"/>
          <w:rtl w:val="true"/>
        </w:rPr>
        <w:footnoteReference w:id="1497"/>
      </w:r>
      <w:r>
        <w:rPr>
          <w:rFonts w:ascii="IRNazanin" w:hAnsi="IRNazanin" w:eastAsia="IRNazanin"/>
          <w:color w:val="111111"/>
          <w:sz w:val="28"/>
          <w:sz w:val="28"/>
          <w:szCs w:val="28"/>
          <w:rtl w:val="true"/>
          <w:lang w:bidi="fa-IR"/>
        </w:rPr>
        <w:t xml:space="preserve">،فلا دلالة لها حینئذٍ علی سلب عبارته،و أنّه إذا ساوم ولیّه متاعاً </w:t>
      </w:r>
      <w:r>
        <w:rPr>
          <w:rStyle w:val="FootnoteAnchor"/>
          <w:rtl w:val="true"/>
        </w:rPr>
        <w:footnoteReference w:id="1498"/>
      </w:r>
      <w:r>
        <w:rPr>
          <w:rFonts w:ascii="IRNazanin" w:hAnsi="IRNazanin" w:eastAsia="IRNazanin"/>
          <w:color w:val="111111"/>
          <w:sz w:val="28"/>
          <w:sz w:val="28"/>
          <w:szCs w:val="28"/>
          <w:rtl w:val="true"/>
          <w:lang w:bidi="fa-IR"/>
        </w:rPr>
        <w:t xml:space="preserve">و عیّن له قیمته </w:t>
      </w:r>
      <w:r>
        <w:rPr>
          <w:rStyle w:val="FootnoteAnchor"/>
          <w:rtl w:val="true"/>
        </w:rPr>
        <w:footnoteReference w:id="1499"/>
      </w:r>
      <w:r>
        <w:rPr>
          <w:rFonts w:ascii="IRNazanin" w:hAnsi="IRNazanin" w:eastAsia="IRNazanin"/>
          <w:color w:val="111111"/>
          <w:sz w:val="28"/>
          <w:sz w:val="28"/>
          <w:szCs w:val="28"/>
          <w:rtl w:val="true"/>
          <w:lang w:bidi="fa-IR"/>
        </w:rPr>
        <w:t>و أمر الصبیّ بمجرّد إیقاع العقد مع الطرف</w:t>
      </w:r>
    </w:p>
    <w:p>
      <w:pPr>
        <w:pStyle w:val="BookText"/>
        <w:rPr/>
      </w:pPr>
      <w:r>
        <w:rPr>
          <w:rFonts w:ascii="IRNazanin" w:hAnsi="IRNazanin" w:eastAsia="IRNazanin"/>
          <w:color w:val="111111"/>
          <w:sz w:val="28"/>
          <w:sz w:val="28"/>
          <w:szCs w:val="28"/>
          <w:rtl w:val="true"/>
          <w:lang w:bidi="fa-IR"/>
        </w:rPr>
        <w:t>الآخر کان باطلاً،و کذا لو أوقع إیجاب النکاح أو قبوله لغیره بإذن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رفع القلم،ففیه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منه قلم المؤاخذة،لا قلم جعل الأحکام؛و لذا بنینا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شرعیّة عبادات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علی الألسنة أنّ الأحکام الوضعیّة لیست مختصّة بالبالغین،فلا مانع من أن یکون عقده سبباً لوجوب الوفاء بعد البلوغ،أو علی الولیّ إذا وقع بإذنه أو إجازته،کما یکون جنابته سبباً لوجوب غسله بعد البلوغ و حرمة تمکینه من مسّ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اختصاص الأحکام حتّی الوضعیة بالبالغین،لکن لا مانع من کون فعل غیر البالغ موضوعاً للأحکام المجعولة فی حقّ البالغین،فیکون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غیر البالغین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 عن ذلک الحکم إلی وقت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بالجملة،فالتمسّک بالروایة ینافی ما اشتهر بینهم من شرعیّة عبادة الصبیّ،و ما اشتهر بینهم من عدم اختصاص الأحکام الوضعیّة بالبالغین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فالعمدة فی سلب عبارة الصبی هو الإجماع المحکی </w:t>
      </w:r>
      <w:r>
        <w:rPr>
          <w:rStyle w:val="FootnoteAnchor"/>
          <w:rtl w:val="true"/>
        </w:rPr>
        <w:footnoteReference w:id="1500"/>
      </w:r>
      <w:r>
        <w:rPr>
          <w:rFonts w:ascii="IRNazanin" w:hAnsi="IRNazanin" w:eastAsia="IRNazanin"/>
          <w:color w:val="111111"/>
          <w:sz w:val="28"/>
          <w:sz w:val="28"/>
          <w:szCs w:val="28"/>
          <w:rtl w:val="true"/>
          <w:lang w:bidi="fa-IR"/>
        </w:rPr>
        <w:t xml:space="preserve">،المعتضد بالشهرة العظیمة،و إلّا فالمسألة محلّ إشکال؛و لذا تردّد المحقّق فی الشرائع فی إجارة الممیّز بإذن الولیّ </w:t>
      </w:r>
      <w:r>
        <w:rPr>
          <w:rStyle w:val="FootnoteAnchor"/>
          <w:rtl w:val="true"/>
        </w:rPr>
        <w:footnoteReference w:id="1501"/>
      </w:r>
      <w:r>
        <w:rPr>
          <w:rFonts w:ascii="IRNazanin" w:hAnsi="IRNazanin" w:eastAsia="IRNazanin"/>
          <w:color w:val="111111"/>
          <w:sz w:val="28"/>
          <w:sz w:val="28"/>
          <w:szCs w:val="28"/>
          <w:rtl w:val="true"/>
          <w:lang w:bidi="fa-IR"/>
        </w:rPr>
        <w:t xml:space="preserve">بعد ما جزم بالصحّة فی العاریة </w:t>
      </w:r>
      <w:r>
        <w:rPr>
          <w:rStyle w:val="FootnoteAnchor"/>
          <w:rtl w:val="true"/>
        </w:rPr>
        <w:footnoteReference w:id="15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فیها فی القواعد </w:t>
      </w:r>
      <w:r>
        <w:rPr>
          <w:rStyle w:val="FootnoteAnchor"/>
          <w:rtl w:val="true"/>
        </w:rPr>
        <w:footnoteReference w:id="1503"/>
      </w:r>
      <w:r>
        <w:rPr>
          <w:rFonts w:ascii="IRNazanin" w:hAnsi="IRNazanin" w:eastAsia="IRNazanin"/>
          <w:color w:val="111111"/>
          <w:sz w:val="28"/>
          <w:sz w:val="28"/>
          <w:szCs w:val="28"/>
          <w:rtl w:val="true"/>
          <w:lang w:bidi="fa-IR"/>
        </w:rPr>
        <w:t xml:space="preserve">و التحریر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صحّة بیع الممیّز بإذن الولیّ نظر </w:t>
      </w:r>
      <w:r>
        <w:rPr>
          <w:rStyle w:val="FootnoteAnchor"/>
          <w:rtl w:val="true"/>
        </w:rPr>
        <w:footnoteReference w:id="1505"/>
      </w:r>
      <w:r>
        <w:rPr>
          <w:rFonts w:ascii="IRNazanin" w:hAnsi="IRNazanin" w:eastAsia="IRNazanin"/>
          <w:color w:val="111111"/>
          <w:sz w:val="28"/>
          <w:sz w:val="28"/>
          <w:szCs w:val="28"/>
          <w:rtl w:val="true"/>
          <w:lang w:bidi="fa-IR"/>
        </w:rPr>
        <w:t>،بل عن الفخر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الأقوی الصحّة؛مستدلا بأنّ العقد إذا وقع بإذن الولی کان کما لو صدر عنه </w:t>
      </w:r>
      <w:r>
        <w:rPr>
          <w:rStyle w:val="FootnoteAnchor"/>
          <w:rtl w:val="true"/>
        </w:rPr>
        <w:footnoteReference w:id="1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 أجده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المحقّق الأردبیلی علی ما حکی عنه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التذکرة عدم ثبوت الإجماع عنده،حیث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بیع الممیّز و شراؤه؟الوجه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یصحّ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بیع الصبی فی مقام اختبار رشده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یبعد بناء المسألة علی أنّ أفعال الصبیّ و أقواله شرعیّة أم لا،ثمّ حکم بأنّها غیر شرعیّة،و أنّ الأصحّ بطلان العقد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bookmarkStart w:id="445" w:name="pg19763_248026"/>
    </w:p>
    <w:p>
      <w:pPr>
        <w:pStyle w:val="BookText"/>
        <w:rPr/>
      </w:pPr>
      <w:bookmarkEnd w:id="445"/>
      <w:r>
        <w:rPr>
          <w:rFonts w:ascii="IRNazanin" w:hAnsi="IRNazanin" w:eastAsia="IRNazanin"/>
          <w:color w:val="111111"/>
          <w:sz w:val="28"/>
          <w:sz w:val="28"/>
          <w:szCs w:val="28"/>
          <w:rtl w:val="true"/>
          <w:lang w:bidi="fa-IR"/>
        </w:rPr>
        <w:t>و عن المختلف أنّه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القاضی کلاماً یدلّ علی صحّة بیع الصبی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بالجملة،فالمسألة لا تخلو عن إشکال،و إن أطنب بعض المعاصرین </w:t>
      </w:r>
      <w:r>
        <w:rPr>
          <w:rStyle w:val="FootnoteAnchor"/>
          <w:rtl w:val="true"/>
        </w:rPr>
        <w:footnoteReference w:id="1512"/>
      </w:r>
      <w:r>
        <w:rPr>
          <w:rFonts w:ascii="IRNazanin" w:hAnsi="IRNazanin" w:eastAsia="IRNazanin"/>
          <w:color w:val="111111"/>
          <w:sz w:val="28"/>
          <w:sz w:val="28"/>
          <w:szCs w:val="28"/>
          <w:rtl w:val="true"/>
          <w:lang w:bidi="fa-IR"/>
        </w:rPr>
        <w:t>فی توضیحه حتّی ألحقه بالبدیهیات فی ظاهر کلامه</w:t>
      </w:r>
      <w:r>
        <w:rPr>
          <w:rFonts w:eastAsia="IRNazanin" w:cs="IRNazanin"/>
          <w:color w:val="111111"/>
          <w:sz w:val="28"/>
          <w:szCs w:val="28"/>
          <w:rtl w:val="true"/>
          <w:lang w:bidi="fa-IR"/>
        </w:rPr>
        <w:t>.</w:t>
      </w:r>
    </w:p>
    <w:p>
      <w:pPr>
        <w:pStyle w:val="Heading6"/>
        <w:numPr>
          <w:ilvl w:val="5"/>
          <w:numId w:val="1"/>
        </w:numPr>
        <w:rPr/>
      </w:pPr>
      <w:bookmarkStart w:id="446" w:name="__RefHeading___Toc5082762_2314609296"/>
      <w:bookmarkStart w:id="447" w:name="_Toc172"/>
      <w:bookmarkEnd w:id="446"/>
      <w:r>
        <w:rPr>
          <w:rtl w:val="true"/>
        </w:rPr>
        <w:t>[</w:t>
      </w:r>
      <w:r>
        <w:rPr>
          <w:rtl w:val="true"/>
        </w:rPr>
        <w:t>الحجة فی المسألة هی الشهرة و الإجماع المحکی</w:t>
      </w:r>
      <w:r>
        <w:rPr>
          <w:rtl w:val="true"/>
        </w:rPr>
        <w:t>]</w:t>
      </w:r>
      <w:bookmarkEnd w:id="447"/>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الحجّة فی المسألة هی الشهرة المحقّقة و الإجماع المحکیّ عن التذکرة </w:t>
      </w:r>
      <w:r>
        <w:rPr>
          <w:rStyle w:val="FootnoteAnchor"/>
          <w:rtl w:val="true"/>
        </w:rPr>
        <w:footnoteReference w:id="1513"/>
      </w:r>
      <w:r>
        <w:rPr>
          <w:rFonts w:ascii="IRNazanin" w:hAnsi="IRNazanin" w:eastAsia="IRNazanin"/>
          <w:color w:val="111111"/>
          <w:sz w:val="28"/>
          <w:sz w:val="28"/>
          <w:szCs w:val="28"/>
          <w:rtl w:val="true"/>
          <w:lang w:bidi="fa-IR"/>
        </w:rPr>
        <w:t>بناءً علی أنّ استثناء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یجوز إلّا بإذن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علی أنّ مراده بالحَجر ما یشمل سلب العبارة، لا نفی الاستقلال فی التصرّف؛و کذا إجماع الغنیة </w:t>
      </w:r>
      <w:r>
        <w:rPr>
          <w:rStyle w:val="FootnoteAnchor"/>
          <w:rtl w:val="true"/>
        </w:rPr>
        <w:footnoteReference w:id="1514"/>
      </w:r>
      <w:r>
        <w:rPr>
          <w:rFonts w:ascii="IRNazanin" w:hAnsi="IRNazanin" w:eastAsia="IRNazanin"/>
          <w:color w:val="111111"/>
          <w:sz w:val="28"/>
          <w:sz w:val="28"/>
          <w:szCs w:val="28"/>
          <w:rtl w:val="true"/>
          <w:lang w:bidi="fa-IR"/>
        </w:rPr>
        <w:t>بناءً علی أنّ استدلاله بعد الإجماع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شمول معقده للبیع بإذن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نفی صحّة البیع المتعقّب بالإجازة،حتّی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الإجازة عند السیّد </w:t>
      </w:r>
      <w:r>
        <w:rPr>
          <w:rStyle w:val="FootnoteAnchor"/>
          <w:rtl w:val="true"/>
        </w:rPr>
        <w:footnoteReference w:id="1515"/>
      </w:r>
      <w:r>
        <w:rPr>
          <w:rFonts w:ascii="IRNazanin" w:hAnsi="IRNazanin" w:eastAsia="IRNazanin"/>
          <w:color w:val="111111"/>
          <w:sz w:val="28"/>
          <w:sz w:val="28"/>
          <w:szCs w:val="28"/>
          <w:rtl w:val="true"/>
          <w:lang w:bidi="fa-IR"/>
        </w:rPr>
        <w:t>غیر مجدیة فی تصحیح مطلق العقد الصادر من غیر المستقلّ و لو کان غیر مسلوب العبارة،کالبائع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الإجماعین ما تقدّم عن کنز العرفان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8" w:name="__RefHeading___Toc5082764_2314609296"/>
      <w:bookmarkStart w:id="449" w:name="_Toc173"/>
      <w:bookmarkEnd w:id="448"/>
      <w:r>
        <w:rPr>
          <w:rtl w:val="true"/>
        </w:rPr>
        <w:t>[</w:t>
      </w:r>
      <w:r>
        <w:rPr>
          <w:rtl w:val="true"/>
        </w:rPr>
        <w:t>المناقشة فی تحقق الإجماع</w:t>
      </w:r>
      <w:r>
        <w:rPr>
          <w:rtl w:val="true"/>
        </w:rPr>
        <w:t>]</w:t>
      </w:r>
      <w:bookmarkEnd w:id="44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عرفت من المحقّق و العلّامة و ولده</w:t>
      </w:r>
      <w:bookmarkStart w:id="450" w:name="pg19763_248027"/>
    </w:p>
    <w:p>
      <w:pPr>
        <w:pStyle w:val="BookText"/>
        <w:rPr/>
      </w:pPr>
      <w:bookmarkEnd w:id="450"/>
      <w:r>
        <w:rPr>
          <w:rFonts w:ascii="IRNazanin" w:hAnsi="IRNazanin" w:eastAsia="IRNazanin"/>
          <w:color w:val="111111"/>
          <w:sz w:val="28"/>
          <w:sz w:val="28"/>
          <w:szCs w:val="28"/>
          <w:rtl w:val="true"/>
          <w:lang w:bidi="fa-IR"/>
        </w:rPr>
        <w:t xml:space="preserve">و القاضی و غیرهم خصوصاً </w:t>
      </w:r>
      <w:r>
        <w:rPr>
          <w:rStyle w:val="FootnoteAnchor"/>
          <w:rtl w:val="true"/>
        </w:rPr>
        <w:footnoteReference w:id="1517"/>
      </w:r>
      <w:r>
        <w:rPr>
          <w:rFonts w:ascii="IRNazanin" w:hAnsi="IRNazanin" w:eastAsia="IRNazanin"/>
          <w:color w:val="111111"/>
          <w:sz w:val="28"/>
          <w:sz w:val="28"/>
          <w:szCs w:val="28"/>
          <w:rtl w:val="true"/>
          <w:lang w:bidi="fa-IR"/>
        </w:rPr>
        <w:t xml:space="preserve">المحقّق الثانی </w:t>
      </w:r>
      <w:r>
        <w:rPr>
          <w:rStyle w:val="FootnoteAnchor"/>
          <w:rtl w:val="true"/>
        </w:rPr>
        <w:footnoteReference w:id="1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بنی المسألة علی شرعیة أفعال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تحقّق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کان،فالعمل علی المشهور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1" w:name="__RefHeading___Toc5082766_2314609296"/>
      <w:bookmarkStart w:id="452" w:name="_Toc174"/>
      <w:bookmarkEnd w:id="451"/>
      <w:r>
        <w:rPr>
          <w:rtl w:val="true"/>
        </w:rPr>
        <w:t>[</w:t>
      </w:r>
      <w:r>
        <w:rPr>
          <w:rtl w:val="true"/>
        </w:rPr>
        <w:t>ما یستأنس به للبطلان</w:t>
      </w:r>
      <w:r>
        <w:rPr>
          <w:rtl w:val="true"/>
        </w:rPr>
        <w:t>]</w:t>
      </w:r>
      <w:bookmarkEnd w:id="45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w:t>
      </w:r>
      <w:r>
        <w:rPr>
          <w:rStyle w:val="FootnoteAnchor"/>
          <w:rtl w:val="true"/>
        </w:rPr>
        <w:footnoteReference w:id="1520"/>
      </w:r>
      <w:r>
        <w:rPr>
          <w:rFonts w:ascii="IRNazanin" w:hAnsi="IRNazanin" w:eastAsia="IRNazanin"/>
          <w:color w:val="111111"/>
          <w:sz w:val="28"/>
          <w:sz w:val="28"/>
          <w:szCs w:val="28"/>
          <w:rtl w:val="true"/>
          <w:lang w:bidi="fa-IR"/>
        </w:rPr>
        <w:t>أن یستأنس له أیضاً بما ورد فی الأخبار المستفیضة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صحیحة ابن مسلم </w:t>
      </w:r>
      <w:r>
        <w:rPr>
          <w:rStyle w:val="FootnoteAnchor"/>
          <w:rtl w:val="true"/>
        </w:rPr>
        <w:footnoteReference w:id="1521"/>
      </w:r>
      <w:r>
        <w:rPr>
          <w:rFonts w:ascii="IRNazanin" w:hAnsi="IRNazanin" w:eastAsia="IRNazanin"/>
          <w:color w:val="111111"/>
          <w:sz w:val="28"/>
          <w:sz w:val="28"/>
          <w:szCs w:val="28"/>
          <w:rtl w:val="true"/>
          <w:lang w:bidi="fa-IR"/>
        </w:rPr>
        <w:t xml:space="preserve">و غیرها </w:t>
      </w:r>
      <w:r>
        <w:rPr>
          <w:rStyle w:val="FootnoteAnchor"/>
          <w:rtl w:val="true"/>
        </w:rPr>
        <w:footnoteReference w:id="1522"/>
      </w:r>
      <w:r>
        <w:rPr>
          <w:rFonts w:ascii="IRNazanin" w:hAnsi="IRNazanin" w:eastAsia="IRNazanin"/>
          <w:color w:val="111111"/>
          <w:sz w:val="28"/>
          <w:sz w:val="28"/>
          <w:szCs w:val="28"/>
          <w:rtl w:val="true"/>
          <w:lang w:bidi="fa-IR"/>
        </w:rPr>
        <w:t>، و الأصحاب و إن ذکروها فی باب الجنایات،إلّا أنّه لا إشعار فی نفس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بالاختصاص بالجنایات؛و لذا تمسّک بها الشیخ فی المبسوط </w:t>
      </w:r>
      <w:r>
        <w:rPr>
          <w:rStyle w:val="FootnoteAnchor"/>
          <w:rtl w:val="true"/>
        </w:rPr>
        <w:footnoteReference w:id="1523"/>
      </w:r>
      <w:r>
        <w:rPr>
          <w:rFonts w:ascii="IRNazanin" w:hAnsi="IRNazanin" w:eastAsia="IRNazanin"/>
          <w:color w:val="111111"/>
          <w:sz w:val="28"/>
          <w:sz w:val="28"/>
          <w:szCs w:val="28"/>
          <w:rtl w:val="true"/>
          <w:lang w:bidi="fa-IR"/>
        </w:rPr>
        <w:t xml:space="preserve">و الحلّی فی السرائر </w:t>
      </w:r>
      <w:r>
        <w:rPr>
          <w:rStyle w:val="FootnoteAnchor"/>
          <w:rtl w:val="true"/>
        </w:rPr>
        <w:footnoteReference w:id="1524"/>
      </w:r>
      <w:r>
        <w:rPr>
          <w:rFonts w:ascii="IRNazanin" w:hAnsi="IRNazanin" w:eastAsia="IRNazanin"/>
          <w:color w:val="111111"/>
          <w:sz w:val="28"/>
          <w:sz w:val="28"/>
          <w:szCs w:val="28"/>
          <w:rtl w:val="true"/>
          <w:lang w:bidi="fa-IR"/>
        </w:rPr>
        <w:t>،علی أنّ إخلال الصبیّ المُحرِم بمحظورات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تختصّ الکفارة فیها </w:t>
      </w:r>
      <w:r>
        <w:rPr>
          <w:rStyle w:val="FootnoteAnchor"/>
          <w:rtl w:val="true"/>
        </w:rPr>
        <w:footnoteReference w:id="1525"/>
      </w:r>
      <w:r>
        <w:rPr>
          <w:rFonts w:ascii="IRNazanin" w:hAnsi="IRNazanin" w:eastAsia="IRNazanin"/>
          <w:color w:val="111111"/>
          <w:sz w:val="28"/>
          <w:sz w:val="28"/>
          <w:szCs w:val="28"/>
          <w:rtl w:val="true"/>
          <w:lang w:bidi="fa-IR"/>
        </w:rPr>
        <w:t>بحال التعمّد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کفارةً علی الصبیّ،و لا علی الولیّ؛لأنّ عمده خطأ</w:t>
      </w:r>
      <w:r>
        <w:rPr>
          <w:rFonts w:eastAsia="IRNazanin" w:cs="IRNazanin"/>
          <w:color w:val="111111"/>
          <w:sz w:val="28"/>
          <w:szCs w:val="28"/>
          <w:rtl w:val="true"/>
          <w:lang w:bidi="fa-IR"/>
        </w:rPr>
        <w:t>.</w:t>
      </w:r>
      <w:bookmarkStart w:id="453" w:name="pg19763_248028"/>
    </w:p>
    <w:p>
      <w:pPr>
        <w:pStyle w:val="BookText"/>
        <w:rPr/>
      </w:pPr>
      <w:bookmarkEnd w:id="453"/>
      <w:r>
        <w:rPr>
          <w:rFonts w:ascii="IRNazanin" w:hAnsi="IRNazanin" w:eastAsia="IRNazanin"/>
          <w:color w:val="111111"/>
          <w:sz w:val="28"/>
          <w:sz w:val="28"/>
          <w:szCs w:val="28"/>
          <w:rtl w:val="true"/>
          <w:lang w:bidi="fa-IR"/>
        </w:rPr>
        <w:t>و حینئذٍ فکلّ حکمٍ شرعیٍّ تعلّق بالأفعال التی یعتبر فی ترتّب الحکم الشرعی علیها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عبرة بها إذا وقعت بغیر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یصدر منها عن الصبیّ قصداً بمنزلة الصادر عن غیره بلا قصد،فعقد الصبی و إیقاعه مع القصد کعقد الهازل و الغالط و الخاطئ و إیقاعاتهم</w:t>
      </w:r>
      <w:r>
        <w:rPr>
          <w:rFonts w:eastAsia="IRNazanin" w:cs="IRNazanin"/>
          <w:color w:val="111111"/>
          <w:sz w:val="28"/>
          <w:szCs w:val="28"/>
          <w:rtl w:val="true"/>
          <w:lang w:bidi="fa-IR"/>
        </w:rPr>
        <w:t>.</w:t>
      </w:r>
    </w:p>
    <w:p>
      <w:pPr>
        <w:pStyle w:val="Heading6"/>
        <w:numPr>
          <w:ilvl w:val="5"/>
          <w:numId w:val="1"/>
        </w:numPr>
        <w:rPr/>
      </w:pPr>
      <w:bookmarkStart w:id="454" w:name="__RefHeading___Toc5082768_2314609296"/>
      <w:bookmarkStart w:id="455" w:name="_Toc175"/>
      <w:bookmarkEnd w:id="454"/>
      <w:r>
        <w:rPr>
          <w:rtl w:val="true"/>
        </w:rPr>
        <w:t>[</w:t>
      </w:r>
      <w:r>
        <w:rPr>
          <w:rtl w:val="true"/>
        </w:rPr>
        <w:t>استظهار البطلان من حدیث رفع القلم</w:t>
      </w:r>
      <w:r>
        <w:rPr>
          <w:rtl w:val="true"/>
        </w:rPr>
        <w:t>]</w:t>
      </w:r>
      <w:bookmarkEnd w:id="455"/>
    </w:p>
    <w:p>
      <w:pPr>
        <w:pStyle w:val="BookText"/>
        <w:rPr/>
      </w:pPr>
      <w:r>
        <w:rPr>
          <w:rFonts w:ascii="IRNazanin" w:hAnsi="IRNazanin" w:eastAsia="IRNazanin"/>
          <w:color w:val="111111"/>
          <w:sz w:val="28"/>
          <w:sz w:val="28"/>
          <w:szCs w:val="28"/>
          <w:rtl w:val="true"/>
          <w:lang w:bidi="fa-IR"/>
        </w:rPr>
        <w:t>بل یمکن بملاحظة بعض ما ورد من هذه الأخبار فی قتل المجنون و الصبی استظهار المطلب من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عن قرب الإسناد بسنده عن أبی البختری،عن جعفر،عن أبیه،عن علی علیه السلام،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1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 و المعتوه الذی لا یفیق،و الصبی الذی لم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عمدهما خطأ تحمله العاقلة و قد رفع عنهما القلم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8"/>
      </w:r>
      <w:r>
        <w:rPr>
          <w:rFonts w:ascii="IRNazanin" w:hAnsi="IRNazanin" w:eastAsia="IRNazanin"/>
          <w:color w:val="111111"/>
          <w:sz w:val="28"/>
          <w:sz w:val="28"/>
          <w:szCs w:val="28"/>
          <w:rtl w:val="true"/>
          <w:lang w:bidi="fa-IR"/>
        </w:rPr>
        <w:t>فإنّ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الذیل لیس له وجه ارتباط إلّا بأن تکون علّة لأصل الحکم،و هو ثبوت الدیة علی العاقلة،أو بأن تکون معلولة </w:t>
      </w:r>
      <w:r>
        <w:rPr>
          <w:rStyle w:val="FootnoteAnchor"/>
          <w:rtl w:val="true"/>
        </w:rPr>
        <w:footnoteReference w:id="1529"/>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عمدهما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لمّا کان قصدهما بمنزلة العدم فی نظر الشارع و فی الواقع رفع القلم عنهما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ارتباطها </w:t>
      </w:r>
      <w:r>
        <w:rPr>
          <w:rStyle w:val="FootnoteAnchor"/>
          <w:rtl w:val="true"/>
        </w:rPr>
        <w:footnoteReference w:id="1530"/>
      </w:r>
      <w:r>
        <w:rPr>
          <w:rFonts w:ascii="IRNazanin" w:hAnsi="IRNazanin" w:eastAsia="IRNazanin"/>
          <w:color w:val="111111"/>
          <w:sz w:val="28"/>
          <w:sz w:val="28"/>
          <w:szCs w:val="28"/>
          <w:rtl w:val="true"/>
          <w:lang w:bidi="fa-IR"/>
        </w:rPr>
        <w:t xml:space="preserve">بالکلام علی وجه العلّیة أو المعلولیّة </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للحکم المذکور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عدم مؤاخذة الصبی و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جنایة العمد و هو القصاص،و لا بمقتضی شبه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الدیة فی مالهما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إلّا بأن یراد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ارتفاع المؤاخذة عنهما شرعاً من حیث العقوبة الأُخرویة و الدنیویة المتعلّقة بالنفس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کغرامة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ترتّب ذلک علی أفعالهما المقصودة المتعمّد إلیها ممّا </w:t>
      </w:r>
      <w:r>
        <w:rPr>
          <w:rStyle w:val="FootnoteAnchor"/>
          <w:rtl w:val="true"/>
        </w:rPr>
        <w:footnoteReference w:id="1532"/>
      </w:r>
      <w:r>
        <w:rPr>
          <w:rFonts w:ascii="IRNazanin" w:hAnsi="IRNazanin" w:eastAsia="IRNazanin"/>
          <w:color w:val="111111"/>
          <w:sz w:val="28"/>
          <w:sz w:val="28"/>
          <w:szCs w:val="28"/>
          <w:rtl w:val="true"/>
          <w:lang w:bidi="fa-IR"/>
        </w:rPr>
        <w:t>لو وقع من غیرهما مع القصد و التعمّد لترتّبت علیه غرامة أُخرویة أو 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هذا،فإذا التزم علی نفسه مالاً بإقرارٍ أو معاوضةٍ و لو بإذن الولیّ،فلا أثر له </w:t>
      </w:r>
      <w:r>
        <w:rPr>
          <w:rStyle w:val="FootnoteAnchor"/>
          <w:rtl w:val="true"/>
        </w:rPr>
        <w:footnoteReference w:id="1533"/>
      </w:r>
      <w:r>
        <w:rPr>
          <w:rFonts w:ascii="IRNazanin" w:hAnsi="IRNazanin" w:eastAsia="IRNazanin"/>
          <w:color w:val="111111"/>
          <w:sz w:val="28"/>
          <w:sz w:val="28"/>
          <w:szCs w:val="28"/>
          <w:rtl w:val="true"/>
          <w:lang w:bidi="fa-IR"/>
        </w:rPr>
        <w:t xml:space="preserve">فی إلزامه بالمال و مؤاخذته به و لو بعد البلوغ </w:t>
      </w:r>
      <w:r>
        <w:rPr>
          <w:rStyle w:val="FootnoteAnchor"/>
          <w:rtl w:val="true"/>
        </w:rPr>
        <w:footnoteReference w:id="1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لم یلزمه شیء بالتزاماته و لو کانت بإذن الولی، فلیس ذلک إلّا لسلب قصده و عدم العبرة بإنشائه؛إذ لو کان ذلک لأجل عدم </w:t>
      </w:r>
      <w:r>
        <w:rPr>
          <w:rStyle w:val="FootnoteAnchor"/>
          <w:rtl w:val="true"/>
        </w:rPr>
        <w:footnoteReference w:id="1535"/>
      </w:r>
      <w:r>
        <w:rPr>
          <w:rFonts w:ascii="IRNazanin" w:hAnsi="IRNazanin" w:eastAsia="IRNazanin"/>
          <w:color w:val="111111"/>
          <w:sz w:val="28"/>
          <w:sz w:val="28"/>
          <w:szCs w:val="28"/>
          <w:rtl w:val="true"/>
          <w:lang w:bidi="fa-IR"/>
        </w:rPr>
        <w:t>استقلاله و حجره عن الالتزامات علی نفسه،لم یکن عدم المؤاخذة شاملاً لصورة إذن الولیّ،و قد فرضنا الحکم مطلقاً، فیدلّ بالالتزام علی کون قصده فی إنشاءاته و إخباراته مسلوب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عموم هذه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کونها علّة للحکم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مؤاخذتهما بالإتلاف الحاصل منهما،کما هو ظاهر المحکی عن بعض</w:t>
      </w:r>
      <w:bookmarkStart w:id="456" w:name="pg19763_248030"/>
    </w:p>
    <w:p>
      <w:pPr>
        <w:pStyle w:val="BookText"/>
        <w:rPr/>
      </w:pPr>
      <w:bookmarkEnd w:id="456"/>
      <w:r>
        <w:rPr>
          <w:rFonts w:ascii="IRNazanin" w:hAnsi="IRNazanin" w:eastAsia="IRNazanin"/>
          <w:color w:val="111111"/>
          <w:sz w:val="28"/>
          <w:sz w:val="28"/>
          <w:szCs w:val="28"/>
          <w:rtl w:val="true"/>
          <w:lang w:bidi="fa-IR"/>
        </w:rPr>
        <w:t xml:space="preserve">إلّا أن یلتزم بخروج ذلک من </w:t>
      </w:r>
      <w:r>
        <w:rPr>
          <w:rStyle w:val="FootnoteAnchor"/>
          <w:rtl w:val="true"/>
        </w:rPr>
        <w:footnoteReference w:id="1536"/>
      </w:r>
      <w:r>
        <w:rPr>
          <w:rFonts w:ascii="IRNazanin" w:hAnsi="IRNazanin" w:eastAsia="IRNazanin"/>
          <w:color w:val="111111"/>
          <w:sz w:val="28"/>
          <w:sz w:val="28"/>
          <w:szCs w:val="28"/>
          <w:rtl w:val="true"/>
          <w:lang w:bidi="fa-IR"/>
        </w:rPr>
        <w:t xml:space="preserve">عموم رفع القلم،و لا یخلو عن </w:t>
      </w:r>
      <w:r>
        <w:rPr>
          <w:rStyle w:val="FootnoteAnchor"/>
          <w:rtl w:val="true"/>
        </w:rPr>
        <w:footnoteReference w:id="1537"/>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w:t>
      </w:r>
      <w:r>
        <w:rPr>
          <w:rStyle w:val="FootnoteAnchor"/>
          <w:rtl w:val="true"/>
        </w:rPr>
        <w:footnoteReference w:id="1538"/>
      </w:r>
      <w:r>
        <w:rPr>
          <w:rFonts w:ascii="IRNazanin" w:hAnsi="IRNazanin" w:eastAsia="IRNazanin"/>
          <w:color w:val="111111"/>
          <w:sz w:val="28"/>
          <w:sz w:val="28"/>
          <w:szCs w:val="28"/>
          <w:rtl w:val="true"/>
          <w:lang w:bidi="fa-IR"/>
        </w:rPr>
        <w:t xml:space="preserve">هذا غیر واردٍ علی الاستدلال؛لأنّه لیس مبنیّاً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للحکم؛لما عرفت </w:t>
      </w:r>
      <w:r>
        <w:rPr>
          <w:rStyle w:val="FootnoteAnchor"/>
          <w:rtl w:val="true"/>
        </w:rPr>
        <w:footnoteReference w:id="1539"/>
      </w:r>
      <w:r>
        <w:rPr>
          <w:rFonts w:ascii="IRNazanin" w:hAnsi="IRNazanin" w:eastAsia="IRNazanin"/>
          <w:color w:val="111111"/>
          <w:sz w:val="28"/>
          <w:sz w:val="28"/>
          <w:szCs w:val="28"/>
          <w:rtl w:val="true"/>
          <w:lang w:bidi="fa-IR"/>
        </w:rPr>
        <w:t>من احتمال کونه معلولاً لسلب اعتبار قصد الصبیّ و المجنون،فیختصّ رفع قلم المؤاخذة بالأفعال التی یعتبر فی المؤاخذة علیها قصد الفاعل فیخرج مثل الإتلاف،فافهم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القلم المرفوع هو قلم المؤاخذة الموضوع علی البالغین، فلا ینافی ثبوت بعض العقوبات للصبی،کالتعزیر</w:t>
      </w:r>
      <w:r>
        <w:rPr>
          <w:rFonts w:eastAsia="IRNazanin" w:cs="IRNazanin"/>
          <w:color w:val="111111"/>
          <w:sz w:val="28"/>
          <w:szCs w:val="28"/>
          <w:rtl w:val="true"/>
          <w:lang w:bidi="fa-IR"/>
        </w:rPr>
        <w:t>.</w:t>
      </w:r>
    </w:p>
    <w:p>
      <w:pPr>
        <w:pStyle w:val="Heading6"/>
        <w:numPr>
          <w:ilvl w:val="5"/>
          <w:numId w:val="1"/>
        </w:numPr>
        <w:rPr/>
      </w:pPr>
      <w:bookmarkStart w:id="457" w:name="__RefHeading___Toc5082770_2314609296"/>
      <w:bookmarkStart w:id="458" w:name="_Toc176"/>
      <w:bookmarkEnd w:id="457"/>
      <w:r>
        <w:rPr>
          <w:rtl w:val="true"/>
        </w:rPr>
        <w:t>[</w:t>
      </w:r>
      <w:r>
        <w:rPr>
          <w:rtl w:val="true"/>
        </w:rPr>
        <w:t>رأی المؤلف فی المسألة و دلیله</w:t>
      </w:r>
      <w:r>
        <w:rPr>
          <w:rtl w:val="true"/>
        </w:rPr>
        <w:t>]</w:t>
      </w:r>
      <w:bookmarkEnd w:id="458"/>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مقتضی ما تقدّم </w:t>
      </w:r>
      <w:r>
        <w:rPr>
          <w:rStyle w:val="FootnoteAnchor"/>
          <w:rtl w:val="true"/>
        </w:rPr>
        <w:footnoteReference w:id="1540"/>
      </w:r>
      <w:r>
        <w:rPr>
          <w:rFonts w:ascii="IRNazanin" w:hAnsi="IRNazanin" w:eastAsia="IRNazanin"/>
          <w:color w:val="111111"/>
          <w:sz w:val="28"/>
          <w:sz w:val="28"/>
          <w:szCs w:val="28"/>
          <w:rtl w:val="true"/>
          <w:lang w:bidi="fa-IR"/>
        </w:rPr>
        <w:t xml:space="preserve">من الإجماع المحکی فی البیع و غیره من العقود،و الأخبار المتقدّمة </w:t>
      </w:r>
      <w:r>
        <w:rPr>
          <w:rStyle w:val="FootnoteAnchor"/>
          <w:rtl w:val="true"/>
        </w:rPr>
        <w:footnoteReference w:id="1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انضمام بعضها إلی بعض</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الاعتبار بما یصدر من الصبیّ من الأفعال المعتبر فیها القصد إلی مقتضاها،کإنشاء العقود أصالةً و وکالةً،و القبض و الإقباض،و کلّ التزام علی نفسه من ضمانٍ أو إقرارٍ أو نذرٍ أو إیجار</w:t>
      </w:r>
      <w:r>
        <w:rPr>
          <w:rFonts w:eastAsia="IRNazanin" w:cs="IRNazanin"/>
          <w:color w:val="111111"/>
          <w:sz w:val="28"/>
          <w:szCs w:val="28"/>
          <w:rtl w:val="true"/>
          <w:lang w:bidi="fa-IR"/>
        </w:rPr>
        <w:t>.</w:t>
      </w:r>
      <w:bookmarkStart w:id="459" w:name="pg19763_248031"/>
    </w:p>
    <w:p>
      <w:pPr>
        <w:pStyle w:val="Heading6"/>
        <w:numPr>
          <w:ilvl w:val="5"/>
          <w:numId w:val="1"/>
        </w:numPr>
        <w:rPr/>
      </w:pPr>
      <w:bookmarkStart w:id="460" w:name="__RefHeading___Toc5082772_2314609296"/>
      <w:bookmarkStart w:id="461" w:name="_Toc177"/>
      <w:bookmarkEnd w:id="459"/>
      <w:bookmarkEnd w:id="460"/>
      <w:r>
        <w:rPr>
          <w:rtl w:val="true"/>
        </w:rPr>
        <w:t>[</w:t>
      </w:r>
      <w:r>
        <w:rPr>
          <w:rtl w:val="true"/>
        </w:rPr>
        <w:t>کلام العلامة فی عدم صحة تصرفات الصبی</w:t>
      </w:r>
      <w:r>
        <w:rPr>
          <w:rtl w:val="true"/>
        </w:rPr>
        <w:t>]</w:t>
      </w:r>
      <w:bookmarkEnd w:id="461"/>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42"/>
      </w:r>
      <w:r>
        <w:rPr>
          <w:rFonts w:ascii="IRNazanin" w:hAnsi="IRNazanin" w:eastAsia="IRNazanin"/>
          <w:color w:val="111111"/>
          <w:sz w:val="28"/>
          <w:sz w:val="28"/>
          <w:szCs w:val="28"/>
          <w:rtl w:val="true"/>
          <w:lang w:bidi="fa-IR"/>
        </w:rPr>
        <w:t xml:space="preserve">فی التذکرة </w:t>
      </w:r>
      <w:r>
        <w:rPr>
          <w:rStyle w:val="FootnoteAnchor"/>
          <w:rtl w:val="true"/>
        </w:rPr>
        <w:footnoteReference w:id="1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یصحّ تصرّفاته اللفظیة،کذا لا یصحّ قبضه،و لا یفید حصول الملک فی الهبة و إن اتهب له الولی،و لا لغیره و إن أذن الموهوب له بالقبض،و لو قال مستحقّ الدین للمدیون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حقّی إلی هذا </w:t>
      </w:r>
      <w:r>
        <w:rPr>
          <w:rStyle w:val="FootnoteAnchor"/>
          <w:rtl w:val="true"/>
        </w:rPr>
        <w:footnoteReference w:id="1544"/>
      </w:r>
      <w:r>
        <w:rPr>
          <w:rFonts w:ascii="Amiri" w:hAnsi="Amiri" w:eastAsia="Amiri" w:cs="Amiri"/>
          <w:color w:val="111111"/>
          <w:sz w:val="28"/>
          <w:sz w:val="28"/>
          <w:szCs w:val="28"/>
          <w:rtl w:val="true"/>
          <w:lang w:bidi="ar-SA"/>
        </w:rPr>
        <w:t xml:space="preserve">الصبیّ،فسلّم مقدار </w:t>
      </w:r>
      <w:r>
        <w:rPr>
          <w:rStyle w:val="FootnoteAnchor"/>
          <w:rtl w:val="true"/>
        </w:rPr>
        <w:footnoteReference w:id="1545"/>
      </w:r>
      <w:r>
        <w:rPr>
          <w:rFonts w:ascii="IRNazanin" w:hAnsi="IRNazanin" w:eastAsia="IRNazanin"/>
          <w:color w:val="111111"/>
          <w:sz w:val="28"/>
          <w:sz w:val="28"/>
          <w:szCs w:val="28"/>
          <w:rtl w:val="true"/>
          <w:lang w:bidi="fa-IR"/>
        </w:rPr>
        <w:t>حقّه إلیه،لم یبرأ عن الدین و بقی المقبوض علی ملکه،و لا ضمان علی الصبیّ؛لأنّ المالک ضیّعه حیث دفعه إلیه،و بقی الدین لأنّه فی الذمّة و لا یتعیّن إلّا بقبض صحیح،کما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حقّی فی البحر،فرمی مقدار حقّه،بخلاف ما لو قال للمستودع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مالی إلی الصبیّ أو ألقِه فی البحر؛لأنّه امتثل أمره فی حقّه المعیّن،و لو کانت الودیعة للصبی فسلّمها إلیه ضمن و إن کان بإذن الولی؛إذ لیس له تضییعها بإذن الولی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عرض الصبی دیناراً علی الناقد لینقده أو متاعاً إلی مقوّم لیقوّمه فأخذه،لم یجز له ردّه إلی </w:t>
      </w:r>
      <w:r>
        <w:rPr>
          <w:rStyle w:val="FootnoteAnchor"/>
          <w:rtl w:val="true"/>
        </w:rPr>
        <w:footnoteReference w:id="1546"/>
      </w:r>
      <w:r>
        <w:rPr>
          <w:rFonts w:ascii="IRNazanin" w:hAnsi="IRNazanin" w:eastAsia="IRNazanin"/>
          <w:color w:val="111111"/>
          <w:sz w:val="28"/>
          <w:sz w:val="28"/>
          <w:szCs w:val="28"/>
          <w:rtl w:val="true"/>
          <w:lang w:bidi="fa-IR"/>
        </w:rPr>
        <w:t xml:space="preserve">الصبی،بل علی </w:t>
      </w:r>
      <w:r>
        <w:rPr>
          <w:rStyle w:val="FootnoteAnchor"/>
          <w:rtl w:val="true"/>
        </w:rPr>
        <w:footnoteReference w:id="1547"/>
      </w:r>
      <w:r>
        <w:rPr>
          <w:rFonts w:ascii="IRNazanin" w:hAnsi="IRNazanin" w:eastAsia="IRNazanin"/>
          <w:color w:val="111111"/>
          <w:sz w:val="28"/>
          <w:sz w:val="28"/>
          <w:szCs w:val="28"/>
          <w:rtl w:val="true"/>
          <w:lang w:bidi="fa-IR"/>
        </w:rPr>
        <w:t>ولیّه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أمره الولیّ بالدفع إلیه فدفعه إلیه،برئ من ضمانه إن کان المال للولی </w:t>
      </w:r>
      <w:r>
        <w:rPr>
          <w:rStyle w:val="FootnoteAnchor"/>
          <w:rtl w:val="true"/>
        </w:rPr>
        <w:footnoteReference w:id="1548"/>
      </w:r>
      <w:r>
        <w:rPr>
          <w:rFonts w:ascii="IRNazanin" w:hAnsi="IRNazanin" w:eastAsia="IRNazanin"/>
          <w:color w:val="111111"/>
          <w:sz w:val="28"/>
          <w:sz w:val="28"/>
          <w:szCs w:val="28"/>
          <w:rtl w:val="true"/>
          <w:lang w:bidi="fa-IR"/>
        </w:rPr>
        <w:t>،و إن کان للصبی فلا،کما لو أمره بإلقاء مال الصبی فی</w:t>
      </w:r>
      <w:bookmarkStart w:id="462" w:name="pg19763_248032"/>
    </w:p>
    <w:p>
      <w:pPr>
        <w:pStyle w:val="BookText"/>
        <w:rPr/>
      </w:pPr>
      <w:bookmarkEnd w:id="462"/>
      <w:r>
        <w:rPr>
          <w:rFonts w:ascii="IRNazanin" w:hAnsi="IRNazanin" w:eastAsia="IRNazanin"/>
          <w:color w:val="111111"/>
          <w:sz w:val="28"/>
          <w:sz w:val="28"/>
          <w:szCs w:val="28"/>
          <w:rtl w:val="true"/>
          <w:lang w:bidi="fa-IR"/>
        </w:rPr>
        <w:t>البحر،فإنّه یلزمه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تبایع الصبیّان و تقابضا و أتلف کلّ واحدٍ منهما ما قبضه،فإن جری بإذن الولیّین فالضمان علیهما،و إلّا فلا ضمان علیهما،بل علی الصبیّین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یأتی فی باب الحجر تمام الکلام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فتح </w:t>
      </w:r>
      <w:r>
        <w:rPr>
          <w:rStyle w:val="FootnoteAnchor"/>
          <w:rtl w:val="true"/>
        </w:rPr>
        <w:footnoteReference w:id="1550"/>
      </w:r>
      <w:r>
        <w:rPr>
          <w:rFonts w:ascii="IRNazanin" w:hAnsi="IRNazanin" w:eastAsia="IRNazanin"/>
          <w:color w:val="111111"/>
          <w:sz w:val="28"/>
          <w:sz w:val="28"/>
          <w:szCs w:val="28"/>
          <w:rtl w:val="true"/>
          <w:lang w:bidi="fa-IR"/>
        </w:rPr>
        <w:t xml:space="preserve">الصبی الباب و أذن فی الدخول علی أهل الدار،أو أدخل </w:t>
      </w:r>
      <w:r>
        <w:rPr>
          <w:rStyle w:val="FootnoteAnchor"/>
          <w:rtl w:val="true"/>
        </w:rPr>
        <w:footnoteReference w:id="1551"/>
      </w:r>
      <w:r>
        <w:rPr>
          <w:rFonts w:ascii="IRNazanin" w:hAnsi="IRNazanin" w:eastAsia="IRNazanin"/>
          <w:color w:val="111111"/>
          <w:sz w:val="28"/>
          <w:sz w:val="28"/>
          <w:szCs w:val="28"/>
          <w:rtl w:val="true"/>
          <w:lang w:bidi="fa-IR"/>
        </w:rPr>
        <w:t xml:space="preserve">الهدیة إلی إنسان عن </w:t>
      </w:r>
      <w:r>
        <w:rPr>
          <w:rStyle w:val="FootnoteAnchor"/>
          <w:rtl w:val="true"/>
        </w:rPr>
        <w:footnoteReference w:id="1552"/>
      </w:r>
      <w:r>
        <w:rPr>
          <w:rFonts w:ascii="IRNazanin" w:hAnsi="IRNazanin" w:eastAsia="IRNazanin"/>
          <w:color w:val="111111"/>
          <w:sz w:val="28"/>
          <w:sz w:val="28"/>
          <w:szCs w:val="28"/>
          <w:rtl w:val="true"/>
          <w:lang w:bidi="fa-IR"/>
        </w:rPr>
        <w:t xml:space="preserve">إذن المهدی،فالأقرب الاعتماد؛لتسامح السلف فیه </w:t>
      </w:r>
      <w:r>
        <w:rPr>
          <w:rStyle w:val="FootnoteAnchor"/>
          <w:rtl w:val="true"/>
        </w:rPr>
        <w:footnoteReference w:id="1553"/>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Heading6"/>
        <w:numPr>
          <w:ilvl w:val="5"/>
          <w:numId w:val="1"/>
        </w:numPr>
        <w:rPr/>
      </w:pPr>
      <w:bookmarkStart w:id="463" w:name="__RefHeading___Toc5082774_2314609296"/>
      <w:bookmarkStart w:id="464" w:name="_Toc178"/>
      <w:bookmarkEnd w:id="463"/>
      <w:r>
        <w:rPr>
          <w:rtl w:val="true"/>
        </w:rPr>
        <w:t>[</w:t>
      </w:r>
      <w:r>
        <w:rPr>
          <w:rtl w:val="true"/>
        </w:rPr>
        <w:t>لا فرق فی معاملة الصبی بین الأشیاء الیسیرة و الخطیرة</w:t>
      </w:r>
      <w:r>
        <w:rPr>
          <w:rtl w:val="true"/>
        </w:rPr>
        <w:t>]</w:t>
      </w:r>
      <w:bookmarkEnd w:id="464"/>
    </w:p>
    <w:p>
      <w:pPr>
        <w:pStyle w:val="BookText"/>
        <w:rPr/>
      </w:pPr>
      <w:r>
        <w:rPr>
          <w:rFonts w:ascii="IRNazanin" w:hAnsi="IRNazanin" w:eastAsia="IRNazanin"/>
          <w:color w:val="111111"/>
          <w:sz w:val="28"/>
          <w:sz w:val="28"/>
          <w:szCs w:val="28"/>
          <w:rtl w:val="true"/>
          <w:lang w:bidi="fa-IR"/>
        </w:rPr>
        <w:t>ثمّ إنّه ظهر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معاملة الصبی بین أن تکون فی الأشیاء الیسیرة أو الخطیرة؛لما عرفت من عموم النصّ و الفتوی حتّی أنّ العلّامة فی التذکرة لمّا ذکر 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الدرداء اشتری عصفوراً من صبیّ فأرسله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،ردّها بعدم الثبوت و عدم الحجّیة، و توجیهه بما یخرجه عن محلّ الکلام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یظهر ضعف ما عن المحدّث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الأظهر جواز بیعه و شرائه فیما </w:t>
      </w:r>
      <w:r>
        <w:rPr>
          <w:rStyle w:val="FootnoteAnchor"/>
          <w:rtl w:val="true"/>
        </w:rPr>
        <w:footnoteReference w:id="1555"/>
      </w:r>
      <w:r>
        <w:rPr>
          <w:rFonts w:ascii="IRNazanin" w:hAnsi="IRNazanin" w:eastAsia="IRNazanin"/>
          <w:color w:val="111111"/>
          <w:sz w:val="28"/>
          <w:sz w:val="28"/>
          <w:szCs w:val="28"/>
          <w:rtl w:val="true"/>
          <w:lang w:bidi="fa-IR"/>
        </w:rPr>
        <w:t xml:space="preserve">جرت العادة به من الأشیاء الیسیرة؛دفعاً للحرج </w:t>
      </w:r>
      <w:r>
        <w:rPr>
          <w:rStyle w:val="FootnoteAnchor"/>
          <w:rtl w:val="true"/>
        </w:rPr>
        <w:footnoteReference w:id="15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465" w:name="pg19763_248033"/>
    </w:p>
    <w:p>
      <w:pPr>
        <w:pStyle w:val="BookText"/>
        <w:rPr/>
      </w:pPr>
      <w:bookmarkEnd w:id="465"/>
      <w:r>
        <w:rPr>
          <w:rFonts w:ascii="IRNazanin" w:hAnsi="IRNazanin" w:eastAsia="IRNazanin"/>
          <w:color w:val="111111"/>
          <w:sz w:val="28"/>
          <w:sz w:val="28"/>
          <w:szCs w:val="28"/>
          <w:rtl w:val="true"/>
          <w:lang w:bidi="fa-IR"/>
        </w:rPr>
        <w:t>فإنّ الحرج ممنوع،سواء أراد أنّ الحرج یلزم من منعهم عن المعاملة فی المحقّرات و التزام مباشرة البالغین لشرائها،أم أراد أنّه یلزم من التجنّب عن معاملتهم بعد بناء الناس علی نصب الصبیان للبیع و الشراء فی الأشیاء الحقیرة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لو </w:t>
      </w:r>
      <w:r>
        <w:rPr>
          <w:rStyle w:val="FootnoteAnchor"/>
          <w:rtl w:val="true"/>
        </w:rPr>
        <w:footnoteReference w:id="1557"/>
      </w:r>
      <w:r>
        <w:rPr>
          <w:rFonts w:ascii="IRNazanin" w:hAnsi="IRNazanin" w:eastAsia="IRNazanin"/>
          <w:color w:val="111111"/>
          <w:sz w:val="28"/>
          <w:sz w:val="28"/>
          <w:szCs w:val="28"/>
          <w:rtl w:val="true"/>
          <w:lang w:bidi="fa-IR"/>
        </w:rPr>
        <w:t>أراد استقلاله فی البیع و الشراء لنفسه بماله من دون إذن الولیّ لیکون حاصله أنّه غیر محجورٍ علیه فی الأشیاء الیسیرة،فالظاهر کونه مخالفاً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روایة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النبی صلّی اللّه علیه و آله و سلم عن کسب الغلام الصغیر الذی لا یحسن صناعةً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یجد سرق</w:t>
      </w:r>
      <w:r>
        <w:rPr>
          <w:rFonts w:eastAsia="IRNazanin" w:cs="IRNazanin"/>
          <w:color w:val="111111"/>
          <w:sz w:val="28"/>
          <w:szCs w:val="28"/>
          <w:rtl w:val="true"/>
          <w:lang w:bidi="fa-IR"/>
        </w:rPr>
        <w:t xml:space="preserve">» </w:t>
      </w:r>
      <w:r>
        <w:rPr>
          <w:rStyle w:val="FootnoteAnchor"/>
          <w:rtl w:val="true"/>
        </w:rPr>
        <w:footnoteReference w:id="1558"/>
      </w:r>
      <w:r>
        <w:rPr>
          <w:rFonts w:ascii="IRNazanin" w:hAnsi="IRNazanin" w:eastAsia="IRNazanin"/>
          <w:color w:val="111111"/>
          <w:sz w:val="28"/>
          <w:sz w:val="28"/>
          <w:szCs w:val="28"/>
          <w:rtl w:val="true"/>
          <w:lang w:bidi="fa-IR"/>
        </w:rPr>
        <w:t xml:space="preserve">،فمحمولٌ علی عوض کسبه من التقاطٍ،أو اجرةٍ عن </w:t>
      </w:r>
      <w:r>
        <w:rPr>
          <w:rStyle w:val="FootnoteAnchor"/>
          <w:rtl w:val="true"/>
        </w:rPr>
        <w:footnoteReference w:id="1559"/>
      </w:r>
      <w:r>
        <w:rPr>
          <w:rFonts w:ascii="IRNazanin" w:hAnsi="IRNazanin" w:eastAsia="IRNazanin"/>
          <w:color w:val="111111"/>
          <w:sz w:val="28"/>
          <w:sz w:val="28"/>
          <w:szCs w:val="28"/>
          <w:rtl w:val="true"/>
          <w:lang w:bidi="fa-IR"/>
        </w:rPr>
        <w:t>إجارةٍ أوقعها الولی أو الصبی بغیر إذن الولی،أو عن عمل أمر به من دون إجارة فأعطاه المستأجر أو الآمر اجرة المثل،فإنّ هذه کلّها ممّا یملکه الصبی،لکن یستحبّ للولی و غیره اجتنابها إذا لم یعلم صدق دعوی الصبیّ فیها؛لاحتمال کونها من الوجوه المحرَّمة،نظیر رجحان الاجتناب عن أموال غیره ممّن لا یبالی بالمحرَّمات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کان،فالقول المذکور فی غایة الضعف</w:t>
      </w:r>
      <w:r>
        <w:rPr>
          <w:rFonts w:eastAsia="IRNazanin" w:cs="IRNazanin"/>
          <w:color w:val="111111"/>
          <w:sz w:val="28"/>
          <w:szCs w:val="28"/>
          <w:rtl w:val="true"/>
          <w:lang w:bidi="fa-IR"/>
        </w:rPr>
        <w:t>.</w:t>
      </w:r>
    </w:p>
    <w:p>
      <w:pPr>
        <w:pStyle w:val="Heading6"/>
        <w:numPr>
          <w:ilvl w:val="5"/>
          <w:numId w:val="1"/>
        </w:numPr>
        <w:rPr/>
      </w:pPr>
      <w:bookmarkStart w:id="466" w:name="__RefHeading___Toc5082776_2314609296"/>
      <w:bookmarkStart w:id="467" w:name="_Toc179"/>
      <w:bookmarkEnd w:id="466"/>
      <w:r>
        <w:rPr>
          <w:rtl w:val="true"/>
        </w:rPr>
        <w:t>[</w:t>
      </w:r>
      <w:r>
        <w:rPr>
          <w:rtl w:val="true"/>
        </w:rPr>
        <w:t>تصحیح المعاملة لو کان الصبی بمنزلة الآلة</w:t>
      </w:r>
      <w:r>
        <w:rPr>
          <w:rtl w:val="true"/>
        </w:rPr>
        <w:t>]</w:t>
      </w:r>
      <w:bookmarkEnd w:id="46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نعم،ربما صحّح سیّد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المعاملات إذا</w:t>
      </w:r>
    </w:p>
    <w:p>
      <w:pPr>
        <w:pStyle w:val="BookText"/>
        <w:rPr/>
      </w:pPr>
      <w:r>
        <w:rPr>
          <w:rFonts w:ascii="IRNazanin" w:hAnsi="IRNazanin" w:eastAsia="IRNazanin"/>
          <w:color w:val="111111"/>
          <w:sz w:val="28"/>
          <w:sz w:val="28"/>
          <w:szCs w:val="28"/>
          <w:rtl w:val="true"/>
          <w:lang w:bidi="fa-IR"/>
        </w:rPr>
        <w:t xml:space="preserve">کان الصبی بمنزلة الآلة لمن له أهلیّة التصرّف؛من جهة استقرار السیرة و استمرارها علی ذلک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إشکال،من جهة قوّة احتمال کون السیرة ناشئة من </w:t>
      </w:r>
      <w:r>
        <w:rPr>
          <w:rStyle w:val="FootnoteAnchor"/>
          <w:rtl w:val="true"/>
        </w:rPr>
        <w:footnoteReference w:id="1561"/>
      </w:r>
      <w:r>
        <w:rPr>
          <w:rFonts w:ascii="IRNazanin" w:hAnsi="IRNazanin" w:eastAsia="IRNazanin"/>
          <w:color w:val="111111"/>
          <w:sz w:val="28"/>
          <w:sz w:val="28"/>
          <w:szCs w:val="28"/>
          <w:rtl w:val="true"/>
          <w:lang w:bidi="fa-IR"/>
        </w:rPr>
        <w:t xml:space="preserve">عدم المبالاة فی الدین،کما فی کثیرٍ من </w:t>
      </w:r>
      <w:r>
        <w:rPr>
          <w:rStyle w:val="FootnoteAnchor"/>
          <w:rtl w:val="true"/>
        </w:rPr>
        <w:footnoteReference w:id="1562"/>
      </w:r>
      <w:r>
        <w:rPr>
          <w:rFonts w:ascii="IRNazanin" w:hAnsi="IRNazanin" w:eastAsia="IRNazanin"/>
          <w:color w:val="111111"/>
          <w:sz w:val="28"/>
          <w:sz w:val="28"/>
          <w:szCs w:val="28"/>
          <w:rtl w:val="true"/>
          <w:lang w:bidi="fa-IR"/>
        </w:rPr>
        <w:t>سیرهم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یری من استمرار سیرتهم علی عدم الفرق بین الممیّزین و غیرهم،و لا بینهم و بین المجانین،و لا بین معاملتهم لأنفسهم بالاستقلال بحیث لا یعلم الولیّ أصلاً،و معاملتهم لأولیائهم علی سبیل الآلیة،مع أنّ هذه </w:t>
      </w:r>
      <w:r>
        <w:rPr>
          <w:rStyle w:val="FootnoteAnchor"/>
          <w:rtl w:val="true"/>
        </w:rPr>
        <w:footnoteReference w:id="1563"/>
      </w:r>
      <w:r>
        <w:rPr>
          <w:rFonts w:ascii="Amiri" w:hAnsi="Amiri" w:eastAsia="Amiri" w:cs="Amiri"/>
          <w:color w:val="111111"/>
          <w:sz w:val="28"/>
          <w:sz w:val="28"/>
          <w:szCs w:val="28"/>
          <w:rtl w:val="true"/>
          <w:lang w:bidi="ar-SA"/>
        </w:rPr>
        <w:t xml:space="preserve">ممّا </w:t>
      </w:r>
      <w:r>
        <w:rPr>
          <w:rStyle w:val="FootnoteAnchor"/>
          <w:rtl w:val="true"/>
        </w:rPr>
        <w:footnoteReference w:id="1564"/>
      </w:r>
      <w:r>
        <w:rPr>
          <w:rFonts w:ascii="IRNazanin" w:hAnsi="IRNazanin" w:eastAsia="IRNazanin"/>
          <w:color w:val="111111"/>
          <w:sz w:val="28"/>
          <w:sz w:val="28"/>
          <w:szCs w:val="28"/>
          <w:rtl w:val="true"/>
          <w:lang w:bidi="fa-IR"/>
        </w:rPr>
        <w:t xml:space="preserve">لا ینبغی الشکّ فی فسادها </w:t>
      </w:r>
      <w:r>
        <w:rPr>
          <w:rStyle w:val="FootnoteAnchor"/>
          <w:rtl w:val="true"/>
        </w:rPr>
        <w:footnoteReference w:id="1565"/>
      </w:r>
      <w:r>
        <w:rPr>
          <w:rFonts w:ascii="IRNazanin" w:hAnsi="IRNazanin" w:eastAsia="IRNazanin"/>
          <w:color w:val="111111"/>
          <w:sz w:val="28"/>
          <w:sz w:val="28"/>
          <w:szCs w:val="28"/>
          <w:rtl w:val="true"/>
          <w:lang w:bidi="fa-IR"/>
        </w:rPr>
        <w:t>،خصوصاً الأخیر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الإحالة علی ما جرت العادة به کالإحالة علی المجهول؛ فإنّ الذی جرت علیه السیرة هو الوکول إلی کلِّ صبیٍّ ما هو </w:t>
      </w:r>
      <w:r>
        <w:rPr>
          <w:rStyle w:val="FootnoteAnchor"/>
          <w:rtl w:val="true"/>
        </w:rPr>
        <w:footnoteReference w:id="1566"/>
      </w:r>
      <w:r>
        <w:rPr>
          <w:rFonts w:ascii="IRNazanin" w:hAnsi="IRNazanin" w:eastAsia="IRNazanin"/>
          <w:color w:val="111111"/>
          <w:sz w:val="28"/>
          <w:sz w:val="28"/>
          <w:szCs w:val="28"/>
          <w:rtl w:val="true"/>
          <w:lang w:bidi="fa-IR"/>
        </w:rPr>
        <w:t xml:space="preserve">فطنٌ فیه،بحیث لا یغلب فی المساومة علیه،فیَکِلون إلی من بلغ ستّ سنین </w:t>
      </w:r>
      <w:r>
        <w:rPr>
          <w:rStyle w:val="FootnoteAnchor"/>
          <w:rtl w:val="true"/>
        </w:rPr>
        <w:footnoteReference w:id="1567"/>
      </w:r>
      <w:r>
        <w:rPr>
          <w:rFonts w:ascii="Amiri" w:hAnsi="Amiri" w:eastAsia="Amiri" w:cs="Amiri"/>
          <w:color w:val="111111"/>
          <w:sz w:val="28"/>
          <w:sz w:val="28"/>
          <w:szCs w:val="28"/>
          <w:rtl w:val="true"/>
          <w:lang w:bidi="ar-SA"/>
        </w:rPr>
        <w:t>شراءَ باقة بقلٍ،أو بیعَ بیضة دجاجٍ بفَلْسٍ،و إلی من بلغ</w:t>
      </w:r>
      <w:bookmarkStart w:id="468" w:name="pg19763_248035"/>
    </w:p>
    <w:p>
      <w:pPr>
        <w:pStyle w:val="BookText"/>
        <w:rPr/>
      </w:pPr>
      <w:bookmarkEnd w:id="468"/>
      <w:r>
        <w:rPr>
          <w:rFonts w:ascii="IRNazanin" w:hAnsi="IRNazanin" w:eastAsia="IRNazanin"/>
          <w:color w:val="111111"/>
          <w:sz w:val="28"/>
          <w:sz w:val="28"/>
          <w:szCs w:val="28"/>
          <w:rtl w:val="true"/>
          <w:lang w:bidi="fa-IR"/>
        </w:rPr>
        <w:t xml:space="preserve">ثمانیة </w:t>
      </w:r>
      <w:r>
        <w:rPr>
          <w:rStyle w:val="FootnoteAnchor"/>
          <w:rtl w:val="true"/>
        </w:rPr>
        <w:footnoteReference w:id="1568"/>
      </w:r>
      <w:r>
        <w:rPr>
          <w:rFonts w:ascii="IRNazanin" w:hAnsi="IRNazanin" w:eastAsia="IRNazanin"/>
          <w:color w:val="111111"/>
          <w:sz w:val="28"/>
          <w:sz w:val="28"/>
          <w:szCs w:val="28"/>
          <w:rtl w:val="true"/>
          <w:lang w:bidi="fa-IR"/>
        </w:rPr>
        <w:t>سنین اشتراء اللحم و الخبز و نحوهما،و إلی من بلغ أربع عشرة سنة شراء الثیاب،بل الحیوان،بل یکلون إلیه أُمور التجارة فی الأسواق و البلدان،و لا یفرّقون بینه و بین مَن أکمل خمس عشرة سنة، و لا یکِلون إلیه شراء مثل القری و البساتین و بیعها إلّا بعد أن یحصل له التجارب،و لا أظنّ أنّ القائل بالصحّة یلتزم العمل بالسیرة علی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کان،فالظاهر أنّ هذا القول أیضاً مخالف لما یظهر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حکم العلّامة فی التذکرة بعدم جواز ردّ المال إلی الصبیّ إذا دفعه إلی الناقد لینقده،أو المتاع الذی دفعه إلی المقوّم لیقوّمه </w:t>
      </w:r>
      <w:r>
        <w:rPr>
          <w:rStyle w:val="FootnoteAnchor"/>
          <w:rtl w:val="true"/>
        </w:rPr>
        <w:footnoteReference w:id="1569"/>
      </w:r>
      <w:r>
        <w:rPr>
          <w:rFonts w:ascii="IRNazanin" w:hAnsi="IRNazanin" w:eastAsia="IRNazanin"/>
          <w:color w:val="111111"/>
          <w:sz w:val="28"/>
          <w:sz w:val="28"/>
          <w:szCs w:val="28"/>
          <w:rtl w:val="true"/>
          <w:lang w:bidi="fa-IR"/>
        </w:rPr>
        <w:t>، مع کونه غالباً فی هذه المقامات بمنزلة الآلة للولیّ،و کذا حکمه بالمنع من ردّ مال الطفل إلیه بإذن الولیّ،مع أنّه بمنزلة الآلة فی ذلک غالباً</w:t>
      </w:r>
      <w:r>
        <w:rPr>
          <w:rFonts w:eastAsia="IRNazanin" w:cs="IRNazanin"/>
          <w:color w:val="111111"/>
          <w:sz w:val="28"/>
          <w:szCs w:val="28"/>
          <w:rtl w:val="true"/>
          <w:lang w:bidi="fa-IR"/>
        </w:rPr>
        <w:t>.</w:t>
      </w:r>
    </w:p>
    <w:p>
      <w:pPr>
        <w:pStyle w:val="Heading6"/>
        <w:numPr>
          <w:ilvl w:val="5"/>
          <w:numId w:val="1"/>
        </w:numPr>
        <w:rPr/>
      </w:pPr>
      <w:bookmarkStart w:id="469" w:name="__RefHeading___Toc5082778_2314609296"/>
      <w:bookmarkStart w:id="470" w:name="_Toc180"/>
      <w:bookmarkEnd w:id="469"/>
      <w:r>
        <w:rPr>
          <w:rtl w:val="true"/>
        </w:rPr>
        <w:t>[</w:t>
      </w:r>
      <w:r>
        <w:rPr>
          <w:rtl w:val="true"/>
        </w:rPr>
        <w:t>دعوی کاشف الغطاء إفادة معاملة الصبی الإباحة لو کان مأذونا و المناقشات فیه</w:t>
      </w:r>
      <w:r>
        <w:rPr>
          <w:rtl w:val="true"/>
        </w:rPr>
        <w:t>]</w:t>
      </w:r>
      <w:bookmarkEnd w:id="47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کاشف الغطاء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المنع عن </w:t>
      </w:r>
      <w:r>
        <w:rPr>
          <w:rStyle w:val="FootnoteAnchor"/>
          <w:rtl w:val="true"/>
        </w:rPr>
        <w:footnoteReference w:id="1570"/>
      </w:r>
      <w:r>
        <w:rPr>
          <w:rFonts w:ascii="IRNazanin" w:hAnsi="IRNazanin" w:eastAsia="IRNazanin"/>
          <w:color w:val="111111"/>
          <w:sz w:val="28"/>
          <w:sz w:val="28"/>
          <w:szCs w:val="28"/>
          <w:rtl w:val="true"/>
          <w:lang w:bidi="fa-IR"/>
        </w:rPr>
        <w:t>صحّة عقد الصبی أصالة و 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نعم،ثبت الإباحة فی معاملة الممیّزین </w:t>
      </w:r>
      <w:r>
        <w:rPr>
          <w:rStyle w:val="FootnoteAnchor"/>
          <w:rtl w:val="true"/>
        </w:rPr>
        <w:footnoteReference w:id="1571"/>
      </w:r>
      <w:r>
        <w:rPr>
          <w:rFonts w:ascii="IRNazanin" w:hAnsi="IRNazanin" w:eastAsia="IRNazanin"/>
          <w:color w:val="111111"/>
          <w:sz w:val="28"/>
          <w:sz w:val="28"/>
          <w:szCs w:val="28"/>
          <w:rtl w:val="true"/>
          <w:lang w:bidi="fa-IR"/>
        </w:rPr>
        <w:t>إذا جلسوا مقام أولیائهم،أو تظاهروا علی رؤوس الأشهاد حتّی یظنّ أنّ ذلک من إذن الأولیاء خصوصاً فی المحقّرات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قیل بتملّک الآخذ منهم لدلالة مأذونیّته فی جمیع التصرّفات فیکون موجباً قابلاً، لم یکن بعیداً </w:t>
      </w:r>
      <w:r>
        <w:rPr>
          <w:rStyle w:val="FootnoteAnchor"/>
          <w:rtl w:val="true"/>
        </w:rPr>
        <w:footnoteReference w:id="15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1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التصرّف و المعاملة بإذن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علی وجه البیع أو المعاطاة </w:t>
      </w:r>
      <w:r>
        <w:rPr>
          <w:rStyle w:val="FootnoteAnchor"/>
          <w:rtl w:val="true"/>
        </w:rPr>
        <w:footnoteReference w:id="1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الذی قد عرفت </w:t>
      </w:r>
      <w:r>
        <w:rPr>
          <w:rStyle w:val="FootnoteAnchor"/>
          <w:rtl w:val="true"/>
        </w:rPr>
        <w:footnoteReference w:id="1575"/>
      </w:r>
      <w:r>
        <w:rPr>
          <w:rFonts w:ascii="IRNazanin" w:hAnsi="IRNazanin" w:eastAsia="IRNazanin"/>
          <w:color w:val="111111"/>
          <w:sz w:val="28"/>
          <w:sz w:val="28"/>
          <w:szCs w:val="28"/>
          <w:rtl w:val="true"/>
          <w:lang w:bidi="fa-IR"/>
        </w:rPr>
        <w:t>أنّه خلاف المشهور و المعروف حتّی لو قلنا بعدم اشتراط شروط البیع فی المعاطاة؛لأنّها تصرّف لا محالة و إن لم تکن بیعاً،بل و لا 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بذلک أنّ إذن الولی و رضاه المنکشف بمعاملة الصبیّ هو المفید للإباحة،لا نفس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بعضهم فی إذن الولی فی إعارة الصبی </w:t>
      </w:r>
      <w:r>
        <w:rPr>
          <w:rStyle w:val="FootnoteAnchor"/>
          <w:rtl w:val="true"/>
        </w:rPr>
        <w:footnoteReference w:id="1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فتوضیحه ما ذکره بعض المحقّقین من تلامذته </w:t>
      </w:r>
      <w:r>
        <w:rPr>
          <w:rStyle w:val="FootnoteAnchor"/>
          <w:rtl w:val="true"/>
        </w:rPr>
        <w:footnoteReference w:id="1577"/>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لمّا کان بناء المعاطاة علی حصول المراضاة کیف اتّفق،و کانت مفیدةً لإباحة التصرّف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جرت عادة الناس بالتسامح فی الأشیاء الیسیرة و الرضا باعتماد غیرهم فی التصرّف فیها علی الأمارات المفیدة للظنّ بالرضا فی المعاوضات،و کان الغالب فی الأشیاء التی یعتمد فیها علی قول الصبیّ تعیین </w:t>
      </w:r>
      <w:r>
        <w:rPr>
          <w:rStyle w:val="FootnoteAnchor"/>
          <w:rtl w:val="true"/>
        </w:rPr>
        <w:footnoteReference w:id="1578"/>
      </w:r>
      <w:r>
        <w:rPr>
          <w:rFonts w:ascii="IRNazanin" w:hAnsi="IRNazanin" w:eastAsia="IRNazanin"/>
          <w:color w:val="111111"/>
          <w:sz w:val="28"/>
          <w:sz w:val="28"/>
          <w:szCs w:val="28"/>
          <w:rtl w:val="true"/>
          <w:lang w:bidi="fa-IR"/>
        </w:rPr>
        <w:t>القیمة،أو الاختلاف الذی یتسامح به فی العادة،فلأجل ذلک صحّ القول بالاعتماد علی ما یصدر من الصبی من صورة البیع و الشراء مع الشروط المذکورة،کما یعتمد علیه فی الإذن فی دخول الدار و فی إیصال الهدیّة إذا ظهرت أمارات</w:t>
      </w:r>
    </w:p>
    <w:p>
      <w:pPr>
        <w:pStyle w:val="BookText"/>
        <w:rPr/>
      </w:pPr>
      <w:r>
        <w:rPr>
          <w:rFonts w:ascii="IRNazanin" w:hAnsi="IRNazanin" w:eastAsia="IRNazanin"/>
          <w:color w:val="111111"/>
          <w:sz w:val="28"/>
          <w:sz w:val="28"/>
          <w:szCs w:val="28"/>
          <w:rtl w:val="true"/>
          <w:lang w:bidi="fa-IR"/>
        </w:rPr>
        <w:t xml:space="preserve">الصدق،بل ما ذکرنا أولی بالجواز من الهدیّة من وجوه،و قد استند فیه فی التذکرة إلی تسامح السلف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بالجملة،فالاعتماد فی الحقیقة علی الإذن المستفاد من حال المالک فی الأخذ و الإعطاء،مع البناء علی ما هو الغالب من کونه صحیح التصرّف،لا علی قول الصبی و معاملته من حیث إنّه کذلک،و کثیراً ما یعتمد الناس علی الإذن المستفاد،من غیر وجود ذی یدٍ أصلاً،مع شهادة الحال بذلک،کما فی دخول الحمّام و وضع الأُجرة و </w:t>
      </w:r>
      <w:r>
        <w:rPr>
          <w:rStyle w:val="FootnoteAnchor"/>
          <w:rtl w:val="true"/>
        </w:rPr>
        <w:footnoteReference w:id="1580"/>
      </w:r>
      <w:r>
        <w:rPr>
          <w:rFonts w:ascii="IRNazanin" w:hAnsi="IRNazanin" w:eastAsia="IRNazanin"/>
          <w:color w:val="111111"/>
          <w:sz w:val="28"/>
          <w:sz w:val="28"/>
          <w:szCs w:val="28"/>
          <w:rtl w:val="true"/>
          <w:lang w:bidi="fa-IR"/>
        </w:rPr>
        <w:t xml:space="preserve">عوض الماء التالف فی الصندوق،و کما </w:t>
      </w:r>
      <w:r>
        <w:rPr>
          <w:rStyle w:val="FootnoteAnchor"/>
          <w:rtl w:val="true"/>
        </w:rPr>
        <w:footnoteReference w:id="1581"/>
      </w:r>
      <w:r>
        <w:rPr>
          <w:rFonts w:ascii="IRNazanin" w:hAnsi="IRNazanin" w:eastAsia="IRNazanin"/>
          <w:color w:val="111111"/>
          <w:sz w:val="28"/>
          <w:sz w:val="28"/>
          <w:szCs w:val="28"/>
          <w:rtl w:val="true"/>
          <w:lang w:bidi="fa-IR"/>
        </w:rPr>
        <w:t xml:space="preserve">فی أخذ الخُضَر الموضوعة للبیع،و شرب ماء السقّائین و وضع القیمة المتعارفة فی الموضع المعدّ لها </w:t>
      </w:r>
      <w:r>
        <w:rPr>
          <w:rStyle w:val="FootnoteAnchor"/>
          <w:rtl w:val="true"/>
        </w:rPr>
        <w:footnoteReference w:id="1582"/>
      </w:r>
      <w:r>
        <w:rPr>
          <w:rFonts w:ascii="IRNazanin" w:hAnsi="IRNazanin" w:eastAsia="IRNazanin"/>
          <w:color w:val="111111"/>
          <w:sz w:val="28"/>
          <w:sz w:val="28"/>
          <w:szCs w:val="28"/>
          <w:rtl w:val="true"/>
          <w:lang w:bidi="fa-IR"/>
        </w:rPr>
        <w:t>،و غیر ذلک من الأُمور التی جرت العادة بها،کما یعتمد علی مثل ذلک فی غیر المعاوضات من أنواع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لیس مستثنی من کلام الأصحاب و لا منافیاً له،و لا یعتمد علی ذلک أیضاً فی مقام الدعوی و لا فیما إذا طالب المالک بحقّه و أظهر عدم الرضا </w:t>
      </w:r>
      <w:r>
        <w:rPr>
          <w:rStyle w:val="FootnoteAnchor"/>
          <w:rtl w:val="true"/>
        </w:rPr>
        <w:footnoteReference w:id="15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مناط الإباحة و مدارها فی المعاطاة لیس علی وجود تعاطٍ قائمٍ بشخصین،أو بشخصٍ منزَّلٍ منزلة شخصین،بل علی تحقّق</w:t>
      </w:r>
    </w:p>
    <w:p>
      <w:pPr>
        <w:pStyle w:val="BookText"/>
        <w:rPr/>
      </w:pPr>
      <w:r>
        <w:rPr>
          <w:rFonts w:ascii="IRNazanin" w:hAnsi="IRNazanin" w:eastAsia="IRNazanin"/>
          <w:color w:val="111111"/>
          <w:sz w:val="28"/>
          <w:sz w:val="28"/>
          <w:szCs w:val="28"/>
          <w:rtl w:val="true"/>
          <w:lang w:bidi="fa-IR"/>
        </w:rPr>
        <w:t>الرضا من کلٍّ منهما بتصرّف صاحبه فی ماله،حتّی لو فرضنا أنّه حصل مال کلٍّ منهما عند صاحبه باتّفاقٍ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کإطارة الریح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فتراضیا علی التصرّف بإخبار صبیٍّ أو بغیره من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کالکتابة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هذه </w:t>
      </w:r>
      <w:r>
        <w:rPr>
          <w:rStyle w:val="FootnoteAnchor"/>
          <w:rtl w:val="true"/>
        </w:rPr>
        <w:footnoteReference w:id="1584"/>
      </w:r>
      <w:r>
        <w:rPr>
          <w:rFonts w:ascii="IRNazanin" w:hAnsi="IRNazanin" w:eastAsia="IRNazanin"/>
          <w:color w:val="111111"/>
          <w:sz w:val="28"/>
          <w:sz w:val="28"/>
          <w:szCs w:val="28"/>
          <w:rtl w:val="true"/>
          <w:lang w:bidi="fa-IR"/>
        </w:rPr>
        <w:t xml:space="preserve">معاطاة أیضاً؛و لذا یکون </w:t>
      </w:r>
      <w:r>
        <w:rPr>
          <w:rStyle w:val="FootnoteAnchor"/>
          <w:rtl w:val="true"/>
        </w:rPr>
        <w:footnoteReference w:id="1585"/>
      </w:r>
      <w:r>
        <w:rPr>
          <w:rFonts w:ascii="IRNazanin" w:hAnsi="IRNazanin" w:eastAsia="IRNazanin"/>
          <w:color w:val="111111"/>
          <w:sz w:val="28"/>
          <w:sz w:val="28"/>
          <w:szCs w:val="28"/>
          <w:rtl w:val="true"/>
          <w:lang w:bidi="fa-IR"/>
        </w:rPr>
        <w:t>وصول الهدیة إلی المُهدیٰ إلیه علی ید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إیصاله عن رضا المهدیّ بالتصرف بل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کافیاً فی إباحة الهدیّة،بل فی تملّکها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حسن،إلّا أنّه موقوف أوّلاً علی ثبوت حکم المعاطاة من دون إنشاء إباحةٍ و تملیک،و الاکتفاء </w:t>
      </w:r>
      <w:r>
        <w:rPr>
          <w:rStyle w:val="FootnoteAnchor"/>
          <w:rtl w:val="true"/>
        </w:rPr>
        <w:footnoteReference w:id="1587"/>
      </w:r>
      <w:r>
        <w:rPr>
          <w:rFonts w:ascii="IRNazanin" w:hAnsi="IRNazanin" w:eastAsia="IRNazanin"/>
          <w:color w:val="111111"/>
          <w:sz w:val="28"/>
          <w:sz w:val="28"/>
          <w:szCs w:val="28"/>
          <w:rtl w:val="true"/>
          <w:lang w:bidi="fa-IR"/>
        </w:rPr>
        <w:t>فیها بمجرّد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حصول الإنشاء بدفع الولیّ المال إلی الصبی،مدفوعة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إنشاء إباحةٍ لشخصٍ غیر معلوم،و مثله غیر معلوم الدخول فی حکم المعاطاة،مع العلم بخروجه عن موضوعها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یفرق بین ما نحن فیه و مسألة إیصال الهدیّة بید الطفل؛فإنّه یمکن فیه دعوی کون دفعها </w:t>
      </w:r>
      <w:r>
        <w:rPr>
          <w:rStyle w:val="FootnoteAnchor"/>
          <w:rtl w:val="true"/>
        </w:rPr>
        <w:footnoteReference w:id="1588"/>
      </w:r>
      <w:r>
        <w:rPr>
          <w:rFonts w:ascii="IRNazanin" w:hAnsi="IRNazanin" w:eastAsia="IRNazanin"/>
          <w:color w:val="111111"/>
          <w:sz w:val="28"/>
          <w:sz w:val="28"/>
          <w:szCs w:val="28"/>
          <w:rtl w:val="true"/>
          <w:lang w:bidi="fa-IR"/>
        </w:rPr>
        <w:t xml:space="preserve">إلیه للإیصال إباحة أو تملیکاً </w:t>
      </w:r>
      <w:r>
        <w:rPr>
          <w:rStyle w:val="FootnoteAnchor"/>
          <w:rtl w:val="true"/>
        </w:rPr>
        <w:footnoteReference w:id="1589"/>
      </w:r>
      <w:r>
        <w:rPr>
          <w:rFonts w:ascii="IRNazanin" w:hAnsi="IRNazanin" w:eastAsia="IRNazanin"/>
          <w:color w:val="111111"/>
          <w:sz w:val="28"/>
          <w:sz w:val="28"/>
          <w:szCs w:val="28"/>
          <w:rtl w:val="true"/>
          <w:lang w:bidi="fa-IR"/>
        </w:rPr>
        <w:t>،کما ذکر أنّ إذن الولیّ للصبیّ فی الإعارة إذن فی انتفاع المستعیر،و أمّا دخول</w:t>
      </w:r>
    </w:p>
    <w:p>
      <w:pPr>
        <w:pStyle w:val="BookText"/>
        <w:rPr/>
      </w:pPr>
      <w:r>
        <w:rPr>
          <w:rFonts w:ascii="IRNazanin" w:hAnsi="IRNazanin" w:eastAsia="IRNazanin"/>
          <w:color w:val="111111"/>
          <w:sz w:val="28"/>
          <w:sz w:val="28"/>
          <w:szCs w:val="28"/>
          <w:rtl w:val="true"/>
          <w:lang w:bidi="fa-IR"/>
        </w:rPr>
        <w:t xml:space="preserve">الحمّام و شرب الماء و وضع الأُجرة و القیمة،فلو حکم بصحّتهما </w:t>
      </w:r>
      <w:r>
        <w:rPr>
          <w:rStyle w:val="FootnoteAnchor"/>
          <w:rtl w:val="true"/>
        </w:rPr>
        <w:footnoteReference w:id="1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ذکرنا من حصول المعاطاة بمجرّد المراضاة الخالیة عن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انحصرت صحّة وساطة الصبیّ فیما یکتفی </w:t>
      </w:r>
      <w:r>
        <w:rPr>
          <w:rStyle w:val="FootnoteAnchor"/>
          <w:rtl w:val="true"/>
        </w:rPr>
        <w:footnoteReference w:id="1591"/>
      </w:r>
      <w:r>
        <w:rPr>
          <w:rFonts w:ascii="Amiri" w:hAnsi="Amiri" w:eastAsia="Amiri" w:cs="Amiri"/>
          <w:color w:val="111111"/>
          <w:sz w:val="28"/>
          <w:sz w:val="28"/>
          <w:szCs w:val="28"/>
          <w:rtl w:val="true"/>
          <w:lang w:bidi="ar-SA"/>
        </w:rPr>
        <w:t xml:space="preserve">فیه بمجرّد </w:t>
      </w:r>
      <w:r>
        <w:rPr>
          <w:rStyle w:val="FootnoteAnchor"/>
          <w:rtl w:val="true"/>
        </w:rPr>
        <w:footnoteReference w:id="1592"/>
      </w:r>
      <w:r>
        <w:rPr>
          <w:rFonts w:ascii="IRNazanin" w:hAnsi="IRNazanin" w:eastAsia="IRNazanin"/>
          <w:color w:val="111111"/>
          <w:sz w:val="28"/>
          <w:sz w:val="28"/>
          <w:szCs w:val="28"/>
          <w:rtl w:val="true"/>
          <w:lang w:bidi="fa-IR"/>
        </w:rPr>
        <w:t xml:space="preserve">وصول العوضین، دون ما لا یکتفی </w:t>
      </w:r>
      <w:r>
        <w:rPr>
          <w:rStyle w:val="FootnoteAnchor"/>
          <w:rtl w:val="true"/>
        </w:rPr>
        <w:footnoteReference w:id="1593"/>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دفع الصبی و قبضه بحکم العدم،فکلّ ما یکتفی فیه بوصول کلٍّ من العوضین إلی صاحب الآخر بأیّ وجهٍ اتّفق فلا یضرّ مباشرة الصبی لمقدّمات الوصول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ما ذکر </w:t>
      </w:r>
      <w:r>
        <w:rPr>
          <w:rStyle w:val="FootnoteAnchor"/>
          <w:rtl w:val="true"/>
        </w:rPr>
        <w:footnoteReference w:id="1594"/>
      </w:r>
      <w:r>
        <w:rPr>
          <w:rFonts w:ascii="Amiri" w:hAnsi="Amiri" w:eastAsia="Amiri" w:cs="Amiri"/>
          <w:color w:val="111111"/>
          <w:sz w:val="28"/>
          <w:sz w:val="28"/>
          <w:szCs w:val="28"/>
          <w:rtl w:val="true"/>
          <w:lang w:bidi="ar-SA"/>
        </w:rPr>
        <w:t>مختصٌّ بما إذا علم إذن شخص بالغ عاقل للصبیّ ولیّاً کان أم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ذکره کاشف الغطاء أخیراً </w:t>
      </w:r>
      <w:r>
        <w:rPr>
          <w:rStyle w:val="FootnoteAnchor"/>
          <w:rtl w:val="true"/>
        </w:rPr>
        <w:footnoteReference w:id="1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صیرورة الشخص </w:t>
      </w:r>
      <w:r>
        <w:rPr>
          <w:rStyle w:val="FootnoteAnchor"/>
          <w:rtl w:val="true"/>
        </w:rPr>
        <w:footnoteReference w:id="1596"/>
      </w:r>
      <w:r>
        <w:rPr>
          <w:rFonts w:ascii="Amiri" w:hAnsi="Amiri" w:eastAsia="Amiri" w:cs="Amiri"/>
          <w:color w:val="111111"/>
          <w:sz w:val="28"/>
          <w:sz w:val="28"/>
          <w:szCs w:val="28"/>
          <w:rtl w:val="true"/>
          <w:lang w:bidi="ar-SA"/>
        </w:rPr>
        <w:t xml:space="preserve">موجباً قابلاً </w:t>
      </w:r>
      <w:r>
        <w:rPr>
          <w:rStyle w:val="FootnoteAnchor"/>
          <w:rtl w:val="true"/>
        </w:rPr>
        <w:footnoteReference w:id="1597"/>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تولّی وظیفة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أذن للصغیر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p>
    <w:p>
      <w:pPr>
        <w:pStyle w:val="BookText"/>
        <w:rPr/>
      </w:pPr>
      <w:r>
        <w:rPr>
          <w:rFonts w:ascii="IRNazanin" w:hAnsi="IRNazanin" w:eastAsia="IRNazanin"/>
          <w:color w:val="111111"/>
          <w:sz w:val="28"/>
          <w:sz w:val="28"/>
          <w:szCs w:val="28"/>
          <w:rtl w:val="true"/>
          <w:lang w:bidi="fa-IR"/>
        </w:rPr>
        <w:t xml:space="preserve">بإذنٍ منه،فالمفروض انتفاؤه،و إن کان بمجرّد </w:t>
      </w:r>
      <w:r>
        <w:rPr>
          <w:rStyle w:val="FootnoteAnchor"/>
          <w:rtl w:val="true"/>
        </w:rPr>
        <w:footnoteReference w:id="1598"/>
      </w:r>
      <w:r>
        <w:rPr>
          <w:rFonts w:ascii="IRNazanin" w:hAnsi="IRNazanin" w:eastAsia="IRNazanin"/>
          <w:color w:val="111111"/>
          <w:sz w:val="28"/>
          <w:sz w:val="28"/>
          <w:szCs w:val="28"/>
          <w:rtl w:val="true"/>
          <w:lang w:bidi="fa-IR"/>
        </w:rPr>
        <w:t>العلم برضاه،فالاکتفاء به فی الخروج عن موضوع الفضولی مشکل،بل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المحسوس بالوجدان عدم قصد من یعامل مع الأطفال النیابة عمّن أذن للصبی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وجه لاختصاص ما ذکروه من الآلیّة بالصبی، و لا بالأشیاء الحقیرة،بل هو جارٍ فی المجنون و السکران بل البهائم، و </w:t>
      </w:r>
      <w:r>
        <w:rPr>
          <w:rStyle w:val="FootnoteAnchor"/>
          <w:rtl w:val="true"/>
        </w:rPr>
        <w:footnoteReference w:id="1599"/>
      </w:r>
      <w:r>
        <w:rPr>
          <w:rFonts w:ascii="IRNazanin" w:hAnsi="IRNazanin" w:eastAsia="IRNazanin"/>
          <w:color w:val="111111"/>
          <w:sz w:val="28"/>
          <w:sz w:val="28"/>
          <w:szCs w:val="28"/>
          <w:rtl w:val="true"/>
          <w:lang w:bidi="fa-IR"/>
        </w:rPr>
        <w:t>فی الأُمور الخطیرة؛إذ المعاملة إذا کانت فی الحقیقة بین الکبار و کان الصغیر آلة،فلا فرق فی الآلیّة بینه و بین غیره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نعم،من تمسّک فی ذلک بالسیرة من غیر أن یتجشّم لإدخال ذلک تحت القاعدة،فله تخصیص ذلک بالصبی؛لأنّه المتیقّن من موردها، کما أنّ ذلک مختصّ بالمحقّرات</w:t>
      </w:r>
      <w:r>
        <w:rPr>
          <w:rFonts w:eastAsia="IRNazanin" w:cs="IRNazanin"/>
          <w:color w:val="111111"/>
          <w:sz w:val="28"/>
          <w:szCs w:val="28"/>
          <w:rtl w:val="true"/>
          <w:lang w:bidi="fa-IR"/>
        </w:rPr>
        <w:t>.</w:t>
      </w:r>
      <w:bookmarkStart w:id="471" w:name="pg19763_248041"/>
    </w:p>
    <w:p>
      <w:pPr>
        <w:pStyle w:val="Heading4"/>
        <w:numPr>
          <w:ilvl w:val="3"/>
          <w:numId w:val="1"/>
        </w:numPr>
        <w:rPr/>
      </w:pPr>
      <w:bookmarkStart w:id="472" w:name="__RefHeading___Toc5082780_2314609296"/>
      <w:bookmarkStart w:id="473" w:name="_Toc181"/>
      <w:bookmarkEnd w:id="471"/>
      <w:bookmarkEnd w:id="472"/>
      <w:r>
        <w:rPr>
          <w:rtl w:val="true"/>
        </w:rPr>
        <w:t>مسألة و من جملة شرائط المتعاقدین</w:t>
      </w:r>
      <w:r>
        <w:rPr>
          <w:rtl w:val="true"/>
        </w:rPr>
        <w:t>:</w:t>
      </w:r>
      <w:r>
        <w:rPr>
          <w:rtl w:val="true"/>
        </w:rPr>
        <w:t>قصدهما لمدلول العقد الذی یتلفّظان به</w:t>
      </w:r>
      <w:r>
        <w:rPr>
          <w:rtl w:val="true"/>
        </w:rPr>
        <w:t>.</w:t>
      </w:r>
      <w:bookmarkEnd w:id="473"/>
    </w:p>
    <w:p>
      <w:pPr>
        <w:pStyle w:val="Heading5"/>
        <w:numPr>
          <w:ilvl w:val="4"/>
          <w:numId w:val="1"/>
        </w:numPr>
        <w:rPr/>
      </w:pPr>
      <w:bookmarkStart w:id="474" w:name="__RefHeading___Toc5082782_2314609296"/>
      <w:bookmarkStart w:id="475" w:name="_Toc182"/>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و اشتراط القصد بهذا المعنی فی صحّة العقد بل فی تحقّق مفهومه ممّا لا خلاف فیه و لا إشکال،فلا یقع من دون قصدٍ إلی اللفظ کما فی الغالط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بمعنی عدم استعمال اللفظ فیه،بل بمعنی عدم تعلّق إرادته </w:t>
      </w:r>
      <w:r>
        <w:rPr>
          <w:rStyle w:val="FootnoteAnchor"/>
          <w:rtl w:val="true"/>
        </w:rPr>
        <w:footnoteReference w:id="1600"/>
      </w:r>
      <w:r>
        <w:rPr>
          <w:rFonts w:ascii="IRNazanin" w:hAnsi="IRNazanin" w:eastAsia="IRNazanin"/>
          <w:color w:val="111111"/>
          <w:sz w:val="28"/>
          <w:sz w:val="28"/>
          <w:szCs w:val="28"/>
          <w:rtl w:val="true"/>
          <w:lang w:bidi="fa-IR"/>
        </w:rPr>
        <w:t xml:space="preserve">و إن </w:t>
      </w:r>
      <w:r>
        <w:rPr>
          <w:rStyle w:val="FootnoteAnchor"/>
          <w:rtl w:val="true"/>
        </w:rPr>
        <w:footnoteReference w:id="1601"/>
      </w:r>
      <w:r>
        <w:rPr>
          <w:rFonts w:ascii="IRNazanin" w:hAnsi="IRNazanin" w:eastAsia="IRNazanin"/>
          <w:color w:val="111111"/>
          <w:sz w:val="28"/>
          <w:sz w:val="28"/>
          <w:szCs w:val="28"/>
          <w:rtl w:val="true"/>
          <w:lang w:bidi="fa-IR"/>
        </w:rPr>
        <w:t xml:space="preserve">أوجد مدلوله بالإنشاء،کما فی الأمر الصوری فهو </w:t>
      </w:r>
      <w:r>
        <w:rPr>
          <w:rStyle w:val="FootnoteAnchor"/>
          <w:rtl w:val="true"/>
        </w:rPr>
        <w:footnoteReference w:id="1602"/>
      </w:r>
      <w:r>
        <w:rPr>
          <w:rFonts w:ascii="IRNazanin" w:hAnsi="IRNazanin" w:eastAsia="IRNazanin"/>
          <w:color w:val="111111"/>
          <w:sz w:val="28"/>
          <w:sz w:val="28"/>
          <w:szCs w:val="28"/>
          <w:rtl w:val="true"/>
          <w:lang w:bidi="fa-IR"/>
        </w:rPr>
        <w:t>شبیه الکذب فی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الهازل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قصد معنی یغایر مدلول العقد،بأن قصد الإخبار أو الاستفهام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أنشأ معنیً غیر البیع مجازاً أو غلطاً،فلا یقع البیع لعدم القصد إلیه،و لا المقصود إذا اشترط فیه عبارة خاصّة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ربما یقال بعدم تحقّق القصد فی عقد الفضولی و المکره کما صرّح به فی المسالک،حیث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إنّهما قاصدان إلی اللفظ دون مدلوله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bookmarkStart w:id="476" w:name="pg19763_248042"/>
    </w:p>
    <w:p>
      <w:pPr>
        <w:pStyle w:val="BookText"/>
        <w:rPr/>
      </w:pPr>
      <w:bookmarkEnd w:id="476"/>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دلیل علی اشتراط أزید من القصد المتحقّق فی صدق مفهوم العقد؛مضافاً إلی ما سیجیء فی أدلّة الفضولی </w:t>
      </w:r>
      <w:r>
        <w:rPr>
          <w:rStyle w:val="FootnoteAnchor"/>
          <w:rtl w:val="true"/>
        </w:rPr>
        <w:footnoteReference w:id="1604"/>
      </w:r>
      <w:r>
        <w:rPr>
          <w:rFonts w:ascii="IRNazanin" w:hAnsi="IRNazanin" w:eastAsia="IRNazanin"/>
          <w:color w:val="111111"/>
          <w:sz w:val="28"/>
          <w:sz w:val="28"/>
          <w:szCs w:val="28"/>
          <w:rtl w:val="true"/>
          <w:lang w:bidi="fa-IR"/>
        </w:rPr>
        <w:t xml:space="preserve">،و أمّا معنی ما فی المسالک فسیأتی فی اشتراط الاختیار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5082784_2314609296"/>
      <w:bookmarkStart w:id="478" w:name="_Toc183"/>
      <w:bookmarkEnd w:id="477"/>
      <w:r>
        <w:rPr>
          <w:rtl w:val="true"/>
        </w:rPr>
        <w:t>[</w:t>
      </w:r>
      <w:r>
        <w:rPr>
          <w:rtl w:val="true"/>
        </w:rPr>
        <w:t>کلام صاحب المقابس فی اعتبار تعیین المالکین و المناقشات فیه</w:t>
      </w:r>
      <w:r>
        <w:rPr>
          <w:rtl w:val="true"/>
        </w:rPr>
        <w:t>]</w:t>
      </w:r>
      <w:bookmarkEnd w:id="478"/>
    </w:p>
    <w:p>
      <w:pPr>
        <w:pStyle w:val="BookText"/>
        <w:rPr/>
      </w:pPr>
      <w:r>
        <w:rPr>
          <w:rFonts w:ascii="IRNazanin" w:hAnsi="IRNazanin" w:eastAsia="IRNazanin"/>
          <w:color w:val="111111"/>
          <w:sz w:val="28"/>
          <w:sz w:val="28"/>
          <w:szCs w:val="28"/>
          <w:rtl w:val="true"/>
          <w:lang w:bidi="fa-IR"/>
        </w:rPr>
        <w:t xml:space="preserve">و اعلم أنّه ذکر بعض المحقّقین ممّن عاصرناه </w:t>
      </w:r>
      <w:r>
        <w:rPr>
          <w:rStyle w:val="FootnoteAnchor"/>
          <w:rtl w:val="true"/>
        </w:rPr>
        <w:footnoteReference w:id="1606"/>
      </w:r>
      <w:r>
        <w:rPr>
          <w:rFonts w:ascii="IRNazanin" w:hAnsi="IRNazanin" w:eastAsia="IRNazanin"/>
          <w:color w:val="111111"/>
          <w:sz w:val="28"/>
          <w:sz w:val="28"/>
          <w:szCs w:val="28"/>
          <w:rtl w:val="true"/>
          <w:lang w:bidi="fa-IR"/>
        </w:rPr>
        <w:t xml:space="preserve">کلاماً فی هذا المقام، فی أنّه هل یعتبر تعیین المالکین اللذین یتحقّق النقل و الانتقال </w:t>
      </w:r>
      <w:r>
        <w:rPr>
          <w:rStyle w:val="FootnoteAnchor"/>
          <w:rtl w:val="true"/>
        </w:rPr>
        <w:footnoteReference w:id="1607"/>
      </w:r>
      <w:r>
        <w:rPr>
          <w:rFonts w:ascii="IRNazanin" w:hAnsi="IRNazanin" w:eastAsia="IRNazanin"/>
          <w:color w:val="111111"/>
          <w:sz w:val="28"/>
          <w:sz w:val="28"/>
          <w:szCs w:val="28"/>
          <w:rtl w:val="true"/>
          <w:lang w:bidi="fa-IR"/>
        </w:rPr>
        <w:t>بالنسبة إلیهما،أم لا؟و ذکر،أنّ فی المسألة أوجهاً و أقوالاً،و أنّ المسألة فی غایة الإشکال،و أنّه قد اضطربت فیها کلمات الأصحاب قدّس اللّه أرواحهم فی تضاعیف أبواب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 توقّف تعیّن المالک علی التعیین حال العقد؛لتعدّد وجه وقوعه الممکن شرعاً،اعتبر تعیینه فی النیّة،أو مع اللفظ </w:t>
      </w:r>
      <w:r>
        <w:rPr>
          <w:rStyle w:val="FootnoteAnchor"/>
          <w:rtl w:val="true"/>
        </w:rPr>
        <w:footnoteReference w:id="1608"/>
      </w:r>
      <w:r>
        <w:rPr>
          <w:rFonts w:ascii="IRNazanin" w:hAnsi="IRNazanin" w:eastAsia="IRNazanin"/>
          <w:color w:val="111111"/>
          <w:sz w:val="28"/>
          <w:sz w:val="28"/>
          <w:szCs w:val="28"/>
          <w:rtl w:val="true"/>
          <w:lang w:bidi="fa-IR"/>
        </w:rPr>
        <w:t xml:space="preserve">به أیضاً کبیع الوکیل و الولی العاقد عن اثنین فی بیعٍ واحد، و الوکیل عنهما </w:t>
      </w:r>
      <w:r>
        <w:rPr>
          <w:rStyle w:val="FootnoteAnchor"/>
          <w:rtl w:val="true"/>
        </w:rPr>
        <w:footnoteReference w:id="1609"/>
      </w:r>
      <w:r>
        <w:rPr>
          <w:rFonts w:ascii="IRNazanin" w:hAnsi="IRNazanin" w:eastAsia="IRNazanin"/>
          <w:color w:val="111111"/>
          <w:sz w:val="28"/>
          <w:sz w:val="28"/>
          <w:szCs w:val="28"/>
          <w:rtl w:val="true"/>
          <w:lang w:bidi="fa-IR"/>
        </w:rPr>
        <w:t>و الولیّ علیهما فی البیوع المتعدّدة،فیجب أن یعیّن من یقع له البیع أو الشراء،من نفسه أو غیره،و أن یمیّز البائع من المشتری إذا أمکن الوصفان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عیّن جهة خاصّة تعیّنت،و إن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هناک جهة یصرف إلیها الإطلاق کان کالتعیین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دار الأمر بین نفسه و غیره إذا لم یقصد الإبهام و التعیین بعد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وقع لاغیاً،و هذا جارٍ فی سائر العقود من النکاح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اشتراط التعیین و لزوم متابعته فی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لا ذلک لزم بقاء الملک بلا مالکٍ معیّنٍ </w:t>
      </w:r>
      <w:r>
        <w:rPr>
          <w:rStyle w:val="FootnoteAnchor"/>
          <w:rtl w:val="true"/>
        </w:rPr>
        <w:footnoteReference w:id="1610"/>
      </w:r>
      <w:r>
        <w:rPr>
          <w:rFonts w:ascii="IRNazanin" w:hAnsi="IRNazanin" w:eastAsia="IRNazanin"/>
          <w:color w:val="111111"/>
          <w:sz w:val="28"/>
          <w:sz w:val="28"/>
          <w:szCs w:val="28"/>
          <w:rtl w:val="true"/>
          <w:lang w:bidi="fa-IR"/>
        </w:rPr>
        <w:t xml:space="preserve">فی نفس الأمر،و أن لا یحصل الجزم بشیءٍ من العقود التی لم یتعیّن فیها </w:t>
      </w:r>
      <w:r>
        <w:rPr>
          <w:rStyle w:val="FootnoteAnchor"/>
          <w:rtl w:val="true"/>
        </w:rPr>
        <w:footnoteReference w:id="1611"/>
      </w:r>
      <w:r>
        <w:rPr>
          <w:rFonts w:ascii="IRNazanin" w:hAnsi="IRNazanin" w:eastAsia="IRNazanin"/>
          <w:color w:val="111111"/>
          <w:sz w:val="28"/>
          <w:sz w:val="28"/>
          <w:szCs w:val="28"/>
          <w:rtl w:val="true"/>
          <w:lang w:bidi="fa-IR"/>
        </w:rPr>
        <w:t>العوضان، و لا بشیءٍ من الأحکام و الآثار المترتّبة علی ذلک،و فساد 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دلیل علی تأثیر التعیین المتعقّب،و لا علی صحّة العقد المبهم؛ لانصراف الأدلّة إلی الشائع المعهود </w:t>
      </w:r>
      <w:r>
        <w:rPr>
          <w:rStyle w:val="FootnoteAnchor"/>
          <w:rtl w:val="true"/>
        </w:rPr>
        <w:footnoteReference w:id="1612"/>
      </w:r>
      <w:r>
        <w:rPr>
          <w:rFonts w:ascii="IRNazanin" w:hAnsi="IRNazanin" w:eastAsia="IRNazanin"/>
          <w:color w:val="111111"/>
          <w:sz w:val="28"/>
          <w:sz w:val="28"/>
          <w:szCs w:val="28"/>
          <w:rtl w:val="true"/>
          <w:lang w:bidi="fa-IR"/>
        </w:rPr>
        <w:t xml:space="preserve">من الشریعة و العادة،فوجب الحکم بعدمه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هذا،فلو شری </w:t>
      </w:r>
      <w:r>
        <w:rPr>
          <w:rStyle w:val="FootnoteAnchor"/>
          <w:rtl w:val="true"/>
        </w:rPr>
        <w:footnoteReference w:id="1614"/>
      </w:r>
      <w:r>
        <w:rPr>
          <w:rFonts w:ascii="IRNazanin" w:hAnsi="IRNazanin" w:eastAsia="IRNazanin"/>
          <w:color w:val="111111"/>
          <w:sz w:val="28"/>
          <w:sz w:val="28"/>
          <w:szCs w:val="28"/>
          <w:rtl w:val="true"/>
          <w:lang w:bidi="fa-IR"/>
        </w:rPr>
        <w:t>الفضولی لغیره فی الذمّة،فإن عیّن ذلک الغیر تعیّن و وقف علی إجازته،سواء تلفّظ بذلک أم نواه،و إن أبهم مع قصد الغیر بطل،و لا یوقف إلی أن یوجد له 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یتوقّف تعیّن </w:t>
      </w:r>
      <w:r>
        <w:rPr>
          <w:rStyle w:val="FootnoteAnchor"/>
          <w:rtl w:val="true"/>
        </w:rPr>
        <w:footnoteReference w:id="1615"/>
      </w:r>
      <w:r>
        <w:rPr>
          <w:rFonts w:ascii="IRNazanin" w:hAnsi="IRNazanin" w:eastAsia="IRNazanin"/>
          <w:color w:val="111111"/>
          <w:sz w:val="28"/>
          <w:sz w:val="28"/>
          <w:szCs w:val="28"/>
          <w:rtl w:val="true"/>
          <w:lang w:bidi="fa-IR"/>
        </w:rPr>
        <w:t>المالک علی التعیین حال العقد بأن یکون العوضان</w:t>
      </w:r>
    </w:p>
    <w:p>
      <w:pPr>
        <w:pStyle w:val="BookText"/>
        <w:rPr/>
      </w:pPr>
      <w:r>
        <w:rPr>
          <w:rFonts w:ascii="IRNazanin" w:hAnsi="IRNazanin" w:eastAsia="IRNazanin"/>
          <w:color w:val="111111"/>
          <w:sz w:val="28"/>
          <w:sz w:val="28"/>
          <w:szCs w:val="28"/>
          <w:rtl w:val="true"/>
          <w:lang w:bidi="fa-IR"/>
        </w:rPr>
        <w:t xml:space="preserve">معیّنین،و لا یقع العقد فیهما علی وجهٍ یصحّ إلّا لمالکهما،ففی وجوب التعیین أو الإطلاق المنصرف إلیه،أو عدمه مطلقاً،أو التفصیل بین التصریح بالخلاف فیبطل،و عدمه فیصحّ،أوجه،أقواها </w:t>
      </w:r>
      <w:r>
        <w:rPr>
          <w:rStyle w:val="FootnoteAnchor"/>
          <w:rtl w:val="true"/>
        </w:rPr>
        <w:footnoteReference w:id="1616"/>
      </w:r>
      <w:r>
        <w:rPr>
          <w:rFonts w:ascii="IRNazanin" w:hAnsi="IRNazanin" w:eastAsia="IRNazanin"/>
          <w:color w:val="111111"/>
          <w:sz w:val="28"/>
          <w:sz w:val="28"/>
          <w:szCs w:val="28"/>
          <w:rtl w:val="true"/>
          <w:lang w:bidi="fa-IR"/>
        </w:rPr>
        <w:t>الأخیر، و أوسطها الوسط،و أشبهها للأُصول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حکم التعیین ما إذا </w:t>
      </w:r>
      <w:r>
        <w:rPr>
          <w:rStyle w:val="FootnoteAnchor"/>
          <w:rtl w:val="true"/>
        </w:rPr>
        <w:footnoteReference w:id="1617"/>
      </w:r>
      <w:r>
        <w:rPr>
          <w:rFonts w:ascii="Amiri" w:hAnsi="Amiri" w:eastAsia="Amiri" w:cs="Amiri"/>
          <w:color w:val="111111"/>
          <w:sz w:val="28"/>
          <w:sz w:val="28"/>
          <w:szCs w:val="28"/>
          <w:rtl w:val="true"/>
          <w:lang w:bidi="ar-SA"/>
        </w:rPr>
        <w:t>عیّن المال بکونه فی ذمّة زیدٍ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باع مال نفسه عن الغیر،وقع عنه و لغی قصد کونه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مال زید عن عمرو،فإن کان وکیلاً عن زید صحّ عنه، و إلّا وقف علی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لنفسه بمالٍ فی ذمّة زید،فإن لم یکن وکیلاً عن زید وقع عنه و تعلّق المال بذمّته،لا عن زید؛لیقف علی إجازته،و إن کان وکیلاً فالمقتضی لکلٍّ من العقدین منفرداً موجود،و الجمع بینهما یقتضی إلغاء أحدهما،و لمّا لم یتعیّن احتمل البطلان؛للتدافع،و صحّته عن نفسه؛ لعدم تعلّق الوکالة بمثل هذا الشراء و ترجیح جانب الأصالة،و عن الموکل؛لتعیّن العوض فی ذمّة الموکل،فقصد کون الشراء لنفسه لغو کما فی المعیّن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اشتری عن زید بشیءٍ فی ذمّته فضولاً و لم یجز،فأجاز عمرو،لم یصحّ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ما ذکر حال ما یرد من هذا الباب،و لا فرق علی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النیّة المخالفة و التسمیة،و یفرّق بینهما علی الأخیر،و یبطل الجمیع علی الأوّل </w:t>
      </w:r>
      <w:r>
        <w:rPr>
          <w:rStyle w:val="FootnoteAnchor"/>
          <w:rtl w:val="true"/>
        </w:rPr>
        <w:footnoteReference w:id="1618"/>
      </w:r>
      <w:r>
        <w:rPr>
          <w:rFonts w:ascii="IRNazanin" w:hAnsi="IRNazanin" w:eastAsia="IRNazanin"/>
          <w:color w:val="111111"/>
          <w:sz w:val="28"/>
          <w:sz w:val="28"/>
          <w:szCs w:val="28"/>
          <w:rtl w:val="true"/>
          <w:lang w:bidi="fa-IR"/>
        </w:rPr>
        <w:t xml:space="preserve">،انتهی کلامه رحمه اللّه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المعاوضة و المبادلة دخول کلٍّ من العوضین فی ملک مالک الآخر،و إلّا لم یکن کلٌّ منهما عوضاً و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هذا،فالقصد إلی العوض و تعیینه یغنی عن تعیین المالک،إلّا أنّ ملکیّة العوض و ترتّب آثار الملک علیه قد یتوقّف علی تعیین المالک؛ فإنّ من الأعواض ما یکون متشخّصاً بنفسه فی الخارج کالأعیان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لا یتشخّص إلّا بإضافته إلی مالک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الذمم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w:t>
      </w:r>
      <w:r>
        <w:rPr>
          <w:rStyle w:val="FootnoteAnchor"/>
          <w:rtl w:val="true"/>
        </w:rPr>
        <w:footnoteReference w:id="1620"/>
      </w:r>
      <w:r>
        <w:rPr>
          <w:rFonts w:ascii="Amiri" w:hAnsi="Amiri" w:eastAsia="Amiri" w:cs="Amiri"/>
          <w:color w:val="111111"/>
          <w:sz w:val="28"/>
          <w:sz w:val="28"/>
          <w:szCs w:val="28"/>
          <w:rtl w:val="true"/>
          <w:lang w:bidi="ar-SA"/>
        </w:rPr>
        <w:t xml:space="preserve">ملکیّة الکلّی لا یکون </w:t>
      </w:r>
      <w:r>
        <w:rPr>
          <w:rStyle w:val="FootnoteAnchor"/>
          <w:rtl w:val="true"/>
        </w:rPr>
        <w:footnoteReference w:id="1621"/>
      </w:r>
      <w:r>
        <w:rPr>
          <w:rFonts w:ascii="IRNazanin" w:hAnsi="IRNazanin" w:eastAsia="IRNazanin"/>
          <w:color w:val="111111"/>
          <w:sz w:val="28"/>
          <w:sz w:val="28"/>
          <w:szCs w:val="28"/>
          <w:rtl w:val="true"/>
          <w:lang w:bidi="fa-IR"/>
        </w:rPr>
        <w:t>إلّا مضافاً إلی ذمّة،و إجراء أحکام الملک علی ما فی ذمّة الواحد المردّد بین شخصین فصاعداً غیر 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فتعیین </w:t>
      </w:r>
      <w:r>
        <w:rPr>
          <w:rStyle w:val="FootnoteAnchor"/>
          <w:rtl w:val="true"/>
        </w:rPr>
        <w:footnoteReference w:id="1622"/>
      </w:r>
      <w:r>
        <w:rPr>
          <w:rFonts w:ascii="IRNazanin" w:hAnsi="IRNazanin" w:eastAsia="IRNazanin"/>
          <w:color w:val="111111"/>
          <w:sz w:val="28"/>
          <w:sz w:val="28"/>
          <w:szCs w:val="28"/>
          <w:rtl w:val="true"/>
          <w:lang w:bidi="fa-IR"/>
        </w:rPr>
        <w:t xml:space="preserve">الشخص فی الکلّی إنّما یحتاج إلیه لتوقّف اعتبار ملکیّة ما فی الذمم علی تعیین </w:t>
      </w:r>
      <w:r>
        <w:rPr>
          <w:rStyle w:val="FootnoteAnchor"/>
          <w:rtl w:val="true"/>
        </w:rPr>
        <w:footnoteReference w:id="1623"/>
      </w:r>
      <w:r>
        <w:rPr>
          <w:rFonts w:ascii="Amiri" w:hAnsi="Amiri" w:eastAsia="Amiri" w:cs="Amiri"/>
          <w:color w:val="111111"/>
          <w:sz w:val="28"/>
          <w:sz w:val="28"/>
          <w:szCs w:val="28"/>
          <w:rtl w:val="true"/>
          <w:lang w:bidi="ar-SA"/>
        </w:rPr>
        <w:t>صاحب الذمّة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فصحّ علی ما ذکرنا أنّ تعیین المالک مطلقاً غیر معتبرٍ سواء فی</w:t>
      </w:r>
    </w:p>
    <w:p>
      <w:pPr>
        <w:pStyle w:val="BookText"/>
        <w:rPr/>
      </w:pPr>
      <w:r>
        <w:rPr>
          <w:rFonts w:ascii="IRNazanin" w:hAnsi="IRNazanin" w:eastAsia="IRNazanin"/>
          <w:color w:val="111111"/>
          <w:sz w:val="28"/>
          <w:sz w:val="28"/>
          <w:szCs w:val="28"/>
          <w:rtl w:val="true"/>
          <w:lang w:bidi="fa-IR"/>
        </w:rPr>
        <w:t xml:space="preserve">العوض المعیّن أو فی </w:t>
      </w:r>
      <w:r>
        <w:rPr>
          <w:rStyle w:val="FootnoteAnchor"/>
          <w:rtl w:val="true"/>
        </w:rPr>
        <w:footnoteReference w:id="1624"/>
      </w:r>
      <w:r>
        <w:rPr>
          <w:rFonts w:ascii="IRNazanin" w:hAnsi="IRNazanin" w:eastAsia="IRNazanin"/>
          <w:color w:val="111111"/>
          <w:sz w:val="28"/>
          <w:sz w:val="28"/>
          <w:szCs w:val="28"/>
          <w:rtl w:val="true"/>
          <w:lang w:bidi="fa-IR"/>
        </w:rPr>
        <w:t xml:space="preserve">الکلّی،و أنّ اعتبار التعیین فیما ذکره من الأمثلة فی الشقّ الأوّل من تفصیله </w:t>
      </w:r>
      <w:r>
        <w:rPr>
          <w:rStyle w:val="FootnoteAnchor"/>
          <w:rtl w:val="true"/>
        </w:rPr>
        <w:footnoteReference w:id="1625"/>
      </w:r>
      <w:r>
        <w:rPr>
          <w:rFonts w:ascii="IRNazanin" w:hAnsi="IRNazanin" w:eastAsia="IRNazanin"/>
          <w:color w:val="111111"/>
          <w:sz w:val="28"/>
          <w:sz w:val="28"/>
          <w:szCs w:val="28"/>
          <w:rtl w:val="true"/>
          <w:lang w:bidi="fa-IR"/>
        </w:rPr>
        <w:t>إنّما هو لتصحیح ملکیّة العوض بتعیین من یضاف الملک إلیه،لا لتوقّف المعاملة علی تعیین ذلک الشخص بعد فرض کونه مالکاً،فإنّ من اشتری لغیره فی الذمّة إذا لم یعیّن الغیر لم یکن الثمن مِلکاً؛لأنّ ما فی الذمّة ما لم یضف إلی شخصٍ معیّن لم یترتّب علیه أحکام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جعله ثمناً أو مثمناً،و کذا الوکیل أو الولی العاقد عن اثنین؛فإنّه إذا جعل العوضین فی الذمّة بأن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عبداً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یصیر العبد قابلاً للبیع، و لا الألف قابلاً للاشتراء به حتّی یُسنِد کلاّ منهما إلی معیّن،أو إلی نفسه من حیث إنّه نائب عن ذلک المعیّن،فیقول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عبداً من مال فلان بألف من مال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فیمتاز البائع عن المشتری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من الوجوه الثلاثة </w:t>
      </w:r>
      <w:r>
        <w:rPr>
          <w:rStyle w:val="FootnoteAnchor"/>
          <w:rtl w:val="true"/>
        </w:rPr>
        <w:footnoteReference w:id="1626"/>
      </w:r>
      <w:r>
        <w:rPr>
          <w:rFonts w:ascii="IRNazanin" w:hAnsi="IRNazanin" w:eastAsia="IRNazanin"/>
          <w:color w:val="111111"/>
          <w:sz w:val="28"/>
          <w:sz w:val="28"/>
          <w:szCs w:val="28"/>
          <w:rtl w:val="true"/>
          <w:lang w:bidi="fa-IR"/>
        </w:rPr>
        <w:t>فیما إذا کان العوضان معیّنین، فالمقصود إذا کان هی المعاوضة الحقیقیّة التی قد عرفت أنّ من لوازمها العقلیّة دخول العوض فی ملک مالک المعوّض تحقیقاً لمفهوم العوضیّة و البدلیّة،فلا حاجة إلی تعیین من یُنقل عنهما و إلیهما العوضان،و إذا</w:t>
      </w:r>
    </w:p>
    <w:p>
      <w:pPr>
        <w:pStyle w:val="BookText"/>
        <w:rPr/>
      </w:pPr>
      <w:r>
        <w:rPr>
          <w:rFonts w:ascii="IRNazanin" w:hAnsi="IRNazanin" w:eastAsia="IRNazanin"/>
          <w:color w:val="111111"/>
          <w:sz w:val="28"/>
          <w:sz w:val="28"/>
          <w:szCs w:val="28"/>
          <w:rtl w:val="true"/>
          <w:lang w:bidi="fa-IR"/>
        </w:rPr>
        <w:t xml:space="preserve">لم یقصد المعاوضة الحقیقیة فالبیع غیر منعقد؛فإن جعل العوض من عین مال غیر المخاطب الذی ملّکه المعوّض </w:t>
      </w:r>
      <w:r>
        <w:rPr>
          <w:rStyle w:val="FootnoteAnchor"/>
          <w:rtl w:val="true"/>
        </w:rPr>
        <w:footnoteReference w:id="162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فرسی هذا بحمار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 البیع لخصوص المخاطب؛ لعدم مفهوم المعاوضة معه،و فی وقوعه اشتراءً فضولیّاً لعمرو کلامٌ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مال نفسه عن غیره</w:t>
      </w:r>
      <w:r>
        <w:rPr>
          <w:rFonts w:eastAsia="IRNazanin" w:cs="IRNazanin"/>
          <w:color w:val="111111"/>
          <w:sz w:val="28"/>
          <w:szCs w:val="28"/>
          <w:rtl w:val="true"/>
          <w:lang w:bidi="fa-IR"/>
        </w:rPr>
        <w:t xml:space="preserve">» </w:t>
      </w:r>
      <w:r>
        <w:rPr>
          <w:rStyle w:val="FootnoteAnchor"/>
          <w:rtl w:val="true"/>
        </w:rPr>
        <w:footnoteReference w:id="1628"/>
      </w:r>
      <w:r>
        <w:rPr>
          <w:rFonts w:ascii="IRNazanin" w:hAnsi="IRNazanin" w:eastAsia="IRNazanin"/>
          <w:color w:val="111111"/>
          <w:sz w:val="28"/>
          <w:sz w:val="28"/>
          <w:szCs w:val="28"/>
          <w:rtl w:val="true"/>
          <w:lang w:bidi="fa-IR"/>
        </w:rPr>
        <w:t>فلا إشکال فی عدم وقوعه عن غیره،و الظاهر وقوعه عن البائع و لغویة قصده عن الغیر؛لأنّه أمر غیر معقول لا یتحقّق القصد إلیه حقیقة، و هو معنی لغویّته؛و لذا لو باع مال غیره عن نفسه وقع للغیر مع 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عن نفسه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ملکه فأجاز،قیل بوقوعه له </w:t>
      </w:r>
      <w:r>
        <w:rPr>
          <w:rStyle w:val="FootnoteAnchor"/>
          <w:rtl w:val="true"/>
        </w:rPr>
        <w:footnoteReference w:id="1629"/>
      </w:r>
      <w:r>
        <w:rPr>
          <w:rFonts w:ascii="IRNazanin" w:hAnsi="IRNazanin" w:eastAsia="IRNazanin"/>
          <w:color w:val="111111"/>
          <w:sz w:val="28"/>
          <w:sz w:val="28"/>
          <w:szCs w:val="28"/>
          <w:rtl w:val="true"/>
          <w:lang w:bidi="fa-IR"/>
        </w:rPr>
        <w:t>،لکن لا من حیث إیقاعه أوّلاً لنفسه؛فإنّ القائل به لا یفرّق حینئذٍ بین بیعه عن نفسه أو عن مالکه،فقصد وقوعه عن نفسه لغو دائماً و وجوده کعدمه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وقوع بیع مال نفسه لغیره </w:t>
      </w:r>
      <w:r>
        <w:rPr>
          <w:rStyle w:val="FootnoteAnchor"/>
          <w:rtl w:val="true"/>
        </w:rPr>
        <w:footnoteReference w:id="1630"/>
      </w:r>
      <w:r>
        <w:rPr>
          <w:rFonts w:ascii="IRNazanin" w:hAnsi="IRNazanin" w:eastAsia="IRNazanin"/>
          <w:color w:val="111111"/>
          <w:sz w:val="28"/>
          <w:sz w:val="28"/>
          <w:szCs w:val="28"/>
          <w:rtl w:val="true"/>
          <w:lang w:bidi="fa-IR"/>
        </w:rPr>
        <w:t>إنّما لا یعقل إذا فرض قصده للمعاوضة الحقیقیة،لِمَ لا یجعل هذا قرینة علی عدم إرادته</w:t>
      </w:r>
    </w:p>
    <w:p>
      <w:pPr>
        <w:pStyle w:val="BookText"/>
        <w:rPr/>
      </w:pPr>
      <w:r>
        <w:rPr>
          <w:rFonts w:ascii="IRNazanin" w:hAnsi="IRNazanin" w:eastAsia="IRNazanin"/>
          <w:color w:val="111111"/>
          <w:sz w:val="28"/>
          <w:sz w:val="28"/>
          <w:szCs w:val="28"/>
          <w:rtl w:val="true"/>
          <w:lang w:bidi="fa-IR"/>
        </w:rPr>
        <w:t>من البیع المبادلة الحقیقیة،أو علی تنزیل الغیر منزلة نفسه فی مالکیّة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أنّ المعاوضة الحقیقیّة </w:t>
      </w:r>
      <w:r>
        <w:rPr>
          <w:rStyle w:val="FootnoteAnchor"/>
          <w:rtl w:val="true"/>
        </w:rPr>
        <w:footnoteReference w:id="1631"/>
      </w:r>
      <w:r>
        <w:rPr>
          <w:rFonts w:ascii="IRNazanin" w:hAnsi="IRNazanin" w:eastAsia="IRNazanin"/>
          <w:color w:val="111111"/>
          <w:sz w:val="28"/>
          <w:sz w:val="28"/>
          <w:szCs w:val="28"/>
          <w:rtl w:val="true"/>
          <w:lang w:bidi="fa-IR"/>
        </w:rPr>
        <w:t xml:space="preserve">فی بیع </w:t>
      </w:r>
      <w:r>
        <w:rPr>
          <w:rStyle w:val="FootnoteAnchor"/>
          <w:rtl w:val="true"/>
        </w:rPr>
        <w:footnoteReference w:id="1632"/>
      </w:r>
      <w:r>
        <w:rPr>
          <w:rFonts w:ascii="IRNazanin" w:hAnsi="IRNazanin" w:eastAsia="IRNazanin"/>
          <w:color w:val="111111"/>
          <w:sz w:val="28"/>
          <w:sz w:val="28"/>
          <w:szCs w:val="28"/>
          <w:rtl w:val="true"/>
          <w:lang w:bidi="fa-IR"/>
        </w:rPr>
        <w:t>الغاصب لنفسه لا یتصوّر إلّا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فیحکم ببطلان المعاملة؛لعدم قصد المعاوضة الحقیقیّة مع المالک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ذکر العلّامة </w:t>
      </w:r>
      <w:r>
        <w:rPr>
          <w:rStyle w:val="FootnoteAnchor"/>
          <w:rtl w:val="true"/>
        </w:rPr>
        <w:footnoteReference w:id="1633"/>
      </w:r>
      <w:r>
        <w:rPr>
          <w:rFonts w:ascii="IRNazanin" w:hAnsi="IRNazanin" w:eastAsia="IRNazanin"/>
          <w:color w:val="111111"/>
          <w:sz w:val="28"/>
          <w:sz w:val="28"/>
          <w:szCs w:val="28"/>
          <w:rtl w:val="true"/>
          <w:lang w:bidi="fa-IR"/>
        </w:rPr>
        <w:t xml:space="preserve">و غیره </w:t>
      </w:r>
      <w:r>
        <w:rPr>
          <w:rStyle w:val="FootnoteAnchor"/>
          <w:rtl w:val="true"/>
        </w:rPr>
        <w:footnoteReference w:id="1634"/>
      </w:r>
      <w:r>
        <w:rPr>
          <w:rFonts w:ascii="IRNazanin" w:hAnsi="IRNazanin" w:eastAsia="IRNazanin"/>
          <w:color w:val="111111"/>
          <w:sz w:val="28"/>
          <w:sz w:val="28"/>
          <w:szCs w:val="28"/>
          <w:rtl w:val="true"/>
          <w:lang w:bidi="fa-IR"/>
        </w:rPr>
        <w:t>فی عکس المثال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قال المالک للمرتهن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بطل،و کذا لو دفع مالاً إلی من یطلبه الطعام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 لنفسک 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الأقوی صحّة المعاملة المذکورة و لغویة القصد المذکور؛ لأنّه راجعٌ إلی إرادة إرجاع فائدة البیع إلی الغیر،لا جعله أحد رکنَی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حکمهم ببطلان البیع فی مثال الرهن و اشتراء الطعام،فمرادهم عدم وقوعه للمخاطب،لا أنّ المخاطب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بعته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 لمالکه إذا أجازه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بالجملة،فحکمهم بصحّة بیع الفضولی و شرائه لنفسه،و وقوعه للمالک،یدلّ علی عدم تأثیر قصد وقوع البیع لغیر المالک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ذکرنا کلّه حکم وجوب تعیین کلٍّ من البائع و المشتری من یبیع له و یشتری له</w:t>
      </w:r>
      <w:r>
        <w:rPr>
          <w:rFonts w:eastAsia="IRNazanin" w:cs="IRNazanin"/>
          <w:color w:val="111111"/>
          <w:sz w:val="28"/>
          <w:szCs w:val="28"/>
          <w:rtl w:val="true"/>
          <w:lang w:bidi="fa-IR"/>
        </w:rPr>
        <w:t>.</w:t>
      </w:r>
      <w:bookmarkStart w:id="479" w:name="pg19763_248049"/>
    </w:p>
    <w:p>
      <w:pPr>
        <w:pStyle w:val="Heading5"/>
        <w:numPr>
          <w:ilvl w:val="4"/>
          <w:numId w:val="1"/>
        </w:numPr>
        <w:rPr/>
      </w:pPr>
      <w:bookmarkStart w:id="480" w:name="__RefHeading___Toc5082786_2314609296"/>
      <w:bookmarkStart w:id="481" w:name="_Toc184"/>
      <w:bookmarkEnd w:id="479"/>
      <w:bookmarkEnd w:id="480"/>
      <w:r>
        <w:rPr>
          <w:rtl w:val="true"/>
        </w:rPr>
        <w:t>[</w:t>
      </w:r>
      <w:r>
        <w:rPr>
          <w:rtl w:val="true"/>
        </w:rPr>
        <w:t>هل یعتبر تعیین الموجب للمشتری و القابل للبائع؟</w:t>
      </w:r>
      <w:r>
        <w:rPr>
          <w:rtl w:val="true"/>
        </w:rPr>
        <w:t>]</w:t>
      </w:r>
      <w:bookmarkEnd w:id="481"/>
    </w:p>
    <w:p>
      <w:pPr>
        <w:pStyle w:val="Heading6"/>
        <w:numPr>
          <w:ilvl w:val="5"/>
          <w:numId w:val="1"/>
        </w:numPr>
        <w:rPr/>
      </w:pPr>
      <w:bookmarkStart w:id="482" w:name="__RefHeading___Toc5082788_2314609296"/>
      <w:bookmarkStart w:id="483" w:name="_Toc185"/>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 xml:space="preserve">و أمّا تعیین الموجب لخصوص المشتری المخاطب </w:t>
      </w:r>
      <w:r>
        <w:rPr>
          <w:rStyle w:val="FootnoteAnchor"/>
          <w:rtl w:val="true"/>
        </w:rPr>
        <w:footnoteReference w:id="1635"/>
      </w:r>
      <w:r>
        <w:rPr>
          <w:rFonts w:ascii="IRNazanin" w:hAnsi="IRNazanin" w:eastAsia="IRNazanin"/>
          <w:color w:val="111111"/>
          <w:sz w:val="28"/>
          <w:sz w:val="28"/>
          <w:szCs w:val="28"/>
          <w:rtl w:val="true"/>
          <w:lang w:bidi="fa-IR"/>
        </w:rPr>
        <w:t>،و القابل لخصوص البائع،فیحتمل اعتباره،إلّا فیما علم من الخارج عدم إرادة خصوص المخاطب لکلٍّ من المتخاطبین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غالب البیوع و الإجارات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فحینئذٍ یراد من ضمیر المخاطب </w:t>
      </w:r>
      <w:r>
        <w:rPr>
          <w:rStyle w:val="FootnoteAnchor"/>
          <w:rtl w:val="true"/>
        </w:rPr>
        <w:footnoteReference w:id="1636"/>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ملّکتک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منفعة </w:t>
      </w:r>
      <w:r>
        <w:rPr>
          <w:rStyle w:val="FootnoteAnchor"/>
          <w:rtl w:val="true"/>
        </w:rPr>
        <w:footnoteReference w:id="1637"/>
      </w:r>
      <w:r>
        <w:rPr>
          <w:rFonts w:ascii="IRNazanin" w:hAnsi="IRNazanin" w:eastAsia="IRNazanin"/>
          <w:color w:val="111111"/>
          <w:sz w:val="28"/>
          <w:sz w:val="28"/>
          <w:szCs w:val="28"/>
          <w:rtl w:val="true"/>
          <w:lang w:bidi="fa-IR"/>
        </w:rPr>
        <w:t>کذا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المخاطب بالاعتبار الأعمّ من کونه مالکاً حقیقیّا أو جعلیّاً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کالمشتری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هو بمنزلة المالک بإذن أو 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عدم اعتباره </w:t>
      </w:r>
      <w:r>
        <w:rPr>
          <w:rStyle w:val="FootnoteAnchor"/>
          <w:rtl w:val="true"/>
        </w:rPr>
        <w:footnoteReference w:id="1638"/>
      </w:r>
      <w:r>
        <w:rPr>
          <w:rFonts w:ascii="Amiri" w:hAnsi="Amiri" w:eastAsia="Amiri" w:cs="Amiri"/>
          <w:color w:val="111111"/>
          <w:sz w:val="28"/>
          <w:sz w:val="28"/>
          <w:szCs w:val="28"/>
          <w:rtl w:val="true"/>
          <w:lang w:bidi="ar-SA"/>
        </w:rPr>
        <w:t xml:space="preserve">إلّا فیما </w:t>
      </w:r>
      <w:r>
        <w:rPr>
          <w:rStyle w:val="FootnoteAnchor"/>
          <w:rtl w:val="true"/>
        </w:rPr>
        <w:footnoteReference w:id="1639"/>
      </w:r>
      <w:r>
        <w:rPr>
          <w:rFonts w:ascii="IRNazanin" w:hAnsi="IRNazanin" w:eastAsia="IRNazanin"/>
          <w:color w:val="111111"/>
          <w:sz w:val="28"/>
          <w:sz w:val="28"/>
          <w:szCs w:val="28"/>
          <w:rtl w:val="true"/>
          <w:lang w:bidi="fa-IR"/>
        </w:rPr>
        <w:t>علم من الخارج إرادة خصوص الطرفین،کما فی النکاح،و الوقف الخاصّ،و الهبة،و الوکالة،و الوصیّة</w:t>
      </w:r>
      <w:r>
        <w:rPr>
          <w:rFonts w:eastAsia="IRNazanin" w:cs="IRNazanin"/>
          <w:color w:val="111111"/>
          <w:sz w:val="28"/>
          <w:szCs w:val="28"/>
          <w:rtl w:val="true"/>
          <w:lang w:bidi="fa-IR"/>
        </w:rPr>
        <w:t>.</w:t>
      </w:r>
    </w:p>
    <w:p>
      <w:pPr>
        <w:pStyle w:val="Heading6"/>
        <w:numPr>
          <w:ilvl w:val="5"/>
          <w:numId w:val="1"/>
        </w:numPr>
        <w:rPr/>
      </w:pPr>
      <w:bookmarkStart w:id="484" w:name="__RefHeading___Toc5082790_2314609296"/>
      <w:bookmarkStart w:id="485" w:name="_Toc186"/>
      <w:bookmarkEnd w:id="484"/>
      <w:r>
        <w:rPr>
          <w:rtl w:val="true"/>
        </w:rPr>
        <w:t>[</w:t>
      </w:r>
      <w:r>
        <w:rPr>
          <w:rtl w:val="true"/>
        </w:rPr>
        <w:t>مختار المؤلف و دلیله</w:t>
      </w:r>
      <w:r>
        <w:rPr>
          <w:rtl w:val="true"/>
        </w:rPr>
        <w:t>]</w:t>
      </w:r>
      <w:bookmarkEnd w:id="485"/>
    </w:p>
    <w:p>
      <w:pPr>
        <w:pStyle w:val="BookText"/>
        <w:rPr/>
      </w:pPr>
      <w:r>
        <w:rPr>
          <w:rFonts w:ascii="IRNazanin" w:hAnsi="IRNazanin" w:eastAsia="IRNazanin"/>
          <w:color w:val="111111"/>
          <w:sz w:val="28"/>
          <w:sz w:val="28"/>
          <w:szCs w:val="28"/>
          <w:rtl w:val="true"/>
          <w:lang w:bidi="fa-IR"/>
        </w:rPr>
        <w:t xml:space="preserve">و الأقوی </w:t>
      </w:r>
      <w:r>
        <w:rPr>
          <w:rStyle w:val="FootnoteAnchor"/>
          <w:rtl w:val="true"/>
        </w:rPr>
        <w:footnoteReference w:id="1640"/>
      </w:r>
      <w:r>
        <w:rPr>
          <w:rFonts w:ascii="IRNazanin" w:hAnsi="IRNazanin" w:eastAsia="IRNazanin"/>
          <w:color w:val="111111"/>
          <w:sz w:val="28"/>
          <w:sz w:val="28"/>
          <w:szCs w:val="28"/>
          <w:rtl w:val="true"/>
          <w:lang w:bidi="fa-IR"/>
        </w:rPr>
        <w:t>هو الأوّل؛عملاً بظاهر الکلام الدالّ علی قصد الخصوصیّة،و تبعیّة العقود للقصود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فرض القول بالثانی </w:t>
      </w:r>
      <w:r>
        <w:rPr>
          <w:rStyle w:val="FootnoteAnchor"/>
          <w:rtl w:val="true"/>
        </w:rPr>
        <w:footnoteReference w:id="1641"/>
      </w:r>
      <w:r>
        <w:rPr>
          <w:rFonts w:ascii="IRNazanin" w:hAnsi="IRNazanin" w:eastAsia="IRNazanin"/>
          <w:color w:val="111111"/>
          <w:sz w:val="28"/>
          <w:sz w:val="28"/>
          <w:szCs w:val="28"/>
          <w:rtl w:val="true"/>
          <w:lang w:bidi="fa-IR"/>
        </w:rPr>
        <w:t>،فلو صرّح بإرادة خصوص المخاطب اتّبع قصده،فلا یجوز للقابل أن یقبل عن غیره</w:t>
      </w:r>
      <w:r>
        <w:rPr>
          <w:rFonts w:eastAsia="IRNazanin" w:cs="IRNazanin"/>
          <w:color w:val="111111"/>
          <w:sz w:val="28"/>
          <w:szCs w:val="28"/>
          <w:rtl w:val="true"/>
          <w:lang w:bidi="fa-IR"/>
        </w:rPr>
        <w:t>.</w:t>
      </w:r>
      <w:bookmarkStart w:id="486" w:name="pg19763_248050"/>
    </w:p>
    <w:p>
      <w:pPr>
        <w:pStyle w:val="BookText"/>
        <w:rPr/>
      </w:pPr>
      <w:bookmarkEnd w:id="486"/>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باع الفضولی أو اشتری مع جهل الآخر، فإشکالٌ،ینشأ من أنّ الآخر إنّما قصد تملیک العاقد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الإشکال و إن کان ضعیفاً مخالفاً للإجماع و السیرة إلّا أنّه مبنیّ </w:t>
      </w:r>
      <w:r>
        <w:rPr>
          <w:rStyle w:val="FootnoteAnchor"/>
          <w:rtl w:val="true"/>
        </w:rPr>
        <w:footnoteReference w:id="1643"/>
      </w:r>
      <w:r>
        <w:rPr>
          <w:rFonts w:ascii="IRNazanin" w:hAnsi="IRNazanin" w:eastAsia="IRNazanin"/>
          <w:color w:val="111111"/>
          <w:sz w:val="28"/>
          <w:sz w:val="28"/>
          <w:szCs w:val="28"/>
          <w:rtl w:val="true"/>
          <w:lang w:bidi="fa-IR"/>
        </w:rPr>
        <w:t>علی ما ذکرنا من مراعاة ظاهر الکلام</w:t>
      </w:r>
      <w:r>
        <w:rPr>
          <w:rFonts w:eastAsia="IRNazanin" w:cs="IRNazanin"/>
          <w:color w:val="111111"/>
          <w:sz w:val="28"/>
          <w:szCs w:val="28"/>
          <w:rtl w:val="true"/>
          <w:lang w:bidi="fa-IR"/>
        </w:rPr>
        <w:t>.</w:t>
      </w:r>
    </w:p>
    <w:p>
      <w:pPr>
        <w:pStyle w:val="Heading5"/>
        <w:numPr>
          <w:ilvl w:val="4"/>
          <w:numId w:val="1"/>
        </w:numPr>
        <w:rPr/>
      </w:pPr>
      <w:bookmarkStart w:id="487" w:name="__RefHeading___Toc5082792_2314609296"/>
      <w:bookmarkStart w:id="488" w:name="_Toc187"/>
      <w:bookmarkEnd w:id="487"/>
      <w:r>
        <w:rPr>
          <w:rtl w:val="true"/>
        </w:rPr>
        <w:t>[</w:t>
      </w:r>
      <w:r>
        <w:rPr>
          <w:rtl w:val="true"/>
        </w:rPr>
        <w:t>کلام العلامة فی الفرق بین البیع و شبهه و بین النکاح و المناقشة فیه</w:t>
      </w:r>
      <w:r>
        <w:rPr>
          <w:rtl w:val="true"/>
        </w:rPr>
        <w:t>]</w:t>
      </w:r>
      <w:bookmarkEnd w:id="488"/>
    </w:p>
    <w:p>
      <w:pPr>
        <w:pStyle w:val="BookText"/>
        <w:rPr/>
      </w:pPr>
      <w:r>
        <w:rPr>
          <w:rFonts w:ascii="IRNazanin" w:hAnsi="IRNazanin" w:eastAsia="IRNazanin"/>
          <w:color w:val="111111"/>
          <w:sz w:val="28"/>
          <w:sz w:val="28"/>
          <w:szCs w:val="28"/>
          <w:rtl w:val="true"/>
          <w:lang w:bidi="fa-IR"/>
        </w:rPr>
        <w:t>و قد یقال فی الفرق بین البیع و شبهه و بین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الزوجین فی النکاح کالعوضین فی سائر العقود،و یختلف الأغراض باختلافهما </w:t>
      </w:r>
      <w:r>
        <w:rPr>
          <w:rStyle w:val="FootnoteAnchor"/>
          <w:rtl w:val="true"/>
        </w:rPr>
        <w:footnoteReference w:id="1644"/>
      </w:r>
      <w:r>
        <w:rPr>
          <w:rFonts w:ascii="IRNazanin" w:hAnsi="IRNazanin" w:eastAsia="IRNazanin"/>
          <w:color w:val="111111"/>
          <w:sz w:val="28"/>
          <w:sz w:val="28"/>
          <w:szCs w:val="28"/>
          <w:rtl w:val="true"/>
          <w:lang w:bidi="fa-IR"/>
        </w:rPr>
        <w:t xml:space="preserve">، فلا بدّ من التعیین و توارد الإیجاب و القبول علی أمرٍ واحد،و لأنّ </w:t>
      </w:r>
      <w:r>
        <w:rPr>
          <w:rStyle w:val="FootnoteAnchor"/>
          <w:rtl w:val="true"/>
        </w:rPr>
        <w:footnoteReference w:id="1645"/>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کذا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 بکونه مشتریاً للمال المبیع، و المشتری یطلق علی المالک و وکیله،و معنی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رضاها بکونه زوجاً،و الزوج لا یطلق علی الوکیل </w:t>
      </w:r>
      <w:r>
        <w:rPr>
          <w:rStyle w:val="FootnoteAnchor"/>
          <w:rtl w:val="true"/>
        </w:rPr>
        <w:footnoteReference w:id="16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الوجه الأوّل من وجهی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کون الزوجین کالعوضین إنّما یصحّ </w:t>
      </w:r>
      <w:r>
        <w:rPr>
          <w:rStyle w:val="FootnoteAnchor"/>
          <w:rtl w:val="true"/>
        </w:rPr>
        <w:footnoteReference w:id="1647"/>
      </w:r>
      <w:r>
        <w:rPr>
          <w:rFonts w:ascii="Amiri" w:hAnsi="Amiri" w:eastAsia="Amiri" w:cs="Amiri"/>
          <w:color w:val="111111"/>
          <w:sz w:val="28"/>
          <w:sz w:val="28"/>
          <w:szCs w:val="28"/>
          <w:rtl w:val="true"/>
          <w:lang w:bidi="ar-SA"/>
        </w:rPr>
        <w:t xml:space="preserve">وجهاً </w:t>
      </w:r>
      <w:r>
        <w:rPr>
          <w:rStyle w:val="FootnoteAnchor"/>
          <w:rtl w:val="true"/>
        </w:rPr>
        <w:footnoteReference w:id="1648"/>
      </w:r>
      <w:r>
        <w:rPr>
          <w:rFonts w:ascii="IRNazanin" w:hAnsi="IRNazanin" w:eastAsia="IRNazanin"/>
          <w:color w:val="111111"/>
          <w:sz w:val="28"/>
          <w:sz w:val="28"/>
          <w:szCs w:val="28"/>
          <w:rtl w:val="true"/>
          <w:lang w:bidi="fa-IR"/>
        </w:rPr>
        <w:t xml:space="preserve">لوجوب التعیین فی النکاح،لا لعدم وجوبه فی البیع؛مع أنّ الظاهر أنّ ما ذکرنا من الوقف و إخوته </w:t>
      </w:r>
      <w:r>
        <w:rPr>
          <w:rStyle w:val="FootnoteAnchor"/>
          <w:rtl w:val="true"/>
        </w:rPr>
        <w:footnoteReference w:id="1649"/>
      </w:r>
      <w:bookmarkStart w:id="489" w:name="pg19763_248051"/>
    </w:p>
    <w:p>
      <w:pPr>
        <w:pStyle w:val="BookText"/>
        <w:rPr/>
      </w:pPr>
      <w:bookmarkEnd w:id="489"/>
      <w:r>
        <w:rPr>
          <w:rFonts w:ascii="IRNazanin" w:hAnsi="IRNazanin" w:eastAsia="IRNazanin"/>
          <w:color w:val="111111"/>
          <w:sz w:val="28"/>
          <w:sz w:val="28"/>
          <w:szCs w:val="28"/>
          <w:rtl w:val="true"/>
          <w:lang w:bidi="fa-IR"/>
        </w:rPr>
        <w:t>کالنکاح فی عدم جواز قصد القابل القبول فیها علی وجه النیابة أو الفضولی،فلا بدّ من وجهٍ مطّردٍ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 علیه فخر المحقّقین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ملّکتک بعوض </w:t>
      </w:r>
      <w:r>
        <w:rPr>
          <w:rStyle w:val="FootnoteAnchor"/>
          <w:rtl w:val="true"/>
        </w:rPr>
        <w:footnoteReference w:id="1650"/>
      </w:r>
      <w:r>
        <w:rPr>
          <w:rFonts w:ascii="IRNazanin" w:hAnsi="IRNazanin" w:eastAsia="IRNazanin"/>
          <w:color w:val="111111"/>
          <w:sz w:val="28"/>
          <w:sz w:val="28"/>
          <w:szCs w:val="28"/>
          <w:rtl w:val="true"/>
          <w:lang w:bidi="fa-IR"/>
        </w:rPr>
        <w:t>،و معناه جعل المخاطب مالکاً،و من المعلوم أنّ المالک لا یصدق علی الولیّ و الوکیل و الفضولی</w:t>
      </w:r>
      <w:r>
        <w:rPr>
          <w:rFonts w:eastAsia="IRNazanin" w:cs="IRNazanin"/>
          <w:color w:val="111111"/>
          <w:sz w:val="28"/>
          <w:szCs w:val="28"/>
          <w:rtl w:val="true"/>
          <w:lang w:bidi="fa-IR"/>
        </w:rPr>
        <w:t>.</w:t>
      </w:r>
    </w:p>
    <w:p>
      <w:pPr>
        <w:pStyle w:val="Heading5"/>
        <w:numPr>
          <w:ilvl w:val="4"/>
          <w:numId w:val="1"/>
        </w:numPr>
        <w:rPr/>
      </w:pPr>
      <w:bookmarkStart w:id="490" w:name="__RefHeading___Toc5082794_2314609296"/>
      <w:bookmarkStart w:id="491" w:name="_Toc188"/>
      <w:bookmarkEnd w:id="490"/>
      <w:r>
        <w:rPr>
          <w:rtl w:val="true"/>
        </w:rPr>
        <w:t>[</w:t>
      </w:r>
      <w:r>
        <w:rPr>
          <w:rtl w:val="true"/>
        </w:rPr>
        <w:t>الأولی فی الفرق بین النکاح و البیع</w:t>
      </w:r>
      <w:r>
        <w:rPr>
          <w:rtl w:val="true"/>
        </w:rPr>
        <w:t>]</w:t>
      </w:r>
      <w:bookmarkEnd w:id="491"/>
    </w:p>
    <w:p>
      <w:pPr>
        <w:pStyle w:val="BookText"/>
        <w:rPr/>
      </w:pPr>
      <w:r>
        <w:rPr>
          <w:rFonts w:ascii="IRNazanin" w:hAnsi="IRNazanin" w:eastAsia="IRNazanin"/>
          <w:color w:val="111111"/>
          <w:sz w:val="28"/>
          <w:sz w:val="28"/>
          <w:szCs w:val="28"/>
          <w:rtl w:val="true"/>
          <w:lang w:bidi="fa-IR"/>
        </w:rPr>
        <w:t>فالأولی فی الفرق ما ذکرنا من أنّ الغالب فی البیع و الإجارة هو قصد المخاطب لا من حیث هو،بل بالاعتبار الأعمّ من کونه أصالة أو عن الغیر،و لا ینافی ذلک عدم سماع قول المشتری فی دعوی کونه غیر 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النکاح و ما أشبهه؛فإنّ الغالب قصد المتکلّم للمخاطب من حیث إنّه رکن للعقد،بل ربما یستشکل فی صحّة أن یراد من </w:t>
      </w:r>
      <w:r>
        <w:rPr>
          <w:rStyle w:val="FootnoteAnchor"/>
          <w:rtl w:val="true"/>
        </w:rPr>
        <w:footnoteReference w:id="1651"/>
      </w:r>
      <w:r>
        <w:rPr>
          <w:rFonts w:ascii="IRNazanin" w:hAnsi="IRNazanin" w:eastAsia="IRNazanin"/>
          <w:color w:val="111111"/>
          <w:sz w:val="28"/>
          <w:sz w:val="28"/>
          <w:szCs w:val="28"/>
          <w:rtl w:val="true"/>
          <w:lang w:bidi="fa-IR"/>
        </w:rPr>
        <w:t xml:space="preserve">القرینة المخاطب من حیث قیامه مقام الأصیل </w:t>
      </w:r>
      <w:r>
        <w:rPr>
          <w:rStyle w:val="FootnoteAnchor"/>
          <w:rtl w:val="true"/>
        </w:rPr>
        <w:footnoteReference w:id="1652"/>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مریداً له </w:t>
      </w:r>
      <w:r>
        <w:rPr>
          <w:rStyle w:val="FootnoteAnchor"/>
          <w:rtl w:val="true"/>
        </w:rPr>
        <w:footnoteReference w:id="1653"/>
      </w:r>
      <w:r>
        <w:rPr>
          <w:rFonts w:ascii="IRNazanin" w:hAnsi="IRNazanin" w:eastAsia="IRNazanin"/>
          <w:color w:val="111111"/>
          <w:sz w:val="28"/>
          <w:sz w:val="28"/>
          <w:szCs w:val="28"/>
          <w:rtl w:val="true"/>
          <w:lang w:bidi="fa-IR"/>
        </w:rPr>
        <w:t>باعتبار کونه وکیلاً عن الزوج،و کذا قوله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الوجه عدم تعارف صدق هذه العنوانات علی الوکیل فیها،فلا یقال للوکیل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الموقوف علیه،و لا الموصی له،و لا الوکیل </w:t>
      </w:r>
      <w:r>
        <w:rPr>
          <w:rStyle w:val="FootnoteAnchor"/>
          <w:rtl w:val="true"/>
        </w:rPr>
        <w:footnoteReference w:id="1654"/>
      </w:r>
      <w:r>
        <w:rPr>
          <w:rFonts w:ascii="IRNazanin" w:hAnsi="IRNazanin" w:eastAsia="IRNazanin"/>
          <w:color w:val="111111"/>
          <w:sz w:val="28"/>
          <w:sz w:val="28"/>
          <w:szCs w:val="28"/>
          <w:rtl w:val="true"/>
          <w:lang w:bidi="fa-IR"/>
        </w:rPr>
        <w:t xml:space="preserve">،بخلاف البائع و المستأجر،فتأمّل؛حتّی لا یتوهّم رجوعه </w:t>
      </w:r>
      <w:r>
        <w:rPr>
          <w:rStyle w:val="FootnoteAnchor"/>
          <w:rtl w:val="true"/>
        </w:rPr>
        <w:footnoteReference w:id="1655"/>
      </w:r>
      <w:r>
        <w:rPr>
          <w:rFonts w:ascii="IRNazanin" w:hAnsi="IRNazanin" w:eastAsia="IRNazanin"/>
          <w:color w:val="111111"/>
          <w:sz w:val="28"/>
          <w:sz w:val="28"/>
          <w:szCs w:val="28"/>
          <w:rtl w:val="true"/>
          <w:lang w:bidi="fa-IR"/>
        </w:rPr>
        <w:t xml:space="preserve">إلی ما ذکرنا سابقاً </w:t>
      </w:r>
      <w:r>
        <w:rPr>
          <w:rStyle w:val="FootnoteAnchor"/>
          <w:rtl w:val="true"/>
        </w:rPr>
        <w:footnoteReference w:id="1656"/>
      </w:r>
      <w:r>
        <w:rPr>
          <w:rFonts w:ascii="IRNazanin" w:hAnsi="IRNazanin" w:eastAsia="IRNazanin"/>
          <w:color w:val="111111"/>
          <w:sz w:val="28"/>
          <w:sz w:val="28"/>
          <w:szCs w:val="28"/>
          <w:rtl w:val="true"/>
          <w:lang w:bidi="fa-IR"/>
        </w:rPr>
        <w:t xml:space="preserve">و اعترضنا علیه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bookmarkStart w:id="492" w:name="pg19763_248053"/>
    </w:p>
    <w:p>
      <w:pPr>
        <w:pStyle w:val="Heading4"/>
        <w:numPr>
          <w:ilvl w:val="3"/>
          <w:numId w:val="1"/>
        </w:numPr>
        <w:rPr/>
      </w:pPr>
      <w:bookmarkStart w:id="493" w:name="__RefHeading___Toc5082796_2314609296"/>
      <w:bookmarkStart w:id="494" w:name="_Toc189"/>
      <w:bookmarkEnd w:id="492"/>
      <w:bookmarkEnd w:id="493"/>
      <w:r>
        <w:rPr>
          <w:rtl w:val="true"/>
        </w:rPr>
        <w:t>مسألة و من شرائط المتعاقدین</w:t>
      </w:r>
      <w:r>
        <w:rPr>
          <w:rtl w:val="true"/>
        </w:rPr>
        <w:t>:</w:t>
      </w:r>
      <w:r>
        <w:rPr>
          <w:rtl w:val="true"/>
        </w:rPr>
        <w:t>الاختیار،</w:t>
      </w:r>
      <w:bookmarkEnd w:id="494"/>
    </w:p>
    <w:p>
      <w:pPr>
        <w:pStyle w:val="Heading5"/>
        <w:numPr>
          <w:ilvl w:val="4"/>
          <w:numId w:val="1"/>
        </w:numPr>
        <w:rPr/>
      </w:pPr>
      <w:bookmarkStart w:id="495" w:name="__RefHeading___Toc5082798_2314609296"/>
      <w:bookmarkStart w:id="496" w:name="_Toc190"/>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و المراد به القصد إلی وقوع مضمون العقد عن طیب نفسٍ،فی مقابل الکراهة و عدم طیب النفس، لا الاختیار فی مقابل الجبر</w:t>
      </w:r>
      <w:r>
        <w:rPr>
          <w:rFonts w:eastAsia="IRNazanin" w:cs="IRNazanin"/>
          <w:color w:val="111111"/>
          <w:sz w:val="28"/>
          <w:szCs w:val="28"/>
          <w:rtl w:val="true"/>
          <w:lang w:bidi="fa-IR"/>
        </w:rPr>
        <w:t>.</w:t>
      </w:r>
    </w:p>
    <w:p>
      <w:pPr>
        <w:pStyle w:val="Heading5"/>
        <w:numPr>
          <w:ilvl w:val="4"/>
          <w:numId w:val="1"/>
        </w:numPr>
        <w:rPr/>
      </w:pPr>
      <w:bookmarkStart w:id="497" w:name="__RefHeading___Toc5082800_2314609296"/>
      <w:bookmarkStart w:id="498" w:name="_Toc191"/>
      <w:bookmarkEnd w:id="497"/>
      <w:r>
        <w:rPr>
          <w:rtl w:val="true"/>
        </w:rPr>
        <w:t>[</w:t>
      </w:r>
      <w:r>
        <w:rPr>
          <w:rtl w:val="true"/>
        </w:rPr>
        <w:t>ما یدل علی اشتراط الاختیار</w:t>
      </w:r>
      <w:r>
        <w:rPr>
          <w:rtl w:val="true"/>
        </w:rPr>
        <w:t>]</w:t>
      </w:r>
      <w:bookmarkEnd w:id="498"/>
    </w:p>
    <w:p>
      <w:pPr>
        <w:pStyle w:val="BookText"/>
        <w:rPr/>
      </w:pPr>
      <w:r>
        <w:rPr>
          <w:rFonts w:ascii="Amiri" w:hAnsi="Amiri" w:eastAsia="Amiri" w:cs="Amiri"/>
          <w:color w:val="111111"/>
          <w:sz w:val="28"/>
          <w:sz w:val="28"/>
          <w:szCs w:val="28"/>
          <w:rtl w:val="true"/>
          <w:lang w:bidi="ar-SA"/>
        </w:rPr>
        <w:t>و یدلّ علیه قبل الإجماع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تَکُونَ تِجٰارَةً عَنْ تَرٰاضٍ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عن طیب نفسه</w:t>
      </w:r>
      <w:r>
        <w:rPr>
          <w:rFonts w:eastAsia="IRNazanin" w:cs="IRNazanin"/>
          <w:color w:val="111111"/>
          <w:sz w:val="28"/>
          <w:szCs w:val="28"/>
          <w:rtl w:val="true"/>
          <w:lang w:bidi="fa-IR"/>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 و سلم فی الخبر المتّفق علیه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أُمّتی تسعة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bookmarkStart w:id="499" w:name="pg19763_248054"/>
    </w:p>
    <w:p>
      <w:pPr>
        <w:pStyle w:val="BookText"/>
        <w:rPr/>
      </w:pPr>
      <w:bookmarkEnd w:id="499"/>
      <w:r>
        <w:rPr>
          <w:rFonts w:ascii="IRNazanin" w:hAnsi="IRNazanin" w:eastAsia="IRNazanin"/>
          <w:color w:val="111111"/>
          <w:sz w:val="28"/>
          <w:sz w:val="28"/>
          <w:szCs w:val="28"/>
          <w:rtl w:val="true"/>
          <w:lang w:bidi="fa-IR"/>
        </w:rPr>
        <w:t xml:space="preserve">و ظاهره و إن کان رفع المؤاخذة،إلّا أنّ استشهاد الإمام علیه السلام به فی رفع بعض الأحکام الوضعیّة یشهد لعموم </w:t>
      </w:r>
      <w:r>
        <w:rPr>
          <w:rStyle w:val="FootnoteAnchor"/>
          <w:rtl w:val="true"/>
        </w:rPr>
        <w:footnoteReference w:id="1661"/>
      </w:r>
      <w:r>
        <w:rPr>
          <w:rFonts w:ascii="IRNazanin" w:hAnsi="IRNazanin" w:eastAsia="IRNazanin"/>
          <w:color w:val="111111"/>
          <w:sz w:val="28"/>
          <w:sz w:val="28"/>
          <w:szCs w:val="28"/>
          <w:rtl w:val="true"/>
          <w:lang w:bidi="fa-IR"/>
        </w:rPr>
        <w:t>المؤاخذة فیه لمطلق الإلزام علیه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البزنطی،عن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یستکره علی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فیحلف بالطلاق و العتاق و صدقة ما یملک،أ یلزمه ذلک؟فقال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أُمّتی ما اکرهوا علیه،و ما لم یطیقوا،و ما أخطأوا</w:t>
      </w:r>
      <w:r>
        <w:rPr>
          <w:rFonts w:eastAsia="IRNazanin" w:cs="IRNazanin"/>
          <w:color w:val="111111"/>
          <w:sz w:val="28"/>
          <w:szCs w:val="28"/>
          <w:rtl w:val="true"/>
          <w:lang w:bidi="fa-IR"/>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الحلف بالطلاق و العتاق و إن لم یکن صحیحاً عندنا من دون الإکراه أیضاً،إلّا أنّ مجرّد استشهاد الإمام علیه السلام فی عدم وقوع آثار ما حلف به بوضع ما اکرهوا علیه،یدلّ علی أنّ المراد بالنبوی </w:t>
      </w:r>
      <w:r>
        <w:rPr>
          <w:rStyle w:val="FootnoteAnchor"/>
          <w:rtl w:val="true"/>
        </w:rPr>
        <w:footnoteReference w:id="1663"/>
      </w:r>
      <w:r>
        <w:rPr>
          <w:rFonts w:ascii="IRNazanin" w:hAnsi="IRNazanin" w:eastAsia="IRNazanin"/>
          <w:color w:val="111111"/>
          <w:sz w:val="28"/>
          <w:sz w:val="28"/>
          <w:szCs w:val="28"/>
          <w:rtl w:val="true"/>
          <w:lang w:bidi="fa-IR"/>
        </w:rPr>
        <w:t xml:space="preserve">لیس رفع </w:t>
      </w:r>
      <w:r>
        <w:rPr>
          <w:rStyle w:val="FootnoteAnchor"/>
          <w:rtl w:val="true"/>
        </w:rPr>
        <w:footnoteReference w:id="1664"/>
      </w:r>
      <w:r>
        <w:rPr>
          <w:rFonts w:ascii="IRNazanin" w:hAnsi="IRNazanin" w:eastAsia="IRNazanin"/>
          <w:color w:val="111111"/>
          <w:sz w:val="28"/>
          <w:sz w:val="28"/>
          <w:szCs w:val="28"/>
          <w:rtl w:val="true"/>
          <w:lang w:bidi="fa-IR"/>
        </w:rPr>
        <w:t>خصوص المؤاخذة و العقاب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کلّه،مضافاً إلی الأخبار الواردة فی طلاق المکره </w:t>
      </w:r>
      <w:r>
        <w:rPr>
          <w:rStyle w:val="FootnoteAnchor"/>
          <w:rtl w:val="true"/>
        </w:rPr>
        <w:footnoteReference w:id="1665"/>
      </w:r>
      <w:r>
        <w:rPr>
          <w:rFonts w:ascii="IRNazanin" w:hAnsi="IRNazanin" w:eastAsia="IRNazanin"/>
          <w:color w:val="111111"/>
          <w:sz w:val="28"/>
          <w:sz w:val="28"/>
          <w:szCs w:val="28"/>
          <w:rtl w:val="true"/>
          <w:lang w:bidi="fa-IR"/>
        </w:rPr>
        <w:t>بضمیمة عدم الفرق</w:t>
      </w:r>
      <w:r>
        <w:rPr>
          <w:rFonts w:eastAsia="IRNazanin" w:cs="IRNazanin"/>
          <w:color w:val="111111"/>
          <w:sz w:val="28"/>
          <w:szCs w:val="28"/>
          <w:rtl w:val="true"/>
          <w:lang w:bidi="fa-IR"/>
        </w:rPr>
        <w:t>.</w:t>
      </w:r>
    </w:p>
    <w:p>
      <w:pPr>
        <w:pStyle w:val="Heading5"/>
        <w:numPr>
          <w:ilvl w:val="4"/>
          <w:numId w:val="1"/>
        </w:numPr>
        <w:rPr/>
      </w:pPr>
      <w:bookmarkStart w:id="500" w:name="__RefHeading___Toc5082802_2314609296"/>
      <w:bookmarkStart w:id="501" w:name="_Toc192"/>
      <w:bookmarkEnd w:id="500"/>
      <w:r>
        <w:rPr>
          <w:rtl w:val="true"/>
        </w:rPr>
        <w:t>[</w:t>
      </w:r>
      <w:r>
        <w:rPr>
          <w:rtl w:val="true"/>
        </w:rPr>
        <w:t>المراد من قولهم المکره قاصد إلی اللفظ غیر قاصد إلی مدلوله</w:t>
      </w:r>
      <w:r>
        <w:rPr>
          <w:rtl w:val="true"/>
        </w:rPr>
        <w:t>]</w:t>
      </w:r>
      <w:bookmarkEnd w:id="50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یظهر من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الشهیدان </w:t>
      </w:r>
      <w:r>
        <w:rPr>
          <w:rStyle w:val="FootnoteAnchor"/>
          <w:rtl w:val="true"/>
        </w:rPr>
        <w:footnoteReference w:id="1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المکره قاصد</w:t>
      </w:r>
    </w:p>
    <w:p>
      <w:pPr>
        <w:pStyle w:val="BookText"/>
        <w:rPr/>
      </w:pPr>
      <w:r>
        <w:rPr>
          <w:rFonts w:ascii="IRNazanin" w:hAnsi="IRNazanin" w:eastAsia="IRNazanin"/>
          <w:color w:val="111111"/>
          <w:sz w:val="28"/>
          <w:sz w:val="28"/>
          <w:szCs w:val="28"/>
          <w:rtl w:val="true"/>
          <w:lang w:bidi="fa-IR"/>
        </w:rPr>
        <w:t>إلی اللفظ غیر قاصد إلی مدلوله،بل یظهر ذلک من بعض کلمات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مرادهم أنّه لا قصد له إلّا إلی مجرّد التکلّم،کیف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دونه فی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للمعنی قصداً صوریاً، و الخالی عن القصد إلی غیر التکلّم هو من یتکلّم تقلیداً أو تلقیناً، کالطفل الجاهل بالمعانی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بعدم قصد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القصد إلی وقوع مضمون العقد فی الخارج،و أنّ الداعی له إلی الإنشاء لیس قصد وقوع مضمونه فی الخارج </w:t>
      </w:r>
      <w:r>
        <w:rPr>
          <w:rStyle w:val="FootnoteAnchor"/>
          <w:rtl w:val="true"/>
        </w:rPr>
        <w:footnoteReference w:id="1667"/>
      </w:r>
      <w:r>
        <w:rPr>
          <w:rFonts w:ascii="IRNazanin" w:hAnsi="IRNazanin" w:eastAsia="IRNazanin"/>
          <w:color w:val="111111"/>
          <w:sz w:val="28"/>
          <w:sz w:val="28"/>
          <w:szCs w:val="28"/>
          <w:rtl w:val="true"/>
          <w:lang w:bidi="fa-IR"/>
        </w:rPr>
        <w:t>،لا أنّ کلامه الإنشائی مجرّد عن المدلول،کیف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معلولٌ للکلام </w:t>
      </w:r>
      <w:r>
        <w:rPr>
          <w:rStyle w:val="FootnoteAnchor"/>
          <w:rtl w:val="true"/>
        </w:rPr>
        <w:footnoteReference w:id="1668"/>
      </w:r>
      <w:r>
        <w:rPr>
          <w:rFonts w:ascii="IRNazanin" w:hAnsi="IRNazanin" w:eastAsia="IRNazanin"/>
          <w:color w:val="111111"/>
          <w:sz w:val="28"/>
          <w:sz w:val="28"/>
          <w:szCs w:val="28"/>
          <w:rtl w:val="true"/>
          <w:lang w:bidi="fa-IR"/>
        </w:rPr>
        <w:t>الإنشائی إذا کان مستعملاً غیر مهمل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الذی ذکرنا لا یکاد یخفی علی من له أدنی تأمّلٍ فی معنی الإکراه لغةً و عرفاً و أدنی تتبّع فیما ذکره الأصحاب فی فروع الإکراه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لا تستقیم </w:t>
      </w:r>
      <w:r>
        <w:rPr>
          <w:rStyle w:val="FootnoteAnchor"/>
          <w:rtl w:val="true"/>
        </w:rPr>
        <w:footnoteReference w:id="1669"/>
      </w:r>
      <w:r>
        <w:rPr>
          <w:rFonts w:ascii="IRNazanin" w:hAnsi="IRNazanin" w:eastAsia="IRNazanin"/>
          <w:color w:val="111111"/>
          <w:sz w:val="28"/>
          <w:sz w:val="28"/>
          <w:szCs w:val="28"/>
          <w:rtl w:val="true"/>
          <w:lang w:bidi="fa-IR"/>
        </w:rPr>
        <w:t xml:space="preserve">مع ما توهمه </w:t>
      </w:r>
      <w:r>
        <w:rPr>
          <w:rStyle w:val="FootnoteAnchor"/>
          <w:rtl w:val="true"/>
        </w:rPr>
        <w:footnoteReference w:id="1670"/>
      </w:r>
      <w:r>
        <w:rPr>
          <w:rFonts w:ascii="IRNazanin" w:hAnsi="IRNazanin" w:eastAsia="IRNazanin"/>
          <w:color w:val="111111"/>
          <w:sz w:val="28"/>
          <w:sz w:val="28"/>
          <w:szCs w:val="28"/>
          <w:rtl w:val="true"/>
          <w:lang w:bidi="fa-IR"/>
        </w:rPr>
        <w:t xml:space="preserve">،من خلوّ المکرَه عن قصد مفهوم اللفظ </w:t>
      </w:r>
      <w:r>
        <w:rPr>
          <w:rStyle w:val="FootnoteAnchor"/>
          <w:rtl w:val="true"/>
        </w:rPr>
        <w:footnoteReference w:id="1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مقابلاً للقصد،و حکمهم بعدم وجوب التوریة فی التفصّی</w:t>
      </w:r>
    </w:p>
    <w:p>
      <w:pPr>
        <w:pStyle w:val="BookText"/>
        <w:rPr/>
      </w:pPr>
      <w:r>
        <w:rPr>
          <w:rFonts w:ascii="IRNazanin" w:hAnsi="IRNazanin" w:eastAsia="IRNazanin"/>
          <w:color w:val="111111"/>
          <w:sz w:val="28"/>
          <w:sz w:val="28"/>
          <w:szCs w:val="28"/>
          <w:rtl w:val="true"/>
          <w:lang w:bidi="fa-IR"/>
        </w:rPr>
        <w:t xml:space="preserve">عن الإکراه </w:t>
      </w:r>
      <w:r>
        <w:rPr>
          <w:rStyle w:val="FootnoteAnchor"/>
          <w:rtl w:val="true"/>
        </w:rPr>
        <w:footnoteReference w:id="1672"/>
      </w:r>
      <w:r>
        <w:rPr>
          <w:rFonts w:ascii="Amiri" w:hAnsi="Amiri" w:eastAsia="Amiri" w:cs="Amiri"/>
          <w:color w:val="111111"/>
          <w:sz w:val="28"/>
          <w:sz w:val="28"/>
          <w:szCs w:val="28"/>
          <w:rtl w:val="true"/>
          <w:lang w:bidi="ar-SA"/>
        </w:rPr>
        <w:t xml:space="preserve">و صحّة بیعه </w:t>
      </w:r>
      <w:r>
        <w:rPr>
          <w:rStyle w:val="FootnoteAnchor"/>
          <w:rtl w:val="true"/>
        </w:rPr>
        <w:footnoteReference w:id="1673"/>
      </w:r>
      <w:r>
        <w:rPr>
          <w:rFonts w:ascii="IRNazanin" w:hAnsi="IRNazanin" w:eastAsia="IRNazanin"/>
          <w:color w:val="111111"/>
          <w:sz w:val="28"/>
          <w:sz w:val="28"/>
          <w:szCs w:val="28"/>
          <w:rtl w:val="true"/>
          <w:lang w:bidi="fa-IR"/>
        </w:rPr>
        <w:t xml:space="preserve">بعد الرضا </w:t>
      </w:r>
      <w:r>
        <w:rPr>
          <w:rStyle w:val="FootnoteAnchor"/>
          <w:rtl w:val="true"/>
        </w:rPr>
        <w:footnoteReference w:id="1674"/>
      </w:r>
      <w:r>
        <w:rPr>
          <w:rFonts w:ascii="IRNazanin" w:hAnsi="IRNazanin" w:eastAsia="IRNazanin"/>
          <w:color w:val="111111"/>
          <w:sz w:val="28"/>
          <w:sz w:val="28"/>
          <w:szCs w:val="28"/>
          <w:rtl w:val="true"/>
          <w:lang w:bidi="fa-IR"/>
        </w:rPr>
        <w:t xml:space="preserve">،و استدلالهم </w:t>
      </w:r>
      <w:r>
        <w:rPr>
          <w:rStyle w:val="FootnoteAnchor"/>
          <w:rtl w:val="true"/>
        </w:rPr>
        <w:footnoteReference w:id="1675"/>
      </w:r>
      <w:r>
        <w:rPr>
          <w:rFonts w:ascii="IRNazanin" w:hAnsi="IRNazanin" w:eastAsia="IRNazanin"/>
          <w:color w:val="111111"/>
          <w:sz w:val="28"/>
          <w:sz w:val="28"/>
          <w:szCs w:val="28"/>
          <w:rtl w:val="true"/>
          <w:lang w:bidi="fa-IR"/>
        </w:rPr>
        <w:t xml:space="preserve">له بالأخبار الواردة فی طلاق المکره و أنّه لا طلاق إلّا مع إرادة الطلاق </w:t>
      </w:r>
      <w:r>
        <w:rPr>
          <w:rStyle w:val="FootnoteAnchor"/>
          <w:rtl w:val="true"/>
        </w:rPr>
        <w:footnoteReference w:id="1676"/>
      </w:r>
      <w:r>
        <w:rPr>
          <w:rFonts w:ascii="Amiri" w:hAnsi="Amiri" w:eastAsia="Amiri" w:cs="Amiri"/>
          <w:color w:val="111111"/>
          <w:sz w:val="28"/>
          <w:sz w:val="28"/>
          <w:szCs w:val="28"/>
          <w:rtl w:val="true"/>
          <w:lang w:bidi="ar-SA"/>
        </w:rPr>
        <w:t xml:space="preserve">،حیث إنّ المنفیّ صحّة الطلاق،لا تحقّق مفهومه لغةً و عرفاً،و فی ما ورد فیمن طلّق مداراةً بأهله </w:t>
      </w:r>
      <w:r>
        <w:rPr>
          <w:rStyle w:val="FootnoteAnchor"/>
          <w:rtl w:val="true"/>
        </w:rPr>
        <w:footnoteReference w:id="1677"/>
      </w:r>
      <w:r>
        <w:rPr>
          <w:rFonts w:ascii="IRNazanin" w:hAnsi="IRNazanin" w:eastAsia="IRNazanin"/>
          <w:color w:val="111111"/>
          <w:sz w:val="28"/>
          <w:sz w:val="28"/>
          <w:szCs w:val="28"/>
          <w:rtl w:val="true"/>
          <w:lang w:bidi="fa-IR"/>
        </w:rPr>
        <w:t xml:space="preserve">،إلی غیر ذلک،و فی أنّ مخالفة بعض العامّة فی وقوع الطلاق إکراهاً </w:t>
      </w:r>
      <w:r>
        <w:rPr>
          <w:rStyle w:val="FootnoteAnchor"/>
          <w:rtl w:val="true"/>
        </w:rPr>
        <w:footnoteReference w:id="1678"/>
      </w:r>
      <w:r>
        <w:rPr>
          <w:rFonts w:ascii="IRNazanin" w:hAnsi="IRNazanin" w:eastAsia="IRNazanin"/>
          <w:color w:val="111111"/>
          <w:sz w:val="28"/>
          <w:sz w:val="28"/>
          <w:szCs w:val="28"/>
          <w:rtl w:val="true"/>
          <w:lang w:bidi="fa-IR"/>
        </w:rPr>
        <w:t>،لا ینبغی أن تحمل علی الکلام المجرّد عن قصد المفهوم، الذی لا یسمّی خبراً و لا إنشاءً و غیر ذلک،ممّا یوجب القطع بأنّ المراد بالقصد المفقود فی المکره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إلی وقوع أثر العقد و مضمونه فی الواقع و عدم طیب النفس به،لا عدم إرادة المعنی من الکلام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فی ذلک ما ذکره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المکره و الفضولی قاصدان إلی اللفظ دون مدلوله </w:t>
      </w:r>
      <w:r>
        <w:rPr>
          <w:rStyle w:val="FootnoteAnchor"/>
          <w:rtl w:val="true"/>
        </w:rPr>
        <w:footnoteReference w:id="1679"/>
      </w:r>
      <w:r>
        <w:rPr>
          <w:rFonts w:ascii="IRNazanin" w:hAnsi="IRNazanin" w:eastAsia="IRNazanin"/>
          <w:color w:val="111111"/>
          <w:sz w:val="28"/>
          <w:sz w:val="28"/>
          <w:szCs w:val="28"/>
          <w:rtl w:val="true"/>
          <w:lang w:bidi="fa-IR"/>
        </w:rPr>
        <w:t>،نعم ذکر فی التحریر و المسالک فی</w:t>
      </w:r>
      <w:bookmarkStart w:id="502" w:name="pg19763_248057"/>
    </w:p>
    <w:p>
      <w:pPr>
        <w:pStyle w:val="BookText"/>
        <w:rPr/>
      </w:pPr>
      <w:bookmarkEnd w:id="502"/>
      <w:r>
        <w:rPr>
          <w:rFonts w:ascii="IRNazanin" w:hAnsi="IRNazanin" w:eastAsia="IRNazanin"/>
          <w:color w:val="111111"/>
          <w:sz w:val="28"/>
          <w:sz w:val="28"/>
          <w:szCs w:val="28"/>
          <w:rtl w:val="true"/>
          <w:lang w:bidi="fa-IR"/>
        </w:rPr>
        <w:t xml:space="preserve">فروع المسألة ما یوهم ذلک </w:t>
      </w:r>
      <w:r>
        <w:rPr>
          <w:rStyle w:val="FootnoteAnchor"/>
          <w:rtl w:val="true"/>
        </w:rPr>
        <w:footnoteReference w:id="1680"/>
      </w:r>
      <w:r>
        <w:rPr>
          <w:rFonts w:ascii="IRNazanin" w:hAnsi="IRNazanin" w:eastAsia="IRNazanin"/>
          <w:color w:val="111111"/>
          <w:sz w:val="28"/>
          <w:sz w:val="28"/>
          <w:szCs w:val="28"/>
          <w:rtl w:val="true"/>
          <w:lang w:bidi="fa-IR"/>
        </w:rPr>
        <w:t>،قال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اکره علی الطلاق فطلّق ناویاً،فالأقرب وقوع الطلاق،إذ لا إکراه علی القصد </w:t>
      </w:r>
      <w:r>
        <w:rPr>
          <w:rStyle w:val="FootnoteAnchor"/>
          <w:rtl w:val="true"/>
        </w:rPr>
        <w:footnoteReference w:id="168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المعاصرین </w:t>
      </w:r>
      <w:r>
        <w:rPr>
          <w:rStyle w:val="FootnoteAnchor"/>
          <w:rtl w:val="true"/>
        </w:rPr>
        <w:footnoteReference w:id="1682"/>
      </w:r>
      <w:r>
        <w:rPr>
          <w:rFonts w:ascii="IRNazanin" w:hAnsi="IRNazanin" w:eastAsia="IRNazanin"/>
          <w:color w:val="111111"/>
          <w:sz w:val="28"/>
          <w:sz w:val="28"/>
          <w:szCs w:val="28"/>
          <w:rtl w:val="true"/>
          <w:lang w:bidi="fa-IR"/>
        </w:rPr>
        <w:t xml:space="preserve">بنی هذا الفرع علی تفسیر القصد بما ذکرنا من متوهَّم کلامهم،فردّ علیهم بفساد المبنیٰ،و عدم وقوع الطلاق فی الفرض المزبور،لکنّ المتأمّل یقطع بعدم إرادتهم لذلک،و سیأتی ما یمکن توجیه الفرع المزبور به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5082804_2314609296"/>
      <w:bookmarkStart w:id="504" w:name="_Toc193"/>
      <w:bookmarkEnd w:id="503"/>
      <w:r>
        <w:rPr>
          <w:rtl w:val="true"/>
        </w:rPr>
        <w:t>[</w:t>
      </w:r>
      <w:r>
        <w:rPr>
          <w:rtl w:val="true"/>
        </w:rPr>
        <w:t>حقیقة الإکراه</w:t>
      </w:r>
      <w:r>
        <w:rPr>
          <w:rtl w:val="true"/>
        </w:rPr>
        <w:t>]</w:t>
      </w:r>
      <w:bookmarkEnd w:id="504"/>
    </w:p>
    <w:p>
      <w:pPr>
        <w:pStyle w:val="BookText"/>
        <w:rPr/>
      </w:pPr>
      <w:r>
        <w:rPr>
          <w:rFonts w:ascii="IRNazanin" w:hAnsi="IRNazanin" w:eastAsia="IRNazanin"/>
          <w:color w:val="111111"/>
          <w:sz w:val="28"/>
          <w:sz w:val="28"/>
          <w:szCs w:val="28"/>
          <w:rtl w:val="true"/>
          <w:lang w:bidi="fa-IR"/>
        </w:rPr>
        <w:t>ثمّ إنّ حقیقة الإکراه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الغیر علی ما یکرهه، و یعتبر فی وقوع الفعل عن </w:t>
      </w:r>
      <w:r>
        <w:rPr>
          <w:rStyle w:val="FootnoteAnchor"/>
          <w:rtl w:val="true"/>
        </w:rPr>
        <w:footnoteReference w:id="1684"/>
      </w:r>
      <w:r>
        <w:rPr>
          <w:rFonts w:ascii="IRNazanin" w:hAnsi="IRNazanin" w:eastAsia="IRNazanin"/>
          <w:color w:val="111111"/>
          <w:sz w:val="28"/>
          <w:sz w:val="28"/>
          <w:szCs w:val="28"/>
          <w:rtl w:val="true"/>
          <w:lang w:bidi="fa-IR"/>
        </w:rPr>
        <w:t>ذلک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اقترانه بوعید منه </w:t>
      </w:r>
      <w:r>
        <w:rPr>
          <w:rStyle w:val="FootnoteAnchor"/>
          <w:rtl w:val="true"/>
        </w:rPr>
        <w:footnoteReference w:id="1685"/>
      </w:r>
      <w:r>
        <w:rPr>
          <w:rFonts w:ascii="IRNazanin" w:hAnsi="IRNazanin" w:eastAsia="IRNazanin"/>
          <w:color w:val="111111"/>
          <w:sz w:val="28"/>
          <w:sz w:val="28"/>
          <w:szCs w:val="28"/>
          <w:rtl w:val="true"/>
          <w:lang w:bidi="fa-IR"/>
        </w:rPr>
        <w:t xml:space="preserve">مظنون الترتّب علی ترک </w:t>
      </w:r>
      <w:r>
        <w:rPr>
          <w:rStyle w:val="FootnoteAnchor"/>
          <w:rtl w:val="true"/>
        </w:rPr>
        <w:footnoteReference w:id="1686"/>
      </w:r>
      <w:r>
        <w:rPr>
          <w:rFonts w:ascii="Amiri" w:hAnsi="Amiri" w:eastAsia="Amiri" w:cs="Amiri"/>
          <w:color w:val="111111"/>
          <w:sz w:val="28"/>
          <w:sz w:val="28"/>
          <w:szCs w:val="28"/>
          <w:rtl w:val="true"/>
          <w:lang w:bidi="ar-SA"/>
        </w:rPr>
        <w:t>ذلک الفعل،مضرٍّ بحال الفاعل أو متعلّقه نفساً أو عِرضاً أو مالاً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الفعل لدفع الضرر المترتّب علی ترکه لا یُدخِله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الأفعال الصادرة من العقلاء کلّها أو جلّها ناشئة عن دفع الضرر،و لیس دفع مطلق الضرر الحاصل من</w:t>
      </w:r>
      <w:bookmarkStart w:id="505" w:name="pg19763_248058"/>
    </w:p>
    <w:p>
      <w:pPr>
        <w:pStyle w:val="BookText"/>
        <w:rPr/>
      </w:pPr>
      <w:bookmarkEnd w:id="505"/>
      <w:r>
        <w:rPr>
          <w:rFonts w:ascii="IRNazanin" w:hAnsi="IRNazanin" w:eastAsia="IRNazanin"/>
          <w:color w:val="111111"/>
          <w:sz w:val="28"/>
          <w:sz w:val="28"/>
          <w:szCs w:val="28"/>
          <w:rtl w:val="true"/>
          <w:lang w:bidi="fa-IR"/>
        </w:rPr>
        <w:t>إیعاد شخص یوجب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علیه،فإنّ من اکره علی دفع مالٍ و توقّف علی بیع بعض أمواله،فالبیع الواقع منه لبعض أمواله و إن کان لدفع الضرر المتوعّد به علی عدم دفع ذلک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یرتفع التحریم عنه لو فرض حرمته علیه لحلف أو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لیس مُکرَهاً علیه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فالمعیار فی وقوع الفعل مُکرَهاً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الإکراه المقترن بإیعاد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الاستقلال فی التصرّف؛بحیث لا تطیب نفسه بما یصدر منه و لا یتعمّد </w:t>
      </w:r>
      <w:r>
        <w:rPr>
          <w:rStyle w:val="FootnoteAnchor"/>
          <w:rtl w:val="true"/>
        </w:rPr>
        <w:footnoteReference w:id="1688"/>
      </w:r>
      <w:r>
        <w:rPr>
          <w:rFonts w:ascii="IRNazanin" w:hAnsi="IRNazanin" w:eastAsia="IRNazanin"/>
          <w:color w:val="111111"/>
          <w:sz w:val="28"/>
          <w:sz w:val="28"/>
          <w:szCs w:val="28"/>
          <w:rtl w:val="true"/>
          <w:lang w:bidi="fa-IR"/>
        </w:rPr>
        <w:t xml:space="preserve">إلیه عن رضا و إن کان یختاره لاستقلال العقل بوجوب اختیاره؛دفعاً للضرر أو ترجیحاً لأقلّ الضررین،إلّا أنّ هذا المقدار لا یوجب طیب نفسه به؛فإنّ النفس مجبولة علی کراهة ما یحمله غیره علیه مع الإیعاد علیه بما یشقّ </w:t>
      </w:r>
      <w:r>
        <w:rPr>
          <w:rStyle w:val="FootnoteAnchor"/>
          <w:rtl w:val="true"/>
        </w:rPr>
        <w:footnoteReference w:id="1689"/>
      </w:r>
      <w:r>
        <w:rPr>
          <w:rFonts w:ascii="Amiri" w:hAnsi="Amiri" w:eastAsia="Amiri" w:cs="Amiri"/>
          <w:color w:val="111111"/>
          <w:sz w:val="28"/>
          <w:sz w:val="28"/>
          <w:szCs w:val="28"/>
          <w:rtl w:val="true"/>
          <w:lang w:bidi="ar-SA"/>
        </w:rPr>
        <w:t>تحمّله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الفاعل قد یفعل لدفع الضرر،لکنّه مستقلّ فی فعله و مخلّی و طبعه فیه بحیث یطیب نفسه بفعله و إن کان من باب علاج الضرر،و قد یفعل لدفع ضرر إیعاد الغیر علی ترکه،و هذا ممّا لا یطیب النفس به،و ذلک معلوم بالوجدان</w:t>
      </w:r>
      <w:r>
        <w:rPr>
          <w:rFonts w:eastAsia="IRNazanin" w:cs="IRNazanin"/>
          <w:color w:val="111111"/>
          <w:sz w:val="28"/>
          <w:szCs w:val="28"/>
          <w:rtl w:val="true"/>
          <w:lang w:bidi="fa-IR"/>
        </w:rPr>
        <w:t>.</w:t>
      </w:r>
    </w:p>
    <w:p>
      <w:pPr>
        <w:pStyle w:val="Heading5"/>
        <w:numPr>
          <w:ilvl w:val="4"/>
          <w:numId w:val="1"/>
        </w:numPr>
        <w:rPr/>
      </w:pPr>
      <w:bookmarkStart w:id="506" w:name="__RefHeading___Toc5082806_2314609296"/>
      <w:bookmarkStart w:id="507" w:name="_Toc194"/>
      <w:bookmarkEnd w:id="506"/>
      <w:r>
        <w:rPr>
          <w:rtl w:val="true"/>
        </w:rPr>
        <w:t>[</w:t>
      </w:r>
      <w:r>
        <w:rPr>
          <w:rtl w:val="true"/>
        </w:rPr>
        <w:t>هل یعتبر عدم إمکان التفصی عن الضرر بما لا ضرر فیه</w:t>
      </w:r>
      <w:r>
        <w:rPr>
          <w:rtl w:val="true"/>
        </w:rPr>
        <w:t>]</w:t>
      </w:r>
      <w:bookmarkEnd w:id="507"/>
    </w:p>
    <w:p>
      <w:pPr>
        <w:pStyle w:val="Heading6"/>
        <w:numPr>
          <w:ilvl w:val="5"/>
          <w:numId w:val="1"/>
        </w:numPr>
        <w:rPr/>
      </w:pPr>
      <w:bookmarkStart w:id="508" w:name="__RefHeading___Toc5082808_2314609296"/>
      <w:bookmarkStart w:id="509" w:name="_Toc195"/>
      <w:bookmarkEnd w:id="508"/>
      <w:r>
        <w:rPr>
          <w:rtl w:val="true"/>
        </w:rPr>
        <w:t>اشاره</w:t>
      </w:r>
      <w:bookmarkEnd w:id="50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هل یعتبر فی موضوع الإکراه أو حکمه عدم إمکان التفصّی</w:t>
      </w:r>
      <w:bookmarkStart w:id="510" w:name="pg19763_248059"/>
    </w:p>
    <w:p>
      <w:pPr>
        <w:pStyle w:val="BookText"/>
        <w:rPr/>
      </w:pPr>
      <w:bookmarkEnd w:id="510"/>
      <w:r>
        <w:rPr>
          <w:rFonts w:ascii="IRNazanin" w:hAnsi="IRNazanin" w:eastAsia="IRNazanin"/>
          <w:color w:val="111111"/>
          <w:sz w:val="28"/>
          <w:sz w:val="28"/>
          <w:szCs w:val="28"/>
          <w:rtl w:val="true"/>
          <w:lang w:bidi="fa-IR"/>
        </w:rPr>
        <w:t xml:space="preserve">عن الضرر المتوعّد به بما لا یوجب </w:t>
      </w:r>
      <w:r>
        <w:rPr>
          <w:rStyle w:val="FootnoteAnchor"/>
          <w:rtl w:val="true"/>
        </w:rPr>
        <w:footnoteReference w:id="1690"/>
      </w:r>
      <w:r>
        <w:rPr>
          <w:rFonts w:ascii="IRNazanin" w:hAnsi="IRNazanin" w:eastAsia="IRNazanin"/>
          <w:color w:val="111111"/>
          <w:sz w:val="28"/>
          <w:sz w:val="28"/>
          <w:szCs w:val="28"/>
          <w:rtl w:val="true"/>
          <w:lang w:bidi="fa-IR"/>
        </w:rPr>
        <w:t>ضرراً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حکی عن جماعة </w:t>
      </w:r>
      <w:r>
        <w:rPr>
          <w:rStyle w:val="FootnoteAnchor"/>
          <w:rtl w:val="true"/>
        </w:rPr>
        <w:footnoteReference w:id="1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p>
    <w:p>
      <w:pPr>
        <w:pStyle w:val="Heading6"/>
        <w:numPr>
          <w:ilvl w:val="5"/>
          <w:numId w:val="1"/>
        </w:numPr>
        <w:rPr/>
      </w:pPr>
      <w:bookmarkStart w:id="511" w:name="__RefHeading___Toc5082810_2314609296"/>
      <w:bookmarkStart w:id="512" w:name="_Toc196"/>
      <w:bookmarkEnd w:id="511"/>
      <w:r>
        <w:rPr>
          <w:rtl w:val="true"/>
        </w:rPr>
        <w:t>[</w:t>
      </w:r>
      <w:r>
        <w:rPr>
          <w:rtl w:val="true"/>
        </w:rPr>
        <w:t>عدم اعتبار العجز عن التوریة</w:t>
      </w:r>
      <w:r>
        <w:rPr>
          <w:rtl w:val="true"/>
        </w:rPr>
        <w:t>]</w:t>
      </w:r>
      <w:bookmarkEnd w:id="512"/>
    </w:p>
    <w:p>
      <w:pPr>
        <w:pStyle w:val="BookText"/>
        <w:rPr/>
      </w:pPr>
      <w:r>
        <w:rPr>
          <w:rFonts w:ascii="IRNazanin" w:hAnsi="IRNazanin" w:eastAsia="IRNazanin"/>
          <w:color w:val="111111"/>
          <w:sz w:val="28"/>
          <w:sz w:val="28"/>
          <w:szCs w:val="28"/>
          <w:rtl w:val="true"/>
          <w:lang w:bidi="fa-IR"/>
        </w:rPr>
        <w:t xml:space="preserve">الذی یظهر من النصوص </w:t>
      </w:r>
      <w:r>
        <w:rPr>
          <w:rStyle w:val="FootnoteAnchor"/>
          <w:rtl w:val="true"/>
        </w:rPr>
        <w:footnoteReference w:id="1692"/>
      </w:r>
      <w:r>
        <w:rPr>
          <w:rFonts w:ascii="IRNazanin" w:hAnsi="IRNazanin" w:eastAsia="IRNazanin"/>
          <w:color w:val="111111"/>
          <w:sz w:val="28"/>
          <w:sz w:val="28"/>
          <w:szCs w:val="28"/>
          <w:rtl w:val="true"/>
          <w:lang w:bidi="fa-IR"/>
        </w:rPr>
        <w:t xml:space="preserve">و الفتاوی عدم اعتبار العجز عن التوریة؛لأنّ حمل عموم رفع الإکراه و خصوص النصوص الواردة فی طلاق المکره و عتقه </w:t>
      </w:r>
      <w:r>
        <w:rPr>
          <w:rStyle w:val="FootnoteAnchor"/>
          <w:rtl w:val="true"/>
        </w:rPr>
        <w:footnoteReference w:id="1693"/>
      </w:r>
      <w:r>
        <w:rPr>
          <w:rFonts w:ascii="IRNazanin" w:hAnsi="IRNazanin" w:eastAsia="IRNazanin"/>
          <w:color w:val="111111"/>
          <w:sz w:val="28"/>
          <w:sz w:val="28"/>
          <w:szCs w:val="28"/>
          <w:rtl w:val="true"/>
          <w:lang w:bidi="fa-IR"/>
        </w:rPr>
        <w:t>و معاقد الإجماعات و الشهرات المدّعاة فی حکم المکرَه علی صورة العجز عن التوریة لجهل أو دهشة،بعید جدّاً،بل غیر صحیح فی بعضها من جهة المورد،کما لا یخفی علی من راجعها، مع أنّ القدرة علی التوریة لا یخرج الکلام عن حیّز الإکراه عرفاً</w:t>
      </w:r>
      <w:r>
        <w:rPr>
          <w:rFonts w:eastAsia="IRNazanin" w:cs="IRNazanin"/>
          <w:color w:val="111111"/>
          <w:sz w:val="28"/>
          <w:szCs w:val="28"/>
          <w:rtl w:val="true"/>
          <w:lang w:bidi="fa-IR"/>
        </w:rPr>
        <w:t>.</w:t>
      </w:r>
    </w:p>
    <w:p>
      <w:pPr>
        <w:pStyle w:val="Heading6"/>
        <w:numPr>
          <w:ilvl w:val="5"/>
          <w:numId w:val="1"/>
        </w:numPr>
        <w:rPr/>
      </w:pPr>
      <w:bookmarkStart w:id="513" w:name="__RefHeading___Toc5082812_2314609296"/>
      <w:bookmarkStart w:id="514" w:name="_Toc197"/>
      <w:bookmarkEnd w:id="513"/>
      <w:r>
        <w:rPr>
          <w:rtl w:val="true"/>
        </w:rPr>
        <w:t>[</w:t>
      </w:r>
      <w:r>
        <w:rPr>
          <w:rtl w:val="true"/>
        </w:rPr>
        <w:t>هل یعتبر العجز عن التخلص بغیر التوریة</w:t>
      </w:r>
      <w:r>
        <w:rPr>
          <w:rtl w:val="true"/>
        </w:rPr>
        <w:t>]</w:t>
      </w:r>
      <w:bookmarkEnd w:id="51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ربما یستظهر من بعض الأخبار عدم اعتبار العجز عن التفصّی بوجهٍ آخر غیر التوریة أیضاً فی صدق الإکراه،مثل روایة ابن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یمین </w:t>
      </w:r>
      <w:r>
        <w:rPr>
          <w:rStyle w:val="FootnoteAnchor"/>
          <w:rtl w:val="true"/>
        </w:rPr>
        <w:footnoteReference w:id="1694"/>
      </w:r>
      <w:r>
        <w:rPr>
          <w:rFonts w:ascii="IRNazanin" w:hAnsi="IRNazanin" w:eastAsia="IRNazanin"/>
          <w:color w:val="111111"/>
          <w:sz w:val="28"/>
          <w:sz w:val="28"/>
          <w:szCs w:val="28"/>
          <w:rtl w:val="true"/>
          <w:lang w:bidi="fa-IR"/>
        </w:rPr>
        <w:t>فی قطیعة رحم،و لا فی جبر،و لا فی إکراه،قلت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الفرق بین الجبر و الإکراه؟قال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من السلطان،و یکون الإکراه من الزوجة و الأُمّ</w:t>
      </w:r>
      <w:bookmarkStart w:id="515" w:name="pg19763_248060"/>
    </w:p>
    <w:p>
      <w:pPr>
        <w:pStyle w:val="BookText"/>
        <w:rPr/>
      </w:pPr>
      <w:bookmarkEnd w:id="515"/>
      <w:r>
        <w:rPr>
          <w:rFonts w:ascii="IRNazanin" w:hAnsi="IRNazanin" w:eastAsia="IRNazanin"/>
          <w:color w:val="111111"/>
          <w:sz w:val="28"/>
          <w:sz w:val="28"/>
          <w:szCs w:val="28"/>
          <w:rtl w:val="true"/>
          <w:lang w:bidi="fa-IR"/>
        </w:rPr>
        <w:t xml:space="preserve">و الأب،و لیس ذلک بشیء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خرج عن الإکراه عرفاً بالقدرة علی التفصّی بغیر التوریة خرج عنه بالقدرة علیها؛لأنّ المناط حینئذٍ انحصار التخلّص عن الضرر المتوعّد به </w:t>
      </w:r>
      <w:r>
        <w:rPr>
          <w:rStyle w:val="FootnoteAnchor"/>
          <w:rtl w:val="true"/>
        </w:rPr>
        <w:footnoteReference w:id="1697"/>
      </w:r>
      <w:r>
        <w:rPr>
          <w:rFonts w:ascii="IRNazanin" w:hAnsi="IRNazanin" w:eastAsia="IRNazanin"/>
          <w:color w:val="111111"/>
          <w:sz w:val="28"/>
          <w:sz w:val="28"/>
          <w:szCs w:val="28"/>
          <w:rtl w:val="true"/>
          <w:lang w:bidi="fa-IR"/>
        </w:rPr>
        <w:t xml:space="preserve">فی فعل المکره علیه،فلا فرق بین أن یتخلّص عنه </w:t>
      </w:r>
      <w:r>
        <w:rPr>
          <w:rStyle w:val="FootnoteAnchor"/>
          <w:rtl w:val="true"/>
        </w:rPr>
        <w:footnoteReference w:id="1698"/>
      </w:r>
      <w:r>
        <w:rPr>
          <w:rFonts w:ascii="IRNazanin" w:hAnsi="IRNazanin" w:eastAsia="IRNazanin"/>
          <w:color w:val="111111"/>
          <w:sz w:val="28"/>
          <w:sz w:val="28"/>
          <w:szCs w:val="28"/>
          <w:rtl w:val="true"/>
          <w:lang w:bidi="fa-IR"/>
        </w:rPr>
        <w:t xml:space="preserve">بکلامٍ آخر أو فعلٍ آخر،أو </w:t>
      </w:r>
      <w:r>
        <w:rPr>
          <w:rStyle w:val="FootnoteAnchor"/>
          <w:rtl w:val="true"/>
        </w:rPr>
        <w:footnoteReference w:id="1699"/>
      </w:r>
      <w:r>
        <w:rPr>
          <w:rFonts w:ascii="IRNazanin" w:hAnsi="IRNazanin" w:eastAsia="IRNazanin"/>
          <w:color w:val="111111"/>
          <w:sz w:val="28"/>
          <w:sz w:val="28"/>
          <w:szCs w:val="28"/>
          <w:rtl w:val="true"/>
          <w:lang w:bidi="fa-IR"/>
        </w:rPr>
        <w:t>بهذا الکلام مع قصد 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حکم الإکراه مع القدرة علی التوریة تعبّدیّ لا من جهة صدق حقیقة الإکراه،کما تری</w:t>
      </w:r>
      <w:r>
        <w:rPr>
          <w:rFonts w:eastAsia="IRNazanin" w:cs="IRNazanin"/>
          <w:color w:val="111111"/>
          <w:sz w:val="28"/>
          <w:szCs w:val="28"/>
          <w:rtl w:val="true"/>
          <w:lang w:bidi="fa-IR"/>
        </w:rPr>
        <w:t>.</w:t>
      </w:r>
    </w:p>
    <w:p>
      <w:pPr>
        <w:pStyle w:val="Heading6"/>
        <w:numPr>
          <w:ilvl w:val="5"/>
          <w:numId w:val="1"/>
        </w:numPr>
        <w:rPr/>
      </w:pPr>
      <w:bookmarkStart w:id="516" w:name="__RefHeading___Toc5082814_2314609296"/>
      <w:bookmarkStart w:id="517" w:name="_Toc198"/>
      <w:bookmarkEnd w:id="516"/>
      <w:r>
        <w:rPr>
          <w:rtl w:val="true"/>
        </w:rPr>
        <w:t>[</w:t>
      </w:r>
      <w:r>
        <w:rPr>
          <w:rtl w:val="true"/>
        </w:rPr>
        <w:t>اعتبار العجز عن التخلص بغیر التوریة</w:t>
      </w:r>
      <w:r>
        <w:rPr>
          <w:rtl w:val="true"/>
        </w:rPr>
        <w:t>]</w:t>
      </w:r>
      <w:bookmarkEnd w:id="51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وقوع الفعل عن </w:t>
      </w:r>
      <w:r>
        <w:rPr>
          <w:rStyle w:val="FootnoteAnchor"/>
          <w:rtl w:val="true"/>
        </w:rPr>
        <w:footnoteReference w:id="1700"/>
      </w:r>
      <w:r>
        <w:rPr>
          <w:rFonts w:ascii="IRNazanin" w:hAnsi="IRNazanin" w:eastAsia="IRNazanin"/>
          <w:color w:val="111111"/>
          <w:sz w:val="28"/>
          <w:sz w:val="28"/>
          <w:szCs w:val="28"/>
          <w:rtl w:val="true"/>
          <w:lang w:bidi="fa-IR"/>
        </w:rPr>
        <w:t>الإکراه لا یتحقّق إلّا مع العجز عن التفصّی بغیر التوریة؛لأنّه یعتبر فیه أن یکون الداعی علیه هو خوف ترتّب الضرر المتوعّد به علی الترک،و مع القدرة علی التفصّی لا یکون الضرر مترتّباً علی ترک المکره علیه،بل علی ترکه و ترک التفصّی معاً،فدفع الضرر یحصل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المُکرَه علیه، و التفصّی،فهو مختار فی کلٍّ منهما،و لا یصدر کلٌّ منهما إلّا باختیاره، فلا 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التفصّی من الضرر أحد فردَی المکره علیه،حتّی لا یوجب تخییر الفاعل فیهما سلب الإکراه عنهما،کما لو أکرهه علی أحد الأمرین </w:t>
      </w:r>
      <w:r>
        <w:rPr>
          <w:rStyle w:val="FootnoteAnchor"/>
          <w:rtl w:val="true"/>
        </w:rPr>
        <w:footnoteReference w:id="1701"/>
      </w:r>
      <w:r>
        <w:rPr>
          <w:rFonts w:ascii="Amiri" w:hAnsi="Amiri" w:eastAsia="Amiri" w:cs="Amiri"/>
          <w:color w:val="111111"/>
          <w:sz w:val="28"/>
          <w:sz w:val="28"/>
          <w:szCs w:val="28"/>
          <w:rtl w:val="true"/>
          <w:lang w:bidi="ar-SA"/>
        </w:rPr>
        <w:t xml:space="preserve">،حیث یقع کلٌّ منهما حینئذٍ مکرَهاً </w:t>
      </w:r>
      <w:r>
        <w:rPr>
          <w:rStyle w:val="FootnoteAnchor"/>
          <w:rtl w:val="true"/>
        </w:rPr>
        <w:footnoteReference w:id="1702"/>
      </w:r>
      <w:r>
        <w:rPr>
          <w:rFonts w:ascii="IRNazanin" w:hAnsi="IRNazanin" w:eastAsia="IRNazanin"/>
          <w:color w:val="111111"/>
          <w:sz w:val="28"/>
          <w:sz w:val="28"/>
          <w:szCs w:val="28"/>
          <w:rtl w:val="true"/>
          <w:lang w:bidi="fa-IR"/>
        </w:rPr>
        <w:t>لأنّ الفعل المتفصّی به مسقِط عن المُکرَه علیه،لا بدلٌ له؛و لذا لا یجری أحکام المکره علیه إجماعاً،فلا یفسد إذا کان عقداً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ذکرناه و إن کان جاریاً فی التوریة،إلّا أنّ الشارع رخّص فی ترک التوریة بعد عدم إمکان التفصّی بوجهٍ آخر؛لما ذکرنا من ظهور النصوص و الفتاوی،و بُعدِ حملها علی صورة العجز عن التوریة،مع أنّ العجز عنها لو کان معتبراً لأُشیر إلیها فی تلک الأخبار الکثیرة المجوّزة للحلف کاذباً عند الخوف و الإکراه </w:t>
      </w:r>
      <w:r>
        <w:rPr>
          <w:rStyle w:val="FootnoteAnchor"/>
          <w:rtl w:val="true"/>
        </w:rPr>
        <w:footnoteReference w:id="1703"/>
      </w:r>
      <w:r>
        <w:rPr>
          <w:rFonts w:ascii="Amiri" w:hAnsi="Amiri" w:eastAsia="Amiri" w:cs="Amiri"/>
          <w:color w:val="111111"/>
          <w:sz w:val="28"/>
          <w:sz w:val="28"/>
          <w:szCs w:val="28"/>
          <w:rtl w:val="true"/>
          <w:lang w:bidi="ar-SA"/>
        </w:rPr>
        <w:t>،خصوصاً فی قضیّة عمّار و أبویه، حیث اکرهوا علی الکفر،فأبی أبواه فقُتلا،و أظهر لهم عمّار ما أرادوا، فجاء باکیاً إلی رسول اللّه صلّی اللّه علیه و آله و سلم فنزلت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w:t>
      </w:r>
      <w:r>
        <w:rPr>
          <w:rStyle w:val="FootnoteAnchor"/>
          <w:rtl w:val="true"/>
        </w:rPr>
        <w:footnoteReference w:id="1704"/>
      </w: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عادوا علیک فعد</w:t>
      </w:r>
      <w:r>
        <w:rPr>
          <w:rFonts w:eastAsia="IRNazanin" w:cs="IRNazanin"/>
          <w:color w:val="111111"/>
          <w:sz w:val="28"/>
          <w:szCs w:val="28"/>
          <w:rtl w:val="true"/>
          <w:lang w:bidi="fa-IR"/>
        </w:rPr>
        <w:t xml:space="preserve">» </w:t>
      </w:r>
      <w:r>
        <w:rPr>
          <w:rStyle w:val="FootnoteAnchor"/>
          <w:rtl w:val="true"/>
        </w:rPr>
        <w:footnoteReference w:id="1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ینبّهه علی التوریة، فإنّ التنبیه فی المقام و إن لم یکن واجباً،إلّا أنّه لا شکّ فی رجحانه،</w:t>
      </w:r>
      <w:bookmarkStart w:id="518" w:name="pg19763_248062"/>
    </w:p>
    <w:p>
      <w:pPr>
        <w:pStyle w:val="BookText"/>
        <w:rPr/>
      </w:pPr>
      <w:bookmarkEnd w:id="518"/>
      <w:r>
        <w:rPr>
          <w:rFonts w:ascii="IRNazanin" w:hAnsi="IRNazanin" w:eastAsia="IRNazanin"/>
          <w:color w:val="111111"/>
          <w:sz w:val="28"/>
          <w:sz w:val="28"/>
          <w:szCs w:val="28"/>
          <w:rtl w:val="true"/>
          <w:lang w:bidi="fa-IR"/>
        </w:rPr>
        <w:t>خصوصاً من النبیّ صلّی اللّه علیه و آله و سلم باعتبار شفقته علی عمّار،و علمه بکراهة تکلّم عمّار بألفاظ الکفر من دون توریة،کما لا یخفی</w:t>
      </w:r>
      <w:r>
        <w:rPr>
          <w:rFonts w:eastAsia="IRNazanin" w:cs="IRNazanin"/>
          <w:color w:val="111111"/>
          <w:sz w:val="28"/>
          <w:szCs w:val="28"/>
          <w:rtl w:val="true"/>
          <w:lang w:bidi="fa-IR"/>
        </w:rPr>
        <w:t>.</w:t>
      </w:r>
    </w:p>
    <w:p>
      <w:pPr>
        <w:pStyle w:val="Heading6"/>
        <w:numPr>
          <w:ilvl w:val="5"/>
          <w:numId w:val="1"/>
        </w:numPr>
        <w:rPr/>
      </w:pPr>
      <w:bookmarkStart w:id="519" w:name="__RefHeading___Toc5082816_2314609296"/>
      <w:bookmarkStart w:id="520" w:name="_Toc199"/>
      <w:bookmarkEnd w:id="519"/>
      <w:r>
        <w:rPr>
          <w:rtl w:val="true"/>
        </w:rPr>
        <w:t>[</w:t>
      </w:r>
      <w:r>
        <w:rPr>
          <w:rtl w:val="true"/>
        </w:rPr>
        <w:t>الفرق بین إمکان التفصی بالتوریة و إمکانه بغیرها</w:t>
      </w:r>
      <w:r>
        <w:rPr>
          <w:rtl w:val="true"/>
        </w:rPr>
        <w:t>]</w:t>
      </w:r>
      <w:bookmarkEnd w:id="520"/>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1706"/>
      </w:r>
      <w:r>
        <w:rPr>
          <w:rFonts w:ascii="IRNazanin" w:hAnsi="IRNazanin" w:eastAsia="IRNazanin"/>
          <w:color w:val="111111"/>
          <w:sz w:val="28"/>
          <w:sz w:val="28"/>
          <w:szCs w:val="28"/>
          <w:rtl w:val="true"/>
          <w:lang w:bidi="fa-IR"/>
        </w:rPr>
        <w:t>،و لکنّ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یفرّق بین إمکان التفصّی بالتوریة و إمکانه بغیرها،بتحقّق الموضوع فی الأوّل دون الثانی؛لأنّ الأصحاب </w:t>
      </w:r>
      <w:r>
        <w:rPr>
          <w:rStyle w:val="FootnoteAnchor"/>
          <w:rtl w:val="true"/>
        </w:rPr>
        <w:footnoteReference w:id="1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وفاقاً للشیخ فی المبسوط </w:t>
      </w:r>
      <w:r>
        <w:rPr>
          <w:rStyle w:val="FootnoteAnchor"/>
          <w:rtl w:val="true"/>
        </w:rPr>
        <w:footnoteReference w:id="1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من شروط تحقّق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أو یظنّ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امتنع ممّا </w:t>
      </w:r>
      <w:r>
        <w:rPr>
          <w:rStyle w:val="FootnoteAnchor"/>
          <w:rtl w:val="true"/>
        </w:rPr>
        <w:footnoteReference w:id="1709"/>
      </w:r>
      <w:r>
        <w:rPr>
          <w:rFonts w:ascii="IRNazanin" w:hAnsi="IRNazanin" w:eastAsia="IRNazanin"/>
          <w:color w:val="111111"/>
          <w:sz w:val="28"/>
          <w:sz w:val="28"/>
          <w:szCs w:val="28"/>
          <w:rtl w:val="true"/>
          <w:lang w:bidi="fa-IR"/>
        </w:rPr>
        <w:t>اکره علیه وقع فیما توعّد علیه،و معلوم أنّ المراد لیس امتناعه عنه فی الواقع و لو مع اعتقاد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الامتناع،بل المعیار فی وقوع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المکرِه لامتناع المکرَه،و هذا المعنی یصدق مع إمکان التوریة، و لا یصدق مع التمکّن من التفصّی بغیرها؛لأنّ المفروض تمکّنه من الامتناع مع اطّلاع المُکرَه علیه و عدم وقوع الضرر علیه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التلازم بین امتناعه و وقوع الضرر الذی هو المعتبر فی صدق الإکراه موجود مع التمکّن بالتوریة،لا مع التمکّن بغیرها، فافهم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bookmarkStart w:id="521" w:name="pg19763_248063"/>
    </w:p>
    <w:p>
      <w:pPr>
        <w:pStyle w:val="Heading5"/>
        <w:numPr>
          <w:ilvl w:val="4"/>
          <w:numId w:val="1"/>
        </w:numPr>
        <w:rPr/>
      </w:pPr>
      <w:bookmarkStart w:id="522" w:name="__RefHeading___Toc5082818_2314609296"/>
      <w:bookmarkStart w:id="523" w:name="_Toc200"/>
      <w:bookmarkEnd w:id="521"/>
      <w:bookmarkEnd w:id="522"/>
      <w:r>
        <w:rPr>
          <w:rtl w:val="true"/>
        </w:rPr>
        <w:t>[</w:t>
      </w:r>
      <w:r>
        <w:rPr>
          <w:rtl w:val="true"/>
        </w:rPr>
        <w:t>عدم اعتبار العجز فی الإکراه الرافع لأثر المعاملات</w:t>
      </w:r>
      <w:r>
        <w:rPr>
          <w:rtl w:val="true"/>
        </w:rPr>
        <w:t>]</w:t>
      </w:r>
      <w:bookmarkEnd w:id="523"/>
    </w:p>
    <w:p>
      <w:pPr>
        <w:pStyle w:val="Heading6"/>
        <w:numPr>
          <w:ilvl w:val="5"/>
          <w:numId w:val="1"/>
        </w:numPr>
        <w:rPr/>
      </w:pPr>
      <w:bookmarkStart w:id="524" w:name="__RefHeading___Toc5082820_2314609296"/>
      <w:bookmarkStart w:id="525" w:name="_Toc201"/>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ثمّ إنّ ما ذکرنا من اعتبار العجز عن التفصّی إنّما هو فی الإکراه المسوِّغ للمحرمات،و مناطه توقّف دفع ضرر المکرِه علی ارتکاب المکرَه علیه،و أمّا الإکراه الرافع لأثر المعاملات،فالظاهر أنّ المناط فیه عدم طیب النفس بالمعاملة،و قد یتحقّق مع إمکان التفصّی،مثلاً من کان قاعداً فی مکان خاصّ خالٍ عن الغیر متفرّغاً لعبادة أو مطالعة،فجاءه من أکرهه علی بیع شیءٍ ممّا عنده و هو فی هذه الحال غیر قادرٍ علی دفع ضرره و هو کارهٌ للخروج عن ذلک المکان لکن لو خرج کان له فی الخارج خَدَمٌ یکفونه شرّ المکرِه،فالظاهر صدق الإکراه حینئذٍ،بمعنی عدم طیب النفس لو باع ذلک الشیء،بخلاف من کان خَدَمه حاضرین عنده،و توقّف دفع ضرر إکراه الشخص علی أمر خَدَمه بدفعه و طرده؛ فإنّ هذا لا یتحقّق فی حقّه الإکراه،و یکذّب لو ادّعاه،بخلاف الأوّل إذا اعتذر بکراهة الخروج عن ذلک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فی ذلک المثال إکراهه علی محرّمٍ لم یعذر فیه بمجرّد کراهة الخروج عن ذلک المنزل،و قد </w:t>
      </w:r>
      <w:r>
        <w:rPr>
          <w:rStyle w:val="FootnoteAnchor"/>
          <w:rtl w:val="true"/>
        </w:rPr>
        <w:footnoteReference w:id="1711"/>
      </w:r>
      <w:r>
        <w:rPr>
          <w:rFonts w:ascii="IRNazanin" w:hAnsi="IRNazanin" w:eastAsia="IRNazanin"/>
          <w:color w:val="111111"/>
          <w:sz w:val="28"/>
          <w:sz w:val="28"/>
          <w:szCs w:val="28"/>
          <w:rtl w:val="true"/>
          <w:lang w:bidi="fa-IR"/>
        </w:rPr>
        <w:t xml:space="preserve">تقدّم الفرق بین الجبر و الإکراه فی روایة ابن سنان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6" w:name="__RefHeading___Toc5082822_2314609296"/>
      <w:bookmarkStart w:id="527" w:name="_Toc202"/>
      <w:bookmarkEnd w:id="526"/>
      <w:r>
        <w:rPr>
          <w:rtl w:val="true"/>
        </w:rPr>
        <w:t>[</w:t>
      </w:r>
      <w:r>
        <w:rPr>
          <w:rtl w:val="true"/>
        </w:rPr>
        <w:t>المراد من الإکراه الرافع لأثر المعاملات</w:t>
      </w:r>
      <w:r>
        <w:rPr>
          <w:rtl w:val="true"/>
        </w:rPr>
        <w:t>]</w:t>
      </w:r>
      <w:bookmarkEnd w:id="52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فالإکراه المعتبر فی تسویغ المحظورات،هو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الإکراه بمعنی الجبر المذکور فی الروایة </w:t>
      </w:r>
      <w:r>
        <w:rPr>
          <w:rStyle w:val="FootnoteAnchor"/>
          <w:rtl w:val="true"/>
        </w:rPr>
        <w:footnoteReference w:id="1713"/>
      </w:r>
      <w:r>
        <w:rPr>
          <w:rFonts w:ascii="IRNazanin" w:hAnsi="IRNazanin" w:eastAsia="IRNazanin"/>
          <w:color w:val="111111"/>
          <w:sz w:val="28"/>
          <w:sz w:val="28"/>
          <w:szCs w:val="28"/>
          <w:rtl w:val="true"/>
          <w:lang w:bidi="fa-IR"/>
        </w:rPr>
        <w:t xml:space="preserve">،و الرافع لأثر المعاملات هو </w:t>
      </w:r>
      <w:r>
        <w:rPr>
          <w:rStyle w:val="FootnoteAnchor"/>
          <w:rtl w:val="true"/>
        </w:rPr>
        <w:footnoteReference w:id="1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 الذی ذکر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w:t>
      </w:r>
      <w:r>
        <w:rPr>
          <w:rStyle w:val="FootnoteAnchor"/>
          <w:rtl w:val="true"/>
        </w:rPr>
        <w:footnoteReference w:id="1715"/>
      </w:r>
      <w:r>
        <w:rPr>
          <w:rFonts w:ascii="IRNazanin" w:hAnsi="IRNazanin" w:eastAsia="IRNazanin"/>
          <w:color w:val="111111"/>
          <w:sz w:val="28"/>
          <w:sz w:val="28"/>
          <w:szCs w:val="28"/>
          <w:rtl w:val="true"/>
          <w:lang w:bidi="fa-IR"/>
        </w:rPr>
        <w:t>أنّه قد یکون من الأب و الولد و المرأة،و المعیار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طیب النفس فیها </w:t>
      </w:r>
      <w:r>
        <w:rPr>
          <w:rStyle w:val="FootnoteAnchor"/>
          <w:rtl w:val="true"/>
        </w:rPr>
        <w:footnoteReference w:id="1716"/>
      </w:r>
      <w:r>
        <w:rPr>
          <w:rFonts w:ascii="IRNazanin" w:hAnsi="IRNazanin" w:eastAsia="IRNazanin"/>
          <w:color w:val="111111"/>
          <w:sz w:val="28"/>
          <w:sz w:val="28"/>
          <w:szCs w:val="28"/>
          <w:rtl w:val="true"/>
          <w:lang w:bidi="fa-IR"/>
        </w:rPr>
        <w:t xml:space="preserve">،لا الضرورة و الإلجاء و إن کان هو المتبادر من لفظ الإکراه؛و لذا یحمل </w:t>
      </w:r>
      <w:r>
        <w:rPr>
          <w:rStyle w:val="FootnoteAnchor"/>
          <w:rtl w:val="true"/>
        </w:rPr>
        <w:footnoteReference w:id="1717"/>
      </w:r>
      <w:r>
        <w:rPr>
          <w:rFonts w:ascii="IRNazanin" w:hAnsi="IRNazanin" w:eastAsia="IRNazanin"/>
          <w:color w:val="111111"/>
          <w:sz w:val="28"/>
          <w:sz w:val="28"/>
          <w:szCs w:val="28"/>
          <w:rtl w:val="true"/>
          <w:lang w:bidi="fa-IR"/>
        </w:rPr>
        <w:t xml:space="preserve">الإکراه فی حدیث الرفع </w:t>
      </w:r>
      <w:r>
        <w:rPr>
          <w:rStyle w:val="FootnoteAnchor"/>
          <w:rtl w:val="true"/>
        </w:rPr>
        <w:footnoteReference w:id="1718"/>
      </w:r>
      <w:r>
        <w:rPr>
          <w:rFonts w:ascii="IRNazanin" w:hAnsi="IRNazanin" w:eastAsia="IRNazanin"/>
          <w:color w:val="111111"/>
          <w:sz w:val="28"/>
          <w:sz w:val="28"/>
          <w:szCs w:val="28"/>
          <w:rtl w:val="true"/>
          <w:lang w:bidi="fa-IR"/>
        </w:rPr>
        <w:t>علیه،فیکون الفرق بینه و بین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المعطوف علیه فی ذلک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الاضطرار بالحاصل لا من فعل الغیر کالجوع و العطش و المرض،لکنّ الداعی علی اعتبار ما ذکرنا فی المعاملات هو أنّ العبرة فیها بالقصد الحاصل عن طیب النفس؛حیث استدلّوا </w:t>
      </w:r>
      <w:r>
        <w:rPr>
          <w:rStyle w:val="FootnoteAnchor"/>
          <w:rtl w:val="true"/>
        </w:rPr>
        <w:footnoteReference w:id="1719"/>
      </w:r>
      <w:r>
        <w:rPr>
          <w:rFonts w:ascii="Amiri" w:hAnsi="Amiri" w:eastAsia="Amiri" w:cs="Amiri"/>
          <w:color w:val="111111"/>
          <w:sz w:val="28"/>
          <w:sz w:val="28"/>
          <w:szCs w:val="28"/>
          <w:rtl w:val="true"/>
          <w:lang w:bidi="ar-SA"/>
        </w:rPr>
        <w:t>علی 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Style w:val="FootnoteAnchor"/>
          <w:rtl w:val="true"/>
        </w:rPr>
        <w:footnoteReference w:id="17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مال امرئٍ مسلم </w:t>
      </w:r>
      <w:r>
        <w:rPr>
          <w:rStyle w:val="FootnoteAnchor"/>
          <w:rtl w:val="true"/>
        </w:rPr>
        <w:footnoteReference w:id="1721"/>
      </w:r>
      <w:r>
        <w:rPr>
          <w:rFonts w:ascii="IRNazanin" w:hAnsi="IRNazanin" w:eastAsia="IRNazanin"/>
          <w:color w:val="111111"/>
          <w:sz w:val="28"/>
          <w:sz w:val="28"/>
          <w:szCs w:val="28"/>
          <w:rtl w:val="true"/>
          <w:lang w:bidi="fa-IR"/>
        </w:rPr>
        <w:t>إلّا عن طیب نفسه</w:t>
      </w:r>
      <w:r>
        <w:rPr>
          <w:rFonts w:eastAsia="IRNazanin" w:cs="IRNazanin"/>
          <w:color w:val="111111"/>
          <w:sz w:val="28"/>
          <w:szCs w:val="28"/>
          <w:rtl w:val="true"/>
          <w:lang w:bidi="fa-IR"/>
        </w:rPr>
        <w:t xml:space="preserve">» </w:t>
      </w:r>
      <w:r>
        <w:rPr>
          <w:rStyle w:val="FootnoteAnchor"/>
          <w:rtl w:val="true"/>
        </w:rPr>
        <w:footnoteReference w:id="1722"/>
      </w:r>
      <w:r>
        <w:rPr>
          <w:rFonts w:ascii="IRNazanin" w:hAnsi="IRNazanin" w:eastAsia="IRNazanin"/>
          <w:color w:val="111111"/>
          <w:sz w:val="28"/>
          <w:sz w:val="28"/>
          <w:szCs w:val="28"/>
          <w:rtl w:val="true"/>
          <w:lang w:bidi="fa-IR"/>
        </w:rPr>
        <w:t xml:space="preserve">، و عموم اعتبار الإرادة فی صحّة الطلاق </w:t>
      </w:r>
      <w:r>
        <w:rPr>
          <w:rStyle w:val="FootnoteAnchor"/>
          <w:rtl w:val="true"/>
        </w:rPr>
        <w:footnoteReference w:id="1723"/>
      </w:r>
      <w:r>
        <w:rPr>
          <w:rFonts w:ascii="IRNazanin" w:hAnsi="IRNazanin" w:eastAsia="IRNazanin"/>
          <w:color w:val="111111"/>
          <w:sz w:val="28"/>
          <w:sz w:val="28"/>
          <w:szCs w:val="28"/>
          <w:rtl w:val="true"/>
          <w:lang w:bidi="fa-IR"/>
        </w:rPr>
        <w:t xml:space="preserve">،و خصوص ما ورد فی فساد </w:t>
      </w:r>
      <w:r>
        <w:rPr>
          <w:rStyle w:val="FootnoteAnchor"/>
          <w:rtl w:val="true"/>
        </w:rPr>
        <w:footnoteReference w:id="1724"/>
      </w:r>
      <w:r>
        <w:rPr>
          <w:rFonts w:ascii="IRNazanin" w:hAnsi="IRNazanin" w:eastAsia="IRNazanin"/>
          <w:color w:val="111111"/>
          <w:sz w:val="28"/>
          <w:sz w:val="28"/>
          <w:szCs w:val="28"/>
          <w:rtl w:val="true"/>
          <w:lang w:bidi="fa-IR"/>
        </w:rPr>
        <w:t xml:space="preserve">طلاق من طلّق للمداراة مع عیاله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bookmarkStart w:id="528" w:name="pg19763_248065"/>
    </w:p>
    <w:p>
      <w:pPr>
        <w:pStyle w:val="BookText"/>
        <w:rPr/>
      </w:pPr>
      <w:bookmarkEnd w:id="528"/>
      <w:r>
        <w:rPr>
          <w:rFonts w:ascii="IRNazanin" w:hAnsi="IRNazanin" w:eastAsia="IRNazanin"/>
          <w:color w:val="111111"/>
          <w:sz w:val="28"/>
          <w:sz w:val="28"/>
          <w:szCs w:val="28"/>
          <w:rtl w:val="true"/>
          <w:lang w:bidi="fa-IR"/>
        </w:rPr>
        <w:t>فقد تلخّص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الإکراه الرافع لأثر الحکم التکلیفی أخصّ من الرافع لأثر الحکم الوضعی</w:t>
      </w:r>
      <w:r>
        <w:rPr>
          <w:rFonts w:eastAsia="IRNazanin" w:cs="IRNazanin"/>
          <w:color w:val="111111"/>
          <w:sz w:val="28"/>
          <w:szCs w:val="28"/>
          <w:rtl w:val="true"/>
          <w:lang w:bidi="fa-IR"/>
        </w:rPr>
        <w:t>.</w:t>
      </w:r>
    </w:p>
    <w:p>
      <w:pPr>
        <w:pStyle w:val="Heading5"/>
        <w:numPr>
          <w:ilvl w:val="4"/>
          <w:numId w:val="1"/>
        </w:numPr>
        <w:rPr/>
      </w:pPr>
      <w:bookmarkStart w:id="529" w:name="__RefHeading___Toc5082824_2314609296"/>
      <w:bookmarkStart w:id="530" w:name="_Toc203"/>
      <w:bookmarkEnd w:id="529"/>
      <w:r>
        <w:rPr>
          <w:rtl w:val="true"/>
        </w:rPr>
        <w:t>[</w:t>
      </w:r>
      <w:r>
        <w:rPr>
          <w:rtl w:val="true"/>
        </w:rPr>
        <w:t>الفرق بین الأحکام التکلیفیة و الأحکام الوضعیة</w:t>
      </w:r>
      <w:r>
        <w:rPr>
          <w:rtl w:val="true"/>
        </w:rPr>
        <w:t>]</w:t>
      </w:r>
      <w:bookmarkEnd w:id="530"/>
    </w:p>
    <w:p>
      <w:pPr>
        <w:pStyle w:val="BookText"/>
        <w:rPr/>
      </w:pPr>
      <w:r>
        <w:rPr>
          <w:rFonts w:ascii="IRNazanin" w:hAnsi="IRNazanin" w:eastAsia="IRNazanin"/>
          <w:color w:val="111111"/>
          <w:sz w:val="28"/>
          <w:sz w:val="28"/>
          <w:szCs w:val="28"/>
          <w:rtl w:val="true"/>
          <w:lang w:bidi="fa-IR"/>
        </w:rPr>
        <w:t xml:space="preserve">و لو لوحظ ما هو المناط فی رفع کلٍّ منهما،من دون ملاحظة عنوان الإکراه کانت النسبة بینهما </w:t>
      </w:r>
      <w:r>
        <w:rPr>
          <w:rStyle w:val="FootnoteAnchor"/>
          <w:rtl w:val="true"/>
        </w:rPr>
        <w:footnoteReference w:id="1726"/>
      </w:r>
      <w:r>
        <w:rPr>
          <w:rFonts w:ascii="IRNazanin" w:hAnsi="IRNazanin" w:eastAsia="IRNazanin"/>
          <w:color w:val="111111"/>
          <w:sz w:val="28"/>
          <w:sz w:val="28"/>
          <w:szCs w:val="28"/>
          <w:rtl w:val="true"/>
          <w:lang w:bidi="fa-IR"/>
        </w:rPr>
        <w:t xml:space="preserve">العموم من وجه؛لأنّ المناط فی رفع الحکم التکلیفی هو دفع </w:t>
      </w:r>
      <w:r>
        <w:rPr>
          <w:rStyle w:val="FootnoteAnchor"/>
          <w:rtl w:val="true"/>
        </w:rPr>
        <w:footnoteReference w:id="1727"/>
      </w:r>
      <w:r>
        <w:rPr>
          <w:rFonts w:ascii="IRNazanin" w:hAnsi="IRNazanin" w:eastAsia="IRNazanin"/>
          <w:color w:val="111111"/>
          <w:sz w:val="28"/>
          <w:sz w:val="28"/>
          <w:szCs w:val="28"/>
          <w:rtl w:val="true"/>
          <w:lang w:bidi="fa-IR"/>
        </w:rPr>
        <w:t>الضرر،و فی رفع الحکم الوضعی هو عدم الإرادة و طیب النفس،و من هنا لم یتأمّل أحدٌ فی أنّه إذا أُکره الشخص</w:t>
      </w:r>
    </w:p>
    <w:p>
      <w:pPr>
        <w:pStyle w:val="Heading5"/>
        <w:numPr>
          <w:ilvl w:val="4"/>
          <w:numId w:val="1"/>
        </w:numPr>
        <w:rPr/>
      </w:pPr>
      <w:bookmarkStart w:id="531" w:name="__RefHeading___Toc5082826_2314609296"/>
      <w:bookmarkStart w:id="532" w:name="_Toc204"/>
      <w:bookmarkEnd w:id="531"/>
      <w:r>
        <w:rPr>
          <w:rtl w:val="true"/>
        </w:rPr>
        <w:t>[</w:t>
      </w:r>
      <w:r>
        <w:rPr>
          <w:rtl w:val="true"/>
        </w:rPr>
        <w:t>لو أکره الشخص علی أحد الأمرین</w:t>
      </w:r>
      <w:r>
        <w:rPr>
          <w:rtl w:val="true"/>
        </w:rPr>
        <w:t>]</w:t>
      </w:r>
      <w:bookmarkEnd w:id="53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أحد الأمرین المحرّمین لا بعینه،فکلٌّ منهما وقع فی الخارج لا یتّصف بالتحریم؛لأنّ المعیار فی رفع </w:t>
      </w:r>
      <w:r>
        <w:rPr>
          <w:rStyle w:val="FootnoteAnchor"/>
          <w:rtl w:val="true"/>
        </w:rPr>
        <w:footnoteReference w:id="1728"/>
      </w:r>
      <w:r>
        <w:rPr>
          <w:rFonts w:ascii="Amiri" w:hAnsi="Amiri" w:eastAsia="Amiri" w:cs="Amiri"/>
          <w:color w:val="111111"/>
          <w:sz w:val="28"/>
          <w:sz w:val="28"/>
          <w:szCs w:val="28"/>
          <w:rtl w:val="true"/>
          <w:lang w:bidi="ar-SA"/>
        </w:rPr>
        <w:t xml:space="preserve">الحرمة دفع </w:t>
      </w:r>
      <w:r>
        <w:rPr>
          <w:rStyle w:val="FootnoteAnchor"/>
          <w:rtl w:val="true"/>
        </w:rPr>
        <w:footnoteReference w:id="1729"/>
      </w:r>
      <w:r>
        <w:rPr>
          <w:rFonts w:ascii="IRNazanin" w:hAnsi="IRNazanin" w:eastAsia="IRNazanin"/>
          <w:color w:val="111111"/>
          <w:sz w:val="28"/>
          <w:sz w:val="28"/>
          <w:szCs w:val="28"/>
          <w:rtl w:val="true"/>
          <w:lang w:bidi="fa-IR"/>
        </w:rPr>
        <w:t xml:space="preserve">الضرر المتوقّف علی فعل أحدهما،أمّا لو کانا عقدین أو إیقاعین کما لو اکره علی طلاق إحدی زوجتیه،فقد استشکل غیر واحد </w:t>
      </w:r>
      <w:r>
        <w:rPr>
          <w:rStyle w:val="FootnoteAnchor"/>
          <w:rtl w:val="true"/>
        </w:rPr>
        <w:footnoteReference w:id="1730"/>
      </w:r>
      <w:r>
        <w:rPr>
          <w:rFonts w:ascii="IRNazanin" w:hAnsi="IRNazanin" w:eastAsia="IRNazanin"/>
          <w:color w:val="111111"/>
          <w:sz w:val="28"/>
          <w:sz w:val="28"/>
          <w:szCs w:val="28"/>
          <w:rtl w:val="true"/>
          <w:lang w:bidi="fa-IR"/>
        </w:rPr>
        <w:t xml:space="preserve">فی أنّ ما یختاره من الخصوصیّتین </w:t>
      </w:r>
      <w:r>
        <w:rPr>
          <w:rStyle w:val="FootnoteAnchor"/>
          <w:rtl w:val="true"/>
        </w:rPr>
        <w:footnoteReference w:id="1731"/>
      </w:r>
      <w:r>
        <w:rPr>
          <w:rFonts w:ascii="IRNazanin" w:hAnsi="IRNazanin" w:eastAsia="IRNazanin"/>
          <w:color w:val="111111"/>
          <w:sz w:val="28"/>
          <w:sz w:val="28"/>
          <w:szCs w:val="28"/>
          <w:rtl w:val="true"/>
          <w:lang w:bidi="fa-IR"/>
        </w:rPr>
        <w:t xml:space="preserve">بطیب نفسه و یرجّحه علی الآخر </w:t>
      </w:r>
      <w:r>
        <w:rPr>
          <w:rStyle w:val="FootnoteAnchor"/>
          <w:rtl w:val="true"/>
        </w:rPr>
        <w:footnoteReference w:id="1732"/>
      </w:r>
      <w:r>
        <w:rPr>
          <w:rFonts w:ascii="IRNazanin" w:hAnsi="IRNazanin" w:eastAsia="IRNazanin"/>
          <w:color w:val="111111"/>
          <w:sz w:val="28"/>
          <w:sz w:val="28"/>
          <w:szCs w:val="28"/>
          <w:rtl w:val="true"/>
          <w:lang w:bidi="fa-IR"/>
        </w:rPr>
        <w:t xml:space="preserve">بدواعیه النفسانیة الخارجة عن الإکراه </w:t>
      </w:r>
      <w:r>
        <w:rPr>
          <w:rStyle w:val="FootnoteAnchor"/>
          <w:rtl w:val="true"/>
        </w:rPr>
        <w:footnoteReference w:id="1733"/>
      </w:r>
      <w:r>
        <w:rPr>
          <w:rFonts w:ascii="IRNazanin" w:hAnsi="IRNazanin" w:eastAsia="IRNazanin"/>
          <w:color w:val="111111"/>
          <w:sz w:val="28"/>
          <w:sz w:val="28"/>
          <w:szCs w:val="28"/>
          <w:rtl w:val="true"/>
          <w:lang w:bidi="fa-IR"/>
        </w:rPr>
        <w:t>،مکره علیه باعتبار جنسه،أم لا؟بل</w:t>
      </w:r>
    </w:p>
    <w:p>
      <w:pPr>
        <w:pStyle w:val="BookText"/>
        <w:rPr/>
      </w:pPr>
      <w:r>
        <w:rPr>
          <w:rFonts w:ascii="IRNazanin" w:hAnsi="IRNazanin" w:eastAsia="IRNazanin"/>
          <w:color w:val="111111"/>
          <w:sz w:val="28"/>
          <w:sz w:val="28"/>
          <w:szCs w:val="28"/>
          <w:rtl w:val="true"/>
          <w:lang w:bidi="fa-IR"/>
        </w:rPr>
        <w:t xml:space="preserve">أفتی فی القواعد بوقوع الطلاق و عدم الإکراه </w:t>
      </w:r>
      <w:r>
        <w:rPr>
          <w:rStyle w:val="FootnoteAnchor"/>
          <w:rtl w:val="true"/>
        </w:rPr>
        <w:footnoteReference w:id="1734"/>
      </w:r>
      <w:r>
        <w:rPr>
          <w:rFonts w:ascii="IRNazanin" w:hAnsi="IRNazanin" w:eastAsia="IRNazanin"/>
          <w:color w:val="111111"/>
          <w:sz w:val="28"/>
          <w:sz w:val="28"/>
          <w:szCs w:val="28"/>
          <w:rtl w:val="true"/>
          <w:lang w:bidi="fa-IR"/>
        </w:rPr>
        <w:t xml:space="preserve">و إن حمله بعضهم </w:t>
      </w:r>
      <w:r>
        <w:rPr>
          <w:rStyle w:val="FootnoteAnchor"/>
          <w:rtl w:val="true"/>
        </w:rPr>
        <w:footnoteReference w:id="1735"/>
      </w:r>
      <w:r>
        <w:rPr>
          <w:rFonts w:ascii="IRNazanin" w:hAnsi="IRNazanin" w:eastAsia="IRNazanin"/>
          <w:color w:val="111111"/>
          <w:sz w:val="28"/>
          <w:sz w:val="28"/>
          <w:szCs w:val="28"/>
          <w:rtl w:val="true"/>
          <w:lang w:bidi="fa-IR"/>
        </w:rPr>
        <w:t>علی ما إذا قنع المکره بطلاق إحداهما مبهمة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المسألة عندهم غیر صافیة عن الإشکال؛من جهة مدخلیّة طیب النفس فی اختیار الخصوصیّة و إن کان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وفاقاً لکلّ من تعرّض للمسألة </w:t>
      </w:r>
      <w:r>
        <w:rPr>
          <w:rStyle w:val="FootnoteAnchor"/>
          <w:rtl w:val="true"/>
        </w:rPr>
        <w:footnoteReference w:id="1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الإکراه لغةً و عرفاً،مع أنّه لو لم یکن هذا مکرهاً علیه لم یتحقّق الإکراه أصلاً؛إذ الموجود فی الخارج دائماً إحدی خصوصیّات المکره علیه؛إذ لا یکاد یتّفق الإکراه بجزئیّ حقیقیّ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نعم،هذا الفرد مختار فیه من حیث الخصوصیّة،و إن کان مکرهاً علیه من حیث القدر المشترک،بمعنی أنّ وجوده الخارجیّ ناشٍ عن إکراهٍ و اختیار؛و لذا لا یستحقّ المدح أو الذمّ باعتبار أصل الفعل، و یستحقّه باعتبار الخصوصیّة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تظهر الثمرة فیما لو ترتّب أثر علی خصوصیّة المعاملة الموجودة؛ فإنّه لا یرتفع بالإکراه علی القدر المشترک،مثلاً لو أکرهه علی شرب الماء أو شرب الخمر،لم یرتفع تحریم الخمر؛لأنّه مختار فیه،و إن کان مکرهاً فی أصل الشرب </w:t>
      </w:r>
      <w:r>
        <w:rPr>
          <w:rStyle w:val="FootnoteAnchor"/>
          <w:rtl w:val="true"/>
        </w:rPr>
        <w:footnoteReference w:id="1737"/>
      </w:r>
      <w:r>
        <w:rPr>
          <w:rFonts w:ascii="IRNazanin" w:hAnsi="IRNazanin" w:eastAsia="IRNazanin"/>
          <w:color w:val="111111"/>
          <w:sz w:val="28"/>
          <w:sz w:val="28"/>
          <w:szCs w:val="28"/>
          <w:rtl w:val="true"/>
          <w:lang w:bidi="fa-IR"/>
        </w:rPr>
        <w:t>،و کذا لو أکرهه علی بیع صحیح أو فاسد،</w:t>
      </w:r>
      <w:bookmarkStart w:id="533" w:name="pg19763_248067"/>
    </w:p>
    <w:p>
      <w:pPr>
        <w:pStyle w:val="BookText"/>
        <w:rPr/>
      </w:pPr>
      <w:bookmarkEnd w:id="533"/>
      <w:r>
        <w:rPr>
          <w:rFonts w:ascii="IRNazanin" w:hAnsi="IRNazanin" w:eastAsia="IRNazanin"/>
          <w:color w:val="111111"/>
          <w:sz w:val="28"/>
          <w:sz w:val="28"/>
          <w:szCs w:val="28"/>
          <w:rtl w:val="true"/>
          <w:lang w:bidi="fa-IR"/>
        </w:rPr>
        <w:t xml:space="preserve">فإنّه لا یرتفع أثر الصحیح؛لأنّه مختار فیه و إن کان مکرهاً فی جنس البیع </w:t>
      </w:r>
      <w:r>
        <w:rPr>
          <w:rStyle w:val="FootnoteAnchor"/>
          <w:rtl w:val="true"/>
        </w:rPr>
        <w:footnoteReference w:id="1738"/>
      </w:r>
      <w:r>
        <w:rPr>
          <w:rFonts w:ascii="Amiri" w:hAnsi="Amiri" w:eastAsia="Amiri" w:cs="Amiri"/>
          <w:color w:val="111111"/>
          <w:sz w:val="28"/>
          <w:sz w:val="28"/>
          <w:szCs w:val="28"/>
          <w:rtl w:val="true"/>
          <w:lang w:bidi="ar-SA"/>
        </w:rPr>
        <w:t xml:space="preserve">،لکنّه </w:t>
      </w:r>
      <w:r>
        <w:rPr>
          <w:rStyle w:val="FootnoteAnchor"/>
          <w:rtl w:val="true"/>
        </w:rPr>
        <w:footnoteReference w:id="1739"/>
      </w:r>
      <w:r>
        <w:rPr>
          <w:rFonts w:ascii="IRNazanin" w:hAnsi="IRNazanin" w:eastAsia="IRNazanin"/>
          <w:color w:val="111111"/>
          <w:sz w:val="28"/>
          <w:sz w:val="28"/>
          <w:szCs w:val="28"/>
          <w:rtl w:val="true"/>
          <w:lang w:bidi="fa-IR"/>
        </w:rPr>
        <w:t>لا یترتّب علی الجنس أثرٌ یرتفع بالإکراه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أنّه لو اکره علی بیع مالٍ أو إیفاء مالٍ مستحقّ لم یکن إکراهاً؛لأنّ القدر المشترک بین الحقّ و غیره إذا أُکره علیه لم یقع باطلاً،و إلّا لوقع الإیفاء أیضاً باطلاً،فإذا اختار البیع صحّ؛لأنّ الخصوصیة غیر مکره علیها،و المکره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740"/>
      </w:r>
      <w:r>
        <w:rPr>
          <w:rFonts w:ascii="IRNazanin" w:hAnsi="IRNazanin" w:eastAsia="IRNazanin"/>
          <w:color w:val="111111"/>
          <w:sz w:val="28"/>
          <w:sz w:val="28"/>
          <w:szCs w:val="28"/>
          <w:rtl w:val="true"/>
          <w:lang w:bidi="fa-IR"/>
        </w:rPr>
        <w:t>هو القدر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مرتفع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أکرهه علی بیع مالٍ أو أداء مالٍ غیر مستحقّ،کان إکراهاً؛ لأنّه لا یفعل البیع إلّا فراراً من بدله أو وعیده المضرَّین،کما لو أکرهه علی بیع داره أو شرب الخمر؛فإنّ ارتکاب البیع للفرار عن الضرر الأُخروی ببدله أو التضرّر الدنیوی بوعیده</w:t>
      </w:r>
      <w:r>
        <w:rPr>
          <w:rFonts w:eastAsia="IRNazanin" w:cs="IRNazanin"/>
          <w:color w:val="111111"/>
          <w:sz w:val="28"/>
          <w:szCs w:val="28"/>
          <w:rtl w:val="true"/>
          <w:lang w:bidi="fa-IR"/>
        </w:rPr>
        <w:t>.</w:t>
      </w:r>
    </w:p>
    <w:p>
      <w:pPr>
        <w:pStyle w:val="Heading5"/>
        <w:numPr>
          <w:ilvl w:val="4"/>
          <w:numId w:val="1"/>
        </w:numPr>
        <w:rPr/>
      </w:pPr>
      <w:bookmarkStart w:id="534" w:name="__RefHeading___Toc5082828_2314609296"/>
      <w:bookmarkStart w:id="535" w:name="_Toc205"/>
      <w:bookmarkEnd w:id="534"/>
      <w:r>
        <w:rPr>
          <w:rtl w:val="true"/>
        </w:rPr>
        <w:t>[</w:t>
      </w:r>
      <w:r>
        <w:rPr>
          <w:rtl w:val="true"/>
        </w:rPr>
        <w:t>لو أکره أحد الشخصین علی فعل واحد</w:t>
      </w:r>
      <w:r>
        <w:rPr>
          <w:rtl w:val="true"/>
        </w:rPr>
        <w:t>]</w:t>
      </w:r>
      <w:bookmarkEnd w:id="535"/>
    </w:p>
    <w:p>
      <w:pPr>
        <w:pStyle w:val="BookText"/>
        <w:rPr/>
      </w:pPr>
      <w:r>
        <w:rPr>
          <w:rFonts w:ascii="IRNazanin" w:hAnsi="IRNazanin" w:eastAsia="IRNazanin"/>
          <w:color w:val="111111"/>
          <w:sz w:val="28"/>
          <w:sz w:val="28"/>
          <w:szCs w:val="28"/>
          <w:rtl w:val="true"/>
          <w:lang w:bidi="fa-IR"/>
        </w:rPr>
        <w:t>ثمّ إنّ إکراه أحد الشخصین علی فعلٍ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إلزامه علیهما کفایةً و إیعادهما علی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کإکراه شخصٍ واحدٍ علی أحد الفعلین،فی کون کلٍّ منهما مُکرَهاً</w:t>
      </w:r>
      <w:r>
        <w:rPr>
          <w:rFonts w:eastAsia="IRNazanin" w:cs="IRNazanin"/>
          <w:color w:val="111111"/>
          <w:sz w:val="28"/>
          <w:szCs w:val="28"/>
          <w:rtl w:val="true"/>
          <w:lang w:bidi="fa-IR"/>
        </w:rPr>
        <w:t>.</w:t>
      </w:r>
    </w:p>
    <w:p>
      <w:pPr>
        <w:pStyle w:val="Heading5"/>
        <w:numPr>
          <w:ilvl w:val="4"/>
          <w:numId w:val="1"/>
        </w:numPr>
        <w:rPr/>
      </w:pPr>
      <w:bookmarkStart w:id="536" w:name="__RefHeading___Toc5082830_2314609296"/>
      <w:bookmarkStart w:id="537" w:name="_Toc206"/>
      <w:bookmarkEnd w:id="536"/>
      <w:r>
        <w:rPr>
          <w:rtl w:val="true"/>
        </w:rPr>
        <w:t>[</w:t>
      </w:r>
      <w:r>
        <w:rPr>
          <w:rtl w:val="true"/>
        </w:rPr>
        <w:t>صور تعلق الإکراه</w:t>
      </w:r>
      <w:r>
        <w:rPr>
          <w:rtl w:val="true"/>
        </w:rPr>
        <w:t>]</w:t>
      </w:r>
      <w:bookmarkEnd w:id="53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یتعلّق بالمالک و العاقد،کما تقدّم،و قد یتعلّق بالمالک دون العاقد،کما لو اکره علی التوکیل فی بیع ماله؛فإنّ العاقد قاصد مختار،و المالک مجبور،و هو داخل فی عقد </w:t>
      </w:r>
      <w:r>
        <w:rPr>
          <w:rStyle w:val="FootnoteAnchor"/>
          <w:rtl w:val="true"/>
        </w:rPr>
        <w:footnoteReference w:id="1741"/>
      </w:r>
      <w:r>
        <w:rPr>
          <w:rFonts w:ascii="IRNazanin" w:hAnsi="IRNazanin" w:eastAsia="IRNazanin"/>
          <w:color w:val="111111"/>
          <w:sz w:val="28"/>
          <w:sz w:val="28"/>
          <w:szCs w:val="28"/>
          <w:rtl w:val="true"/>
          <w:lang w:bidi="fa-IR"/>
        </w:rPr>
        <w:t>الفضولی بعد</w:t>
      </w:r>
    </w:p>
    <w:p>
      <w:pPr>
        <w:pStyle w:val="BookText"/>
        <w:rPr/>
      </w:pPr>
      <w:r>
        <w:rPr>
          <w:rFonts w:ascii="IRNazanin" w:hAnsi="IRNazanin" w:eastAsia="IRNazanin"/>
          <w:color w:val="111111"/>
          <w:sz w:val="28"/>
          <w:sz w:val="28"/>
          <w:szCs w:val="28"/>
          <w:rtl w:val="true"/>
          <w:lang w:bidi="fa-IR"/>
        </w:rPr>
        <w:t>ملاحظة عدم تحقّق الوکالة مع الإکراه،و قد ینعکس،کما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طلّق زوجتی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قتلتک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هنا الصحّة؛لأنّ العقد هنا </w:t>
      </w:r>
      <w:r>
        <w:rPr>
          <w:rStyle w:val="FootnoteAnchor"/>
          <w:rtl w:val="true"/>
        </w:rPr>
        <w:footnoteReference w:id="1742"/>
      </w:r>
      <w:r>
        <w:rPr>
          <w:rFonts w:ascii="IRNazanin" w:hAnsi="IRNazanin" w:eastAsia="IRNazanin"/>
          <w:color w:val="111111"/>
          <w:sz w:val="28"/>
          <w:sz w:val="28"/>
          <w:szCs w:val="28"/>
          <w:rtl w:val="true"/>
          <w:lang w:bidi="fa-IR"/>
        </w:rPr>
        <w:t xml:space="preserve">من حیث إنّه عقد لا یعتبر فیه سوی القصد الموجود فی </w:t>
      </w:r>
      <w:r>
        <w:rPr>
          <w:rStyle w:val="FootnoteAnchor"/>
          <w:rtl w:val="true"/>
        </w:rPr>
        <w:footnoteReference w:id="1743"/>
      </w:r>
      <w:r>
        <w:rPr>
          <w:rFonts w:ascii="IRNazanin" w:hAnsi="IRNazanin" w:eastAsia="IRNazanin"/>
          <w:color w:val="111111"/>
          <w:sz w:val="28"/>
          <w:sz w:val="28"/>
          <w:szCs w:val="28"/>
          <w:rtl w:val="true"/>
          <w:lang w:bidi="fa-IR"/>
        </w:rPr>
        <w:t>المکره إذا کان عاقداً،و الرضا المعتبر من المالک موجود بالفرض،فهذا أولی من المالک المکره علی العقد إذا رضی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فی المسالک عدم الصحّة؛نظراً إلی أنّ الإکراه یُسقِط حکم اللفظ،کما لو أمر المجنونَ بالطلاق فطلّقها،ثمّ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الفرق بینهما أنّ عبارة المجنون مسلوبة،بخلاف المکرَه فإنّ عبارته مسلوبة لعارضِ تخلّفِ القصد،فإذا کان الآمر قاصداً لم یقدح إکراه المأمور </w:t>
      </w:r>
      <w:r>
        <w:rPr>
          <w:rStyle w:val="FootnoteAnchor"/>
          <w:rtl w:val="true"/>
        </w:rPr>
        <w:footnoteReference w:id="174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745"/>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اکره الوکیل علی الطلاق،دون الموکّل،ففی صحّته وجهان أیضاً </w:t>
      </w:r>
      <w:r>
        <w:rPr>
          <w:rStyle w:val="FootnoteAnchor"/>
          <w:rtl w:val="true"/>
        </w:rPr>
        <w:footnoteReference w:id="1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تحقّق الاختیار فی الموکّل المالک،و من سلب عبارة المباشر </w:t>
      </w:r>
      <w:r>
        <w:rPr>
          <w:rStyle w:val="FootnoteAnchor"/>
          <w:rtl w:val="true"/>
        </w:rPr>
        <w:footnoteReference w:id="17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علی فساد العقد فی هذین الفرعین بما دلّ علی رفع حکم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سیجیء </w:t>
      </w:r>
      <w:r>
        <w:rPr>
          <w:rStyle w:val="FootnoteAnchor"/>
          <w:rtl w:val="true"/>
        </w:rPr>
        <w:footnoteReference w:id="1748"/>
      </w:r>
      <w:r>
        <w:rPr>
          <w:rFonts w:ascii="IRNazanin" w:hAnsi="IRNazanin" w:eastAsia="IRNazanin"/>
          <w:color w:val="111111"/>
          <w:sz w:val="28"/>
          <w:sz w:val="28"/>
          <w:szCs w:val="28"/>
          <w:rtl w:val="true"/>
          <w:lang w:bidi="fa-IR"/>
        </w:rPr>
        <w:t>من أنّه إنّما یرفع حکماً ثابتاً علی المکره لو لا الإکراه،و لا أثر للعقد هنا بالنسبة إلی المتکلّم به لو لا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المشهور بصحّة بیع المکره بعد لحوق الرضا،و من المعلوم أنّه إنّما یتعلّق بحاصل العقد الذی هو أمر مستمرّ، و هو النقل و الانتقال </w:t>
      </w:r>
      <w:r>
        <w:rPr>
          <w:rStyle w:val="FootnoteAnchor"/>
          <w:rtl w:val="true"/>
        </w:rPr>
        <w:footnoteReference w:id="1749"/>
      </w:r>
      <w:r>
        <w:rPr>
          <w:rFonts w:ascii="IRNazanin" w:hAnsi="IRNazanin" w:eastAsia="IRNazanin"/>
          <w:color w:val="111111"/>
          <w:sz w:val="28"/>
          <w:sz w:val="28"/>
          <w:szCs w:val="28"/>
          <w:rtl w:val="true"/>
          <w:lang w:bidi="fa-IR"/>
        </w:rPr>
        <w:t>،و أمّا التلفّظ بالکلام الذی صدر مکرهاً فلا معنی للحوق الرضا به؛لأنّ ما مضی و انقطع لا یتغیّر عمّا وقع علیه و لا ینقلب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1750"/>
      </w:r>
      <w:r>
        <w:rPr>
          <w:rFonts w:ascii="IRNazanin" w:hAnsi="IRNazanin" w:eastAsia="IRNazanin"/>
          <w:color w:val="111111"/>
          <w:sz w:val="28"/>
          <w:sz w:val="28"/>
          <w:szCs w:val="28"/>
          <w:rtl w:val="true"/>
          <w:lang w:bidi="fa-IR"/>
        </w:rPr>
        <w:t>،ربما یستشکل هنا فی الحکم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القصد إلی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وجه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فی الاعتناء بعبارة العقد،و لا یعرف إلّا من قبل العاقد،فإذا کان مختاراً أمکن إحرازه بأصالة القصد فی أفعال العقلاء الاختیاریة،دون المکره علیها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الکلام بعد إحراز القصد و عدم تکلّم العاقد لاغیاً أو مُوَرّیاً </w:t>
      </w:r>
      <w:r>
        <w:rPr>
          <w:rStyle w:val="FootnoteAnchor"/>
          <w:rtl w:val="true"/>
        </w:rPr>
        <w:footnoteReference w:id="1751"/>
      </w:r>
      <w:r>
        <w:rPr>
          <w:rFonts w:ascii="Amiri" w:hAnsi="Amiri" w:eastAsia="Amiri" w:cs="Amiri"/>
          <w:color w:val="111111"/>
          <w:sz w:val="28"/>
          <w:sz w:val="28"/>
          <w:szCs w:val="28"/>
          <w:rtl w:val="true"/>
          <w:lang w:bidi="ar-SA"/>
        </w:rPr>
        <w:t>و لو کان مُکرَهاً،مع أنّه یمکن إجراء أصالة القصد هنا أیضاً،فتأمّل</w:t>
      </w:r>
      <w:r>
        <w:rPr>
          <w:rFonts w:eastAsia="Amiri" w:cs="Amiri" w:ascii="Amiri" w:hAnsi="Amiri"/>
          <w:color w:val="111111"/>
          <w:sz w:val="28"/>
          <w:szCs w:val="28"/>
          <w:rtl w:val="true"/>
          <w:lang w:bidi="ar-SA"/>
        </w:rPr>
        <w:t>.</w:t>
      </w:r>
      <w:bookmarkStart w:id="538" w:name="pg19763_248070"/>
    </w:p>
    <w:p>
      <w:pPr>
        <w:pStyle w:val="Heading5"/>
        <w:numPr>
          <w:ilvl w:val="4"/>
          <w:numId w:val="1"/>
        </w:numPr>
        <w:rPr/>
      </w:pPr>
      <w:bookmarkStart w:id="539" w:name="__RefHeading___Toc5082832_2314609296"/>
      <w:bookmarkStart w:id="540" w:name="_Toc207"/>
      <w:bookmarkEnd w:id="538"/>
      <w:bookmarkEnd w:id="539"/>
      <w:r>
        <w:rPr>
          <w:rtl w:val="true"/>
        </w:rPr>
        <w:t>«</w:t>
      </w:r>
      <w:r>
        <w:rPr>
          <w:rtl w:val="true"/>
        </w:rPr>
        <w:t>فروع</w:t>
      </w:r>
      <w:r>
        <w:rPr>
          <w:rtl w:val="true"/>
        </w:rPr>
        <w:t>»</w:t>
      </w:r>
      <w:bookmarkEnd w:id="540"/>
    </w:p>
    <w:p>
      <w:pPr>
        <w:pStyle w:val="Heading6"/>
        <w:numPr>
          <w:ilvl w:val="5"/>
          <w:numId w:val="1"/>
        </w:numPr>
        <w:rPr/>
      </w:pPr>
      <w:bookmarkStart w:id="541" w:name="__RefHeading___Toc5082834_2314609296"/>
      <w:bookmarkStart w:id="542" w:name="_Toc208"/>
      <w:bookmarkEnd w:id="541"/>
      <w:r>
        <w:rPr>
          <w:rtl w:val="true"/>
        </w:rPr>
        <w:t>اشاره</w:t>
      </w:r>
      <w:bookmarkEnd w:id="542"/>
    </w:p>
    <w:p>
      <w:pPr>
        <w:pStyle w:val="BookText"/>
        <w:rPr/>
      </w:pPr>
      <w:r>
        <w:rPr>
          <w:rStyle w:val="FootnoteAnchor"/>
          <w:rtl w:val="true"/>
        </w:rPr>
        <w:footnoteReference w:id="1752"/>
      </w:r>
    </w:p>
    <w:p>
      <w:pPr>
        <w:pStyle w:val="Heading6"/>
        <w:numPr>
          <w:ilvl w:val="5"/>
          <w:numId w:val="1"/>
        </w:numPr>
        <w:rPr/>
      </w:pPr>
      <w:bookmarkStart w:id="543" w:name="__RefHeading___Toc5082836_2314609296"/>
      <w:bookmarkStart w:id="544" w:name="_Toc209"/>
      <w:bookmarkEnd w:id="543"/>
      <w:r>
        <w:rPr>
          <w:rtl w:val="true"/>
        </w:rPr>
        <w:t>[</w:t>
      </w:r>
      <w:r>
        <w:rPr>
          <w:rtl w:val="true"/>
        </w:rPr>
        <w:t>الإکراه علی بیع عبد من عبدین</w:t>
      </w:r>
      <w:r>
        <w:rPr>
          <w:rtl w:val="true"/>
        </w:rPr>
        <w:t>]</w:t>
      </w:r>
      <w:bookmarkEnd w:id="544"/>
    </w:p>
    <w:p>
      <w:pPr>
        <w:pStyle w:val="BookText"/>
        <w:rPr/>
      </w:pPr>
      <w:r>
        <w:rPr>
          <w:rFonts w:ascii="IRNazanin" w:hAnsi="IRNazanin" w:eastAsia="IRNazanin"/>
          <w:color w:val="111111"/>
          <w:sz w:val="28"/>
          <w:sz w:val="28"/>
          <w:szCs w:val="28"/>
          <w:rtl w:val="true"/>
          <w:lang w:bidi="fa-IR"/>
        </w:rPr>
        <w:t xml:space="preserve">لو </w:t>
      </w:r>
      <w:r>
        <w:rPr>
          <w:rStyle w:val="FootnoteAnchor"/>
          <w:rtl w:val="true"/>
        </w:rPr>
        <w:footnoteReference w:id="1753"/>
      </w:r>
      <w:r>
        <w:rPr>
          <w:rFonts w:ascii="IRNazanin" w:hAnsi="IRNazanin" w:eastAsia="IRNazanin"/>
          <w:color w:val="111111"/>
          <w:sz w:val="28"/>
          <w:sz w:val="28"/>
          <w:szCs w:val="28"/>
          <w:rtl w:val="true"/>
          <w:lang w:bidi="fa-IR"/>
        </w:rPr>
        <w:t xml:space="preserve">أکرهه علی بیع واحدٍ غیر معیّن من عبدین فباعهما أو باع نصف أحدهما،ففی التذکرة </w:t>
      </w:r>
      <w:r>
        <w:rPr>
          <w:rStyle w:val="FootnoteAnchor"/>
          <w:rtl w:val="true"/>
        </w:rPr>
        <w:footnoteReference w:id="1754"/>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بیع العبدین،فإن کان تدریجاً،فالظاهر وقوع الأوّل مکرهاً دون الثانی،مع احتمال الرجوع إلیه فی التعیین،سواءً ادّعی العکس،أم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باعهما دفعة،احتمل صحّة الجمیع؛لأنّه خلاف المکرَه علیه، و الظاهر أنّه لم یقع شیء منهما عن إکراه،و بطلان الجمیع؛لوقوع أحدهما مکرَهاً علیه و لا ترجیح،و الأوّل أقوی</w:t>
      </w:r>
      <w:r>
        <w:rPr>
          <w:rFonts w:eastAsia="IRNazanin" w:cs="IRNazanin"/>
          <w:color w:val="111111"/>
          <w:sz w:val="28"/>
          <w:szCs w:val="28"/>
          <w:rtl w:val="true"/>
          <w:lang w:bidi="fa-IR"/>
        </w:rPr>
        <w:t>.</w:t>
      </w:r>
    </w:p>
    <w:p>
      <w:pPr>
        <w:pStyle w:val="Heading6"/>
        <w:numPr>
          <w:ilvl w:val="5"/>
          <w:numId w:val="1"/>
        </w:numPr>
        <w:rPr/>
      </w:pPr>
      <w:bookmarkStart w:id="545" w:name="__RefHeading___Toc5082838_2314609296"/>
      <w:bookmarkStart w:id="546" w:name="_Toc210"/>
      <w:bookmarkEnd w:id="545"/>
      <w:r>
        <w:rPr>
          <w:rtl w:val="true"/>
        </w:rPr>
        <w:t>[</w:t>
      </w:r>
      <w:r>
        <w:rPr>
          <w:rtl w:val="true"/>
        </w:rPr>
        <w:t>الإکراه علی معین فضم غیره إلیه</w:t>
      </w:r>
      <w:r>
        <w:rPr>
          <w:rtl w:val="true"/>
        </w:rPr>
        <w:t>]</w:t>
      </w:r>
      <w:bookmarkEnd w:id="546"/>
    </w:p>
    <w:p>
      <w:pPr>
        <w:pStyle w:val="BookText"/>
        <w:rPr/>
      </w:pPr>
      <w:r>
        <w:rPr>
          <w:rFonts w:ascii="IRNazanin" w:hAnsi="IRNazanin" w:eastAsia="IRNazanin"/>
          <w:color w:val="111111"/>
          <w:sz w:val="28"/>
          <w:sz w:val="28"/>
          <w:szCs w:val="28"/>
          <w:rtl w:val="true"/>
          <w:lang w:bidi="fa-IR"/>
        </w:rPr>
        <w:t xml:space="preserve">و لو اکره علی بیع معیّنٍ فضمّ إلیه غیره و باعهما </w:t>
      </w:r>
      <w:r>
        <w:rPr>
          <w:rStyle w:val="FootnoteAnchor"/>
          <w:rtl w:val="true"/>
        </w:rPr>
        <w:footnoteReference w:id="1755"/>
      </w:r>
      <w:r>
        <w:rPr>
          <w:rFonts w:ascii="IRNazanin" w:hAnsi="IRNazanin" w:eastAsia="IRNazanin"/>
          <w:color w:val="111111"/>
          <w:sz w:val="28"/>
          <w:sz w:val="28"/>
          <w:szCs w:val="28"/>
          <w:rtl w:val="true"/>
          <w:lang w:bidi="fa-IR"/>
        </w:rPr>
        <w:t>دفعة،فالأقوی الصحّة فی غیر ما اکره علیه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مسألة النصف،فإن باع النصف </w:t>
      </w:r>
      <w:r>
        <w:rPr>
          <w:rStyle w:val="FootnoteAnchor"/>
          <w:rtl w:val="true"/>
        </w:rPr>
        <w:footnoteReference w:id="1756"/>
      </w:r>
      <w:r>
        <w:rPr>
          <w:rFonts w:ascii="IRNazanin" w:hAnsi="IRNazanin" w:eastAsia="IRNazanin"/>
          <w:color w:val="111111"/>
          <w:sz w:val="28"/>
          <w:sz w:val="28"/>
          <w:szCs w:val="28"/>
          <w:rtl w:val="true"/>
          <w:lang w:bidi="fa-IR"/>
        </w:rPr>
        <w:t xml:space="preserve">بقصد بیع </w:t>
      </w:r>
      <w:r>
        <w:rPr>
          <w:rStyle w:val="FootnoteAnchor"/>
          <w:rtl w:val="true"/>
        </w:rPr>
        <w:footnoteReference w:id="1757"/>
      </w:r>
      <w:r>
        <w:rPr>
          <w:rFonts w:ascii="IRNazanin" w:hAnsi="IRNazanin" w:eastAsia="IRNazanin"/>
          <w:color w:val="111111"/>
          <w:sz w:val="28"/>
          <w:sz w:val="28"/>
          <w:szCs w:val="28"/>
          <w:rtl w:val="true"/>
          <w:lang w:bidi="fa-IR"/>
        </w:rPr>
        <w:t>النصف الآخر</w:t>
      </w:r>
      <w:bookmarkStart w:id="547" w:name="pg19763_248071"/>
    </w:p>
    <w:p>
      <w:pPr>
        <w:pStyle w:val="BookText"/>
        <w:rPr/>
      </w:pPr>
      <w:bookmarkEnd w:id="547"/>
      <w:r>
        <w:rPr>
          <w:rFonts w:ascii="IRNazanin" w:hAnsi="IRNazanin" w:eastAsia="IRNazanin"/>
          <w:color w:val="111111"/>
          <w:sz w:val="28"/>
          <w:sz w:val="28"/>
          <w:szCs w:val="28"/>
          <w:rtl w:val="true"/>
          <w:lang w:bidi="fa-IR"/>
        </w:rPr>
        <w:t>امتثالاً للمُکرِه بناءً علی شمول الإکراه لبیع المجموع دفعتین فلا إشکال فی وقوعه مکرَهاً علیه،و إن کان لرجاء أن یقنع المکرِه بالنصف کان أیضاً إکراهاً،لکن فی سماع دعوی البائع ذلک مع عدم الأمارات نظر</w:t>
      </w:r>
      <w:r>
        <w:rPr>
          <w:rFonts w:eastAsia="IRNazanin" w:cs="IRNazanin"/>
          <w:color w:val="111111"/>
          <w:sz w:val="28"/>
          <w:szCs w:val="28"/>
          <w:rtl w:val="true"/>
          <w:lang w:bidi="fa-IR"/>
        </w:rPr>
        <w:t>.</w:t>
      </w:r>
    </w:p>
    <w:p>
      <w:pPr>
        <w:pStyle w:val="Heading6"/>
        <w:numPr>
          <w:ilvl w:val="5"/>
          <w:numId w:val="1"/>
        </w:numPr>
        <w:rPr/>
      </w:pPr>
      <w:bookmarkStart w:id="548" w:name="__RefHeading___Toc5082840_2314609296"/>
      <w:bookmarkStart w:id="549" w:name="_Toc211"/>
      <w:bookmarkEnd w:id="548"/>
      <w:r>
        <w:rPr>
          <w:rtl w:val="true"/>
        </w:rPr>
        <w:t>[</w:t>
      </w:r>
      <w:r>
        <w:rPr>
          <w:rtl w:val="true"/>
        </w:rPr>
        <w:t>الإکراه علی الطلاق</w:t>
      </w:r>
      <w:r>
        <w:rPr>
          <w:rtl w:val="true"/>
        </w:rPr>
        <w:t>]</w:t>
      </w:r>
      <w:bookmarkEnd w:id="549"/>
    </w:p>
    <w:p>
      <w:pPr>
        <w:pStyle w:val="BookText"/>
        <w:rPr/>
      </w:pPr>
      <w:r>
        <w:rPr>
          <w:rFonts w:ascii="IRNazanin" w:hAnsi="IRNazanin" w:eastAsia="IRNazanin"/>
          <w:color w:val="111111"/>
          <w:sz w:val="28"/>
          <w:sz w:val="28"/>
          <w:szCs w:val="28"/>
          <w:rtl w:val="true"/>
          <w:lang w:bidi="fa-IR"/>
        </w:rPr>
        <w:t xml:space="preserve">بقی الکلام فیما وعدنا ذکره </w:t>
      </w:r>
      <w:r>
        <w:rPr>
          <w:rStyle w:val="FootnoteAnchor"/>
          <w:rtl w:val="true"/>
        </w:rPr>
        <w:footnoteReference w:id="1758"/>
      </w:r>
      <w:r>
        <w:rPr>
          <w:rFonts w:ascii="IRNazanin" w:hAnsi="IRNazanin" w:eastAsia="IRNazanin"/>
          <w:color w:val="111111"/>
          <w:sz w:val="28"/>
          <w:sz w:val="28"/>
          <w:szCs w:val="28"/>
          <w:rtl w:val="true"/>
          <w:lang w:bidi="fa-IR"/>
        </w:rPr>
        <w:t>من الفرع المذکور فی التحریر،قال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اکره علی الطلاق فطلّق ناویاً،فالأقرب وقوع الطلاق </w:t>
      </w:r>
      <w:r>
        <w:rPr>
          <w:rStyle w:val="FootnoteAnchor"/>
          <w:rtl w:val="true"/>
        </w:rPr>
        <w:footnoteReference w:id="17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فی المسالک بزیادة احتمال عدم الوقوع؛لأنّ الإکراه أسقط أثر اللفظ،و مجرّد النیّة لا حکم لها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عن سبطه فی نهایة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نقله قولاً،و استدلّ علیه بعموم ما دلّ من النصّ و الإجماع علی بطلان عقد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الإکراه یتحقّق </w:t>
      </w:r>
      <w:r>
        <w:rPr>
          <w:rStyle w:val="FootnoteAnchor"/>
          <w:rtl w:val="true"/>
        </w:rPr>
        <w:footnoteReference w:id="1761"/>
      </w:r>
      <w:r>
        <w:rPr>
          <w:rFonts w:ascii="IRNazanin" w:hAnsi="IRNazanin" w:eastAsia="IRNazanin"/>
          <w:color w:val="111111"/>
          <w:sz w:val="28"/>
          <w:sz w:val="28"/>
          <w:szCs w:val="28"/>
          <w:rtl w:val="true"/>
          <w:lang w:bidi="fa-IR"/>
        </w:rPr>
        <w:t>هنا؛إذ المفروض أنّه لولاه لما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المسألة محلّ إشکال </w:t>
      </w:r>
      <w:r>
        <w:rPr>
          <w:rStyle w:val="FootnoteAnchor"/>
          <w:rtl w:val="true"/>
        </w:rPr>
        <w:footnoteReference w:id="17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بعض الأجلّة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علم أنّه لا یلزمه إلّا اللفظ و له تجریده عن القصد،فلا شبهة فی عدم الإکراه </w:t>
      </w:r>
      <w:r>
        <w:rPr>
          <w:rStyle w:val="FootnoteAnchor"/>
          <w:rtl w:val="true"/>
        </w:rPr>
        <w:footnoteReference w:id="1763"/>
      </w:r>
      <w:r>
        <w:rPr>
          <w:rFonts w:ascii="IRNazanin" w:hAnsi="IRNazanin" w:eastAsia="IRNazanin"/>
          <w:color w:val="111111"/>
          <w:sz w:val="28"/>
          <w:sz w:val="28"/>
          <w:szCs w:val="28"/>
          <w:rtl w:val="true"/>
          <w:lang w:bidi="fa-IR"/>
        </w:rPr>
        <w:t xml:space="preserve">و إنّما یحتمل </w:t>
      </w:r>
      <w:r>
        <w:rPr>
          <w:rStyle w:val="FootnoteAnchor"/>
          <w:rtl w:val="true"/>
        </w:rPr>
        <w:footnoteReference w:id="1764"/>
      </w:r>
      <w:r>
        <w:rPr>
          <w:rFonts w:ascii="IRNazanin" w:hAnsi="IRNazanin" w:eastAsia="IRNazanin"/>
          <w:color w:val="111111"/>
          <w:sz w:val="28"/>
          <w:sz w:val="28"/>
          <w:szCs w:val="28"/>
          <w:rtl w:val="true"/>
          <w:lang w:bidi="fa-IR"/>
        </w:rPr>
        <w:t>الإکراه مع</w:t>
      </w:r>
    </w:p>
    <w:p>
      <w:pPr>
        <w:pStyle w:val="BookText"/>
        <w:rPr/>
      </w:pPr>
      <w:r>
        <w:rPr>
          <w:rFonts w:ascii="IRNazanin" w:hAnsi="IRNazanin" w:eastAsia="IRNazanin"/>
          <w:color w:val="111111"/>
          <w:sz w:val="28"/>
          <w:sz w:val="28"/>
          <w:szCs w:val="28"/>
          <w:rtl w:val="true"/>
          <w:lang w:bidi="fa-IR"/>
        </w:rPr>
        <w:t xml:space="preserve">عدم العلم بذلک،سواء ظنّ لزوم القصد و إن لم یرده المکره،أم لا </w:t>
      </w:r>
      <w:r>
        <w:rPr>
          <w:rStyle w:val="FootnoteAnchor"/>
          <w:rtl w:val="true"/>
        </w:rPr>
        <w:footnoteReference w:id="17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بعض المعاصرین </w:t>
      </w:r>
      <w:r>
        <w:rPr>
          <w:rStyle w:val="FootnoteAnchor"/>
          <w:rtl w:val="true"/>
        </w:rPr>
        <w:footnoteReference w:id="1766"/>
      </w:r>
      <w:r>
        <w:rPr>
          <w:rFonts w:ascii="IRNazanin" w:hAnsi="IRNazanin" w:eastAsia="IRNazanin"/>
          <w:color w:val="111111"/>
          <w:sz w:val="28"/>
          <w:sz w:val="28"/>
          <w:szCs w:val="28"/>
          <w:rtl w:val="true"/>
          <w:lang w:bidi="fa-IR"/>
        </w:rPr>
        <w:t xml:space="preserve">ذکر الفرع عن المسالک </w:t>
      </w:r>
      <w:r>
        <w:rPr>
          <w:rStyle w:val="FootnoteAnchor"/>
          <w:rtl w:val="true"/>
        </w:rPr>
        <w:footnoteReference w:id="1767"/>
      </w:r>
      <w:r>
        <w:rPr>
          <w:rFonts w:ascii="IRNazanin" w:hAnsi="IRNazanin" w:eastAsia="IRNazanin"/>
          <w:color w:val="111111"/>
          <w:sz w:val="28"/>
          <w:sz w:val="28"/>
          <w:szCs w:val="28"/>
          <w:rtl w:val="true"/>
          <w:lang w:bidi="fa-IR"/>
        </w:rPr>
        <w:t>،و بناه علی أنّ المکرَه لا قصد له أصلاً،فردّه بثبوت القصد للمکرَه،و جزم بوقوع الطلاق المذکور مکرَهاً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لم یقل أحدٌ بخلوّ المُکرَه عن قصد معنی اللفظ،و لیس هذا مراداً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المکره غیر قاصدٍ إلی مدلول اللفظ؛و لذا شرّک الشهید الثانی بین المُکرَه و الفضولی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عرفت سابقاً </w:t>
      </w:r>
      <w:r>
        <w:rPr>
          <w:rStyle w:val="FootnoteAnchor"/>
          <w:rtl w:val="true"/>
        </w:rPr>
        <w:footnoteReference w:id="1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هذا الحکم فی هذا الفرع علی ما ذکر ضعیف جدّاً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تقدّم عن بعض الأجلّة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إن علم بکفایة مجرّد </w:t>
      </w:r>
      <w:r>
        <w:rPr>
          <w:rStyle w:val="FootnoteAnchor"/>
          <w:rtl w:val="true"/>
        </w:rPr>
        <w:footnoteReference w:id="1769"/>
      </w:r>
      <w:r>
        <w:rPr>
          <w:rFonts w:ascii="IRNazanin" w:hAnsi="IRNazanin" w:eastAsia="IRNazanin"/>
          <w:color w:val="111111"/>
          <w:sz w:val="28"/>
          <w:sz w:val="28"/>
          <w:szCs w:val="28"/>
          <w:rtl w:val="true"/>
          <w:lang w:bidi="fa-IR"/>
        </w:rPr>
        <w:t>اللفظ المجرّد عن النیّة فنوی اختیاراً صحّ؛لأنّ مرجع ذلک إلی وجوب التوریة علی العارف بها المتفطّن لها؛إذ لا فرق بین التخلّص بالتوریة و بین تجرید اللفظ عن قصد المعنی بحیث یتکلّم به لاغیاً،و قد عرفت أنّ ظاهر الأدلّة و الأخبار الواردة فی طلاق المکره و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اعتبار العجز عن التوریة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bookmarkStart w:id="550" w:name="pg19763_248073"/>
    </w:p>
    <w:p>
      <w:pPr>
        <w:pStyle w:val="Heading6"/>
        <w:numPr>
          <w:ilvl w:val="5"/>
          <w:numId w:val="1"/>
        </w:numPr>
        <w:rPr/>
      </w:pPr>
      <w:bookmarkStart w:id="551" w:name="__RefHeading___Toc5082842_2314609296"/>
      <w:bookmarkStart w:id="552" w:name="_Toc212"/>
      <w:bookmarkEnd w:id="550"/>
      <w:bookmarkEnd w:id="551"/>
      <w:r>
        <w:rPr>
          <w:rtl w:val="true"/>
        </w:rPr>
        <w:t>[</w:t>
      </w:r>
      <w:r>
        <w:rPr>
          <w:rtl w:val="true"/>
        </w:rPr>
        <w:t>أقسام الإکراه علی الطلاق،و أحکامها</w:t>
      </w:r>
      <w:r>
        <w:rPr>
          <w:rtl w:val="true"/>
        </w:rPr>
        <w:t>]</w:t>
      </w:r>
      <w:bookmarkEnd w:id="552"/>
    </w:p>
    <w:p>
      <w:pPr>
        <w:pStyle w:val="BookText"/>
        <w:rPr/>
      </w:pPr>
      <w:r>
        <w:rPr>
          <w:rFonts w:ascii="IRNazanin" w:hAnsi="IRNazanin" w:eastAsia="IRNazanin"/>
          <w:color w:val="111111"/>
          <w:sz w:val="28"/>
          <w:sz w:val="28"/>
          <w:szCs w:val="28"/>
          <w:rtl w:val="true"/>
          <w:lang w:bidi="fa-IR"/>
        </w:rPr>
        <w:t>و توضیح الأقسام المتصوّرة فی الفرع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الإکراه الملحوق بوقوع الطلاق قصداً إلیه راضیاً به،إمّا أن لا یکون له دخل فی الفعل أصلاً،بأن یوقع الطلاق قصداً إلیه عن طیب النفس،بحیث لا یکون الداعی إلیه هو الإکراه؛لبنائه علی تحمّل الضرر المتوعّد به،و لا یخفی بداهة وقوع الطلاق هنا،و عدم جواز حمل الفرع المذکور </w:t>
      </w:r>
      <w:r>
        <w:rPr>
          <w:rStyle w:val="FootnoteAnchor"/>
          <w:rtl w:val="true"/>
        </w:rPr>
        <w:footnoteReference w:id="1771"/>
      </w:r>
      <w:r>
        <w:rPr>
          <w:rFonts w:ascii="IRNazanin" w:hAnsi="IRNazanin" w:eastAsia="IRNazanin"/>
          <w:color w:val="111111"/>
          <w:sz w:val="28"/>
          <w:sz w:val="28"/>
          <w:szCs w:val="28"/>
          <w:rtl w:val="true"/>
          <w:lang w:bidi="fa-IR"/>
        </w:rPr>
        <w:t>علیه،فلا معنی لجعله فی التحریر أقرب،و ذکر احتمال عدم الوقوع فی المسالک،و جعله قولاً فی نهایة المرام و استشکاله فیه؛ لعموم النصّ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ینبغی التأمّل فی وقوع الطلاق لو لم یکن الإکراه مستقلا فی داعی الوقوع،بل هو بضمیمة شیءٍ اختیاریّ للفاعل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الداعی هو الإکراه،فإمّا أن یکون الفعل لا من جهة التخلّص عن الضرر المتوعّد به،بل من جهة دفع الضرر اللاحق للمکرِه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قال له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زوجتک و إلّا قتلتک أو قتلت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 الوالد خوفاً من قتل الولد نفسه،أو قتلِ الغیر له إذا تعرّض لقتل والده،أو کان الداعی علی الفعل شفقةً دینیّة علی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المطلّقة،أو علی غیرهما ممّن یرید نکاح الزوجة لئلّا یقع الناس فی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 الصورتین لا یخلو عن إشکال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الفعل لداعی التخلّص من الضرر،فقد یکون قصد الفعل لأجل اعتقاد المکرَه أنّ الحذر لا یتحقّق إلّا بإیقاع الطلاق حقیقةً؛ لغفلته عن أنّ التخلّص غیر متوقّف علی القصد إلی وقوع أثر الطلاق</w:t>
      </w:r>
      <w:bookmarkStart w:id="553" w:name="pg19763_248074"/>
    </w:p>
    <w:p>
      <w:pPr>
        <w:pStyle w:val="BookText"/>
        <w:rPr/>
      </w:pPr>
      <w:bookmarkEnd w:id="553"/>
      <w:r>
        <w:rPr>
          <w:rFonts w:ascii="IRNazanin" w:hAnsi="IRNazanin" w:eastAsia="IRNazanin"/>
          <w:color w:val="111111"/>
          <w:sz w:val="28"/>
          <w:sz w:val="28"/>
          <w:szCs w:val="28"/>
          <w:rtl w:val="true"/>
          <w:lang w:bidi="fa-IR"/>
        </w:rPr>
        <w:t>و حصول البینونة،فیوطّن نفسه علی رفع الید عن الزوجة و الإعراض عنها،فیوقع الطلاق قاصداً،و هذا کثیراً ما یتّفق للعوامّ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یکون هذا التوطین و الإعراض من جهة جهله بالحکم الشرعیّ أو کونه رأی </w:t>
      </w:r>
      <w:r>
        <w:rPr>
          <w:rStyle w:val="FootnoteAnchor"/>
          <w:rtl w:val="true"/>
        </w:rPr>
        <w:footnoteReference w:id="1772"/>
      </w:r>
      <w:r>
        <w:rPr>
          <w:rFonts w:ascii="Amiri" w:hAnsi="Amiri" w:eastAsia="Amiri" w:cs="Amiri"/>
          <w:color w:val="111111"/>
          <w:sz w:val="28"/>
          <w:sz w:val="28"/>
          <w:szCs w:val="28"/>
          <w:rtl w:val="true"/>
          <w:lang w:bidi="ar-SA"/>
        </w:rPr>
        <w:t xml:space="preserve">مذهب بعض العامة </w:t>
      </w:r>
      <w:r>
        <w:rPr>
          <w:rStyle w:val="FootnoteAnchor"/>
          <w:rtl w:val="true"/>
        </w:rPr>
        <w:footnoteReference w:id="1773"/>
      </w:r>
      <w:r>
        <w:rPr>
          <w:rFonts w:ascii="IRNazanin" w:hAnsi="IRNazanin" w:eastAsia="IRNazanin"/>
          <w:color w:val="111111"/>
          <w:sz w:val="28"/>
          <w:sz w:val="28"/>
          <w:szCs w:val="28"/>
          <w:rtl w:val="true"/>
          <w:lang w:bidi="fa-IR"/>
        </w:rPr>
        <w:t xml:space="preserve">فزعم أنّ الطلاق یقع مع </w:t>
      </w:r>
      <w:r>
        <w:rPr>
          <w:rStyle w:val="FootnoteAnchor"/>
          <w:rtl w:val="true"/>
        </w:rPr>
        <w:footnoteReference w:id="1774"/>
      </w:r>
      <w:r>
        <w:rPr>
          <w:rFonts w:ascii="IRNazanin" w:hAnsi="IRNazanin" w:eastAsia="IRNazanin"/>
          <w:color w:val="111111"/>
          <w:sz w:val="28"/>
          <w:sz w:val="28"/>
          <w:szCs w:val="28"/>
          <w:rtl w:val="true"/>
          <w:lang w:bidi="fa-IR"/>
        </w:rPr>
        <w:t xml:space="preserve">الإکراه،فإذا أُکره علی الطلاق طلّق قاصداً لوقوعه؛لأنّ القصد إلی اللفظ المکرَه علیه بعد اعتقاد کونه سبباً مستقلا فی وقوع البینونة یستلزم القصد إلی وقوعها،فیرضی نفسه </w:t>
      </w:r>
      <w:r>
        <w:rPr>
          <w:rStyle w:val="FootnoteAnchor"/>
          <w:rtl w:val="true"/>
        </w:rPr>
        <w:footnoteReference w:id="1775"/>
      </w:r>
      <w:r>
        <w:rPr>
          <w:rFonts w:ascii="IRNazanin" w:hAnsi="IRNazanin" w:eastAsia="IRNazanin"/>
          <w:color w:val="111111"/>
          <w:sz w:val="28"/>
          <w:sz w:val="28"/>
          <w:szCs w:val="28"/>
          <w:rtl w:val="true"/>
          <w:lang w:bidi="fa-IR"/>
        </w:rPr>
        <w:t>بذلک و یوطّنها علیه،و هذا أیضاً کثیراً ما یتّفق للعوام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 هاتین الصورتین لا یخلو عن إشکال،إلّا أنّ تحقّق الإکراه أقرب</w:t>
      </w:r>
      <w:r>
        <w:rPr>
          <w:rFonts w:eastAsia="IRNazanin" w:cs="IRNazanin"/>
          <w:color w:val="111111"/>
          <w:sz w:val="28"/>
          <w:szCs w:val="28"/>
          <w:rtl w:val="true"/>
          <w:lang w:bidi="fa-IR"/>
        </w:rPr>
        <w:t>.</w:t>
      </w:r>
    </w:p>
    <w:p>
      <w:pPr>
        <w:pStyle w:val="Heading6"/>
        <w:numPr>
          <w:ilvl w:val="5"/>
          <w:numId w:val="1"/>
        </w:numPr>
        <w:rPr/>
      </w:pPr>
      <w:bookmarkStart w:id="554" w:name="__RefHeading___Toc5082844_2314609296"/>
      <w:bookmarkStart w:id="555" w:name="_Toc213"/>
      <w:bookmarkEnd w:id="554"/>
      <w:r>
        <w:rPr>
          <w:rtl w:val="true"/>
        </w:rPr>
        <w:t>[</w:t>
      </w:r>
      <w:r>
        <w:rPr>
          <w:rtl w:val="true"/>
        </w:rPr>
        <w:t>عقد المکره لو تعقبه الرضا</w:t>
      </w:r>
      <w:r>
        <w:rPr>
          <w:rtl w:val="true"/>
        </w:rPr>
        <w:t>]</w:t>
      </w:r>
      <w:bookmarkEnd w:id="55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1776"/>
      </w:r>
      <w:r>
        <w:rPr>
          <w:rFonts w:ascii="IRNazanin" w:hAnsi="IRNazanin" w:eastAsia="IRNazanin"/>
          <w:color w:val="111111"/>
          <w:sz w:val="28"/>
          <w:sz w:val="28"/>
          <w:szCs w:val="28"/>
          <w:rtl w:val="true"/>
          <w:lang w:bidi="fa-IR"/>
        </w:rPr>
        <w:t xml:space="preserve">المشهور بین المتأخّرین </w:t>
      </w:r>
      <w:r>
        <w:rPr>
          <w:rStyle w:val="FootnoteAnchor"/>
          <w:rtl w:val="true"/>
        </w:rPr>
        <w:footnoteReference w:id="1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رضی المُکرَه بما فعله صحّ العقد،بل عن الریاض </w:t>
      </w:r>
      <w:r>
        <w:rPr>
          <w:rStyle w:val="FootnoteAnchor"/>
          <w:rtl w:val="true"/>
        </w:rPr>
        <w:footnoteReference w:id="1778"/>
      </w:r>
      <w:r>
        <w:rPr>
          <w:rFonts w:ascii="IRNazanin" w:hAnsi="IRNazanin" w:eastAsia="IRNazanin"/>
          <w:color w:val="111111"/>
          <w:sz w:val="28"/>
          <w:sz w:val="28"/>
          <w:szCs w:val="28"/>
          <w:rtl w:val="true"/>
          <w:lang w:bidi="fa-IR"/>
        </w:rPr>
        <w:t xml:space="preserve">تبعاً للحدائق </w:t>
      </w:r>
      <w:r>
        <w:rPr>
          <w:rStyle w:val="FootnoteAnchor"/>
          <w:rtl w:val="true"/>
        </w:rPr>
        <w:footnoteReference w:id="1779"/>
      </w:r>
      <w:r>
        <w:rPr>
          <w:rFonts w:ascii="Amiri" w:hAnsi="Amiri" w:eastAsia="Amiri" w:cs="Amiri"/>
          <w:color w:val="111111"/>
          <w:sz w:val="28"/>
          <w:sz w:val="28"/>
          <w:szCs w:val="28"/>
          <w:rtl w:val="true"/>
          <w:lang w:bidi="ar-SA"/>
        </w:rPr>
        <w:t>أنّ علیه اتّفاقهم؛لأنّه عقد</w:t>
      </w:r>
    </w:p>
    <w:p>
      <w:pPr>
        <w:pStyle w:val="BookText"/>
        <w:rPr/>
      </w:pPr>
      <w:r>
        <w:rPr>
          <w:rFonts w:ascii="IRNazanin" w:hAnsi="IRNazanin" w:eastAsia="IRNazanin"/>
          <w:color w:val="111111"/>
          <w:sz w:val="28"/>
          <w:sz w:val="28"/>
          <w:szCs w:val="28"/>
          <w:rtl w:val="true"/>
          <w:lang w:bidi="fa-IR"/>
        </w:rPr>
        <w:t>حقیقی،فیؤثّر أثره مع اجتماع باقی شرائط البیع،و هو طیب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w:t>
      </w:r>
      <w:r>
        <w:rPr>
          <w:rStyle w:val="FootnoteAnchor"/>
          <w:rtl w:val="true"/>
        </w:rPr>
        <w:footnoteReference w:id="1780"/>
      </w:r>
      <w:r>
        <w:rPr>
          <w:rFonts w:ascii="IRNazanin" w:hAnsi="IRNazanin" w:eastAsia="IRNazanin"/>
          <w:color w:val="111111"/>
          <w:sz w:val="28"/>
          <w:sz w:val="28"/>
          <w:szCs w:val="28"/>
          <w:rtl w:val="true"/>
          <w:lang w:bidi="fa-IR"/>
        </w:rPr>
        <w:t>اعتبار مقارنة طیب النفس للعقد،خالیةٌ عن الشاهد، مدفوعةٌ بالإطلاقات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اعتبارها فی مفهوم العقد،اللازم منه عدم کون عقد </w:t>
      </w:r>
      <w:r>
        <w:rPr>
          <w:rStyle w:val="FootnoteAnchor"/>
          <w:rtl w:val="true"/>
        </w:rPr>
        <w:footnoteReference w:id="1781"/>
      </w:r>
      <w:r>
        <w:rPr>
          <w:rFonts w:ascii="IRNazanin" w:hAnsi="IRNazanin" w:eastAsia="IRNazanin"/>
          <w:color w:val="111111"/>
          <w:sz w:val="28"/>
          <w:sz w:val="28"/>
          <w:szCs w:val="28"/>
          <w:rtl w:val="true"/>
          <w:lang w:bidi="fa-IR"/>
        </w:rPr>
        <w:t>الفضولی عقداً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اعتبار طیب نفس العاقد فی تأثیر عقده،اللازم منه عدم صحّة بیع المُکرَه بحقّ،و کون إکراهه علی العقد تعبّدیاً لا لتأثیر فیه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فحوی صحّة عقد الفضولی؛حیث إنّ المالک طیّب النفس بوقوع أثر العقد و غیر منشئ للنقل بکلامه،و إمضاء إنشاء الغیر لیس إلّا طیب النفس بمضمونه،و لیس إنشاءً مستأنفاً،مع أنّه لو کان فهو موجود هنا،فلم یصدر من المالک هنالک إلّا طیب النفس بانتقاله متأخّراً عن إنشاء العقد،و هذا موجود فیما نحن فیه مع زائد،و هو إنشاؤه للنقل المدلول علیه بلفظ العقد؛لما عرفت </w:t>
      </w:r>
      <w:r>
        <w:rPr>
          <w:rStyle w:val="FootnoteAnchor"/>
          <w:rtl w:val="true"/>
        </w:rPr>
        <w:footnoteReference w:id="1783"/>
      </w:r>
      <w:r>
        <w:rPr>
          <w:rFonts w:ascii="Amiri" w:hAnsi="Amiri" w:eastAsia="Amiri" w:cs="Amiri"/>
          <w:color w:val="111111"/>
          <w:sz w:val="28"/>
          <w:sz w:val="28"/>
          <w:szCs w:val="28"/>
          <w:rtl w:val="true"/>
          <w:lang w:bidi="ar-SA"/>
        </w:rPr>
        <w:t>من أنّ عقده إنشاء حقیقیّ</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عقد الفضولی واجد لما هو </w:t>
      </w:r>
      <w:r>
        <w:rPr>
          <w:rStyle w:val="FootnoteAnchor"/>
          <w:rtl w:val="true"/>
        </w:rPr>
        <w:footnoteReference w:id="1784"/>
      </w:r>
      <w:r>
        <w:rPr>
          <w:rFonts w:ascii="IRNazanin" w:hAnsi="IRNazanin" w:eastAsia="IRNazanin"/>
          <w:color w:val="111111"/>
          <w:sz w:val="28"/>
          <w:sz w:val="28"/>
          <w:szCs w:val="28"/>
          <w:rtl w:val="true"/>
          <w:lang w:bidi="fa-IR"/>
        </w:rPr>
        <w:t>مفقود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طیب نفس العاقد بما ینشئه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بالقطع بأنّ طیب النفس لا اثر له،</w:t>
      </w:r>
    </w:p>
    <w:p>
      <w:pPr>
        <w:pStyle w:val="BookText"/>
        <w:rPr/>
      </w:pPr>
      <w:r>
        <w:rPr>
          <w:rFonts w:ascii="IRNazanin" w:hAnsi="IRNazanin" w:eastAsia="IRNazanin"/>
          <w:color w:val="111111"/>
          <w:sz w:val="28"/>
          <w:sz w:val="28"/>
          <w:szCs w:val="28"/>
          <w:rtl w:val="true"/>
          <w:lang w:bidi="fa-IR"/>
        </w:rPr>
        <w:t xml:space="preserve">لا </w:t>
      </w:r>
      <w:r>
        <w:rPr>
          <w:rStyle w:val="FootnoteAnchor"/>
          <w:rtl w:val="true"/>
        </w:rPr>
        <w:footnoteReference w:id="1785"/>
      </w:r>
      <w:r>
        <w:rPr>
          <w:rFonts w:ascii="IRNazanin" w:hAnsi="IRNazanin" w:eastAsia="IRNazanin"/>
          <w:color w:val="111111"/>
          <w:sz w:val="28"/>
          <w:sz w:val="28"/>
          <w:szCs w:val="28"/>
          <w:rtl w:val="true"/>
          <w:lang w:bidi="fa-IR"/>
        </w:rPr>
        <w:t>فی صدق العقدیة؛إذ یکفی فیه مجرّد قصد الإنشاء المدلول علیه باللفظ المستعمل فیه،و لا فی النقل و الانتقال؛لعدم مدخلیّة غیر المالک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نعم،لو صحّ ما ذکر سابقاً </w:t>
      </w:r>
      <w:r>
        <w:rPr>
          <w:rStyle w:val="FootnoteAnchor"/>
          <w:rtl w:val="true"/>
        </w:rPr>
        <w:footnoteReference w:id="1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توهّم أنّ المکره لا قصد له إلی مدلول اللفظ أصلاً،و أنّه قاصد نفس اللفظ الذی هو بمعنی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بعض </w:t>
      </w:r>
      <w:r>
        <w:rPr>
          <w:rStyle w:val="FootnoteAnchor"/>
          <w:rtl w:val="true"/>
        </w:rPr>
        <w:footnoteReference w:id="1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أنّه لا یجدی تعقّب الرضا،إذ لا عقد حینئذٍ، لکن عرفت سابقاً أنّه خلاف المقطوع من النصوص و الفتاوی،فراجع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 ضعف وجه التأمّل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الکفایة </w:t>
      </w:r>
      <w:r>
        <w:rPr>
          <w:rStyle w:val="FootnoteAnchor"/>
          <w:rtl w:val="true"/>
        </w:rPr>
        <w:footnoteReference w:id="1789"/>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1790"/>
      </w:r>
      <w:r>
        <w:rPr>
          <w:rFonts w:ascii="IRNazanin" w:hAnsi="IRNazanin" w:eastAsia="IRNazanin"/>
          <w:color w:val="111111"/>
          <w:sz w:val="28"/>
          <w:sz w:val="28"/>
          <w:szCs w:val="28"/>
          <w:rtl w:val="true"/>
          <w:lang w:bidi="fa-IR"/>
        </w:rPr>
        <w:t xml:space="preserve">تبعاً للمحقّق الثانی فی جامع المقاصد </w:t>
      </w:r>
      <w:r>
        <w:rPr>
          <w:rStyle w:val="FootnoteAnchor"/>
          <w:rtl w:val="true"/>
        </w:rPr>
        <w:footnoteReference w:id="1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انتصر لهم بعض مَن تأخّر عنهم </w:t>
      </w:r>
      <w:r>
        <w:rPr>
          <w:rStyle w:val="FootnoteAnchor"/>
          <w:rtl w:val="true"/>
        </w:rPr>
        <w:footnoteReference w:id="1792"/>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تَکُونَ تِجٰارَةً عَنْ تَرٰاضٍ </w:t>
      </w:r>
      <w:r>
        <w:rPr>
          <w:rStyle w:val="FootnoteAnchor"/>
          <w:rtl w:val="true"/>
        </w:rPr>
        <w:footnoteReference w:id="1793"/>
      </w:r>
      <w:r>
        <w:rPr>
          <w:rFonts w:ascii="IRNazanin" w:hAnsi="IRNazanin" w:eastAsia="IRNazanin"/>
          <w:color w:val="111111"/>
          <w:sz w:val="28"/>
          <w:sz w:val="28"/>
          <w:szCs w:val="28"/>
          <w:rtl w:val="true"/>
          <w:lang w:bidi="fa-IR"/>
        </w:rPr>
        <w:t>الدالّ علی اعتبار کون العقد عن التراضی مضافاً إلی النبویّ</w:t>
      </w:r>
    </w:p>
    <w:p>
      <w:pPr>
        <w:pStyle w:val="BookText"/>
        <w:rPr/>
      </w:pPr>
      <w:r>
        <w:rPr>
          <w:rFonts w:ascii="IRNazanin" w:hAnsi="IRNazanin" w:eastAsia="IRNazanin"/>
          <w:color w:val="111111"/>
          <w:sz w:val="28"/>
          <w:sz w:val="28"/>
          <w:szCs w:val="28"/>
          <w:rtl w:val="true"/>
          <w:lang w:bidi="fa-IR"/>
        </w:rPr>
        <w:t xml:space="preserve">المشهور الدالّ علی رفع حکم الإکراه </w:t>
      </w:r>
      <w:r>
        <w:rPr>
          <w:rStyle w:val="FootnoteAnchor"/>
          <w:rtl w:val="true"/>
        </w:rPr>
        <w:footnoteReference w:id="1794"/>
      </w:r>
      <w:r>
        <w:rPr>
          <w:rFonts w:ascii="IRNazanin" w:hAnsi="IRNazanin" w:eastAsia="IRNazanin"/>
          <w:color w:val="111111"/>
          <w:sz w:val="28"/>
          <w:sz w:val="28"/>
          <w:szCs w:val="28"/>
          <w:rtl w:val="true"/>
          <w:lang w:bidi="fa-IR"/>
        </w:rPr>
        <w:t>،مؤیّداً بالنقض بالهازل،مع أنّهم لم یقولوا بصحّته بعد لحوق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الکلّ کما تری؛لأنّ دلالة الآیة علی اعتبار وقوع العقد عن التراضی إمّا بمفهوم الحصر و إمّا بمفهوم الوصف،و لا حصر کما لا یخفی؛ لأنّ الاستثناء منقطع غیر مفرّغ،و مفهوم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مقیّد بعدم ورود الوصف مورد الغالب کما فی رَبٰائِبُکُمُ اللاّٰتِی فِی حُجُورِکُمْ </w:t>
      </w:r>
      <w:r>
        <w:rPr>
          <w:rStyle w:val="FootnoteAnchor"/>
          <w:rtl w:val="true"/>
        </w:rPr>
        <w:footnoteReference w:id="1795"/>
      </w:r>
      <w:r>
        <w:rPr>
          <w:rFonts w:ascii="IRNazanin" w:hAnsi="IRNazanin" w:eastAsia="IRNazanin"/>
          <w:color w:val="111111"/>
          <w:sz w:val="28"/>
          <w:sz w:val="28"/>
          <w:szCs w:val="28"/>
          <w:rtl w:val="true"/>
          <w:lang w:bidi="fa-IR"/>
        </w:rPr>
        <w:t xml:space="preserve">،و دعوی وقوعه هنا مقام الاحتراز ممنوعة،و سیجیء زیادة توضیح لعدم دلالة الآیة علی اعتبار سبق التراضی فی بیع الفضولی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حدیث الرفع،ففیه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المرفوع فیه هی المؤاخذة و الأحکام المتضمّنة لمؤاخذة المکره و إلزامه بشیء،و الحکم بوقوف عقده علی رضاه راجع إلی أنّ له أن یرضی بذلک،و هذا حقّ له لا علیه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نعم،قد یلزم الطرف الآخر بعدم الفسخ حتّی یرضی المکرَه أو یفسخ،و هذا إلزامٌ لغیره،و الحدیث لا یرفع المؤاخذة و الإلزام عن غیر المکرَه کما تقدّم </w:t>
      </w:r>
      <w:r>
        <w:rPr>
          <w:rStyle w:val="FootnoteAnchor"/>
          <w:rtl w:val="true"/>
        </w:rPr>
        <w:footnoteReference w:id="1797"/>
      </w:r>
      <w:r>
        <w:rPr>
          <w:rFonts w:ascii="IRNazanin" w:hAnsi="IRNazanin" w:eastAsia="IRNazanin"/>
          <w:color w:val="111111"/>
          <w:sz w:val="28"/>
          <w:sz w:val="28"/>
          <w:szCs w:val="28"/>
          <w:rtl w:val="true"/>
          <w:lang w:bidi="fa-IR"/>
        </w:rPr>
        <w:t>،و أمّا إلزامه بعد طول المدّة باختیار البیع أو فسخه، فهو من توابع الحقّ الثابت له بالإکراه،لا من أحکام الفعل المتحقّق</w:t>
      </w:r>
    </w:p>
    <w:p>
      <w:pPr>
        <w:pStyle w:val="BookText"/>
        <w:rPr/>
      </w:pPr>
      <w:r>
        <w:rPr>
          <w:rFonts w:ascii="IRNazanin" w:hAnsi="IRNazanin" w:eastAsia="IRNazanin"/>
          <w:color w:val="111111"/>
          <w:sz w:val="28"/>
          <w:sz w:val="28"/>
          <w:szCs w:val="28"/>
          <w:rtl w:val="true"/>
          <w:lang w:bidi="fa-IR"/>
        </w:rPr>
        <w:t>علی وجه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واضح علی القول بکون الرضا ناقلاً،و کذلک علی القول بالکشف بعد التأمّل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أنّ الحکم الثابت للفعل المُکرَه علیه لو لا الإکراه یرتفع عنه إذا وقع مکرهاً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معنی رفع الخطأ و النسیان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موجود فیما نحن فیه؛لأنّ أثر </w:t>
      </w:r>
      <w:r>
        <w:rPr>
          <w:rStyle w:val="FootnoteAnchor"/>
          <w:rtl w:val="true"/>
        </w:rPr>
        <w:footnoteReference w:id="1798"/>
      </w:r>
      <w:r>
        <w:rPr>
          <w:rFonts w:ascii="IRNazanin" w:hAnsi="IRNazanin" w:eastAsia="IRNazanin"/>
          <w:color w:val="111111"/>
          <w:sz w:val="28"/>
          <w:sz w:val="28"/>
          <w:szCs w:val="28"/>
          <w:rtl w:val="true"/>
          <w:lang w:bidi="fa-IR"/>
        </w:rPr>
        <w:t xml:space="preserve">العقد الصادر من المالک مع قطع النظر عن اعتبار عدم </w:t>
      </w:r>
      <w:r>
        <w:rPr>
          <w:rStyle w:val="FootnoteAnchor"/>
          <w:rtl w:val="true"/>
        </w:rPr>
        <w:footnoteReference w:id="1799"/>
      </w:r>
      <w:r>
        <w:rPr>
          <w:rFonts w:ascii="IRNazanin" w:hAnsi="IRNazanin" w:eastAsia="IRNazanin"/>
          <w:color w:val="111111"/>
          <w:sz w:val="28"/>
          <w:sz w:val="28"/>
          <w:szCs w:val="28"/>
          <w:rtl w:val="true"/>
          <w:lang w:bidi="fa-IR"/>
        </w:rPr>
        <w:t xml:space="preserve">الإکراه،السببیّة المستقلّة </w:t>
      </w:r>
      <w:r>
        <w:rPr>
          <w:rStyle w:val="FootnoteAnchor"/>
          <w:rtl w:val="true"/>
        </w:rPr>
        <w:footnoteReference w:id="1800"/>
      </w:r>
      <w:r>
        <w:rPr>
          <w:rFonts w:ascii="IRNazanin" w:hAnsi="IRNazanin" w:eastAsia="IRNazanin"/>
          <w:color w:val="111111"/>
          <w:sz w:val="28"/>
          <w:sz w:val="28"/>
          <w:szCs w:val="28"/>
          <w:rtl w:val="true"/>
          <w:lang w:bidi="fa-IR"/>
        </w:rPr>
        <w:t xml:space="preserve">لنقل المال،و من المعلوم انتفاء هذا الأثر بسبب الإکراه،و هذا الأثر الناقص المترتّب علیه مع الإکراه حیث إنّه جزء العلّة التامّة للملکیّة،لم یکن ثابتاً للفعل مع قطع النظر عن الإکراه لیرتفع به؛إذ المفروض أنّ الجزئیة ثابتة له بوصف الإکراه،فکیف یعقل ارتفاعه بالإکراه </w:t>
      </w:r>
      <w:r>
        <w:rPr>
          <w:rStyle w:val="FootnoteAnchor"/>
          <w:rtl w:val="true"/>
        </w:rPr>
        <w:footnoteReference w:id="1801"/>
      </w:r>
      <w:r>
        <w:rPr>
          <w:rFonts w:ascii="IRNazanin" w:hAnsi="IRNazanin" w:eastAsia="IRNazanin"/>
          <w:color w:val="111111"/>
          <w:sz w:val="28"/>
          <w:sz w:val="28"/>
          <w:szCs w:val="28"/>
          <w:rtl w:val="true"/>
          <w:lang w:bidi="fa-IR"/>
        </w:rPr>
        <w:t>؟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اللزوم الثابت للعقد مع قطع النظر عن اعتبار </w:t>
      </w:r>
      <w:r>
        <w:rPr>
          <w:rStyle w:val="FootnoteAnchor"/>
          <w:rtl w:val="true"/>
        </w:rPr>
        <w:footnoteReference w:id="1802"/>
      </w:r>
      <w:r>
        <w:rPr>
          <w:rFonts w:ascii="IRNazanin" w:hAnsi="IRNazanin" w:eastAsia="IRNazanin"/>
          <w:color w:val="111111"/>
          <w:sz w:val="28"/>
          <w:sz w:val="28"/>
          <w:szCs w:val="28"/>
          <w:rtl w:val="true"/>
          <w:lang w:bidi="fa-IR"/>
        </w:rPr>
        <w:t xml:space="preserve">عدم </w:t>
      </w:r>
      <w:r>
        <w:rPr>
          <w:rStyle w:val="FootnoteAnchor"/>
          <w:rtl w:val="true"/>
        </w:rPr>
        <w:footnoteReference w:id="1803"/>
      </w:r>
      <w:r>
        <w:rPr>
          <w:rFonts w:ascii="IRNazanin" w:hAnsi="IRNazanin" w:eastAsia="IRNazanin"/>
          <w:color w:val="111111"/>
          <w:sz w:val="28"/>
          <w:sz w:val="28"/>
          <w:szCs w:val="28"/>
          <w:rtl w:val="true"/>
          <w:lang w:bidi="fa-IR"/>
        </w:rPr>
        <w:t>الإکراه هو اللزوم المنفیّ بهذا الحدیث،و المدّعی ثبوته للعقد بوصف الإکراه هو وقوفه علی رضا المالک،و هذا غیر مرتفع</w:t>
      </w:r>
    </w:p>
    <w:p>
      <w:pPr>
        <w:pStyle w:val="BookText"/>
        <w:rPr/>
      </w:pPr>
      <w:r>
        <w:rPr>
          <w:rFonts w:ascii="IRNazanin" w:hAnsi="IRNazanin" w:eastAsia="IRNazanin"/>
          <w:color w:val="111111"/>
          <w:sz w:val="28"/>
          <w:sz w:val="28"/>
          <w:szCs w:val="28"/>
          <w:rtl w:val="true"/>
          <w:lang w:bidi="fa-IR"/>
        </w:rPr>
        <w:t xml:space="preserve">بالإکراه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یرد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حکومة الحدیث علی الإطلاقات هو تقیّدها بالمسبوقیة بطیب النفس،فلا یجوز الاستناد إلیها لصحّة بیع المکرَه و وقوفه علی الرضا اللاحق،فلا یبقی دلیل علی صحّة بیع المُکرَه، فیرجع إلی أصالة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أدلّة صحّة البیع تدلّ </w:t>
      </w:r>
      <w:r>
        <w:rPr>
          <w:rStyle w:val="FootnoteAnchor"/>
          <w:rtl w:val="true"/>
        </w:rPr>
        <w:footnoteReference w:id="1805"/>
      </w:r>
      <w:r>
        <w:rPr>
          <w:rFonts w:ascii="Amiri" w:hAnsi="Amiri" w:eastAsia="Amiri" w:cs="Amiri"/>
          <w:color w:val="111111"/>
          <w:sz w:val="28"/>
          <w:sz w:val="28"/>
          <w:szCs w:val="28"/>
          <w:rtl w:val="true"/>
          <w:lang w:bidi="ar-SA"/>
        </w:rPr>
        <w:t xml:space="preserve">علی سببیّة مستقلّة </w:t>
      </w:r>
      <w:r>
        <w:rPr>
          <w:rStyle w:val="FootnoteAnchor"/>
          <w:rtl w:val="true"/>
        </w:rPr>
        <w:footnoteReference w:id="1806"/>
      </w:r>
      <w:r>
        <w:rPr>
          <w:rFonts w:ascii="IRNazanin" w:hAnsi="IRNazanin" w:eastAsia="IRNazanin"/>
          <w:color w:val="111111"/>
          <w:sz w:val="28"/>
          <w:sz w:val="28"/>
          <w:szCs w:val="28"/>
          <w:rtl w:val="true"/>
          <w:lang w:bidi="fa-IR"/>
        </w:rPr>
        <w:t xml:space="preserve">،فإذا قیّدت بغیر المُکرَه لم یبقَ لها دلالة علی حکم المُکرَه،بل لو کان هنا ما یدلّ علی صحّة البیع بالمعنی الأعمّ من السببیة المستقلّة کان دلیل الإکراه حاکماً علیه مقیِّداً له فلا ینفع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الإطلاقات المفیدة </w:t>
      </w:r>
      <w:r>
        <w:rPr>
          <w:rStyle w:val="FootnoteAnchor"/>
          <w:rtl w:val="true"/>
        </w:rPr>
        <w:footnoteReference w:id="1808"/>
      </w:r>
      <w:r>
        <w:rPr>
          <w:rFonts w:ascii="Amiri" w:hAnsi="Amiri" w:eastAsia="Amiri" w:cs="Amiri"/>
          <w:color w:val="111111"/>
          <w:sz w:val="28"/>
          <w:sz w:val="28"/>
          <w:szCs w:val="28"/>
          <w:rtl w:val="true"/>
          <w:lang w:bidi="ar-SA"/>
        </w:rPr>
        <w:t xml:space="preserve">للسببیّة المستقلّة </w:t>
      </w:r>
      <w:r>
        <w:rPr>
          <w:rStyle w:val="FootnoteAnchor"/>
          <w:rtl w:val="true"/>
        </w:rPr>
        <w:footnoteReference w:id="1809"/>
      </w:r>
      <w:r>
        <w:rPr>
          <w:rFonts w:ascii="IRNazanin" w:hAnsi="IRNazanin" w:eastAsia="IRNazanin"/>
          <w:color w:val="111111"/>
          <w:sz w:val="28"/>
          <w:sz w:val="28"/>
          <w:szCs w:val="28"/>
          <w:rtl w:val="true"/>
          <w:lang w:bidi="fa-IR"/>
        </w:rPr>
        <w:t>مقیّدةٌ بحکم الأدلّة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المقتضیة لحرمة أکل المال بالباطل و مع عدم طیب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بالبیع المرضیّ به،سَبَقه الرضا أو لحقَه،و مع ذلک فلا حکومة للحدیث علیها؛إذ البیع المرضیّ به سابقاً لا یعقل عروض الإکراه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المرضیّ به بالرضا اللاحق،فإنّما یعرضه الإکراه من حیث ذات الموصوف،و هو أصل البیع </w:t>
      </w:r>
      <w:r>
        <w:rPr>
          <w:rStyle w:val="FootnoteAnchor"/>
          <w:rtl w:val="true"/>
        </w:rPr>
        <w:footnoteReference w:id="1810"/>
      </w:r>
      <w:r>
        <w:rPr>
          <w:rFonts w:ascii="IRNazanin" w:hAnsi="IRNazanin" w:eastAsia="IRNazanin"/>
          <w:color w:val="111111"/>
          <w:sz w:val="28"/>
          <w:sz w:val="28"/>
          <w:szCs w:val="28"/>
          <w:rtl w:val="true"/>
          <w:lang w:bidi="fa-IR"/>
        </w:rPr>
        <w:t xml:space="preserve">،و لا نقول بتأثیره،بل مقتضی الأدلّة الأربعة مدخلیّة الرضا </w:t>
      </w:r>
      <w:r>
        <w:rPr>
          <w:rStyle w:val="FootnoteAnchor"/>
          <w:rtl w:val="true"/>
        </w:rPr>
        <w:footnoteReference w:id="1811"/>
      </w:r>
      <w:r>
        <w:rPr>
          <w:rFonts w:ascii="IRNazanin" w:hAnsi="IRNazanin" w:eastAsia="IRNazanin"/>
          <w:color w:val="111111"/>
          <w:sz w:val="28"/>
          <w:sz w:val="28"/>
          <w:szCs w:val="28"/>
          <w:rtl w:val="true"/>
          <w:lang w:bidi="fa-IR"/>
        </w:rPr>
        <w:t>فی تأثیره و وجوب الوفاء به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فالإطلاقات بعد التقیید تثبت التأثیر التامّ لمجموع العقد المکره علیه و الرضا به لاحقاً،و لازمه بحکم العقل کون العقد المُکرَه علیه </w:t>
      </w:r>
      <w:r>
        <w:rPr>
          <w:rStyle w:val="FootnoteAnchor"/>
          <w:rtl w:val="true"/>
        </w:rPr>
        <w:footnoteReference w:id="1812"/>
      </w:r>
      <w:r>
        <w:rPr>
          <w:rFonts w:ascii="IRNazanin" w:hAnsi="IRNazanin" w:eastAsia="IRNazanin"/>
          <w:color w:val="111111"/>
          <w:sz w:val="28"/>
          <w:sz w:val="28"/>
          <w:szCs w:val="28"/>
          <w:rtl w:val="true"/>
          <w:lang w:bidi="fa-IR"/>
        </w:rPr>
        <w:t xml:space="preserve">بعض المؤثّر التام،و هذا أمر عقلی غیر مجعول </w:t>
      </w:r>
      <w:r>
        <w:rPr>
          <w:rStyle w:val="FootnoteAnchor"/>
          <w:rtl w:val="true"/>
        </w:rPr>
        <w:footnoteReference w:id="1813"/>
      </w:r>
      <w:r>
        <w:rPr>
          <w:rFonts w:ascii="IRNazanin" w:hAnsi="IRNazanin" w:eastAsia="IRNazanin"/>
          <w:color w:val="111111"/>
          <w:sz w:val="28"/>
          <w:sz w:val="28"/>
          <w:szCs w:val="28"/>
          <w:rtl w:val="true"/>
          <w:lang w:bidi="fa-IR"/>
        </w:rPr>
        <w:t>لا یرتفع بالإکراه؛لأنّ الإکراه مأخوذ فیه بالفرض،إلّا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أدلّة الإکراه کما ترفع السببیّة المستقلّة التی أفادتها الإطلاقات قبل التقیید،ترفع مطلق الأثر عن العقد المُکرَه علیه؛لأنّ التأثیر الناقص أیضاً استفید من الإطلاقات بعد تقییدها بالرضا الأعمّ من اللاحق </w:t>
      </w:r>
      <w:r>
        <w:rPr>
          <w:rStyle w:val="FootnoteAnchor"/>
          <w:rtl w:val="true"/>
        </w:rPr>
        <w:footnoteReference w:id="1814"/>
      </w:r>
      <w:r>
        <w:rPr>
          <w:rFonts w:ascii="IRNazanin" w:hAnsi="IRNazanin" w:eastAsia="IRNazanin"/>
          <w:color w:val="111111"/>
          <w:sz w:val="28"/>
          <w:sz w:val="28"/>
          <w:szCs w:val="28"/>
          <w:rtl w:val="true"/>
          <w:lang w:bidi="fa-IR"/>
        </w:rPr>
        <w:t>،و هذا لا یفرق فیه أیضاً بین جعل الرضا ناقلاً أو کاشفاً؛إذ علی الأوّل یکون تمام المؤثّر نفسه، و علی الثانی یکون الأمر المنتزع منه العارض للعقد و هو تعقّبه للرضا</w:t>
      </w:r>
      <w:r>
        <w:rPr>
          <w:rFonts w:eastAsia="IRNazanin" w:cs="IRNazanin"/>
          <w:color w:val="111111"/>
          <w:sz w:val="28"/>
          <w:szCs w:val="28"/>
          <w:rtl w:val="true"/>
          <w:lang w:bidi="fa-IR"/>
        </w:rPr>
        <w:t>.</w:t>
      </w:r>
      <w:bookmarkStart w:id="556" w:name="pg19763_248081"/>
    </w:p>
    <w:p>
      <w:pPr>
        <w:pStyle w:val="BookText"/>
        <w:rPr/>
      </w:pPr>
      <w:bookmarkEnd w:id="556"/>
      <w:r>
        <w:rPr>
          <w:rFonts w:ascii="IRNazanin" w:hAnsi="IRNazanin" w:eastAsia="IRNazanin"/>
          <w:color w:val="111111"/>
          <w:sz w:val="28"/>
          <w:sz w:val="28"/>
          <w:szCs w:val="28"/>
          <w:rtl w:val="true"/>
          <w:lang w:bidi="fa-IR"/>
        </w:rPr>
        <w:t>و کیف کان،فذات العقد المکره علیه مع قطع النظر عن الرضا أو تعقّبه له لا یترتّب علیه إلّا کونه جزء المؤثّر التامّ،و هذا أمرٌ عقلیّ قهری یحصل له بعد حکم الشارع بکون المؤثّر التام هو المجموع منه و من الرضا أو وصف تعقّبه له،فتأمّل</w:t>
      </w:r>
      <w:r>
        <w:rPr>
          <w:rFonts w:eastAsia="IRNazanin" w:cs="IRNazanin"/>
          <w:color w:val="111111"/>
          <w:sz w:val="28"/>
          <w:szCs w:val="28"/>
          <w:rtl w:val="true"/>
          <w:lang w:bidi="fa-IR"/>
        </w:rPr>
        <w:t>.</w:t>
      </w:r>
    </w:p>
    <w:p>
      <w:pPr>
        <w:pStyle w:val="Heading6"/>
        <w:numPr>
          <w:ilvl w:val="5"/>
          <w:numId w:val="1"/>
        </w:numPr>
        <w:rPr/>
      </w:pPr>
      <w:bookmarkStart w:id="557" w:name="__RefHeading___Toc5082846_2314609296"/>
      <w:bookmarkStart w:id="558" w:name="_Toc214"/>
      <w:bookmarkEnd w:id="557"/>
      <w:r>
        <w:rPr>
          <w:rtl w:val="true"/>
        </w:rPr>
        <w:t>بقی الکلام فی أنّ الرضا المتأخّر ناقلٌ أو کاشف؟</w:t>
      </w:r>
      <w:bookmarkEnd w:id="558"/>
    </w:p>
    <w:p>
      <w:pPr>
        <w:pStyle w:val="BookText"/>
        <w:rPr/>
      </w:pPr>
      <w:r>
        <w:rPr>
          <w:rFonts w:ascii="IRNazanin" w:hAnsi="IRNazanin" w:eastAsia="IRNazanin"/>
          <w:color w:val="111111"/>
          <w:sz w:val="28"/>
          <w:sz w:val="28"/>
          <w:szCs w:val="28"/>
          <w:rtl w:val="true"/>
          <w:lang w:bidi="fa-IR"/>
        </w:rPr>
        <w:t xml:space="preserve">مقتضی الأصل و عدم حدوث حِلّ مال الغیر إلّا عن طیب نفسه هو الأوّل،إلّا أنّ الأقوی بحسب الأدلّة النقلیّة هو الثانی،کما سیجیء فی مسألة الفضولی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یدّعی </w:t>
      </w:r>
      <w:r>
        <w:rPr>
          <w:rStyle w:val="FootnoteAnchor"/>
          <w:rtl w:val="true"/>
        </w:rPr>
        <w:footnoteReference w:id="1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مقتضی الأصل هنا و فی الفضولی هو </w:t>
      </w:r>
      <w:r>
        <w:rPr>
          <w:rStyle w:val="FootnoteAnchor"/>
          <w:rtl w:val="true"/>
        </w:rPr>
        <w:footnoteReference w:id="1817"/>
      </w:r>
      <w:r>
        <w:rPr>
          <w:rFonts w:ascii="IRNazanin" w:hAnsi="IRNazanin" w:eastAsia="IRNazanin"/>
          <w:color w:val="111111"/>
          <w:sz w:val="28"/>
          <w:sz w:val="28"/>
          <w:szCs w:val="28"/>
          <w:rtl w:val="true"/>
          <w:lang w:bidi="fa-IR"/>
        </w:rPr>
        <w:t>الکشف؛ لأنّ مقتضی الرضا بالعقد السابق هو الرضا بما أفاده من نقل الملک حین صدوره،فإمضاء الشارع للرضا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النقل من حین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ترتّب الآثار علیه لا یکون إلّا بالحکم بحصول الملک فی زمان النقل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العقد السابق لیس النقل من حینه،بل نفس النقل،إلّا أنّ إنشاءَه لما کان فی زمان التکلّم،فإن کان ذلک الإنشاء مؤثّراً فی نظر الشارع فی زمان التکلّم حدث الأثر فیه،و إن کان مؤثّراً بعد حصول أمرٍ حدث الأثر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فحصول النقل فی نظر الشارع یتبع زمان حکمه الناشئ من اجتماع ما یعتبر فی الحکم؛و لذلک کان الحکم بتحقّق الملک بعد القبول أو بعد القبض فی الصرف و السلم و الهبة،أو بعد انقضاء زمان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مذهب الشیخ </w:t>
      </w:r>
      <w:r>
        <w:rPr>
          <w:rStyle w:val="FootnoteAnchor"/>
          <w:rtl w:val="true"/>
        </w:rPr>
        <w:footnoteReference w:id="1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منافٍ لمقتضی الإیجاب،و لم یکن تبعیضاً فی مقتضاه بالنسبة إلی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الشارع بثبوت الملک و إن کان بعد الرضا، إلّا أنّ حکمه بذلک لمّا کان من جهة إمضائه للرضا بما وقع فکأنّه </w:t>
      </w:r>
      <w:r>
        <w:rPr>
          <w:rStyle w:val="FootnoteAnchor"/>
          <w:rtl w:val="true"/>
        </w:rPr>
        <w:footnoteReference w:id="1819"/>
      </w:r>
      <w:r>
        <w:rPr>
          <w:rFonts w:ascii="IRNazanin" w:hAnsi="IRNazanin" w:eastAsia="IRNazanin"/>
          <w:color w:val="111111"/>
          <w:sz w:val="28"/>
          <w:sz w:val="28"/>
          <w:szCs w:val="28"/>
          <w:rtl w:val="true"/>
          <w:lang w:bidi="fa-IR"/>
        </w:rPr>
        <w:t>حکم بعد الرضا بثبوت الملک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هو الملک شرعاً،و لا معنی لتخلّف زمانه عن زمان الحکم الشرعی بالملک،و سیأتی توضیح ذلک فی بیع الفضولی إن شاء اللّه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توضیح ما ذکرنا فلاحظ مقتضی فسخ العقد؛فإنّه و إن کان حَلاّ للعقد السابق و جعلَه کأن لم یکن،إلّا أنّه لا یرتفع به الملکیّة السابقة علی الفسخ؛لأنّ العبرة بزمان حدوثه لا بزمان متعلّقه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القول بالکشف،هل للطرف الغیر المُکرَه أن یفسخ قبل رضا المُکرَه،أم لا؟یأتی بیانه فی الفضولی إن شاء اللّه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bookmarkStart w:id="559" w:name="pg19763_248083"/>
    </w:p>
    <w:p>
      <w:pPr>
        <w:pStyle w:val="Heading4"/>
        <w:numPr>
          <w:ilvl w:val="3"/>
          <w:numId w:val="1"/>
        </w:numPr>
        <w:rPr/>
      </w:pPr>
      <w:bookmarkStart w:id="560" w:name="__RefHeading___Toc5082848_2314609296"/>
      <w:bookmarkStart w:id="561" w:name="_Toc215"/>
      <w:bookmarkEnd w:id="559"/>
      <w:bookmarkEnd w:id="560"/>
      <w:r>
        <w:rPr>
          <w:rtl w:val="true"/>
        </w:rPr>
        <w:t>مسألة و من شروط المتعاقدین</w:t>
      </w:r>
      <w:r>
        <w:rPr>
          <w:rtl w:val="true"/>
        </w:rPr>
        <w:t>:</w:t>
      </w:r>
      <w:r>
        <w:rPr>
          <w:rtl w:val="true"/>
        </w:rPr>
        <w:t>إذن السیّد لو کان العاقد عبداً،</w:t>
      </w:r>
      <w:bookmarkEnd w:id="561"/>
    </w:p>
    <w:p>
      <w:pPr>
        <w:pStyle w:val="Heading5"/>
        <w:numPr>
          <w:ilvl w:val="4"/>
          <w:numId w:val="1"/>
        </w:numPr>
        <w:rPr/>
      </w:pPr>
      <w:bookmarkStart w:id="562" w:name="__RefHeading___Toc5082850_2314609296"/>
      <w:bookmarkStart w:id="563" w:name="_Toc216"/>
      <w:bookmarkEnd w:id="562"/>
      <w:r>
        <w:rPr>
          <w:rtl w:val="true"/>
        </w:rPr>
        <w:t>اشاره</w:t>
      </w:r>
      <w:bookmarkEnd w:id="563"/>
    </w:p>
    <w:p>
      <w:pPr>
        <w:pStyle w:val="BookText"/>
        <w:rPr/>
      </w:pPr>
      <w:r>
        <w:rPr>
          <w:rFonts w:ascii="Amiri" w:hAnsi="Amiri" w:eastAsia="Amiri" w:cs="Amiri"/>
          <w:color w:val="111111"/>
          <w:sz w:val="28"/>
          <w:sz w:val="28"/>
          <w:szCs w:val="28"/>
          <w:rtl w:val="true"/>
          <w:lang w:bidi="ar-SA"/>
        </w:rPr>
        <w:t>فلا یجوز للمملوک أن یوقع عقداً إلّا بإذن سیّده،سواء کان لنفسه فی ذمّته أو بما فی یده،أم لغیره؛لعموم أدلّة عدم استقلاله فی أُموره،قال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مَمْلُوکاً لاٰ یَقْدِرُ عَلیٰ شَیْءٍ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الفقیه بسنده إلی زرارة عن أبی جعفر و أبی عبد اللّه علیهما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المملوک لا یجوز نکاحه و لا طلاقه إلّا بإذن سیّده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السیّد زوَّجه،بید مَن الطلاق؟قال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بید السیّد ضَرَبَ اللّٰهُ مَثَلاً عَبْداً مَمْلُوکاً لاٰ یَقْدِرُ عَلیٰ شَیْءٍ ،أ فشیء </w:t>
      </w:r>
      <w:r>
        <w:rPr>
          <w:rStyle w:val="FootnoteAnchor"/>
          <w:rtl w:val="true"/>
        </w:rPr>
        <w:footnoteReference w:id="1823"/>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بقرینة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الاستقلال؛إذ</w:t>
      </w:r>
      <w:bookmarkStart w:id="564" w:name="pg19763_248084"/>
    </w:p>
    <w:p>
      <w:pPr>
        <w:pStyle w:val="BookText"/>
        <w:rPr/>
      </w:pPr>
      <w:bookmarkEnd w:id="564"/>
      <w:r>
        <w:rPr>
          <w:rFonts w:ascii="IRNazanin" w:hAnsi="IRNazanin" w:eastAsia="IRNazanin"/>
          <w:color w:val="111111"/>
          <w:sz w:val="28"/>
          <w:sz w:val="28"/>
          <w:szCs w:val="28"/>
          <w:rtl w:val="true"/>
          <w:lang w:bidi="fa-IR"/>
        </w:rPr>
        <w:t xml:space="preserve">المحتاج إلی غیره فی فعلٍ غیر قادر علیه،فیعلم عدم استقلاله فیما یصدق علیه أنّه شیء،فکلّ ما صدر عنه من دون مدخلیّة المولی فهو شرعاً </w:t>
      </w:r>
      <w:r>
        <w:rPr>
          <w:rStyle w:val="FootnoteAnchor"/>
          <w:rtl w:val="true"/>
        </w:rPr>
        <w:footnoteReference w:id="1825"/>
      </w:r>
      <w:r>
        <w:rPr>
          <w:rFonts w:ascii="IRNazanin" w:hAnsi="IRNazanin" w:eastAsia="IRNazanin"/>
          <w:color w:val="111111"/>
          <w:sz w:val="28"/>
          <w:sz w:val="28"/>
          <w:szCs w:val="28"/>
          <w:rtl w:val="true"/>
          <w:lang w:bidi="fa-IR"/>
        </w:rPr>
        <w:t>بمنزلة العدم،لا یترتّب علیه الأثر المقصود منه،لا أنّه لا یترتّب علیه حکم شرعی أصلاً،کیف؟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أفعال العبید موضوعات لأحکام کثیرة کالأحرار</w:t>
      </w:r>
      <w:r>
        <w:rPr>
          <w:rFonts w:eastAsia="IRNazanin" w:cs="IRNazanin"/>
          <w:color w:val="111111"/>
          <w:sz w:val="28"/>
          <w:szCs w:val="28"/>
          <w:rtl w:val="true"/>
          <w:lang w:bidi="fa-IR"/>
        </w:rPr>
        <w:t>.</w:t>
      </w:r>
    </w:p>
    <w:p>
      <w:pPr>
        <w:pStyle w:val="Heading5"/>
        <w:numPr>
          <w:ilvl w:val="4"/>
          <w:numId w:val="1"/>
        </w:numPr>
        <w:rPr/>
      </w:pPr>
      <w:bookmarkStart w:id="565" w:name="__RefHeading___Toc5082852_2314609296"/>
      <w:bookmarkStart w:id="566" w:name="_Toc217"/>
      <w:bookmarkEnd w:id="565"/>
      <w:r>
        <w:rPr>
          <w:rtl w:val="true"/>
        </w:rPr>
        <w:t>[</w:t>
      </w:r>
      <w:r>
        <w:rPr>
          <w:rtl w:val="true"/>
        </w:rPr>
        <w:t>هل ینفذ إنشاء العبد إذا لحقته إجازة السید؟</w:t>
      </w:r>
      <w:r>
        <w:rPr>
          <w:rtl w:val="true"/>
        </w:rPr>
        <w:t>]</w:t>
      </w:r>
      <w:bookmarkEnd w:id="566"/>
    </w:p>
    <w:p>
      <w:pPr>
        <w:pStyle w:val="BookText"/>
        <w:rPr/>
      </w:pPr>
      <w:r>
        <w:rPr>
          <w:rFonts w:ascii="IRNazanin" w:hAnsi="IRNazanin" w:eastAsia="IRNazanin"/>
          <w:color w:val="111111"/>
          <w:sz w:val="28"/>
          <w:sz w:val="28"/>
          <w:szCs w:val="28"/>
          <w:rtl w:val="true"/>
          <w:lang w:bidi="fa-IR"/>
        </w:rPr>
        <w:t xml:space="preserve">و کیف کان،فإنشاءات العبد لا یترتّب علیها آثارها من دون إذن المولی،أمّا مع الإذن السابق فلا إشکال،و أمّا مع الإجازة اللاحقة فیحتمل عدم الوقوع؛لأنّ المنع فیه لیس من جهة العوضین اللَّذَین یتعلّق بهما حقّ المجیز،فله أن یرضی بما وقع علی ماله </w:t>
      </w:r>
      <w:r>
        <w:rPr>
          <w:rStyle w:val="FootnoteAnchor"/>
          <w:rtl w:val="true"/>
        </w:rPr>
        <w:footnoteReference w:id="1826"/>
      </w:r>
      <w:r>
        <w:rPr>
          <w:rFonts w:ascii="IRNazanin" w:hAnsi="IRNazanin" w:eastAsia="IRNazanin"/>
          <w:color w:val="111111"/>
          <w:sz w:val="28"/>
          <w:sz w:val="28"/>
          <w:szCs w:val="28"/>
          <w:rtl w:val="true"/>
          <w:lang w:bidi="fa-IR"/>
        </w:rPr>
        <w:t>من التصرّف فی السابق و أن لا یرضی،بل المنع من جهةٍ راجعةٍ إلی نفس الإنشاء الصادر،و ما صدر علی وجهٍ لا یتغیّر منه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الإجازة إنّما تتعلّق بمضمون العقد و حاصِلِه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المال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فیما نحن فیه لیس منوطاً برضا المولی قطعاً؛إذ المفروض أنّه أجنبیّ عن العوضین،و إنّما له حقّ فی کون إنشاء هذا المضمون قائماً بعبده،فإذا وقع علی وجهٍ یستقلّ به العبد فلحوق الإجازة لا یخرجه عن الاستقلال الواقع علیه قطعاً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الأقوی هو لحوق إجازة المولی؛لعموم أدلّة الوفاء بالعقود </w:t>
      </w:r>
      <w:r>
        <w:rPr>
          <w:rStyle w:val="FootnoteAnchor"/>
          <w:rtl w:val="true"/>
        </w:rPr>
        <w:footnoteReference w:id="1827"/>
      </w:r>
      <w:r>
        <w:rPr>
          <w:rFonts w:ascii="IRNazanin" w:hAnsi="IRNazanin" w:eastAsia="IRNazanin"/>
          <w:color w:val="111111"/>
          <w:sz w:val="28"/>
          <w:sz w:val="28"/>
          <w:szCs w:val="28"/>
          <w:rtl w:val="true"/>
          <w:lang w:bidi="fa-IR"/>
        </w:rPr>
        <w:t>،و المخصّص إنّما دلّ علی عدم ترتّب الأثر علی عقد العبد من</w:t>
      </w:r>
    </w:p>
    <w:p>
      <w:pPr>
        <w:pStyle w:val="BookText"/>
        <w:rPr/>
      </w:pPr>
      <w:r>
        <w:rPr>
          <w:rFonts w:ascii="IRNazanin" w:hAnsi="IRNazanin" w:eastAsia="IRNazanin"/>
          <w:color w:val="111111"/>
          <w:sz w:val="28"/>
          <w:sz w:val="28"/>
          <w:szCs w:val="28"/>
          <w:rtl w:val="true"/>
          <w:lang w:bidi="fa-IR"/>
        </w:rPr>
        <w:t>دون مدخلیّة المولی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و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مدخلیة إذنه السابق،و لو شکّ أیضاً وجب الأخذ بالعموم فی مورد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إرادة الأعمّ من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الصحیحة السابقة؛فإنّ جواز النکاح یکفیه لحوق الإجازة،فالمراد بالإذن هو الأعمّ،إلّا أنّه خرج الطلاق بالدلیل،و لا یلزم تأخیر البیان؛لأنّ الکلام المذکور مسوق لبیان نفی استقلال العبد فی الطلاق بحیث لا یحتاج إلی رضا المولی أصلاً،بل و مع کراهة المولی کما یرشد إلیه </w:t>
      </w:r>
      <w:r>
        <w:rPr>
          <w:rStyle w:val="FootnoteAnchor"/>
          <w:rtl w:val="true"/>
        </w:rPr>
        <w:footnoteReference w:id="1828"/>
      </w:r>
      <w:r>
        <w:rPr>
          <w:rFonts w:ascii="IRNazanin" w:hAnsi="IRNazanin" w:eastAsia="IRNazanin"/>
          <w:color w:val="111111"/>
          <w:sz w:val="28"/>
          <w:sz w:val="28"/>
          <w:szCs w:val="28"/>
          <w:rtl w:val="true"/>
          <w:lang w:bidi="fa-IR"/>
        </w:rPr>
        <w:t>التعبیر عن السؤال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من الطلاق؟</w:t>
      </w:r>
      <w:r>
        <w:rPr>
          <w:rFonts w:eastAsia="IRNazanin" w:cs="IRNazanin"/>
          <w:color w:val="111111"/>
          <w:sz w:val="28"/>
          <w:szCs w:val="28"/>
          <w:rtl w:val="true"/>
          <w:lang w:bidi="fa-IR"/>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صحّة نکاح العبد الواقع بغیر إذن المولی إذا أجازه،معلّلاً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یعصِ اللّه تعالی و إنّما عصی سیّده،فإذا أجاز جاز</w:t>
      </w:r>
      <w:r>
        <w:rPr>
          <w:rFonts w:eastAsia="IRNazanin" w:cs="IRNazanin"/>
          <w:color w:val="111111"/>
          <w:sz w:val="28"/>
          <w:szCs w:val="28"/>
          <w:rtl w:val="true"/>
          <w:lang w:bidi="fa-IR"/>
        </w:rPr>
        <w:t xml:space="preserve">» </w:t>
      </w:r>
      <w:r>
        <w:rPr>
          <w:rStyle w:val="FootnoteAnchor"/>
          <w:rtl w:val="true"/>
        </w:rPr>
        <w:footnoteReference w:id="1830"/>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الروایة تشمل </w:t>
      </w:r>
      <w:r>
        <w:rPr>
          <w:rStyle w:val="FootnoteAnchor"/>
          <w:rtl w:val="true"/>
        </w:rPr>
        <w:footnoteReference w:id="1831"/>
      </w:r>
      <w:r>
        <w:rPr>
          <w:rFonts w:ascii="IRNazanin" w:hAnsi="IRNazanin" w:eastAsia="IRNazanin"/>
          <w:color w:val="111111"/>
          <w:sz w:val="28"/>
          <w:sz w:val="28"/>
          <w:szCs w:val="28"/>
          <w:rtl w:val="true"/>
          <w:lang w:bidi="fa-IR"/>
        </w:rPr>
        <w:t>ما لو کان العبد هو العاقد علی نفسه،و حمله علی ما إذا عقد الغیر له منافٍ لترک الاستفصال،مع أنّ تعلیل الصحّة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إلخ،فی قوّة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عصی اللّه بعقدٍ کالعقد علی ما حرّم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مثّل به الإمام علیه السلام فی روایاتٍ أُخر</w:t>
      </w:r>
    </w:p>
    <w:p>
      <w:pPr>
        <w:pStyle w:val="BookText"/>
        <w:rPr/>
      </w:pPr>
      <w:r>
        <w:rPr>
          <w:rFonts w:ascii="IRNazanin" w:hAnsi="IRNazanin" w:eastAsia="IRNazanin"/>
          <w:color w:val="111111"/>
          <w:sz w:val="28"/>
          <w:sz w:val="28"/>
          <w:szCs w:val="28"/>
          <w:rtl w:val="true"/>
          <w:lang w:bidi="fa-IR"/>
        </w:rPr>
        <w:t xml:space="preserve">واردة فی هذه المسألة </w:t>
      </w:r>
      <w:r>
        <w:rPr>
          <w:rStyle w:val="FootnoteAnchor"/>
          <w:rtl w:val="true"/>
        </w:rPr>
        <w:footnoteReference w:id="1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العقد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تصوّر رضا اللّه تعالی بما سبق من معصیته،أمّا إذا لم یعصِ اللّه و عصی سیّده أمکن رضا سیّدهِ فیما بعد بما لم یرضَ به سابقاً،فإذا رضی به و أجاز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معیار الصحّة فی معاملة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المعاملة فی نفسها ممّا لم ینهَ عنه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رضا سیّده بوقوعه،سابقاً أو لاحقاً،و أنّه إذا عصی سیّده بمعاملة ثمّ رضی السیّد بها صحّ،و أنّ ما قاله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معصیة السیّد لا یزول حکمها برضاه بعده،و أنّه لا ینفع الرضا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نقله السائل عن طائفة من العامّة </w:t>
      </w:r>
      <w:r>
        <w:rPr>
          <w:rStyle w:val="FootnoteAnchor"/>
          <w:rtl w:val="true"/>
        </w:rPr>
        <w:footnoteReference w:id="1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صحیح،فافهم و اغتنم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استشهاد بعضٍ </w:t>
      </w:r>
      <w:r>
        <w:rPr>
          <w:rStyle w:val="FootnoteAnchor"/>
          <w:rtl w:val="true"/>
        </w:rPr>
        <w:footnoteReference w:id="1834"/>
      </w:r>
      <w:r>
        <w:rPr>
          <w:rFonts w:ascii="IRNazanin" w:hAnsi="IRNazanin" w:eastAsia="IRNazanin"/>
          <w:color w:val="111111"/>
          <w:sz w:val="28"/>
          <w:sz w:val="28"/>
          <w:szCs w:val="28"/>
          <w:rtl w:val="true"/>
          <w:lang w:bidi="fa-IR"/>
        </w:rPr>
        <w:t>بهذه الروایات علی صحّة عقد العبد و إن لم یسبقه إذن و لم یلحقه إجازة،بل و مع سبق النهی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غایة الأمر هو عصیان العبد و إثمه فی إیقاع العقد و التصرّف فی لسانه الذی هو ملک للمولی،لکنّ النهی مطلقاً لا یوجب الفساد خصوصاً النهی الناشئ عن معصیة السیّد کما یومئ إلیه هذه الأخبار الدالّة علی أنّ معصیة السیّد لا یقدح بصحّة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محلّه، بل الروایات ناطقة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الصحّة من جهة ارتفاع کراهة</w:t>
      </w:r>
    </w:p>
    <w:p>
      <w:pPr>
        <w:pStyle w:val="BookText"/>
        <w:rPr/>
      </w:pPr>
      <w:r>
        <w:rPr>
          <w:rFonts w:ascii="IRNazanin" w:hAnsi="IRNazanin" w:eastAsia="IRNazanin"/>
          <w:color w:val="111111"/>
          <w:sz w:val="28"/>
          <w:sz w:val="28"/>
          <w:szCs w:val="28"/>
          <w:rtl w:val="true"/>
          <w:lang w:bidi="fa-IR"/>
        </w:rPr>
        <w:t>المولی و تبدّله بالرضا بما فعله العبد،و لیس ککراهة اللّه عزّ و جلّ بحیث یستحیل رضاه بعد ذلک بوقوعه السابق،فکأنه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 حتّی یستحیل تعقّبه للإجازة و الرضا و إنّما عصی سیّده،فإذا أجاز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علّق الجواز صریحاً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تعلیق الصحّة علی الإجازة من جهة مضمون العقد و هو التزویج المحتاج إلی إجازة السیّد إجماعاً،لا نفس إنشاء العقد حتّی لو فرضناه للغیر یکون محتاجاً إلی إجازة مولی العاقد،مدفوعة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المنساق من الروایة إعطاء قاعدة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Style w:val="FootnoteAnchor"/>
          <w:rtl w:val="true"/>
        </w:rPr>
        <w:footnoteReference w:id="1835"/>
      </w:r>
      <w:r>
        <w:rPr>
          <w:rFonts w:ascii="IRNazanin" w:hAnsi="IRNazanin" w:eastAsia="IRNazanin"/>
          <w:color w:val="111111"/>
          <w:sz w:val="28"/>
          <w:sz w:val="28"/>
          <w:szCs w:val="28"/>
          <w:rtl w:val="true"/>
          <w:lang w:bidi="fa-IR"/>
        </w:rPr>
        <w:t xml:space="preserve">رضا المولی بفعل العبد بعد وقوعه یکفی فی کلّ ما یتوقّف علی مراجعة السیّد و کان فعله من دون مراجعةٍ </w:t>
      </w:r>
      <w:r>
        <w:rPr>
          <w:rStyle w:val="FootnoteAnchor"/>
          <w:rtl w:val="true"/>
        </w:rPr>
        <w:footnoteReference w:id="1836"/>
      </w:r>
      <w:r>
        <w:rPr>
          <w:rFonts w:ascii="IRNazanin" w:hAnsi="IRNazanin" w:eastAsia="IRNazanin"/>
          <w:color w:val="111111"/>
          <w:sz w:val="28"/>
          <w:sz w:val="28"/>
          <w:szCs w:val="28"/>
          <w:rtl w:val="true"/>
          <w:lang w:bidi="fa-IR"/>
        </w:rPr>
        <w:t>أو مع النهی عنه معصیةً له،و المفروض أنّ نفس العقد من هذا القبیل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ما ذکره </w:t>
      </w:r>
      <w:r>
        <w:rPr>
          <w:rStyle w:val="FootnoteAnchor"/>
          <w:rtl w:val="true"/>
        </w:rPr>
        <w:footnoteReference w:id="1837"/>
      </w:r>
      <w:r>
        <w:rPr>
          <w:rFonts w:ascii="IRNazanin" w:hAnsi="IRNazanin" w:eastAsia="IRNazanin"/>
          <w:color w:val="111111"/>
          <w:sz w:val="28"/>
          <w:sz w:val="28"/>
          <w:szCs w:val="28"/>
          <w:rtl w:val="true"/>
          <w:lang w:bidi="fa-IR"/>
        </w:rPr>
        <w:t>من عصیان العبد بتصرّفه فی لسانه و أنّه لا یقتضی الفساد،یشعر بزعم أنّ المستند فی بطلان عقد العبد لغیره هو حرمة تلفّظه بألفاظ العقد من دون رضا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حرمة هذه التصرّفات الجزئیّة؛للسیرة المستمرّة علی مکالمة العبید </w:t>
      </w:r>
      <w:r>
        <w:rPr>
          <w:rStyle w:val="FootnoteAnchor"/>
          <w:rtl w:val="true"/>
        </w:rPr>
        <w:footnoteReference w:id="1838"/>
      </w:r>
      <w:r>
        <w:rPr>
          <w:rFonts w:ascii="IRNazanin" w:hAnsi="IRNazanin" w:eastAsia="IRNazanin"/>
          <w:color w:val="111111"/>
          <w:sz w:val="28"/>
          <w:sz w:val="28"/>
          <w:szCs w:val="28"/>
          <w:rtl w:val="true"/>
          <w:lang w:bidi="fa-IR"/>
        </w:rPr>
        <w:t>،و نحو ذلک من المشاغل الجزئیّة</w:t>
      </w:r>
      <w:r>
        <w:rPr>
          <w:rFonts w:eastAsia="IRNazanin" w:cs="IRNazanin"/>
          <w:color w:val="111111"/>
          <w:sz w:val="28"/>
          <w:szCs w:val="28"/>
          <w:rtl w:val="true"/>
          <w:lang w:bidi="fa-IR"/>
        </w:rPr>
        <w:t>.</w:t>
      </w:r>
      <w:bookmarkStart w:id="567" w:name="pg19763_248088"/>
    </w:p>
    <w:p>
      <w:pPr>
        <w:pStyle w:val="BookText"/>
        <w:rPr/>
      </w:pPr>
      <w:bookmarkEnd w:id="567"/>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 الحرمة فی مثل هذه لا توجب الفساد،فلا یظنّ استناد العلماء فی الفساد إلی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الاستشهاد بالروایة لعدم کون معصیة السیّد بالتکلّم بألفاظ العقد و التصرّف فی لسانه قادحاً </w:t>
      </w:r>
      <w:r>
        <w:rPr>
          <w:rStyle w:val="FootnoteAnchor"/>
          <w:rtl w:val="true"/>
        </w:rPr>
        <w:footnoteReference w:id="1839"/>
      </w:r>
      <w:r>
        <w:rPr>
          <w:rFonts w:ascii="IRNazanin" w:hAnsi="IRNazanin" w:eastAsia="IRNazanin"/>
          <w:color w:val="111111"/>
          <w:sz w:val="28"/>
          <w:sz w:val="28"/>
          <w:szCs w:val="28"/>
          <w:rtl w:val="true"/>
          <w:lang w:bidi="fa-IR"/>
        </w:rPr>
        <w:t xml:space="preserve">فی صحّة العقد،غیر صحیح؛ لأنّ مقتضاه أنّ التکلّم إن کان معصیةً للّه تعالی یکون مفسداً،مع أنّه لا یقول به أحد؛فإنّ حرمة العقد من حیث إنّه تحریک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الصلاة و القراءة المضیّقة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فساد العقد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المستند فی الفساد هو الآیة المتقدّمة </w:t>
      </w:r>
      <w:r>
        <w:rPr>
          <w:rStyle w:val="FootnoteAnchor"/>
          <w:rtl w:val="true"/>
        </w:rPr>
        <w:footnoteReference w:id="1840"/>
      </w:r>
      <w:r>
        <w:rPr>
          <w:rFonts w:ascii="IRNazanin" w:hAnsi="IRNazanin" w:eastAsia="IRNazanin"/>
          <w:color w:val="111111"/>
          <w:sz w:val="28"/>
          <w:sz w:val="28"/>
          <w:szCs w:val="28"/>
          <w:rtl w:val="true"/>
          <w:lang w:bidi="fa-IR"/>
        </w:rPr>
        <w:t xml:space="preserve">،و الروایات الواردة فی عدم جواز أمر العبد و مضیّه مستقلا،و أنّه لیس له من الأمر شیء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5082854_2314609296"/>
      <w:bookmarkStart w:id="569" w:name="_Toc218"/>
      <w:bookmarkEnd w:id="568"/>
      <w:r>
        <w:rPr>
          <w:rtl w:val="true"/>
        </w:rPr>
        <w:t>«</w:t>
      </w:r>
      <w:r>
        <w:rPr>
          <w:rtl w:val="true"/>
        </w:rPr>
        <w:t>فرع</w:t>
      </w:r>
      <w:r>
        <w:rPr>
          <w:rtl w:val="true"/>
        </w:rPr>
        <w:t xml:space="preserve">» </w:t>
      </w:r>
      <w:r>
        <w:rPr>
          <w:rtl w:val="true"/>
        </w:rPr>
        <w:t>لو أمر العبدَ آمرٌ أن یشتری نفسه من مولاه فباعه مولاه صحّ و لزم؛</w:t>
      </w:r>
      <w:bookmarkEnd w:id="56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کفایة رضا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من تعریضه للبیع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إذنه الصریح،بل یمکن جعل نفس الإیجاب موجباً للإذن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عدم قابلیّة المشتری للقبول فی زمان الإیجاب؛لأنّ هذا الشرط لیس علی حدّ غیره من الشروط المعتبرة فی کلٍّ من المتعاقدین من أوّل الإیجاب إلی آخر القبول،بل هو نظیر إذن مالک الثمن فی الاشتراء،حیث یکفی تحقّقه بعد الإیجاب و قبل القبول الذی بنی المشتری علی إنشائه فضولاً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البطلان فی المسألة؛مستدلا علیه باتّحاد عبارته مع عبارة السیّد فیتّحد الموجب و القابل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اقتضائه المنع لو أذن له السیّد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الاتّحاد أوّلاً،و منع قدحه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أمره </w:t>
      </w:r>
      <w:r>
        <w:rPr>
          <w:rStyle w:val="FootnoteAnchor"/>
          <w:rtl w:val="true"/>
        </w:rPr>
        <w:footnoteReference w:id="1843"/>
      </w:r>
      <w:r>
        <w:rPr>
          <w:rFonts w:ascii="IRNazanin" w:hAnsi="IRNazanin" w:eastAsia="IRNazanin"/>
          <w:color w:val="111111"/>
          <w:sz w:val="28"/>
          <w:sz w:val="28"/>
          <w:szCs w:val="28"/>
          <w:rtl w:val="true"/>
          <w:lang w:bidi="fa-IR"/>
        </w:rPr>
        <w:t>الآمر بالاشتراء من مولاه،فإن أمره بالاشتراء من وکیل المولی،فعن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المحقّق و الشهید الثانیان </w:t>
      </w:r>
      <w:r>
        <w:rPr>
          <w:rStyle w:val="FootnoteAnchor"/>
          <w:rtl w:val="true"/>
        </w:rPr>
        <w:footnoteReference w:id="1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یصحّ؛لعدم الإذن من المولی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قیل بالجواز </w:t>
      </w:r>
      <w:r>
        <w:rPr>
          <w:rStyle w:val="FootnoteAnchor"/>
          <w:rtl w:val="true"/>
        </w:rPr>
        <w:footnoteReference w:id="1845"/>
      </w:r>
      <w:r>
        <w:rPr>
          <w:rFonts w:ascii="IRNazanin" w:hAnsi="IRNazanin" w:eastAsia="IRNazanin"/>
          <w:color w:val="111111"/>
          <w:sz w:val="28"/>
          <w:sz w:val="28"/>
          <w:szCs w:val="28"/>
          <w:rtl w:val="true"/>
          <w:lang w:bidi="fa-IR"/>
        </w:rPr>
        <w:t>حینئذٍ أیضاً؛بناءً علی ما سبق منه من أنّ المنع لأجل النهی و هو لا یستلزم الفساد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عرفت من أنّ وجه المنع أدلّة عدم استقلال العبد فی شیء،لا منعه عن التصرّف فی لسانه،فراجع ما تقدّم </w:t>
      </w:r>
      <w:r>
        <w:rPr>
          <w:rStyle w:val="FootnoteAnchor"/>
          <w:rtl w:val="true"/>
        </w:rPr>
        <w:footnoteReference w:id="1846"/>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bookmarkStart w:id="570" w:name="pg19763_248091"/>
    </w:p>
    <w:p>
      <w:pPr>
        <w:pStyle w:val="Heading4"/>
        <w:numPr>
          <w:ilvl w:val="3"/>
          <w:numId w:val="1"/>
        </w:numPr>
        <w:rPr/>
      </w:pPr>
      <w:bookmarkStart w:id="571" w:name="__RefHeading___Toc5082856_2314609296"/>
      <w:bookmarkStart w:id="572" w:name="_Toc219"/>
      <w:bookmarkEnd w:id="570"/>
      <w:bookmarkEnd w:id="571"/>
      <w:r>
        <w:rPr>
          <w:rtl w:val="true"/>
        </w:rPr>
        <w:t>مسألة و من شروط المتعاقدین</w:t>
      </w:r>
      <w:r>
        <w:rPr>
          <w:rtl w:val="true"/>
        </w:rPr>
        <w:t>:</w:t>
      </w:r>
      <w:r>
        <w:rPr>
          <w:rtl w:val="true"/>
        </w:rPr>
        <w:t>أن یکونا مالِکَین أو مأذونَین من المالک أو الشارع</w:t>
      </w:r>
      <w:r>
        <w:rPr>
          <w:rtl w:val="true"/>
        </w:rPr>
        <w:t>.</w:t>
      </w:r>
      <w:bookmarkEnd w:id="572"/>
    </w:p>
    <w:p>
      <w:pPr>
        <w:pStyle w:val="Heading5"/>
        <w:numPr>
          <w:ilvl w:val="4"/>
          <w:numId w:val="1"/>
        </w:numPr>
        <w:rPr/>
      </w:pPr>
      <w:bookmarkStart w:id="573" w:name="__RefHeading___Toc5082858_2314609296"/>
      <w:bookmarkStart w:id="574" w:name="_Toc220"/>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فعقد الفضولی لا یصحّ،أی لا یترتّب علیه ما یترتّب علی عقد غیره من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مراد من جعل الملک و ما فی حکمه شرطاً،ثمّ فرّع علیه أنّ </w:t>
      </w:r>
      <w:r>
        <w:rPr>
          <w:rStyle w:val="FootnoteAnchor"/>
          <w:rtl w:val="true"/>
        </w:rPr>
        <w:footnoteReference w:id="1847"/>
      </w:r>
      <w:r>
        <w:rPr>
          <w:rFonts w:ascii="IRNazanin" w:hAnsi="IRNazanin" w:eastAsia="IRNazanin"/>
          <w:color w:val="111111"/>
          <w:sz w:val="28"/>
          <w:sz w:val="28"/>
          <w:szCs w:val="28"/>
          <w:rtl w:val="true"/>
          <w:lang w:bidi="fa-IR"/>
        </w:rPr>
        <w:t xml:space="preserve">بیع الفضولی موقوف علی الإجازة کما فی القواعد </w:t>
      </w:r>
      <w:r>
        <w:rPr>
          <w:rStyle w:val="FootnoteAnchor"/>
          <w:rtl w:val="true"/>
        </w:rPr>
        <w:footnoteReference w:id="1848"/>
      </w:r>
      <w:r>
        <w:rPr>
          <w:rFonts w:ascii="IRNazanin" w:hAnsi="IRNazanin" w:eastAsia="IRNazanin"/>
          <w:color w:val="111111"/>
          <w:sz w:val="28"/>
          <w:sz w:val="28"/>
          <w:szCs w:val="28"/>
          <w:rtl w:val="true"/>
          <w:lang w:bidi="fa-IR"/>
        </w:rPr>
        <w:t>،فاعتراض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بأنّ التفریع فی غیر محلّه </w:t>
      </w:r>
      <w:r>
        <w:rPr>
          <w:rStyle w:val="FootnoteAnchor"/>
          <w:rtl w:val="true"/>
        </w:rPr>
        <w:footnoteReference w:id="1849"/>
      </w:r>
      <w:r>
        <w:rPr>
          <w:rFonts w:ascii="Amiri" w:hAnsi="Amiri" w:eastAsia="Amiri" w:cs="Amiri"/>
          <w:color w:val="111111"/>
          <w:sz w:val="28"/>
          <w:sz w:val="28"/>
          <w:szCs w:val="28"/>
          <w:rtl w:val="true"/>
          <w:lang w:bidi="ar-SA"/>
        </w:rPr>
        <w:t>،لعلّه فی غیر محلّه</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5082860_2314609296"/>
      <w:bookmarkStart w:id="576" w:name="_Toc221"/>
      <w:bookmarkEnd w:id="575"/>
      <w:r>
        <w:rPr>
          <w:rtl w:val="true"/>
        </w:rPr>
        <w:t>[</w:t>
      </w:r>
      <w:r>
        <w:rPr>
          <w:rtl w:val="true"/>
        </w:rPr>
        <w:t>الکلام فی عقد الفضولی</w:t>
      </w:r>
      <w:r>
        <w:rPr>
          <w:rtl w:val="true"/>
        </w:rPr>
        <w:t>]</w:t>
      </w:r>
      <w:bookmarkEnd w:id="576"/>
    </w:p>
    <w:p>
      <w:pPr>
        <w:pStyle w:val="Heading6"/>
        <w:numPr>
          <w:ilvl w:val="5"/>
          <w:numId w:val="1"/>
        </w:numPr>
        <w:rPr/>
      </w:pPr>
      <w:bookmarkStart w:id="577" w:name="__RefHeading___Toc5082862_2314609296"/>
      <w:bookmarkStart w:id="578" w:name="_Toc222"/>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و کیف کان،فالمهمّ التعرّض لمسألة عقد الفضولی التی هی من أهمّ المسائل،فنقول</w:t>
      </w:r>
      <w:r>
        <w:rPr>
          <w:rFonts w:eastAsia="IRNazanin" w:cs="IRNazanin"/>
          <w:color w:val="111111"/>
          <w:sz w:val="28"/>
          <w:szCs w:val="28"/>
          <w:rtl w:val="true"/>
          <w:lang w:bidi="fa-IR"/>
        </w:rPr>
        <w:t>:</w:t>
      </w:r>
    </w:p>
    <w:p>
      <w:pPr>
        <w:pStyle w:val="Heading6"/>
        <w:numPr>
          <w:ilvl w:val="5"/>
          <w:numId w:val="1"/>
        </w:numPr>
        <w:rPr/>
      </w:pPr>
      <w:bookmarkStart w:id="579" w:name="__RefHeading___Toc5082864_2314609296"/>
      <w:bookmarkStart w:id="580" w:name="_Toc223"/>
      <w:bookmarkEnd w:id="579"/>
      <w:r>
        <w:rPr>
          <w:rtl w:val="true"/>
        </w:rPr>
        <w:t>اختلف الأصحاب و غیرهم فی بیع الفضولی</w:t>
      </w:r>
      <w:bookmarkEnd w:id="58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مطلق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 xml:space="preserve">اتّفاقهم علی بطلان إیقاعه کما فی غایة المراد </w:t>
      </w:r>
      <w:r>
        <w:rPr>
          <w:rStyle w:val="FootnoteAnchor"/>
          <w:rtl w:val="true"/>
        </w:rPr>
        <w:footnoteReference w:id="1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الشهید قدّس سرّه </w:t>
      </w:r>
      <w:r>
        <w:rPr>
          <w:rStyle w:val="FootnoteAnchor"/>
          <w:rtl w:val="true"/>
        </w:rPr>
        <w:footnoteReference w:id="1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الکامل الغیر المالک للتصرّف و لو کان غاصباً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العاقد بلا إذن مَن یحتاج إلی إذنه </w:t>
      </w:r>
      <w:r>
        <w:rPr>
          <w:rStyle w:val="FootnoteAnchor"/>
          <w:rtl w:val="true"/>
        </w:rPr>
        <w:footnoteReference w:id="1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یوصف به نفس العقد </w:t>
      </w:r>
      <w:r>
        <w:rPr>
          <w:rStyle w:val="FootnoteAnchor"/>
          <w:rtl w:val="true"/>
        </w:rPr>
        <w:footnoteReference w:id="1853"/>
      </w:r>
      <w:r>
        <w:rPr>
          <w:rFonts w:ascii="IRNazanin" w:hAnsi="IRNazanin" w:eastAsia="IRNazanin"/>
          <w:color w:val="111111"/>
          <w:sz w:val="28"/>
          <w:sz w:val="28"/>
          <w:szCs w:val="28"/>
          <w:rtl w:val="true"/>
          <w:lang w:bidi="fa-IR"/>
        </w:rPr>
        <w:t>،و لعلّه 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کان،فیشمل العقد الصادر من الباکرة </w:t>
      </w:r>
      <w:r>
        <w:rPr>
          <w:rStyle w:val="FootnoteAnchor"/>
          <w:rtl w:val="true"/>
        </w:rPr>
        <w:footnoteReference w:id="1854"/>
      </w:r>
      <w:r>
        <w:rPr>
          <w:rFonts w:ascii="IRNazanin" w:hAnsi="IRNazanin" w:eastAsia="IRNazanin"/>
          <w:color w:val="111111"/>
          <w:sz w:val="28"/>
          <w:sz w:val="28"/>
          <w:szCs w:val="28"/>
          <w:rtl w:val="true"/>
          <w:lang w:bidi="fa-IR"/>
        </w:rPr>
        <w:t xml:space="preserve">الرشیدة بدون إذن الولی،و من المالک إذا لم یملک التصرّف؛لتعلّق حقّ الغیر بالمال،کما یومئ إلیه استدلالهم لفساد </w:t>
      </w:r>
      <w:r>
        <w:rPr>
          <w:rStyle w:val="FootnoteAnchor"/>
          <w:rtl w:val="true"/>
        </w:rPr>
        <w:footnoteReference w:id="1855"/>
      </w:r>
      <w:r>
        <w:rPr>
          <w:rFonts w:ascii="IRNazanin" w:hAnsi="IRNazanin" w:eastAsia="IRNazanin"/>
          <w:color w:val="111111"/>
          <w:sz w:val="28"/>
          <w:sz w:val="28"/>
          <w:szCs w:val="28"/>
          <w:rtl w:val="true"/>
          <w:lang w:bidi="fa-IR"/>
        </w:rPr>
        <w:t xml:space="preserve">الفضولی بما دلّ علی المنع من نکاح الباکرة بغیر إذن ولیّها </w:t>
      </w:r>
      <w:r>
        <w:rPr>
          <w:rStyle w:val="FootnoteAnchor"/>
          <w:rtl w:val="true"/>
        </w:rPr>
        <w:footnoteReference w:id="1856"/>
      </w:r>
      <w:r>
        <w:rPr>
          <w:rFonts w:ascii="IRNazanin" w:hAnsi="IRNazanin" w:eastAsia="IRNazanin"/>
          <w:color w:val="111111"/>
          <w:sz w:val="28"/>
          <w:sz w:val="28"/>
          <w:szCs w:val="28"/>
          <w:rtl w:val="true"/>
          <w:lang w:bidi="fa-IR"/>
        </w:rPr>
        <w:t>،و حینئذٍ فیشمل بیع الراهن و السفیه و نحوهما، و بیع العبد بدون إذن السیّد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کان،فالظاهر شموله لما إذا تحقّق رضا المالک للتصرّف باطناً،و طیب نفسه بالعقد من دون حصول إذن منه صریحاً أو فحوًی؛</w:t>
      </w:r>
    </w:p>
    <w:p>
      <w:pPr>
        <w:pStyle w:val="BookText"/>
        <w:rPr/>
      </w:pPr>
      <w:r>
        <w:rPr>
          <w:rFonts w:ascii="IRNazanin" w:hAnsi="IRNazanin" w:eastAsia="IRNazanin"/>
          <w:color w:val="111111"/>
          <w:sz w:val="28"/>
          <w:sz w:val="28"/>
          <w:szCs w:val="28"/>
          <w:rtl w:val="true"/>
          <w:lang w:bidi="fa-IR"/>
        </w:rPr>
        <w:t>لأنّ العاقد لا یصیر مالکاً للتصرّف و مسلّطاً علیه بمجرّد علمه برضا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اشتراطهم فی لزوم العقد کون العاقد مالکاً أو مأذوناً أو ولیّاً،و فرّعوا علیه 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استدلالهم علی صحّة الفضولی بحدیث عروة البارقی </w:t>
      </w:r>
      <w:r>
        <w:rPr>
          <w:rStyle w:val="FootnoteAnchor"/>
          <w:rtl w:val="true"/>
        </w:rPr>
        <w:footnoteReference w:id="1857"/>
      </w:r>
      <w:r>
        <w:rPr>
          <w:rFonts w:ascii="IRNazanin" w:hAnsi="IRNazanin" w:eastAsia="IRNazanin"/>
          <w:color w:val="111111"/>
          <w:sz w:val="28"/>
          <w:sz w:val="28"/>
          <w:szCs w:val="28"/>
          <w:rtl w:val="true"/>
          <w:lang w:bidi="fa-IR"/>
        </w:rPr>
        <w:t>مع أنّ الظاهر علمه برضا النبیّ صلّی اللّه علیه و آله و سلم بما یفعله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الذی یقوی 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خروجه عن ظاهر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توقّفه علی الإجازة اللاحقة،بل یکفی فیه رضا المالک المقرون بالعقد، سواء علم به العاقد،أو انکشف بعد العقد حصوله حینه،أو لم ینکشف أصلاً؛فیجب علی المالک فیما بینه و بین اللّه تعالی إمضاء ما رضی به و ترتیب </w:t>
      </w:r>
      <w:r>
        <w:rPr>
          <w:rStyle w:val="FootnoteAnchor"/>
          <w:rtl w:val="true"/>
        </w:rPr>
        <w:footnoteReference w:id="1858"/>
      </w:r>
      <w:r>
        <w:rPr>
          <w:rFonts w:ascii="IRNazanin" w:hAnsi="IRNazanin" w:eastAsia="IRNazanin"/>
          <w:color w:val="111111"/>
          <w:sz w:val="28"/>
          <w:sz w:val="28"/>
          <w:szCs w:val="28"/>
          <w:rtl w:val="true"/>
          <w:lang w:bidi="fa-IR"/>
        </w:rPr>
        <w:t xml:space="preserve">الآثار علیه؛لعموم وجوب الوفاء بالعقود </w:t>
      </w:r>
      <w:r>
        <w:rPr>
          <w:rStyle w:val="FootnoteAnchor"/>
          <w:rtl w:val="true"/>
        </w:rPr>
        <w:footnoteReference w:id="1859"/>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تَکُونَ تِجٰارَةً عَنْ تَرٰاضٍ</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مال امرئٍ مسلمٍ إلّا عن طیب نفسه</w:t>
      </w:r>
      <w:r>
        <w:rPr>
          <w:rFonts w:eastAsia="Amiri" w:cs="Amiri" w:ascii="Amiri" w:hAnsi="Amiri"/>
          <w:color w:val="111111"/>
          <w:sz w:val="28"/>
          <w:szCs w:val="28"/>
          <w:rtl w:val="true"/>
          <w:lang w:bidi="ar-SA"/>
        </w:rPr>
        <w:t xml:space="preserve">» </w:t>
      </w:r>
      <w:r>
        <w:rPr>
          <w:rStyle w:val="FootnoteAnchor"/>
          <w:rtl w:val="true"/>
        </w:rPr>
        <w:footnoteReference w:id="1861"/>
      </w:r>
      <w:r>
        <w:rPr>
          <w:rFonts w:ascii="IRNazanin" w:hAnsi="IRNazanin" w:eastAsia="IRNazanin"/>
          <w:color w:val="111111"/>
          <w:sz w:val="28"/>
          <w:sz w:val="28"/>
          <w:szCs w:val="28"/>
          <w:rtl w:val="true"/>
          <w:lang w:bidi="fa-IR"/>
        </w:rPr>
        <w:t xml:space="preserve">،و ما دلّ علی أنّ علم المولی بنکاح العبد و سکوته إقرار منه </w:t>
      </w:r>
      <w:r>
        <w:rPr>
          <w:rStyle w:val="FootnoteAnchor"/>
          <w:rtl w:val="true"/>
        </w:rPr>
        <w:footnoteReference w:id="1862"/>
      </w:r>
      <w:r>
        <w:rPr>
          <w:rFonts w:ascii="IRNazanin" w:hAnsi="IRNazanin" w:eastAsia="IRNazanin"/>
          <w:color w:val="111111"/>
          <w:sz w:val="28"/>
          <w:sz w:val="28"/>
          <w:szCs w:val="28"/>
          <w:rtl w:val="true"/>
          <w:lang w:bidi="fa-IR"/>
        </w:rPr>
        <w:t xml:space="preserve">،و روایة عروة البارقی الآتیة </w:t>
      </w:r>
      <w:r>
        <w:rPr>
          <w:rStyle w:val="FootnoteAnchor"/>
          <w:rtl w:val="true"/>
        </w:rPr>
        <w:footnoteReference w:id="1863"/>
      </w:r>
      <w:r>
        <w:rPr>
          <w:rFonts w:ascii="IRNazanin" w:hAnsi="IRNazanin" w:eastAsia="IRNazanin"/>
          <w:color w:val="111111"/>
          <w:sz w:val="28"/>
          <w:sz w:val="28"/>
          <w:szCs w:val="28"/>
          <w:rtl w:val="true"/>
          <w:lang w:bidi="fa-IR"/>
        </w:rPr>
        <w:t>،حیث أقبض المبیع و قبض</w:t>
      </w:r>
      <w:bookmarkStart w:id="581" w:name="pg19763_248094"/>
    </w:p>
    <w:p>
      <w:pPr>
        <w:pStyle w:val="BookText"/>
        <w:rPr/>
      </w:pPr>
      <w:bookmarkEnd w:id="581"/>
      <w:r>
        <w:rPr>
          <w:rFonts w:ascii="IRNazanin" w:hAnsi="IRNazanin" w:eastAsia="IRNazanin"/>
          <w:color w:val="111111"/>
          <w:sz w:val="28"/>
          <w:sz w:val="28"/>
          <w:szCs w:val="28"/>
          <w:rtl w:val="true"/>
          <w:lang w:bidi="fa-IR"/>
        </w:rPr>
        <w:t>الدینار؛لعلمه برضا النبی صلّی اللّه علیه و آله و سلم،و لو کان فضولیاً موقوفاً علی الإجازة لم یجز التصرّف فی المعوّض و العوض بالقبض و الإقباض، و تقریرُ النبیّ صلّی اللّه علیه و آله و سلم له علی ما فعل دلیلٌ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هذا،مع أنّ کلمات الأصحاب فی بعض المقامات یظهر منها </w:t>
      </w:r>
      <w:r>
        <w:rPr>
          <w:rStyle w:val="FootnoteAnchor"/>
          <w:rtl w:val="true"/>
        </w:rPr>
        <w:footnoteReference w:id="1864"/>
      </w:r>
      <w:r>
        <w:rPr>
          <w:rFonts w:ascii="IRNazanin" w:hAnsi="IRNazanin" w:eastAsia="IRNazanin"/>
          <w:color w:val="111111"/>
          <w:sz w:val="28"/>
          <w:sz w:val="28"/>
          <w:szCs w:val="28"/>
          <w:rtl w:val="true"/>
          <w:lang w:bidi="fa-IR"/>
        </w:rPr>
        <w:t>خروج هذا الفرض عن الفضولی و عدم وقوفه علی الإجازة،مثل قولهم فی الاستدلال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الشرائط کلّها حاصلة إلّا رضا المالک،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الإجازة لا یکفی فیها السکوت؛لأنّه أعمّ من الرضا،و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لو سلّم کونه فضولیاً،لکن لیس کلّ فضولیّ یتوقّف لزومه علی الإجازة؛لأنّه </w:t>
      </w:r>
      <w:r>
        <w:rPr>
          <w:rStyle w:val="FootnoteAnchor"/>
          <w:rtl w:val="true"/>
        </w:rPr>
        <w:footnoteReference w:id="1865"/>
      </w:r>
      <w:r>
        <w:rPr>
          <w:rFonts w:ascii="IRNazanin" w:hAnsi="IRNazanin" w:eastAsia="IRNazanin"/>
          <w:color w:val="111111"/>
          <w:sz w:val="28"/>
          <w:sz w:val="28"/>
          <w:szCs w:val="28"/>
          <w:rtl w:val="true"/>
          <w:lang w:bidi="fa-IR"/>
        </w:rPr>
        <w:t>لا دلیل علی توقّفه مطلقاً علی الإجازة اللاحقة، کما هو أحد الاحتمالات فی مَن باع ملک غیره ثمّ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الاکتفاء فی الإجازة بالرضا الحاصل بعد البیع المذکور آناً ما؛إذ وقوعه برضاه لا ینفکّ عن ذلک مع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أشکل فی عقود غیر المالک،فلا ینبغی الإشکال فی عقد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نکاحاً أو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برضا السیّد و لو لم یأذن له؛لعدم تحقّق المعصیة التی هی مناط المنع فی الأخبار،و عدم منافاته لعدم استقلال العبد فی التصرّف</w:t>
      </w:r>
      <w:r>
        <w:rPr>
          <w:rFonts w:eastAsia="IRNazanin" w:cs="IRNazanin"/>
          <w:color w:val="111111"/>
          <w:sz w:val="28"/>
          <w:szCs w:val="28"/>
          <w:rtl w:val="true"/>
          <w:lang w:bidi="fa-IR"/>
        </w:rPr>
        <w:t>.</w:t>
      </w:r>
    </w:p>
    <w:p>
      <w:pPr>
        <w:pStyle w:val="Heading6"/>
        <w:numPr>
          <w:ilvl w:val="5"/>
          <w:numId w:val="1"/>
        </w:numPr>
        <w:rPr/>
      </w:pPr>
      <w:bookmarkStart w:id="582" w:name="__RefHeading___Toc5082866_2314609296"/>
      <w:bookmarkStart w:id="583" w:name="_Toc224"/>
      <w:bookmarkEnd w:id="582"/>
      <w:r>
        <w:rPr>
          <w:rtl w:val="true"/>
        </w:rPr>
        <w:t>[</w:t>
      </w:r>
      <w:r>
        <w:rPr>
          <w:rtl w:val="true"/>
        </w:rPr>
        <w:t>صور بیع الفضولی</w:t>
      </w:r>
      <w:r>
        <w:rPr>
          <w:rtl w:val="true"/>
        </w:rPr>
        <w:t>]</w:t>
      </w:r>
      <w:bookmarkEnd w:id="58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الفضولی قد یبیع للمالک،و قد یبیع لنفسه،و علی الأوّل فقد لا یسبقه منع من المالک،و قد یسبقه المنع؛فهنا مسائل ثلاث</w:t>
      </w:r>
      <w:r>
        <w:rPr>
          <w:rFonts w:eastAsia="IRNazanin" w:cs="IRNazanin"/>
          <w:color w:val="111111"/>
          <w:sz w:val="28"/>
          <w:szCs w:val="28"/>
          <w:rtl w:val="true"/>
          <w:lang w:bidi="fa-IR"/>
        </w:rPr>
        <w:t>:</w:t>
      </w:r>
      <w:bookmarkStart w:id="584" w:name="pg19763_248095"/>
    </w:p>
    <w:p>
      <w:pPr>
        <w:pStyle w:val="Heading6"/>
        <w:numPr>
          <w:ilvl w:val="5"/>
          <w:numId w:val="1"/>
        </w:numPr>
        <w:rPr/>
      </w:pPr>
      <w:bookmarkStart w:id="585" w:name="__RefHeading___Toc5082868_2314609296"/>
      <w:bookmarkStart w:id="586" w:name="_Toc225"/>
      <w:bookmarkEnd w:id="584"/>
      <w:bookmarkEnd w:id="585"/>
      <w:r>
        <w:rPr>
          <w:rtl w:val="true"/>
        </w:rPr>
        <w:t>الاُولی أن یبیع للمالک مع عدم سبق منعٍ من المالک،</w:t>
      </w:r>
      <w:bookmarkEnd w:id="586"/>
    </w:p>
    <w:p>
      <w:pPr>
        <w:pStyle w:val="BookText"/>
        <w:rPr/>
      </w:pPr>
      <w:r>
        <w:rPr>
          <w:rFonts w:ascii="IRNazanin" w:hAnsi="IRNazanin" w:eastAsia="IRNazanin"/>
          <w:color w:val="111111"/>
          <w:sz w:val="28"/>
          <w:sz w:val="28"/>
          <w:szCs w:val="28"/>
          <w:rtl w:val="true"/>
          <w:lang w:bidi="fa-IR"/>
        </w:rPr>
        <w:t>و هذا هو المتیقّن من عقد الفضولی</w:t>
      </w:r>
      <w:r>
        <w:rPr>
          <w:rFonts w:eastAsia="IRNazanin" w:cs="IRNazanin"/>
          <w:color w:val="111111"/>
          <w:sz w:val="28"/>
          <w:szCs w:val="28"/>
          <w:rtl w:val="true"/>
          <w:lang w:bidi="fa-IR"/>
        </w:rPr>
        <w:t>.</w:t>
      </w:r>
    </w:p>
    <w:p>
      <w:pPr>
        <w:pStyle w:val="Heading6"/>
        <w:numPr>
          <w:ilvl w:val="5"/>
          <w:numId w:val="1"/>
        </w:numPr>
        <w:rPr/>
      </w:pPr>
      <w:bookmarkStart w:id="587" w:name="__RefHeading___Toc5082870_2314609296"/>
      <w:bookmarkStart w:id="588" w:name="_Toc226"/>
      <w:bookmarkEnd w:id="587"/>
      <w:r>
        <w:rPr>
          <w:rtl w:val="true"/>
        </w:rPr>
        <w:t>و المشهور</w:t>
      </w:r>
      <w:r>
        <w:rPr>
          <w:rtl w:val="true"/>
        </w:rPr>
        <w:t>:</w:t>
      </w:r>
      <w:r>
        <w:rPr>
          <w:rtl w:val="true"/>
        </w:rPr>
        <w:t>الصحّة</w:t>
      </w:r>
      <w:bookmarkEnd w:id="588"/>
    </w:p>
    <w:p>
      <w:pPr>
        <w:pStyle w:val="BookText"/>
        <w:rPr/>
      </w:pPr>
      <w:r>
        <w:rPr>
          <w:rFonts w:ascii="IRNazanin" w:hAnsi="IRNazanin" w:eastAsia="IRNazanin"/>
          <w:color w:val="111111"/>
          <w:sz w:val="28"/>
          <w:sz w:val="28"/>
          <w:szCs w:val="28"/>
          <w:rtl w:val="true"/>
          <w:lang w:bidi="fa-IR"/>
        </w:rPr>
        <w:t>،بل فی التذکرة نسبه إلی علمائنا،تارة صریحاً، و أُخری ظاهراً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ذکر عقیب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لنا فیه قولاً بالبطلان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غایة المراد </w:t>
      </w:r>
      <w:r>
        <w:rPr>
          <w:rStyle w:val="FootnoteAnchor"/>
          <w:rtl w:val="true"/>
        </w:rPr>
        <w:footnoteReference w:id="1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 الصحّة عن العمانی و المفید </w:t>
      </w:r>
      <w:r>
        <w:rPr>
          <w:rStyle w:val="FootnoteAnchor"/>
          <w:rtl w:val="true"/>
        </w:rPr>
        <w:footnoteReference w:id="1868"/>
      </w:r>
      <w:r>
        <w:rPr>
          <w:rFonts w:ascii="IRNazanin" w:hAnsi="IRNazanin" w:eastAsia="IRNazanin"/>
          <w:color w:val="111111"/>
          <w:sz w:val="28"/>
          <w:sz w:val="28"/>
          <w:szCs w:val="28"/>
          <w:rtl w:val="true"/>
          <w:lang w:bidi="fa-IR"/>
        </w:rPr>
        <w:t xml:space="preserve">و المرتضی </w:t>
      </w:r>
      <w:r>
        <w:rPr>
          <w:rStyle w:val="FootnoteAnchor"/>
          <w:rtl w:val="true"/>
        </w:rPr>
        <w:footnoteReference w:id="1869"/>
      </w: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1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سلّار </w:t>
      </w:r>
      <w:r>
        <w:rPr>
          <w:rStyle w:val="FootnoteAnchor"/>
          <w:rtl w:val="true"/>
        </w:rPr>
        <w:footnoteReference w:id="1871"/>
      </w:r>
      <w:r>
        <w:rPr>
          <w:rFonts w:ascii="IRNazanin" w:hAnsi="IRNazanin" w:eastAsia="IRNazanin"/>
          <w:color w:val="111111"/>
          <w:sz w:val="28"/>
          <w:sz w:val="28"/>
          <w:szCs w:val="28"/>
          <w:rtl w:val="true"/>
          <w:lang w:bidi="fa-IR"/>
        </w:rPr>
        <w:t xml:space="preserve">و الحلبی </w:t>
      </w:r>
      <w:r>
        <w:rPr>
          <w:rStyle w:val="FootnoteAnchor"/>
          <w:rtl w:val="true"/>
        </w:rPr>
        <w:footnoteReference w:id="1872"/>
      </w:r>
      <w:r>
        <w:rPr>
          <w:rFonts w:ascii="IRNazanin" w:hAnsi="IRNazanin" w:eastAsia="IRNazanin"/>
          <w:color w:val="111111"/>
          <w:sz w:val="28"/>
          <w:sz w:val="28"/>
          <w:szCs w:val="28"/>
          <w:rtl w:val="true"/>
          <w:lang w:bidi="fa-IR"/>
        </w:rPr>
        <w:t xml:space="preserve">و القاضی </w:t>
      </w:r>
      <w:r>
        <w:rPr>
          <w:rStyle w:val="FootnoteAnchor"/>
          <w:rtl w:val="true"/>
        </w:rPr>
        <w:footnoteReference w:id="1873"/>
      </w:r>
      <w:r>
        <w:rPr>
          <w:rFonts w:ascii="Amiri" w:hAnsi="Amiri" w:eastAsia="Amiri" w:cs="Amiri"/>
          <w:color w:val="111111"/>
          <w:sz w:val="28"/>
          <w:sz w:val="28"/>
          <w:szCs w:val="28"/>
          <w:rtl w:val="true"/>
          <w:lang w:bidi="ar-SA"/>
        </w:rPr>
        <w:t xml:space="preserve">و ابن حمزة </w:t>
      </w:r>
      <w:r>
        <w:rPr>
          <w:rStyle w:val="FootnoteAnchor"/>
          <w:rtl w:val="true"/>
        </w:rPr>
        <w:footnoteReference w:id="1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عن الإسکافی </w:t>
      </w:r>
      <w:r>
        <w:rPr>
          <w:rStyle w:val="FootnoteAnchor"/>
          <w:rtl w:val="true"/>
        </w:rPr>
        <w:footnoteReference w:id="1875"/>
      </w:r>
      <w:r>
        <w:rPr>
          <w:rFonts w:ascii="Amiri" w:hAnsi="Amiri" w:eastAsia="Amiri" w:cs="Amiri"/>
          <w:color w:val="111111"/>
          <w:sz w:val="28"/>
          <w:sz w:val="28"/>
          <w:szCs w:val="28"/>
          <w:rtl w:val="true"/>
          <w:lang w:bidi="ar-SA"/>
        </w:rPr>
        <w:t>،و استقرّ علیه رأی مَن</w:t>
      </w:r>
    </w:p>
    <w:p>
      <w:pPr>
        <w:pStyle w:val="BookText"/>
        <w:rPr/>
      </w:pPr>
      <w:r>
        <w:rPr>
          <w:rFonts w:ascii="Amiri" w:hAnsi="Amiri" w:eastAsia="Amiri" w:cs="Amiri"/>
          <w:color w:val="111111"/>
          <w:sz w:val="28"/>
          <w:sz w:val="28"/>
          <w:szCs w:val="28"/>
          <w:rtl w:val="true"/>
          <w:lang w:bidi="ar-SA"/>
        </w:rPr>
        <w:t xml:space="preserve">تأخّر </w:t>
      </w:r>
      <w:r>
        <w:rPr>
          <w:rStyle w:val="FootnoteAnchor"/>
          <w:rtl w:val="true"/>
        </w:rPr>
        <w:footnoteReference w:id="1876"/>
      </w:r>
      <w:r>
        <w:rPr>
          <w:rFonts w:ascii="IRNazanin" w:hAnsi="IRNazanin" w:eastAsia="IRNazanin"/>
          <w:color w:val="111111"/>
          <w:sz w:val="28"/>
          <w:sz w:val="28"/>
          <w:szCs w:val="28"/>
          <w:rtl w:val="true"/>
          <w:lang w:bidi="fa-IR"/>
        </w:rPr>
        <w:t xml:space="preserve">عدا فخر الدین </w:t>
      </w:r>
      <w:r>
        <w:rPr>
          <w:rStyle w:val="FootnoteAnchor"/>
          <w:rtl w:val="true"/>
        </w:rPr>
        <w:footnoteReference w:id="1877"/>
      </w:r>
      <w:r>
        <w:rPr>
          <w:rFonts w:ascii="IRNazanin" w:hAnsi="IRNazanin" w:eastAsia="IRNazanin"/>
          <w:color w:val="111111"/>
          <w:sz w:val="28"/>
          <w:sz w:val="28"/>
          <w:szCs w:val="28"/>
          <w:rtl w:val="true"/>
          <w:lang w:bidi="fa-IR"/>
        </w:rPr>
        <w:t xml:space="preserve">و بعض متأخّری المتأخّرین،کالأردبیلی </w:t>
      </w:r>
      <w:r>
        <w:rPr>
          <w:rStyle w:val="FootnoteAnchor"/>
          <w:rtl w:val="true"/>
        </w:rPr>
        <w:footnoteReference w:id="1878"/>
      </w:r>
      <w:r>
        <w:rPr>
          <w:rFonts w:ascii="IRNazanin" w:hAnsi="IRNazanin" w:eastAsia="IRNazanin"/>
          <w:color w:val="111111"/>
          <w:sz w:val="28"/>
          <w:sz w:val="28"/>
          <w:szCs w:val="28"/>
          <w:rtl w:val="true"/>
          <w:lang w:bidi="fa-IR"/>
        </w:rPr>
        <w:t xml:space="preserve">و السیّد الداماد </w:t>
      </w:r>
      <w:r>
        <w:rPr>
          <w:rStyle w:val="FootnoteAnchor"/>
          <w:rtl w:val="true"/>
        </w:rPr>
        <w:footnoteReference w:id="1879"/>
      </w:r>
      <w:r>
        <w:rPr>
          <w:rFonts w:ascii="Amiri" w:hAnsi="Amiri" w:eastAsia="Amiri" w:cs="Amiri"/>
          <w:color w:val="111111"/>
          <w:sz w:val="28"/>
          <w:sz w:val="28"/>
          <w:szCs w:val="28"/>
          <w:rtl w:val="true"/>
          <w:lang w:bidi="ar-SA"/>
        </w:rPr>
        <w:t xml:space="preserve">و بعض متأخّری المحدّثین </w:t>
      </w:r>
      <w:r>
        <w:rPr>
          <w:rStyle w:val="FootnoteAnchor"/>
          <w:rtl w:val="true"/>
        </w:rPr>
        <w:footnoteReference w:id="1880"/>
      </w:r>
      <w:r>
        <w:rPr>
          <w:rFonts w:ascii="IRNazanin" w:hAnsi="IRNazanin" w:eastAsia="IRNazanin"/>
          <w:color w:val="111111"/>
          <w:sz w:val="28"/>
          <w:sz w:val="28"/>
          <w:szCs w:val="28"/>
          <w:rtl w:val="true"/>
          <w:lang w:bidi="fa-IR"/>
        </w:rPr>
        <w:t>لعموم أدلّة البیع و العقود؛ لأنّ خلوّه عن إذن المالک لا یوجب سلب اسم العقد و البیع عنه، و اشتراط ترتّب الأثر بالرضا و توقّفه علیه أیضاً لا مجال لإنکاره،فلم یبقَ الکلام إلّا فی اشتراط سبق الإذن،و حیث لا دلیل علیه فمقتضی الإطلاقات عدمه،و مرجع ذلک کلّه إلی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الوفاء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 العاری عن الإذن و الإجازة معاً،و لم یعلم خروج ما فقد الإذن و لحقه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ذکرنا یرجع استدلالهم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عقد صدر عن أهله فی محلّه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فی غایة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من باب المصادرات </w:t>
      </w:r>
      <w:r>
        <w:rPr>
          <w:rStyle w:val="FootnoteAnchor"/>
          <w:rtl w:val="true"/>
        </w:rPr>
        <w:footnoteReference w:id="1882"/>
      </w:r>
      <w:r>
        <w:rPr>
          <w:rFonts w:ascii="IRNazanin" w:hAnsi="IRNazanin" w:eastAsia="IRNazanin"/>
          <w:color w:val="111111"/>
          <w:sz w:val="28"/>
          <w:sz w:val="28"/>
          <w:szCs w:val="28"/>
          <w:rtl w:val="true"/>
          <w:lang w:bidi="fa-IR"/>
        </w:rPr>
        <w:t>،لم أتحقّق وجهه؛لأنّ کون العاقد أهلاً للعقد من حیث إنّه بالغ عاقل لا کلام</w:t>
      </w:r>
      <w:bookmarkStart w:id="589" w:name="pg19763_248097"/>
    </w:p>
    <w:p>
      <w:pPr>
        <w:pStyle w:val="BookText"/>
        <w:rPr/>
      </w:pPr>
      <w:bookmarkEnd w:id="589"/>
      <w:r>
        <w:rPr>
          <w:rFonts w:ascii="IRNazanin" w:hAnsi="IRNazanin" w:eastAsia="IRNazanin"/>
          <w:color w:val="111111"/>
          <w:sz w:val="28"/>
          <w:sz w:val="28"/>
          <w:szCs w:val="28"/>
          <w:rtl w:val="true"/>
          <w:lang w:bidi="fa-IR"/>
        </w:rPr>
        <w:t>فیه،و کذا کون المبیع قابلاً للبیع،فلیس محلّ الکلام إلّا خلوّ العقد عن مقارنة إذن المالک،و هو مدفوع بالأصل،و لعلّ مراد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الکلام فی أهلیّة العاقد،و یکفی </w:t>
      </w:r>
      <w:r>
        <w:rPr>
          <w:rStyle w:val="FootnoteAnchor"/>
          <w:rtl w:val="true"/>
        </w:rPr>
        <w:footnoteReference w:id="1883"/>
      </w:r>
      <w:r>
        <w:rPr>
          <w:rFonts w:ascii="IRNazanin" w:hAnsi="IRNazanin" w:eastAsia="IRNazanin"/>
          <w:color w:val="111111"/>
          <w:sz w:val="28"/>
          <w:sz w:val="28"/>
          <w:szCs w:val="28"/>
          <w:rtl w:val="true"/>
          <w:lang w:bidi="fa-IR"/>
        </w:rPr>
        <w:t>فی إثباتها العموم المتقدّم</w:t>
      </w:r>
      <w:r>
        <w:rPr>
          <w:rFonts w:eastAsia="IRNazanin" w:cs="IRNazanin"/>
          <w:color w:val="111111"/>
          <w:sz w:val="28"/>
          <w:szCs w:val="28"/>
          <w:rtl w:val="true"/>
          <w:lang w:bidi="fa-IR"/>
        </w:rPr>
        <w:t>.</w:t>
      </w:r>
    </w:p>
    <w:p>
      <w:pPr>
        <w:pStyle w:val="Heading6"/>
        <w:numPr>
          <w:ilvl w:val="5"/>
          <w:numId w:val="1"/>
        </w:numPr>
        <w:rPr/>
      </w:pPr>
      <w:bookmarkStart w:id="590" w:name="__RefHeading___Toc5082872_2314609296"/>
      <w:bookmarkStart w:id="591" w:name="_Toc227"/>
      <w:bookmarkEnd w:id="590"/>
      <w:r>
        <w:rPr>
          <w:rtl w:val="true"/>
        </w:rPr>
        <w:t>و قد اشتهر الاستدلال علیه بقضیّة عروة البارقی</w:t>
      </w:r>
      <w:bookmarkEnd w:id="591"/>
    </w:p>
    <w:p>
      <w:pPr>
        <w:pStyle w:val="BookText"/>
        <w:rPr/>
      </w:pPr>
      <w:r>
        <w:rPr>
          <w:rFonts w:ascii="IRNazanin" w:hAnsi="IRNazanin" w:eastAsia="IRNazanin"/>
          <w:color w:val="111111"/>
          <w:sz w:val="28"/>
          <w:sz w:val="28"/>
          <w:szCs w:val="28"/>
          <w:rtl w:val="true"/>
          <w:lang w:bidi="fa-IR"/>
        </w:rPr>
        <w:t>،حیث دفع إلیه النبیّ صلّی اللّه علیه و آله و سلم دیناراً،و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لنا به شاة للأُضحیة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فاشتری به شاتین،ثمّ باع أحدهما فی الطریق بدینار،فأتی النبیّ صلّی اللّه علیه و آله و سلم بالشاة و الدینار،فقال له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فی صفقة یمینک</w:t>
      </w:r>
      <w:r>
        <w:rPr>
          <w:rFonts w:eastAsia="IRNazanin" w:cs="IRNazanin"/>
          <w:color w:val="111111"/>
          <w:sz w:val="28"/>
          <w:szCs w:val="28"/>
          <w:rtl w:val="true"/>
          <w:lang w:bidi="fa-IR"/>
        </w:rPr>
        <w:t xml:space="preserve">» </w:t>
      </w:r>
      <w:r>
        <w:rPr>
          <w:rStyle w:val="FootnoteAnchor"/>
          <w:rtl w:val="true"/>
        </w:rPr>
        <w:footnoteReference w:id="1884"/>
      </w:r>
      <w:r>
        <w:rPr>
          <w:rFonts w:ascii="IRNazanin" w:hAnsi="IRNazanin" w:eastAsia="IRNazanin"/>
          <w:color w:val="111111"/>
          <w:sz w:val="28"/>
          <w:sz w:val="28"/>
          <w:szCs w:val="28"/>
          <w:rtl w:val="true"/>
          <w:lang w:bidi="fa-IR"/>
        </w:rPr>
        <w:t>،فإنّ بیعه وقع فضولاً و إن وجّهنا شراءه علی وجه یخرج عن الفضولی</w:t>
      </w:r>
      <w:r>
        <w:rPr>
          <w:rFonts w:eastAsia="IRNazanin" w:cs="IRNazanin"/>
          <w:color w:val="111111"/>
          <w:sz w:val="28"/>
          <w:szCs w:val="28"/>
          <w:rtl w:val="true"/>
          <w:lang w:bidi="fa-IR"/>
        </w:rPr>
        <w:t>.</w:t>
      </w:r>
    </w:p>
    <w:p>
      <w:pPr>
        <w:pStyle w:val="Heading6"/>
        <w:numPr>
          <w:ilvl w:val="5"/>
          <w:numId w:val="1"/>
        </w:numPr>
        <w:rPr/>
      </w:pPr>
      <w:bookmarkStart w:id="592" w:name="__RefHeading___Toc5082874_2314609296"/>
      <w:bookmarkStart w:id="593" w:name="_Toc228"/>
      <w:bookmarkEnd w:id="592"/>
      <w:r>
        <w:rPr>
          <w:rtl w:val="true"/>
        </w:rPr>
        <w:t>[</w:t>
      </w:r>
      <w:r>
        <w:rPr>
          <w:rtl w:val="true"/>
        </w:rPr>
        <w:t>المناقشة فی الاستدلال بقضیة عروة البارقی</w:t>
      </w:r>
      <w:r>
        <w:rPr>
          <w:rtl w:val="true"/>
        </w:rPr>
        <w:t>]</w:t>
      </w:r>
      <w:bookmarkEnd w:id="593"/>
    </w:p>
    <w:p>
      <w:pPr>
        <w:pStyle w:val="BookText"/>
        <w:rPr/>
      </w:pPr>
      <w:r>
        <w:rPr>
          <w:rFonts w:ascii="IRNazanin" w:hAnsi="IRNazanin" w:eastAsia="IRNazanin"/>
          <w:color w:val="111111"/>
          <w:sz w:val="28"/>
          <w:sz w:val="28"/>
          <w:szCs w:val="28"/>
          <w:rtl w:val="true"/>
          <w:lang w:bidi="fa-IR"/>
        </w:rPr>
        <w:t xml:space="preserve">هذا،و لکن لا یخفی </w:t>
      </w:r>
      <w:r>
        <w:rPr>
          <w:rStyle w:val="FootnoteAnchor"/>
          <w:rtl w:val="true"/>
        </w:rPr>
        <w:footnoteReference w:id="1885"/>
      </w:r>
      <w:r>
        <w:rPr>
          <w:rFonts w:ascii="IRNazanin" w:hAnsi="IRNazanin" w:eastAsia="IRNazanin"/>
          <w:color w:val="111111"/>
          <w:sz w:val="28"/>
          <w:sz w:val="28"/>
          <w:szCs w:val="28"/>
          <w:rtl w:val="true"/>
          <w:lang w:bidi="fa-IR"/>
        </w:rPr>
        <w:t>أنّ الاستدلال بها یتوقّف علی دخول المعاملة المقرونة برضا المالک فی 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الظاهر </w:t>
      </w:r>
      <w:r>
        <w:rPr>
          <w:rStyle w:val="FootnoteAnchor"/>
          <w:rtl w:val="true"/>
        </w:rPr>
        <w:footnoteReference w:id="1886"/>
      </w:r>
      <w:r>
        <w:rPr>
          <w:rFonts w:ascii="IRNazanin" w:hAnsi="IRNazanin" w:eastAsia="IRNazanin"/>
          <w:color w:val="111111"/>
          <w:sz w:val="28"/>
          <w:sz w:val="28"/>
          <w:szCs w:val="28"/>
          <w:rtl w:val="true"/>
          <w:lang w:bidi="fa-IR"/>
        </w:rPr>
        <w:t>عِلم عُروة برضا النبیّ صلّی اللّه علیه و آله و سلم بما یفعل،و قد أقبض المبیع و قبض الثمن،و لا ریب أنّ الإقباض و القبض فی بیع الفضولی حرام؛لکونه تصرّفاً فی مال الغیر،فلا بدّ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من التزام أنّ عروة فعل الحرام فی القبض و الإقباض،و هو</w:t>
      </w:r>
    </w:p>
    <w:p>
      <w:pPr>
        <w:pStyle w:val="BookText"/>
        <w:rPr/>
      </w:pPr>
      <w:r>
        <w:rPr>
          <w:rFonts w:ascii="Amiri" w:hAnsi="Amiri" w:eastAsia="Amiri" w:cs="Amiri"/>
          <w:color w:val="111111"/>
          <w:sz w:val="28"/>
          <w:sz w:val="28"/>
          <w:szCs w:val="28"/>
          <w:rtl w:val="true"/>
          <w:lang w:bidi="ar-SA"/>
        </w:rPr>
        <w:t>منافٍ لتقریر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من القول بأنّ البیع الذی یعلم بتعقّبه للإجازة یجوز التصرّف فیه قبل الإجازة؛بناءً علی کون الإجازة کاشفة،و سیجیء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فیدور الأمر بین ثالثٍ،و هو جعل هذا الفرد </w:t>
      </w:r>
      <w:r>
        <w:rPr>
          <w:rStyle w:val="FootnoteAnchor"/>
          <w:rtl w:val="true"/>
        </w:rPr>
        <w:footnoteReference w:id="1887"/>
      </w:r>
      <w:r>
        <w:rPr>
          <w:rFonts w:ascii="IRNazanin" w:hAnsi="IRNazanin" w:eastAsia="IRNazanin"/>
          <w:color w:val="111111"/>
          <w:sz w:val="28"/>
          <w:sz w:val="28"/>
          <w:szCs w:val="28"/>
          <w:rtl w:val="true"/>
          <w:lang w:bidi="fa-IR"/>
        </w:rPr>
        <w:t>من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المقرون برضا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خارجاً عن الفضولی،کما قلناه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رابعٍ،و هو عِلم عُروة برضا النبیّ صلّی اللّه علیه و آله و سلم بإقباض ماله للمشتری حتّی یستأذن،و عِلم المشتری بکون البیع فضولیّاً حتّی یکون دفعه للثمن بید البائع علی وجه الأمانة،و إلّا فالفضولی لیس مالکاً و لا وکیلاً،فلا یستحقّ قبض المال،فلو کان المشتری عالماً فله أن یستأمنه علی الثمن حتّی ینکشف الحال،بخلاف ما لو کان جاهلاً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الظاهر هو أوّل الوجهین،کما لا یخفی،خصوصاً بملاحظة أنّ الظاهر وقوع تلک المعاملة علی جهة المعاطاة،و قد تقدّم أنّ المناط فیها مجرّد المراضاة و وصول کلٍّ من العوضین إلی صاحب الآخر و حصوله عنده بإقباض المالک أو غیره و لو کان صبیاً أو حیواناً </w:t>
      </w:r>
      <w:r>
        <w:rPr>
          <w:rStyle w:val="FootnoteAnchor"/>
          <w:rtl w:val="true"/>
        </w:rPr>
        <w:footnoteReference w:id="1889"/>
      </w:r>
      <w:r>
        <w:rPr>
          <w:rFonts w:ascii="IRNazanin" w:hAnsi="IRNazanin" w:eastAsia="IRNazanin"/>
          <w:color w:val="111111"/>
          <w:sz w:val="28"/>
          <w:sz w:val="28"/>
          <w:szCs w:val="28"/>
          <w:rtl w:val="true"/>
          <w:lang w:bidi="fa-IR"/>
        </w:rPr>
        <w:t xml:space="preserve">،فإذا حصل التقابض بین فضولیّین </w:t>
      </w:r>
      <w:r>
        <w:rPr>
          <w:rStyle w:val="FootnoteAnchor"/>
          <w:rtl w:val="true"/>
        </w:rPr>
        <w:footnoteReference w:id="1890"/>
      </w:r>
      <w:r>
        <w:rPr>
          <w:rFonts w:ascii="IRNazanin" w:hAnsi="IRNazanin" w:eastAsia="IRNazanin"/>
          <w:color w:val="111111"/>
          <w:sz w:val="28"/>
          <w:sz w:val="28"/>
          <w:szCs w:val="28"/>
          <w:rtl w:val="true"/>
          <w:lang w:bidi="fa-IR"/>
        </w:rPr>
        <w:t>أو فضولی و غیره مقروناً برضا المالکین،</w:t>
      </w:r>
      <w:bookmarkStart w:id="594" w:name="pg19763_248099"/>
    </w:p>
    <w:p>
      <w:pPr>
        <w:pStyle w:val="BookText"/>
        <w:rPr/>
      </w:pPr>
      <w:bookmarkEnd w:id="594"/>
      <w:r>
        <w:rPr>
          <w:rFonts w:ascii="Amiri" w:hAnsi="Amiri" w:eastAsia="Amiri" w:cs="Amiri"/>
          <w:color w:val="111111"/>
          <w:sz w:val="28"/>
          <w:sz w:val="28"/>
          <w:szCs w:val="28"/>
          <w:rtl w:val="true"/>
          <w:lang w:bidi="ar-SA"/>
        </w:rPr>
        <w:t xml:space="preserve">ثمّ وصل </w:t>
      </w:r>
      <w:r>
        <w:rPr>
          <w:rStyle w:val="FootnoteAnchor"/>
          <w:rtl w:val="true"/>
        </w:rPr>
        <w:footnoteReference w:id="1891"/>
      </w:r>
      <w:r>
        <w:rPr>
          <w:rFonts w:ascii="IRNazanin" w:hAnsi="IRNazanin" w:eastAsia="IRNazanin"/>
          <w:color w:val="111111"/>
          <w:sz w:val="28"/>
          <w:sz w:val="28"/>
          <w:szCs w:val="28"/>
          <w:rtl w:val="true"/>
          <w:lang w:bidi="fa-IR"/>
        </w:rPr>
        <w:t>کلّ من العوضین إلی صاحب الآخر و علم برضا صاحبه، کفی فی صحّة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من معاملة الفضولی؛لأنّ الفضولی صار آلة فی الإیصال،و العبرة برضا المالک المقرون به</w:t>
      </w:r>
      <w:r>
        <w:rPr>
          <w:rFonts w:eastAsia="IRNazanin" w:cs="IRNazanin"/>
          <w:color w:val="111111"/>
          <w:sz w:val="28"/>
          <w:szCs w:val="28"/>
          <w:rtl w:val="true"/>
          <w:lang w:bidi="fa-IR"/>
        </w:rPr>
        <w:t>.</w:t>
      </w:r>
    </w:p>
    <w:p>
      <w:pPr>
        <w:pStyle w:val="Heading6"/>
        <w:numPr>
          <w:ilvl w:val="5"/>
          <w:numId w:val="1"/>
        </w:numPr>
        <w:rPr/>
      </w:pPr>
      <w:bookmarkStart w:id="595" w:name="__RefHeading___Toc5082876_2314609296"/>
      <w:bookmarkStart w:id="596" w:name="_Toc229"/>
      <w:bookmarkEnd w:id="595"/>
      <w:r>
        <w:rPr>
          <w:rtl w:val="true"/>
        </w:rPr>
        <w:t>[</w:t>
      </w:r>
      <w:r>
        <w:rPr>
          <w:rtl w:val="true"/>
        </w:rPr>
        <w:t>الاستدلال للصحة بصحیحة محمد بن قیس</w:t>
      </w:r>
      <w:r>
        <w:rPr>
          <w:rtl w:val="true"/>
        </w:rPr>
        <w:t>]</w:t>
      </w:r>
      <w:bookmarkEnd w:id="596"/>
    </w:p>
    <w:p>
      <w:pPr>
        <w:pStyle w:val="BookText"/>
        <w:rPr/>
      </w:pPr>
      <w:r>
        <w:rPr>
          <w:rFonts w:ascii="Amiri" w:hAnsi="Amiri" w:eastAsia="Amiri" w:cs="Amiri"/>
          <w:color w:val="111111"/>
          <w:sz w:val="28"/>
          <w:sz w:val="28"/>
          <w:szCs w:val="28"/>
          <w:rtl w:val="true"/>
          <w:lang w:bidi="ar-SA"/>
        </w:rPr>
        <w:t xml:space="preserve">و استدلّ له </w:t>
      </w:r>
      <w:r>
        <w:rPr>
          <w:rStyle w:val="FootnoteAnchor"/>
          <w:rtl w:val="true"/>
        </w:rPr>
        <w:footnoteReference w:id="189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للشهید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بصحیحة محمّد ابن قیس عن أبی جعفر الباقر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ولیدة باعها ابن سیّدها و أبوه غائب،فاستولدها الذی اشتراها فولدت منه،فجاء سیّدها فخاصم سیّدها الآخر،فقال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ولیدتی باعها ابنی بغیر إذنی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أن یأخذ ولیدته و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فناشده الذی اشتراها،فقال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ابنه الذی باعک الولیدة حتّی ینفذ البیع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أبوه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أُرسل ابنک حتّی ترسل ابنی؛فلمّا رأی ذلک سیّد الولیدة أجاز بیع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دلالة علی صحّة الفضولی و أنّ الإجازة کاشفة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bookmarkStart w:id="597" w:name="pg19763_248100"/>
    </w:p>
    <w:p>
      <w:pPr>
        <w:pStyle w:val="Heading6"/>
        <w:numPr>
          <w:ilvl w:val="5"/>
          <w:numId w:val="1"/>
        </w:numPr>
        <w:rPr/>
      </w:pPr>
      <w:bookmarkStart w:id="598" w:name="__RefHeading___Toc5082878_2314609296"/>
      <w:bookmarkStart w:id="599" w:name="_Toc230"/>
      <w:bookmarkEnd w:id="597"/>
      <w:bookmarkEnd w:id="598"/>
      <w:r>
        <w:rPr>
          <w:rtl w:val="true"/>
        </w:rPr>
        <w:t>[</w:t>
      </w:r>
      <w:r>
        <w:rPr>
          <w:rtl w:val="true"/>
        </w:rPr>
        <w:t>المناقشة فی الاستدلال بصحیحة محمد بن قیس</w:t>
      </w:r>
      <w:r>
        <w:rPr>
          <w:rtl w:val="true"/>
        </w:rPr>
        <w:t>]</w:t>
      </w:r>
      <w:bookmarkEnd w:id="599"/>
    </w:p>
    <w:p>
      <w:pPr>
        <w:pStyle w:val="BookText"/>
        <w:rPr/>
      </w:pPr>
      <w:r>
        <w:rPr>
          <w:rFonts w:ascii="IRNazanin" w:hAnsi="IRNazanin" w:eastAsia="IRNazanin"/>
          <w:color w:val="111111"/>
          <w:sz w:val="28"/>
          <w:sz w:val="28"/>
          <w:szCs w:val="28"/>
          <w:rtl w:val="true"/>
          <w:lang w:bidi="fa-IR"/>
        </w:rPr>
        <w:t>و لا یرد علیها شیءٌ ممّا یوهِن الاستدلال بها،فضلاً عن أن یسقطه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جمیع ما ذکر فیها من الموهنات </w:t>
      </w:r>
      <w:r>
        <w:rPr>
          <w:rStyle w:val="FootnoteAnchor"/>
          <w:rtl w:val="true"/>
        </w:rPr>
        <w:footnoteReference w:id="1895"/>
      </w:r>
      <w:r>
        <w:rPr>
          <w:rFonts w:ascii="IRNazanin" w:hAnsi="IRNazanin" w:eastAsia="IRNazanin"/>
          <w:color w:val="111111"/>
          <w:sz w:val="28"/>
          <w:sz w:val="28"/>
          <w:szCs w:val="28"/>
          <w:rtl w:val="true"/>
          <w:lang w:bidi="fa-IR"/>
        </w:rPr>
        <w:t xml:space="preserve">موهونة،إلّا ظهور الروایة فی تأثیر الإجازة المسبوقة بالردّ،من جهة ظهور المخاصمة فی ذلک، و إطلاق حکم الإمام علیه السلام بتعیین </w:t>
      </w:r>
      <w:r>
        <w:rPr>
          <w:rStyle w:val="FootnoteAnchor"/>
          <w:rtl w:val="true"/>
        </w:rPr>
        <w:footnoteReference w:id="1896"/>
      </w:r>
      <w:r>
        <w:rPr>
          <w:rFonts w:ascii="IRNazanin" w:hAnsi="IRNazanin" w:eastAsia="IRNazanin"/>
          <w:color w:val="111111"/>
          <w:sz w:val="28"/>
          <w:sz w:val="28"/>
          <w:szCs w:val="28"/>
          <w:rtl w:val="true"/>
          <w:lang w:bidi="fa-IR"/>
        </w:rPr>
        <w:t xml:space="preserve">أخذ الجاریة و أنّها </w:t>
      </w:r>
      <w:r>
        <w:rPr>
          <w:rStyle w:val="FootnoteAnchor"/>
          <w:rtl w:val="true"/>
        </w:rPr>
        <w:footnoteReference w:id="1897"/>
      </w:r>
      <w:r>
        <w:rPr>
          <w:rFonts w:ascii="IRNazanin" w:hAnsi="IRNazanin" w:eastAsia="IRNazanin"/>
          <w:color w:val="111111"/>
          <w:sz w:val="28"/>
          <w:sz w:val="28"/>
          <w:szCs w:val="28"/>
          <w:rtl w:val="true"/>
          <w:lang w:bidi="fa-IR"/>
        </w:rPr>
        <w:t xml:space="preserve">من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أنّه لو لم یردّ البیع وجب تقیید الأخذ بصورة اختیار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مناشدة المشتری للإمام علیه السلام و إلحاحه علیه فی علاج فکاک ولده،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ترسل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أنّه حبس الولد و لو علی قیمته یوم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إمساکه الولیدة علی حبسها لأجل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کحبس ولدها علی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رأی ذلک سیّد الولیدة أجاز بیع الولد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ظهور الروایة فی ردّ البیع أوّلاً ممّا لا ینکره المنصف،إلّا أنّ الإنصاف أنّ ظهور الروایة فی أنّ أصل الإجازة مجدیة فی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الإجازة الشخصیة فی مورد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للإنکار،فلا بدّ من تأویل ذلک الظاهر؛لقیام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اشتراط الإجازة بعدم سبق الردّ</w:t>
      </w:r>
      <w:r>
        <w:rPr>
          <w:rFonts w:eastAsia="IRNazanin" w:cs="IRNazanin"/>
          <w:color w:val="111111"/>
          <w:sz w:val="28"/>
          <w:szCs w:val="28"/>
          <w:rtl w:val="true"/>
          <w:lang w:bidi="fa-IR"/>
        </w:rPr>
        <w:t>.</w:t>
      </w:r>
      <w:bookmarkStart w:id="600" w:name="pg19763_248101"/>
    </w:p>
    <w:p>
      <w:pPr>
        <w:pStyle w:val="BookText"/>
        <w:rPr/>
      </w:pPr>
      <w:bookmarkEnd w:id="600"/>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مناط الاستدلال لو کان نفس القضیّة الشخصیّة من جهة اشتمالها علی تصحیح بیع الفضولی بالإجازة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قاعدة اشتراک جمیع القضایا المتّحدة نوعاً فی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ظهورها فی کون الإجازة الشخصیّة فی تلک القضیّة مسبوقة بالردّ مانعاً عن الاستدلال بها،موجباً للاقتصار علی موردها؛لوجهٍ عَلِمه الإمام علیه السلام،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مالک الولیدة کاذباً فی دعوی عدم الإذن للولد،فاحتال علیه السلام حیلة یصل بها الحقّ إلی صاحبه</w:t>
      </w:r>
      <w:r>
        <w:rPr>
          <w:rFonts w:eastAsia="IRNazanin" w:cs="IRNazanin"/>
          <w:color w:val="111111"/>
          <w:sz w:val="28"/>
          <w:szCs w:val="28"/>
          <w:rtl w:val="true"/>
          <w:lang w:bidi="fa-IR"/>
        </w:rPr>
        <w:t>.</w:t>
      </w:r>
    </w:p>
    <w:p>
      <w:pPr>
        <w:pStyle w:val="Heading6"/>
        <w:numPr>
          <w:ilvl w:val="5"/>
          <w:numId w:val="1"/>
        </w:numPr>
        <w:rPr/>
      </w:pPr>
      <w:bookmarkStart w:id="601" w:name="__RefHeading___Toc5082880_2314609296"/>
      <w:bookmarkStart w:id="602" w:name="_Toc231"/>
      <w:bookmarkEnd w:id="601"/>
      <w:r>
        <w:rPr>
          <w:rtl w:val="true"/>
        </w:rPr>
        <w:t>[</w:t>
      </w:r>
      <w:r>
        <w:rPr>
          <w:rtl w:val="true"/>
        </w:rPr>
        <w:t>توجیه الاستدلال بصحیحة محمد بن قیس</w:t>
      </w:r>
      <w:r>
        <w:rPr>
          <w:rtl w:val="true"/>
        </w:rPr>
        <w:t>]</w:t>
      </w:r>
      <w:bookmarkEnd w:id="602"/>
    </w:p>
    <w:p>
      <w:pPr>
        <w:pStyle w:val="BookText"/>
        <w:rPr/>
      </w:pPr>
      <w:r>
        <w:rPr>
          <w:rFonts w:ascii="IRNazanin" w:hAnsi="IRNazanin" w:eastAsia="IRNazanin"/>
          <w:color w:val="111111"/>
          <w:sz w:val="28"/>
          <w:sz w:val="28"/>
          <w:szCs w:val="28"/>
          <w:rtl w:val="true"/>
          <w:lang w:bidi="fa-IR"/>
        </w:rPr>
        <w:t>أمّا لو کان مناط الاستدلال ظهور سیاق کلام الأمیر علیه السلام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ابنه حتّی ینفذ لک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الباقر علیه السلام فی مقام الحکایة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ذلک سیّد الولیدة أجاز بیع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للمالک أن یجیز العقد الواقع علی ملکه و ینفذه،لم یقدح فی ذلک ظهور الإجازة الشخصیّة فی وقوعها بعد الردّ،فیؤوّل ما یظهر منه الردّ بإرادة عدم الجزم بالإجازة و الردّ،أو کون حبس الولیدة علی الثمن،أو نحو ذلک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کأنّه قد اشتبه مناط الاستدلال علی مَن لم یستدلّ بها فی مسألة الفضولی،أو یکون الوجه فی الإغماض عنها ضعف الدلالة المذکورة، فإنّها لا تزید علی الإشعار؛و لذا لم یذکرها فی الدروس فی مسألة الفضولی،بل ذکرها فی موضع آخر </w:t>
      </w:r>
      <w:r>
        <w:rPr>
          <w:rStyle w:val="FootnoteAnchor"/>
          <w:rtl w:val="true"/>
        </w:rPr>
        <w:footnoteReference w:id="1899"/>
      </w:r>
      <w:r>
        <w:rPr>
          <w:rFonts w:ascii="IRNazanin" w:hAnsi="IRNazanin" w:eastAsia="IRNazanin"/>
          <w:color w:val="111111"/>
          <w:sz w:val="28"/>
          <w:sz w:val="28"/>
          <w:szCs w:val="28"/>
          <w:rtl w:val="true"/>
          <w:lang w:bidi="fa-IR"/>
        </w:rPr>
        <w:t xml:space="preserve">،لکنّ الفقیه فی غنی عنه </w:t>
      </w:r>
      <w:r>
        <w:rPr>
          <w:rStyle w:val="FootnoteAnchor"/>
          <w:rtl w:val="true"/>
        </w:rPr>
        <w:footnoteReference w:id="1900"/>
      </w:r>
      <w:r>
        <w:rPr>
          <w:rFonts w:ascii="Amiri" w:hAnsi="Amiri" w:eastAsia="Amiri" w:cs="Amiri"/>
          <w:color w:val="111111"/>
          <w:sz w:val="28"/>
          <w:sz w:val="28"/>
          <w:szCs w:val="28"/>
          <w:rtl w:val="true"/>
          <w:lang w:bidi="ar-SA"/>
        </w:rPr>
        <w:t>بعد العمومات المتقدّمة</w:t>
      </w:r>
      <w:r>
        <w:rPr>
          <w:rFonts w:eastAsia="Amiri" w:cs="Amiri" w:ascii="Amiri" w:hAnsi="Amiri"/>
          <w:color w:val="111111"/>
          <w:sz w:val="28"/>
          <w:szCs w:val="28"/>
          <w:rtl w:val="true"/>
          <w:lang w:bidi="ar-SA"/>
        </w:rPr>
        <w:t>.</w:t>
      </w:r>
      <w:bookmarkStart w:id="603" w:name="pg19763_248102"/>
    </w:p>
    <w:p>
      <w:pPr>
        <w:pStyle w:val="Heading6"/>
        <w:numPr>
          <w:ilvl w:val="5"/>
          <w:numId w:val="1"/>
        </w:numPr>
        <w:rPr/>
      </w:pPr>
      <w:bookmarkStart w:id="604" w:name="__RefHeading___Toc5082882_2314609296"/>
      <w:bookmarkStart w:id="605" w:name="_Toc232"/>
      <w:bookmarkEnd w:id="603"/>
      <w:bookmarkEnd w:id="604"/>
      <w:r>
        <w:rPr>
          <w:rtl w:val="true"/>
        </w:rPr>
        <w:t>[</w:t>
      </w:r>
      <w:r>
        <w:rPr>
          <w:rtl w:val="true"/>
        </w:rPr>
        <w:t>الاستدلال لصحة بیع الفضولی بفحوی صحة نکاحه</w:t>
      </w:r>
      <w:r>
        <w:rPr>
          <w:rtl w:val="true"/>
        </w:rPr>
        <w:t>]</w:t>
      </w:r>
      <w:bookmarkEnd w:id="605"/>
    </w:p>
    <w:p>
      <w:pPr>
        <w:pStyle w:val="BookText"/>
        <w:rPr/>
      </w:pPr>
      <w:r>
        <w:rPr>
          <w:rFonts w:ascii="Amiri" w:hAnsi="Amiri" w:eastAsia="Amiri" w:cs="Amiri"/>
          <w:color w:val="111111"/>
          <w:sz w:val="28"/>
          <w:sz w:val="28"/>
          <w:szCs w:val="28"/>
          <w:rtl w:val="true"/>
          <w:lang w:bidi="ar-SA"/>
        </w:rPr>
        <w:t xml:space="preserve">و ربما یستدلّ أیضاً </w:t>
      </w:r>
      <w:r>
        <w:rPr>
          <w:rStyle w:val="FootnoteAnchor"/>
          <w:rtl w:val="true"/>
        </w:rPr>
        <w:footnoteReference w:id="1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بفحوی صحّة عقد النکاح من الفضولی فی الحرّ و العبد،الثابتة بالنصّ </w:t>
      </w:r>
      <w:r>
        <w:rPr>
          <w:rStyle w:val="FootnoteAnchor"/>
          <w:rtl w:val="true"/>
        </w:rPr>
        <w:footnoteReference w:id="1902"/>
      </w:r>
      <w:r>
        <w:rPr>
          <w:rFonts w:ascii="IRNazanin" w:hAnsi="IRNazanin" w:eastAsia="IRNazanin"/>
          <w:color w:val="111111"/>
          <w:sz w:val="28"/>
          <w:sz w:val="28"/>
          <w:szCs w:val="28"/>
          <w:rtl w:val="true"/>
          <w:lang w:bidi="fa-IR"/>
        </w:rPr>
        <w:t xml:space="preserve">و الإجماعات المحکیة </w:t>
      </w:r>
      <w:r>
        <w:rPr>
          <w:rStyle w:val="FootnoteAnchor"/>
          <w:rtl w:val="true"/>
        </w:rPr>
        <w:footnoteReference w:id="1903"/>
      </w:r>
      <w:r>
        <w:rPr>
          <w:rFonts w:ascii="IRNazanin" w:hAnsi="IRNazanin" w:eastAsia="IRNazanin"/>
          <w:color w:val="111111"/>
          <w:sz w:val="28"/>
          <w:sz w:val="28"/>
          <w:szCs w:val="28"/>
          <w:rtl w:val="true"/>
          <w:lang w:bidi="fa-IR"/>
        </w:rPr>
        <w:t xml:space="preserve">فإنّ تملیک بضع الغیر إذا لزم بالإجازة کان تملیک ماله أولی بذلک،مضافاً إلی ما علم من شدّة الاهتمام فی عقد النکاح؛لأنّه یکون منه الولد،کما فی بعض الأخبار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6" w:name="__RefHeading___Toc5082884_2314609296"/>
      <w:bookmarkStart w:id="607" w:name="_Toc233"/>
      <w:bookmarkEnd w:id="606"/>
      <w:r>
        <w:rPr>
          <w:rtl w:val="true"/>
        </w:rPr>
        <w:t>[</w:t>
      </w:r>
      <w:r>
        <w:rPr>
          <w:rtl w:val="true"/>
        </w:rPr>
        <w:t>المناقشة فی الاستدلال المذکور</w:t>
      </w:r>
      <w:r>
        <w:rPr>
          <w:rtl w:val="true"/>
        </w:rPr>
        <w:t>]</w:t>
      </w:r>
      <w:bookmarkEnd w:id="60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أشار إلی هذه الفحوی فی غایة المراد </w:t>
      </w:r>
      <w:r>
        <w:rPr>
          <w:rStyle w:val="FootnoteAnchor"/>
          <w:rtl w:val="true"/>
        </w:rPr>
        <w:footnoteReference w:id="1905"/>
      </w:r>
      <w:r>
        <w:rPr>
          <w:rFonts w:ascii="IRNazanin" w:hAnsi="IRNazanin" w:eastAsia="IRNazanin"/>
          <w:color w:val="111111"/>
          <w:sz w:val="28"/>
          <w:sz w:val="28"/>
          <w:szCs w:val="28"/>
          <w:rtl w:val="true"/>
          <w:lang w:bidi="fa-IR"/>
        </w:rPr>
        <w:t>،و استدلّ بها فی الریاض،بل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لولاها أشکل الحکم من جهة الإجماعات المحکیّة علی المنع </w:t>
      </w:r>
      <w:r>
        <w:rPr>
          <w:rStyle w:val="FootnoteAnchor"/>
          <w:rtl w:val="true"/>
        </w:rPr>
        <w:footnoteReference w:id="1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حسن،إلّا أنّها ربما توهن بالنصّ الوارد فی الردّ علی العامّة الفارقین بین تزویج الوکیل المعزول مع جهله بالعزل و بین بیعه، بالصحّة فی الثانی؛لأنّ المال له </w:t>
      </w:r>
      <w:r>
        <w:rPr>
          <w:rStyle w:val="FootnoteAnchor"/>
          <w:rtl w:val="true"/>
        </w:rPr>
        <w:footnoteReference w:id="1907"/>
      </w:r>
      <w:r>
        <w:rPr>
          <w:rFonts w:ascii="IRNazanin" w:hAnsi="IRNazanin" w:eastAsia="IRNazanin"/>
          <w:color w:val="111111"/>
          <w:sz w:val="28"/>
          <w:sz w:val="28"/>
          <w:szCs w:val="28"/>
          <w:rtl w:val="true"/>
          <w:lang w:bidi="fa-IR"/>
        </w:rPr>
        <w:t>عوض،و البطلان فی الأوّل؛لأنّ البضع لیس له عوض،حیث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ردِّهم</w:t>
      </w:r>
    </w:p>
    <w:p>
      <w:pPr>
        <w:pStyle w:val="BookText"/>
        <w:rPr/>
      </w:pPr>
      <w:r>
        <w:rPr>
          <w:rFonts w:ascii="IRNazanin" w:hAnsi="IRNazanin" w:eastAsia="IRNazanin"/>
          <w:color w:val="111111"/>
          <w:sz w:val="28"/>
          <w:sz w:val="28"/>
          <w:szCs w:val="28"/>
          <w:rtl w:val="true"/>
          <w:lang w:bidi="fa-IR"/>
        </w:rPr>
        <w:t>و اشتباههم فی وجه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أجور هذا الحکم و أفسده؛ فإنّ النکاح أولی و أجدر أن یحتاط فیه؛لأنّه الفرج،و منه یکون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الاحتیاط کون النکاح الواقع أولی بالصحّة من البیع؛من حیث الاحتیاط المتأکّد فی النکاح دون غیره،فدلّ علی أنّ صحّة البیع تستلزم صحّة النکاح بطریق أولی،خلافاً للعامّة حیث عکسوا و حکموا بصحّة البیع دون النکاح،فمقتضی حکم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صحّة المعاملة المالیة الواقعة فی کلّ مقام؛تستلزم صحّة النکاح الواقع بطریق أولی،و حینئذٍ فلا یجوز التعدّی من صحّة النکاح فی مسألة الفضولی إلی صحّة البیع؛لأنّ الحکم فی الفرع لا یستلزم الحکم فی الأصل فی </w:t>
      </w:r>
      <w:r>
        <w:rPr>
          <w:rStyle w:val="FootnoteAnchor"/>
          <w:rtl w:val="true"/>
        </w:rPr>
        <w:footnoteReference w:id="1909"/>
      </w:r>
      <w:r>
        <w:rPr>
          <w:rFonts w:ascii="IRNazanin" w:hAnsi="IRNazanin" w:eastAsia="IRNazanin"/>
          <w:color w:val="111111"/>
          <w:sz w:val="28"/>
          <w:sz w:val="28"/>
          <w:szCs w:val="28"/>
          <w:rtl w:val="true"/>
          <w:lang w:bidi="fa-IR"/>
        </w:rPr>
        <w:t>باب الأولویة،و إلّا لم یتحقّق الأولویة،کما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بصحّة النکاح علی صحّة البیع مطابق لحکم العامّة من کون النکاح أولی بالبطلان؛من جهة أنّ البضع غیر قابل للتدارک بالعوض</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وجه جعل الإمام علیه السلام الاحتیاط فی النکاح هو إبقاؤه دون إبطاله؛مستدلا بأنّه یکون منه الولد،مع أنّ الأمر فی الفروج کالأموال دائر بین محذورین،و لا احتیاط فی البین</w:t>
      </w:r>
      <w:r>
        <w:rPr>
          <w:rFonts w:eastAsia="IRNazanin" w:cs="IRNazanin"/>
          <w:color w:val="111111"/>
          <w:sz w:val="28"/>
          <w:szCs w:val="28"/>
          <w:rtl w:val="true"/>
          <w:lang w:bidi="fa-IR"/>
        </w:rPr>
        <w:t>.</w:t>
      </w:r>
      <w:bookmarkStart w:id="608" w:name="pg19763_248104"/>
    </w:p>
    <w:p>
      <w:pPr>
        <w:pStyle w:val="BookText"/>
        <w:rPr/>
      </w:pPr>
      <w:bookmarkEnd w:id="608"/>
      <w:r>
        <w:rPr>
          <w:rFonts w:ascii="IRNazanin" w:hAnsi="IRNazanin" w:eastAsia="IRNazanin"/>
          <w:color w:val="111111"/>
          <w:sz w:val="28"/>
          <w:sz w:val="28"/>
          <w:szCs w:val="28"/>
          <w:rtl w:val="true"/>
          <w:lang w:bidi="fa-IR"/>
        </w:rPr>
        <w:t>و یمکن أن یکون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إبطال النکاح فی مقام الإشکال و الاشتباه یستلزم التفریق بین الزوجین علی تقدیر الصحّة واقعاً،فتتزوّج المرأة و یحصل الزنا بذات البعل،بخلاف إبقائه؛فإنّه علی تقدیر بطلان النکاح لا یلزم منه إلّا وطء المرأة الخالیة عن المانع، و هذا أهون من وطء ذات البعل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بالأحوط هو الأشدّ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کان،فمقتضی هذه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حکم بصحّة النکاح الواقع من الفضولی،لم یوجب </w:t>
      </w:r>
      <w:r>
        <w:rPr>
          <w:rStyle w:val="FootnoteAnchor"/>
          <w:rtl w:val="true"/>
        </w:rPr>
        <w:footnoteReference w:id="1910"/>
      </w:r>
      <w:r>
        <w:rPr>
          <w:rFonts w:ascii="IRNazanin" w:hAnsi="IRNazanin" w:eastAsia="IRNazanin"/>
          <w:color w:val="111111"/>
          <w:sz w:val="28"/>
          <w:sz w:val="28"/>
          <w:szCs w:val="28"/>
          <w:rtl w:val="true"/>
          <w:lang w:bidi="fa-IR"/>
        </w:rPr>
        <w:t>ذلک التعدّی إلی الحکم بصحّة بیع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ورد الحکم بصحّة البیع أمکن الحکم بصحّة النکاح؛ لأنّ النکاح أولی بعدم الإبطال،کما هو نصّ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الروایة و إن لم یکن لها دخل بمسألة الفضولی،إلّا أنّ المستفاد منها قاعدة کلیّة،هی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إمضاء العقود المالیّة یستلزم إمضاء النکاح،من دون العکس الذی هو مبنی الاستدلال فی مسألة الفضولی</w:t>
      </w:r>
      <w:r>
        <w:rPr>
          <w:rFonts w:eastAsia="IRNazanin" w:cs="IRNazanin"/>
          <w:color w:val="111111"/>
          <w:sz w:val="28"/>
          <w:szCs w:val="28"/>
          <w:rtl w:val="true"/>
          <w:lang w:bidi="fa-IR"/>
        </w:rPr>
        <w:t>.</w:t>
      </w:r>
    </w:p>
    <w:p>
      <w:pPr>
        <w:pStyle w:val="Heading6"/>
        <w:numPr>
          <w:ilvl w:val="5"/>
          <w:numId w:val="1"/>
        </w:numPr>
        <w:rPr/>
      </w:pPr>
      <w:bookmarkStart w:id="609" w:name="__RefHeading___Toc5082886_2314609296"/>
      <w:bookmarkStart w:id="610" w:name="_Toc234"/>
      <w:bookmarkEnd w:id="609"/>
      <w:r>
        <w:rPr>
          <w:rtl w:val="true"/>
        </w:rPr>
        <w:t>[</w:t>
      </w:r>
      <w:r>
        <w:rPr>
          <w:rtl w:val="true"/>
        </w:rPr>
        <w:t>ما یؤید لصحة بیع الفضولی</w:t>
      </w:r>
      <w:r>
        <w:rPr>
          <w:rtl w:val="true"/>
        </w:rPr>
        <w:t>]</w:t>
      </w:r>
      <w:bookmarkEnd w:id="610"/>
    </w:p>
    <w:p>
      <w:pPr>
        <w:pStyle w:val="Heading6"/>
        <w:numPr>
          <w:ilvl w:val="5"/>
          <w:numId w:val="1"/>
        </w:numPr>
        <w:rPr/>
      </w:pPr>
      <w:bookmarkStart w:id="611" w:name="__RefHeading___Toc5082888_2314609296"/>
      <w:bookmarkStart w:id="612" w:name="_Toc235"/>
      <w:bookmarkEnd w:id="611"/>
      <w:r>
        <w:rPr>
          <w:rtl w:val="true"/>
        </w:rPr>
        <w:t>[</w:t>
      </w:r>
      <w:r>
        <w:rPr>
          <w:rtl w:val="true"/>
        </w:rPr>
        <w:t>ما ورد فی المضاربة</w:t>
      </w:r>
      <w:r>
        <w:rPr>
          <w:rtl w:val="true"/>
        </w:rPr>
        <w:t>]</w:t>
      </w:r>
      <w:bookmarkEnd w:id="612"/>
    </w:p>
    <w:p>
      <w:pPr>
        <w:pStyle w:val="BookText"/>
        <w:rPr/>
      </w:pPr>
      <w:r>
        <w:rPr>
          <w:rFonts w:ascii="IRNazanin" w:hAnsi="IRNazanin" w:eastAsia="IRNazanin"/>
          <w:color w:val="111111"/>
          <w:sz w:val="28"/>
          <w:sz w:val="28"/>
          <w:szCs w:val="28"/>
          <w:rtl w:val="true"/>
          <w:lang w:bidi="fa-IR"/>
        </w:rPr>
        <w:t>هذا،ثمّ إنّه ربما یؤیّد صحّة الفضولی،بل یستدلّ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بروایات کثیرةٍ وردت فی مقامات خاصّة،مثل موثّقة جمیل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دفع إلی رجلٍ مالاً لیشتری به ضرباً من المتاع مضاربة، فاشتری غیر الذی أمره،قال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ضامن،و الربح بینهما علی ما شرطه</w:t>
      </w:r>
      <w:r>
        <w:rPr>
          <w:rFonts w:eastAsia="IRNazanin" w:cs="IRNazanin"/>
          <w:color w:val="111111"/>
          <w:sz w:val="28"/>
          <w:szCs w:val="28"/>
          <w:rtl w:val="true"/>
          <w:lang w:bidi="fa-IR"/>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نحوها غیرها الواردة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فإنّها إن أُبقیت علی ظاهرها من عدم توقّف ملک </w:t>
      </w:r>
      <w:r>
        <w:rPr>
          <w:rStyle w:val="FootnoteAnchor"/>
          <w:rtl w:val="true"/>
        </w:rPr>
        <w:footnoteReference w:id="1912"/>
      </w:r>
      <w:r>
        <w:rPr>
          <w:rFonts w:ascii="IRNazanin" w:hAnsi="IRNazanin" w:eastAsia="IRNazanin"/>
          <w:color w:val="111111"/>
          <w:sz w:val="28"/>
          <w:sz w:val="28"/>
          <w:szCs w:val="28"/>
          <w:rtl w:val="true"/>
          <w:lang w:bidi="fa-IR"/>
        </w:rPr>
        <w:t>الربح علی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نسب إلی ظاهر الأصحاب </w:t>
      </w:r>
      <w:r>
        <w:rPr>
          <w:rStyle w:val="FootnoteAnchor"/>
          <w:rtl w:val="true"/>
        </w:rPr>
        <w:footnoteReference w:id="1913"/>
      </w:r>
      <w:r>
        <w:rPr>
          <w:rFonts w:ascii="IRNazanin" w:hAnsi="IRNazanin" w:eastAsia="IRNazanin"/>
          <w:color w:val="111111"/>
          <w:sz w:val="28"/>
          <w:sz w:val="28"/>
          <w:szCs w:val="28"/>
          <w:rtl w:val="true"/>
          <w:lang w:bidi="fa-IR"/>
        </w:rPr>
        <w:t xml:space="preserve">،و عدّ هذا خارجاً عن بیع الفضولی بالنصّ،کما فی المسالک </w:t>
      </w:r>
      <w:r>
        <w:rPr>
          <w:rStyle w:val="FootnoteAnchor"/>
          <w:rtl w:val="true"/>
        </w:rPr>
        <w:footnoteReference w:id="1914"/>
      </w:r>
      <w:r>
        <w:rPr>
          <w:rFonts w:ascii="IRNazanin" w:hAnsi="IRNazanin" w:eastAsia="IRNazanin"/>
          <w:color w:val="111111"/>
          <w:sz w:val="28"/>
          <w:sz w:val="28"/>
          <w:szCs w:val="28"/>
          <w:rtl w:val="true"/>
          <w:lang w:bidi="fa-IR"/>
        </w:rPr>
        <w:t xml:space="preserve">و غیره </w:t>
      </w:r>
      <w:r>
        <w:rPr>
          <w:rStyle w:val="FootnoteAnchor"/>
          <w:rtl w:val="true"/>
        </w:rPr>
        <w:footnoteReference w:id="1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فیها استئناس لحکم المسألة؛من حیث عدم اعتبار إذن المالک سابقاً فی نقل مال المالک إلی غیره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حملناها علی صورة رضا المالک بالمعاملة بعد ظهور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الغالب،و مقتضی </w:t>
      </w:r>
      <w:r>
        <w:rPr>
          <w:rStyle w:val="FootnoteAnchor"/>
          <w:rtl w:val="true"/>
        </w:rPr>
        <w:footnoteReference w:id="1916"/>
      </w:r>
      <w:r>
        <w:rPr>
          <w:rFonts w:ascii="IRNazanin" w:hAnsi="IRNazanin" w:eastAsia="IRNazanin"/>
          <w:color w:val="111111"/>
          <w:sz w:val="28"/>
          <w:sz w:val="28"/>
          <w:szCs w:val="28"/>
          <w:rtl w:val="true"/>
          <w:lang w:bidi="fa-IR"/>
        </w:rPr>
        <w:t xml:space="preserve">الجمع بین هذه الأخبار،و بین ما دلّ علی اعتبار رضا المالک فی نقل ماله </w:t>
      </w:r>
      <w:r>
        <w:rPr>
          <w:rStyle w:val="FootnoteAnchor"/>
          <w:rtl w:val="true"/>
        </w:rPr>
        <w:footnoteReference w:id="1917"/>
      </w:r>
      <w:r>
        <w:rPr>
          <w:rFonts w:ascii="IRNazanin" w:hAnsi="IRNazanin" w:eastAsia="IRNazanin"/>
          <w:color w:val="111111"/>
          <w:sz w:val="28"/>
          <w:sz w:val="28"/>
          <w:szCs w:val="28"/>
          <w:rtl w:val="true"/>
          <w:lang w:bidi="fa-IR"/>
        </w:rPr>
        <w:t xml:space="preserve">و النهی عن أکل المال بالباطل </w:t>
      </w:r>
      <w:r>
        <w:rPr>
          <w:rStyle w:val="FootnoteAnchor"/>
          <w:rtl w:val="true"/>
        </w:rPr>
        <w:footnoteReference w:id="1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اندرجت المعاملة فی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صحّتها فی خصوص</w:t>
      </w:r>
      <w:bookmarkStart w:id="613" w:name="pg19763_248106"/>
    </w:p>
    <w:p>
      <w:pPr>
        <w:pStyle w:val="BookText"/>
        <w:rPr/>
      </w:pPr>
      <w:bookmarkEnd w:id="613"/>
      <w:r>
        <w:rPr>
          <w:rFonts w:ascii="IRNazanin" w:hAnsi="IRNazanin" w:eastAsia="IRNazanin"/>
          <w:color w:val="111111"/>
          <w:sz w:val="28"/>
          <w:sz w:val="28"/>
          <w:szCs w:val="28"/>
          <w:rtl w:val="true"/>
          <w:lang w:bidi="fa-IR"/>
        </w:rPr>
        <w:t>المورد و إن احتمل کونها للنصّ الخاصّ،إلّا أنّها لا تخلو عن تأییدٍ للمطلب</w:t>
      </w:r>
      <w:r>
        <w:rPr>
          <w:rFonts w:eastAsia="IRNazanin" w:cs="IRNazanin"/>
          <w:color w:val="111111"/>
          <w:sz w:val="28"/>
          <w:szCs w:val="28"/>
          <w:rtl w:val="true"/>
          <w:lang w:bidi="fa-IR"/>
        </w:rPr>
        <w:t>.</w:t>
      </w:r>
    </w:p>
    <w:p>
      <w:pPr>
        <w:pStyle w:val="Heading6"/>
        <w:numPr>
          <w:ilvl w:val="5"/>
          <w:numId w:val="1"/>
        </w:numPr>
        <w:rPr/>
      </w:pPr>
      <w:bookmarkStart w:id="614" w:name="__RefHeading___Toc5082890_2314609296"/>
      <w:bookmarkStart w:id="615" w:name="_Toc236"/>
      <w:bookmarkEnd w:id="614"/>
      <w:r>
        <w:rPr>
          <w:rtl w:val="true"/>
        </w:rPr>
        <w:t>[</w:t>
      </w:r>
      <w:r>
        <w:rPr>
          <w:rtl w:val="true"/>
        </w:rPr>
        <w:t>ما ورد فی اتجار غیر الولی فی مال الیتیم</w:t>
      </w:r>
      <w:r>
        <w:rPr>
          <w:rtl w:val="true"/>
        </w:rPr>
        <w:t>]</w:t>
      </w:r>
      <w:bookmarkEnd w:id="61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الواردة فی اتّجار غیر الولیّ فی مال الیتیم،و أنّ الربح للیتیم </w:t>
      </w:r>
      <w:r>
        <w:rPr>
          <w:rStyle w:val="FootnoteAnchor"/>
          <w:rtl w:val="true"/>
        </w:rPr>
        <w:footnoteReference w:id="1919"/>
      </w:r>
      <w:r>
        <w:rPr>
          <w:rFonts w:ascii="IRNazanin" w:hAnsi="IRNazanin" w:eastAsia="IRNazanin"/>
          <w:color w:val="111111"/>
          <w:sz w:val="28"/>
          <w:sz w:val="28"/>
          <w:szCs w:val="28"/>
          <w:rtl w:val="true"/>
          <w:lang w:bidi="fa-IR"/>
        </w:rPr>
        <w:t>،فإنّها إن حملت علی صورة إجازة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صریح جماعة </w:t>
      </w:r>
      <w:r>
        <w:rPr>
          <w:rStyle w:val="FootnoteAnchor"/>
          <w:rtl w:val="true"/>
        </w:rPr>
        <w:footnoteReference w:id="1920"/>
      </w:r>
      <w:r>
        <w:rPr>
          <w:rFonts w:ascii="IRNazanin" w:hAnsi="IRNazanin" w:eastAsia="IRNazanin"/>
          <w:color w:val="111111"/>
          <w:sz w:val="28"/>
          <w:sz w:val="28"/>
          <w:szCs w:val="28"/>
          <w:rtl w:val="true"/>
          <w:lang w:bidi="fa-IR"/>
        </w:rPr>
        <w:t xml:space="preserve">تبعاً للشهید </w:t>
      </w:r>
      <w:r>
        <w:rPr>
          <w:rStyle w:val="FootnoteAnchor"/>
          <w:rtl w:val="true"/>
        </w:rPr>
        <w:footnoteReference w:id="1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أفراد المسألة،و إن عمل بإطلاقها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جماعة </w:t>
      </w:r>
      <w:r>
        <w:rPr>
          <w:rStyle w:val="FootnoteAnchor"/>
          <w:rtl w:val="true"/>
        </w:rPr>
        <w:footnoteReference w:id="1922"/>
      </w:r>
      <w:r>
        <w:rPr>
          <w:rFonts w:ascii="IRNazanin" w:hAnsi="IRNazanin" w:eastAsia="IRNazanin"/>
          <w:color w:val="111111"/>
          <w:sz w:val="28"/>
          <w:sz w:val="28"/>
          <w:szCs w:val="28"/>
          <w:rtl w:val="true"/>
          <w:lang w:bidi="fa-IR"/>
        </w:rPr>
        <w:t>ممّن تقدّمهم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عن مسألة الفضولی، لکن یستأنس بها لها </w:t>
      </w:r>
      <w:r>
        <w:rPr>
          <w:rStyle w:val="FootnoteAnchor"/>
          <w:rtl w:val="true"/>
        </w:rPr>
        <w:footnoteReference w:id="1923"/>
      </w:r>
      <w:r>
        <w:rPr>
          <w:rFonts w:ascii="IRNazanin" w:hAnsi="IRNazanin" w:eastAsia="IRNazanin"/>
          <w:color w:val="111111"/>
          <w:sz w:val="28"/>
          <w:sz w:val="28"/>
          <w:szCs w:val="28"/>
          <w:rtl w:val="true"/>
          <w:lang w:bidi="fa-IR"/>
        </w:rPr>
        <w:t>بالتقریب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دخولها فی المسألة من حیث إنّ الحکم بالمضیّ إجازة إلٰهیة لاحقة للمعاملة، فتأمّل</w:t>
      </w:r>
      <w:r>
        <w:rPr>
          <w:rFonts w:eastAsia="IRNazanin" w:cs="IRNazanin"/>
          <w:color w:val="111111"/>
          <w:sz w:val="28"/>
          <w:szCs w:val="28"/>
          <w:rtl w:val="true"/>
          <w:lang w:bidi="fa-IR"/>
        </w:rPr>
        <w:t>.</w:t>
      </w:r>
      <w:bookmarkStart w:id="616" w:name="pg19763_248107"/>
    </w:p>
    <w:p>
      <w:pPr>
        <w:pStyle w:val="Heading6"/>
        <w:numPr>
          <w:ilvl w:val="5"/>
          <w:numId w:val="1"/>
        </w:numPr>
        <w:rPr/>
      </w:pPr>
      <w:bookmarkStart w:id="617" w:name="__RefHeading___Toc5082892_2314609296"/>
      <w:bookmarkStart w:id="618" w:name="_Toc237"/>
      <w:bookmarkEnd w:id="616"/>
      <w:bookmarkEnd w:id="617"/>
      <w:r>
        <w:rPr>
          <w:rtl w:val="true"/>
        </w:rPr>
        <w:t>[</w:t>
      </w:r>
      <w:r>
        <w:rPr>
          <w:rtl w:val="true"/>
        </w:rPr>
        <w:t>روایة ابن أشیم</w:t>
      </w:r>
      <w:r>
        <w:rPr>
          <w:rtl w:val="true"/>
        </w:rPr>
        <w:t>]</w:t>
      </w:r>
      <w:bookmarkEnd w:id="618"/>
    </w:p>
    <w:p>
      <w:pPr>
        <w:pStyle w:val="BookText"/>
        <w:rPr/>
      </w:pPr>
      <w:r>
        <w:rPr>
          <w:rFonts w:ascii="IRNazanin" w:hAnsi="IRNazanin" w:eastAsia="IRNazanin"/>
          <w:color w:val="111111"/>
          <w:sz w:val="28"/>
          <w:sz w:val="28"/>
          <w:szCs w:val="28"/>
          <w:rtl w:val="true"/>
          <w:lang w:bidi="fa-IR"/>
        </w:rPr>
        <w:t>و ربما یؤیّد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ابن أشیم الواردة فی العبد المأذون الذی دفع إلیه مال لیشتری به نسمة و یعتقها،و یُحِجَّه عن أبیه </w:t>
      </w:r>
      <w:r>
        <w:rPr>
          <w:rStyle w:val="FootnoteAnchor"/>
          <w:rtl w:val="true"/>
        </w:rPr>
        <w:footnoteReference w:id="1924"/>
      </w:r>
      <w:r>
        <w:rPr>
          <w:rFonts w:ascii="IRNazanin" w:hAnsi="IRNazanin" w:eastAsia="IRNazanin"/>
          <w:color w:val="111111"/>
          <w:sz w:val="28"/>
          <w:sz w:val="28"/>
          <w:szCs w:val="28"/>
          <w:rtl w:val="true"/>
          <w:lang w:bidi="fa-IR"/>
        </w:rPr>
        <w:t>،فاشتری أباه و أعتقه،ثمّ تنازع مولی المأذون و مولی الأب و ورثة الدافع،و ادّعی کلّ منهم أنّه اشتراه بماله،فقال أبو جعفر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المملوک رِقّاً لمولاه،و أیّ الفریقین أقاموا البیّنة بعد ذلک علی أنّه اشتراه بماله کان رقّاً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925"/>
      </w:r>
      <w:r>
        <w:rPr>
          <w:rFonts w:ascii="IRNazanin" w:hAnsi="IRNazanin" w:eastAsia="IRNazanin"/>
          <w:color w:val="111111"/>
          <w:sz w:val="28"/>
          <w:sz w:val="28"/>
          <w:szCs w:val="28"/>
          <w:rtl w:val="true"/>
          <w:lang w:bidi="fa-IR"/>
        </w:rPr>
        <w:t>بناءً علی أنّه لولا کفایة الاشتراء بعین المال فی تملّک المبیع بعد مطالبته المتضمّنة لإجازة البیع، لم یکن مجرّد دعوی الشراء بالمال و لا إقامة البیّنة علیها کافیة فی تملّک المبیع</w:t>
      </w:r>
      <w:r>
        <w:rPr>
          <w:rFonts w:eastAsia="IRNazanin" w:cs="IRNazanin"/>
          <w:color w:val="111111"/>
          <w:sz w:val="28"/>
          <w:szCs w:val="28"/>
          <w:rtl w:val="true"/>
          <w:lang w:bidi="fa-IR"/>
        </w:rPr>
        <w:t>.</w:t>
      </w:r>
    </w:p>
    <w:p>
      <w:pPr>
        <w:pStyle w:val="Heading6"/>
        <w:numPr>
          <w:ilvl w:val="5"/>
          <w:numId w:val="1"/>
        </w:numPr>
        <w:rPr/>
      </w:pPr>
      <w:bookmarkStart w:id="619" w:name="__RefHeading___Toc5082894_2314609296"/>
      <w:bookmarkStart w:id="620" w:name="_Toc238"/>
      <w:bookmarkEnd w:id="619"/>
      <w:r>
        <w:rPr>
          <w:rtl w:val="true"/>
        </w:rPr>
        <w:t>[</w:t>
      </w:r>
      <w:r>
        <w:rPr>
          <w:rtl w:val="true"/>
        </w:rPr>
        <w:t>صحیحة الحلبی</w:t>
      </w:r>
      <w:r>
        <w:rPr>
          <w:rtl w:val="true"/>
        </w:rPr>
        <w:t>]</w:t>
      </w:r>
      <w:bookmarkEnd w:id="62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المطلب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الرجل یشتری ثوباً و لم یشترط علی صاحبه شیئاً،فکرهه ثمّ ردّه علی صاحبه،فأبی أن یقبله إلّا بوضیعة،قال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یصلح له أن یأخذ بوضیعة،فإن جهل فأخذه فباعه بأکثر من ثمنه،ردّ </w:t>
      </w:r>
      <w:r>
        <w:rPr>
          <w:rStyle w:val="FootnoteAnchor"/>
          <w:rtl w:val="true"/>
        </w:rPr>
        <w:footnoteReference w:id="1926"/>
      </w:r>
      <w:r>
        <w:rPr>
          <w:rFonts w:ascii="IRNazanin" w:hAnsi="IRNazanin" w:eastAsia="IRNazanin"/>
          <w:color w:val="111111"/>
          <w:sz w:val="28"/>
          <w:sz w:val="28"/>
          <w:szCs w:val="28"/>
          <w:rtl w:val="true"/>
          <w:lang w:bidi="fa-IR"/>
        </w:rPr>
        <w:t>علی صاحبه الأوّل ما زاد</w:t>
      </w:r>
      <w:r>
        <w:rPr>
          <w:rFonts w:eastAsia="IRNazanin" w:cs="IRNazanin"/>
          <w:color w:val="111111"/>
          <w:sz w:val="28"/>
          <w:szCs w:val="28"/>
          <w:rtl w:val="true"/>
          <w:lang w:bidi="fa-IR"/>
        </w:rPr>
        <w:t xml:space="preserve">» </w:t>
      </w:r>
      <w:r>
        <w:rPr>
          <w:rStyle w:val="FootnoteAnchor"/>
          <w:rtl w:val="true"/>
        </w:rPr>
        <w:footnoteReference w:id="1927"/>
      </w:r>
      <w:bookmarkStart w:id="621" w:name="pg19763_248108"/>
    </w:p>
    <w:p>
      <w:pPr>
        <w:pStyle w:val="BookText"/>
        <w:rPr/>
      </w:pPr>
      <w:bookmarkEnd w:id="621"/>
      <w:r>
        <w:rPr>
          <w:rFonts w:ascii="IRNazanin" w:hAnsi="IRNazanin" w:eastAsia="IRNazanin"/>
          <w:color w:val="111111"/>
          <w:sz w:val="28"/>
          <w:sz w:val="28"/>
          <w:szCs w:val="28"/>
          <w:rtl w:val="true"/>
          <w:lang w:bidi="fa-IR"/>
        </w:rPr>
        <w:t>فإنّ الحکم بردّ ما زاد لا ینطبق بظاهره إلّا علی صحّة بیع الفضولی لنفسه</w:t>
      </w:r>
      <w:r>
        <w:rPr>
          <w:rFonts w:eastAsia="IRNazanin" w:cs="IRNazanin"/>
          <w:color w:val="111111"/>
          <w:sz w:val="28"/>
          <w:szCs w:val="28"/>
          <w:rtl w:val="true"/>
          <w:lang w:bidi="fa-IR"/>
        </w:rPr>
        <w:t>.</w:t>
      </w:r>
    </w:p>
    <w:p>
      <w:pPr>
        <w:pStyle w:val="Heading6"/>
        <w:numPr>
          <w:ilvl w:val="5"/>
          <w:numId w:val="1"/>
        </w:numPr>
        <w:rPr/>
      </w:pPr>
      <w:bookmarkStart w:id="622" w:name="__RefHeading___Toc5082896_2314609296"/>
      <w:bookmarkStart w:id="623" w:name="_Toc239"/>
      <w:bookmarkEnd w:id="622"/>
      <w:r>
        <w:rPr>
          <w:rtl w:val="true"/>
        </w:rPr>
        <w:t>[</w:t>
      </w:r>
      <w:r>
        <w:rPr>
          <w:rtl w:val="true"/>
        </w:rPr>
        <w:t>موثقة عبد الله</w:t>
      </w:r>
      <w:r>
        <w:rPr>
          <w:rtl w:val="true"/>
        </w:rPr>
        <w:t>]</w:t>
      </w:r>
      <w:bookmarkEnd w:id="623"/>
    </w:p>
    <w:p>
      <w:pPr>
        <w:pStyle w:val="BookText"/>
        <w:rPr/>
      </w:pPr>
      <w:r>
        <w:rPr>
          <w:rFonts w:ascii="IRNazanin" w:hAnsi="IRNazanin" w:eastAsia="IRNazanin"/>
          <w:color w:val="111111"/>
          <w:sz w:val="28"/>
          <w:sz w:val="28"/>
          <w:szCs w:val="28"/>
          <w:rtl w:val="true"/>
          <w:lang w:bidi="fa-IR"/>
        </w:rPr>
        <w:t>و یمکن التأیید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بموثّقة عبد اللّه </w:t>
      </w:r>
      <w:r>
        <w:rPr>
          <w:rStyle w:val="FootnoteAnchor"/>
          <w:rtl w:val="true"/>
        </w:rPr>
        <w:footnoteReference w:id="1928"/>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السمسار یشتری بالأجر فیدفع إلیه الوَرِق،فیشترط علیه أنّک تأتی بما تشتری فما شئت أخذته و ما شئت ترکته،فیذهب فیشتری ثمّ یأتی بالمتاع </w:t>
      </w:r>
      <w:r>
        <w:rPr>
          <w:rStyle w:val="FootnoteAnchor"/>
          <w:rtl w:val="true"/>
        </w:rPr>
        <w:footnoteReference w:id="1929"/>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رضیت و دع ما کرهت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الاشتراء من السمسار </w:t>
      </w:r>
      <w:r>
        <w:rPr>
          <w:rStyle w:val="FootnoteAnchor"/>
          <w:rtl w:val="true"/>
        </w:rPr>
        <w:footnoteReference w:id="1931"/>
      </w:r>
      <w:r>
        <w:rPr>
          <w:rFonts w:ascii="IRNazanin" w:hAnsi="IRNazanin" w:eastAsia="IRNazanin"/>
          <w:color w:val="111111"/>
          <w:sz w:val="28"/>
          <w:sz w:val="28"/>
          <w:szCs w:val="28"/>
          <w:rtl w:val="true"/>
          <w:lang w:bidi="fa-IR"/>
        </w:rPr>
        <w:t xml:space="preserve">یحتمل أن یکون لنفسه، لیکون الوَرِق علیه قرضاً فیبیع علی صاحب الوَرِق ما رضیه من الأمتعة،و یوفّیه </w:t>
      </w:r>
      <w:r>
        <w:rPr>
          <w:rStyle w:val="FootnoteAnchor"/>
          <w:rtl w:val="true"/>
        </w:rPr>
        <w:footnoteReference w:id="1932"/>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هذا الاحتمال فرض السمسار فی الروایة ممّن یشتری بالأجر؛لأنّ توصیفه بذلک باعتبار أصل حرفته و شغله،لا بملاحظة هذه القضیّة الشخصیّة</w:t>
      </w:r>
      <w:r>
        <w:rPr>
          <w:rFonts w:eastAsia="IRNazanin" w:cs="IRNazanin"/>
          <w:color w:val="111111"/>
          <w:sz w:val="28"/>
          <w:szCs w:val="28"/>
          <w:rtl w:val="true"/>
          <w:lang w:bidi="fa-IR"/>
        </w:rPr>
        <w:t>.</w:t>
      </w:r>
      <w:bookmarkStart w:id="624" w:name="pg19763_248109"/>
    </w:p>
    <w:p>
      <w:pPr>
        <w:pStyle w:val="BookText"/>
        <w:rPr/>
      </w:pPr>
      <w:bookmarkEnd w:id="624"/>
      <w:r>
        <w:rPr>
          <w:rFonts w:ascii="IRNazanin" w:hAnsi="IRNazanin" w:eastAsia="IRNazanin"/>
          <w:color w:val="111111"/>
          <w:sz w:val="28"/>
          <w:sz w:val="28"/>
          <w:szCs w:val="28"/>
          <w:rtl w:val="true"/>
          <w:lang w:bidi="fa-IR"/>
        </w:rPr>
        <w:t>و یحتمل أن یکون لصاحب الوَرِق بإذنه مع جعل خیار له علی بائع الأمتعة،فیلتزم بالبیع فیما رضی و یفسخه فیما 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أن یکون فضولیّاً عن صاحب الوَرِق،فیتخیّر ما یرید و یردّ ما یکره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فی مورد الروایة ظهور فی إذن صاحب الوَرِق للسمسار علی وجه ینافی کونه فضولیّاً،کما لا یخفی،فإذا احتمل مورد السؤال لهذه الوجوه،و حکم الإمام علیه السلام بعدم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استفصال عن المحتملات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أفاد ثبوت الحکم علی جمیع الاحتمالات</w:t>
      </w:r>
      <w:r>
        <w:rPr>
          <w:rFonts w:eastAsia="IRNazanin" w:cs="IRNazanin"/>
          <w:color w:val="111111"/>
          <w:sz w:val="28"/>
          <w:szCs w:val="28"/>
          <w:rtl w:val="true"/>
          <w:lang w:bidi="fa-IR"/>
        </w:rPr>
        <w:t>.</w:t>
      </w:r>
    </w:p>
    <w:p>
      <w:pPr>
        <w:pStyle w:val="Heading6"/>
        <w:numPr>
          <w:ilvl w:val="5"/>
          <w:numId w:val="1"/>
        </w:numPr>
        <w:rPr/>
      </w:pPr>
      <w:bookmarkStart w:id="625" w:name="__RefHeading___Toc5082898_2314609296"/>
      <w:bookmarkStart w:id="626" w:name="_Toc240"/>
      <w:bookmarkEnd w:id="625"/>
      <w:r>
        <w:rPr>
          <w:rtl w:val="true"/>
        </w:rPr>
        <w:t>[</w:t>
      </w:r>
      <w:r>
        <w:rPr>
          <w:rtl w:val="true"/>
        </w:rPr>
        <w:t>أخبار نکاح العبد بدون إذن مولاه</w:t>
      </w:r>
      <w:r>
        <w:rPr>
          <w:rtl w:val="true"/>
        </w:rPr>
        <w:t>]</w:t>
      </w:r>
      <w:bookmarkEnd w:id="626"/>
    </w:p>
    <w:p>
      <w:pPr>
        <w:pStyle w:val="BookText"/>
        <w:rPr/>
      </w:pPr>
      <w:r>
        <w:rPr>
          <w:rFonts w:ascii="IRNazanin" w:hAnsi="IRNazanin" w:eastAsia="IRNazanin"/>
          <w:color w:val="111111"/>
          <w:sz w:val="28"/>
          <w:sz w:val="28"/>
          <w:szCs w:val="28"/>
          <w:rtl w:val="true"/>
          <w:lang w:bidi="fa-IR"/>
        </w:rPr>
        <w:t xml:space="preserve">و ربما یؤیَّد المطلب بالأخبار الدالّة علی عدم فساد نکاح العبد بدون إذن مولاه،معلّلاً بأنّه لم یعصِ اللّه و إنّما عصی سیّده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المانع من صحّة العقد إذا کان لا یرجی زواله </w:t>
      </w:r>
      <w:r>
        <w:rPr>
          <w:rStyle w:val="FootnoteAnchor"/>
          <w:rtl w:val="true"/>
        </w:rPr>
        <w:footnoteReference w:id="1934"/>
      </w:r>
      <w:r>
        <w:rPr>
          <w:rFonts w:ascii="IRNazanin" w:hAnsi="IRNazanin" w:eastAsia="IRNazanin"/>
          <w:color w:val="111111"/>
          <w:sz w:val="28"/>
          <w:sz w:val="28"/>
          <w:szCs w:val="28"/>
          <w:rtl w:val="true"/>
          <w:lang w:bidi="fa-IR"/>
        </w:rPr>
        <w:t>فهو الموجب لوقوع العقد باطلاً،و هو عصیان اللّه تعالی،و أمّا المانع الذی یرجی 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کعصیان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فبزواله یصحّ العقد،و رضا المالک من هذا القبیل،فإنّه لا یرضی أوّلاً و یرضی ثانیاً،بخلاف سخط اللّه عزّ و جلّ بفعلٍ؛فإنّه یستحیل رضاه</w:t>
      </w:r>
      <w:r>
        <w:rPr>
          <w:rFonts w:eastAsia="IRNazanin" w:cs="IRNazanin"/>
          <w:color w:val="111111"/>
          <w:sz w:val="28"/>
          <w:szCs w:val="28"/>
          <w:rtl w:val="true"/>
          <w:lang w:bidi="fa-IR"/>
        </w:rPr>
        <w:t>.</w:t>
      </w:r>
    </w:p>
    <w:p>
      <w:pPr>
        <w:pStyle w:val="Heading6"/>
        <w:numPr>
          <w:ilvl w:val="5"/>
          <w:numId w:val="1"/>
        </w:numPr>
        <w:rPr/>
      </w:pPr>
      <w:bookmarkStart w:id="627" w:name="__RefHeading___Toc5082900_2314609296"/>
      <w:bookmarkStart w:id="628" w:name="_Toc241"/>
      <w:bookmarkEnd w:id="627"/>
      <w:r>
        <w:rPr>
          <w:rtl w:val="true"/>
        </w:rPr>
        <w:t>[</w:t>
      </w:r>
      <w:r>
        <w:rPr>
          <w:rtl w:val="true"/>
        </w:rPr>
        <w:t>مختار المؤلف الصحة</w:t>
      </w:r>
      <w:r>
        <w:rPr>
          <w:rtl w:val="true"/>
        </w:rPr>
        <w:t>]</w:t>
      </w:r>
      <w:bookmarkEnd w:id="62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ما یمکن أن یحتجّ و یستشهد به للقول بالصحّة، و بعضها و إن کان ممّا یمکن الخدشة فیه،إلّا أنّ فی بعضها الآخر غنی و کفایة</w:t>
      </w:r>
      <w:r>
        <w:rPr>
          <w:rFonts w:eastAsia="IRNazanin" w:cs="IRNazanin"/>
          <w:color w:val="111111"/>
          <w:sz w:val="28"/>
          <w:szCs w:val="28"/>
          <w:rtl w:val="true"/>
          <w:lang w:bidi="fa-IR"/>
        </w:rPr>
        <w:t>.</w:t>
      </w:r>
      <w:bookmarkStart w:id="629" w:name="pg19763_248110"/>
    </w:p>
    <w:p>
      <w:pPr>
        <w:pStyle w:val="Heading6"/>
        <w:numPr>
          <w:ilvl w:val="5"/>
          <w:numId w:val="1"/>
        </w:numPr>
        <w:rPr/>
      </w:pPr>
      <w:bookmarkStart w:id="630" w:name="__RefHeading___Toc5082902_2314609296"/>
      <w:bookmarkStart w:id="631" w:name="_Toc242"/>
      <w:bookmarkEnd w:id="629"/>
      <w:bookmarkEnd w:id="630"/>
      <w:r>
        <w:rPr>
          <w:rtl w:val="true"/>
        </w:rPr>
        <w:t>و احتجّ للبطلان بالأدلّة الأربعة</w:t>
      </w:r>
      <w:r>
        <w:rPr>
          <w:rtl w:val="true"/>
        </w:rPr>
        <w:t>:</w:t>
      </w:r>
      <w:bookmarkEnd w:id="631"/>
    </w:p>
    <w:p>
      <w:pPr>
        <w:pStyle w:val="Heading6"/>
        <w:numPr>
          <w:ilvl w:val="5"/>
          <w:numId w:val="1"/>
        </w:numPr>
        <w:rPr/>
      </w:pPr>
      <w:bookmarkStart w:id="632" w:name="__RefHeading___Toc5082904_2314609296"/>
      <w:bookmarkStart w:id="633" w:name="_Toc243"/>
      <w:bookmarkEnd w:id="632"/>
      <w:r>
        <w:rPr>
          <w:rtl w:val="true"/>
        </w:rPr>
        <w:t xml:space="preserve">أمّا الکتاب، </w:t>
      </w:r>
      <w:r>
        <w:rPr>
          <w:rtl w:val="true"/>
        </w:rPr>
        <w:t>[</w:t>
      </w:r>
      <w:r>
        <w:rPr>
          <w:rtl w:val="true"/>
        </w:rPr>
        <w:t>الاستدلال بآیة التجارة عن تراض</w:t>
      </w:r>
      <w:r>
        <w:rPr>
          <w:rtl w:val="true"/>
        </w:rPr>
        <w:t>]</w:t>
      </w:r>
      <w:bookmarkEnd w:id="633"/>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تَأْکُلُوا أَمْوٰالَکُمْ بَیْنَکُمْ بِالْبٰاطِلِ إِلاّٰ أَنْ تَکُونَ تِجٰارَةً عَنْ تَرٰاضٍ</w:t>
      </w:r>
    </w:p>
    <w:p>
      <w:pPr>
        <w:pStyle w:val="BookText"/>
        <w:rPr/>
      </w:pPr>
      <w:r>
        <w:rPr>
          <w:rStyle w:val="FootnoteAnchor"/>
          <w:rtl w:val="true"/>
        </w:rPr>
        <w:footnoteReference w:id="19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بمفهوم الحصر </w:t>
      </w:r>
      <w:r>
        <w:rPr>
          <w:rStyle w:val="FootnoteAnchor"/>
          <w:rtl w:val="true"/>
        </w:rPr>
        <w:footnoteReference w:id="1936"/>
      </w:r>
      <w:r>
        <w:rPr>
          <w:rFonts w:ascii="IRNazanin" w:hAnsi="IRNazanin" w:eastAsia="IRNazanin"/>
          <w:color w:val="111111"/>
          <w:sz w:val="28"/>
          <w:sz w:val="28"/>
          <w:szCs w:val="28"/>
          <w:rtl w:val="true"/>
          <w:lang w:bidi="fa-IR"/>
        </w:rPr>
        <w:t>أو سیاق التحدید علی أنّ غیر التجارة عن تراضٍ أو التجارة لا عن تراضٍ غیر مبیح لأکل مال الغیر و إن لحقها الرضا،و من المعلوم أنّ الفضولی غیر داخل فی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دلالته علی الحصر ممنوعة؛لانقطاع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ظاهر اللفظ و صریح المحکی عن جماعة من المفسّرین </w:t>
      </w:r>
      <w:r>
        <w:rPr>
          <w:rStyle w:val="FootnoteAnchor"/>
          <w:rtl w:val="true"/>
        </w:rPr>
        <w:footnoteReference w:id="1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عدم کون التجارة عن تراضٍ فرداً من الباطل خارجاً عن حکمه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سیاق التحدید الموجب لثبوت مفهوم القید،فهو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بما إذا لم یکن للقید فائدة أُخری،ککونه </w:t>
      </w:r>
      <w:r>
        <w:rPr>
          <w:rStyle w:val="FootnoteAnchor"/>
          <w:rtl w:val="true"/>
        </w:rPr>
        <w:footnoteReference w:id="1938"/>
      </w:r>
      <w:r>
        <w:rPr>
          <w:rFonts w:ascii="Amiri" w:hAnsi="Amiri" w:eastAsia="Amiri" w:cs="Amiri"/>
          <w:color w:val="111111"/>
          <w:sz w:val="28"/>
          <w:sz w:val="28"/>
          <w:szCs w:val="28"/>
          <w:rtl w:val="true"/>
          <w:lang w:bidi="ar-SA"/>
        </w:rPr>
        <w:t>وارداً مورد الغالب،کما فیما نحن فیه 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رَبٰائِبُکُمُ اللاّٰتِی فِی حُجُورِکُمْ </w:t>
      </w:r>
      <w:r>
        <w:rPr>
          <w:rStyle w:val="FootnoteAnchor"/>
          <w:rtl w:val="true"/>
        </w:rPr>
        <w:footnoteReference w:id="1939"/>
      </w:r>
      <w:r>
        <w:rPr>
          <w:rFonts w:ascii="IRNazanin" w:hAnsi="IRNazanin" w:eastAsia="IRNazanin"/>
          <w:color w:val="111111"/>
          <w:sz w:val="28"/>
          <w:sz w:val="28"/>
          <w:szCs w:val="28"/>
          <w:rtl w:val="true"/>
          <w:lang w:bidi="fa-IR"/>
        </w:rPr>
        <w:t>،مع احتمال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بعد خبر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Style w:val="FootnoteAnchor"/>
          <w:rtl w:val="true"/>
        </w:rPr>
        <w:footnoteReference w:id="1940"/>
      </w:r>
      <w:r>
        <w:rPr>
          <w:rFonts w:ascii="IRNazanin" w:hAnsi="IRNazanin" w:eastAsia="IRNazanin"/>
          <w:color w:val="111111"/>
          <w:sz w:val="28"/>
          <w:sz w:val="28"/>
          <w:szCs w:val="28"/>
          <w:rtl w:val="true"/>
          <w:lang w:bidi="fa-IR"/>
        </w:rPr>
        <w:t>علی قراءة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قیداً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غلبة توصیف النکرة تؤیّد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سبب الأکل</w:t>
      </w:r>
      <w:bookmarkStart w:id="634" w:name="pg19763_248111"/>
    </w:p>
    <w:p>
      <w:pPr>
        <w:pStyle w:val="BookText"/>
        <w:rPr/>
      </w:pPr>
      <w:bookmarkEnd w:id="6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تکون </w:t>
      </w:r>
      <w:r>
        <w:rPr>
          <w:rStyle w:val="FootnoteAnchor"/>
          <w:rtl w:val="true"/>
        </w:rPr>
        <w:footnoteReference w:id="1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السبب الموجب لحِلِّ الأکل فی الفضولی إنّما نشأ عن التراضی،مع أنّ الخطاب لمُلّاک الأموال،و التجارة فی الفضولی إنّما تصیر </w:t>
      </w:r>
      <w:r>
        <w:rPr>
          <w:rStyle w:val="FootnoteAnchor"/>
          <w:rtl w:val="true"/>
        </w:rPr>
        <w:footnoteReference w:id="1942"/>
      </w:r>
      <w:r>
        <w:rPr>
          <w:rFonts w:ascii="IRNazanin" w:hAnsi="IRNazanin" w:eastAsia="IRNazanin"/>
          <w:color w:val="111111"/>
          <w:sz w:val="28"/>
          <w:sz w:val="28"/>
          <w:szCs w:val="28"/>
          <w:rtl w:val="true"/>
          <w:lang w:bidi="fa-IR"/>
        </w:rPr>
        <w:t>تجارة المالک بعد الإجازة،فتجارته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عن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مذهب الإمامیّة و الشافعیّة و غیرهم أنّ معنی التراضی بالتجارة إمضاء البیع بالتفرّق </w:t>
      </w:r>
      <w:r>
        <w:rPr>
          <w:rStyle w:val="FootnoteAnchor"/>
          <w:rtl w:val="true"/>
        </w:rPr>
        <w:footnoteReference w:id="1943"/>
      </w:r>
      <w:r>
        <w:rPr>
          <w:rFonts w:ascii="IRNazanin" w:hAnsi="IRNazanin" w:eastAsia="IRNazanin"/>
          <w:color w:val="111111"/>
          <w:sz w:val="28"/>
          <w:sz w:val="28"/>
          <w:szCs w:val="28"/>
          <w:rtl w:val="true"/>
          <w:lang w:bidi="fa-IR"/>
        </w:rPr>
        <w:t xml:space="preserve">أو التخایر بعد العقد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یناسب ما ذکرنا من کون الظرف خبراً بعد خبر</w:t>
      </w:r>
      <w:r>
        <w:rPr>
          <w:rFonts w:eastAsia="IRNazanin" w:cs="IRNazanin"/>
          <w:color w:val="111111"/>
          <w:sz w:val="28"/>
          <w:szCs w:val="28"/>
          <w:rtl w:val="true"/>
          <w:lang w:bidi="fa-IR"/>
        </w:rPr>
        <w:t>.</w:t>
      </w:r>
    </w:p>
    <w:p>
      <w:pPr>
        <w:pStyle w:val="Heading6"/>
        <w:numPr>
          <w:ilvl w:val="5"/>
          <w:numId w:val="1"/>
        </w:numPr>
        <w:rPr/>
      </w:pPr>
      <w:bookmarkStart w:id="635" w:name="__RefHeading___Toc5082906_2314609296"/>
      <w:bookmarkStart w:id="636" w:name="_Toc244"/>
      <w:bookmarkEnd w:id="635"/>
      <w:r>
        <w:rPr>
          <w:rtl w:val="true"/>
        </w:rPr>
        <w:t>و أمّا السنّة، فهی أخبار</w:t>
      </w:r>
      <w:r>
        <w:rPr>
          <w:rtl w:val="true"/>
        </w:rPr>
        <w:t>:</w:t>
      </w:r>
      <w:bookmarkEnd w:id="63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المستفیض،و هو قوله صلّی اللّه علیه و آله و سلم لحکیم بن حزام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Style w:val="FootnoteAnchor"/>
          <w:rtl w:val="true"/>
        </w:rPr>
        <w:footnoteReference w:id="1945"/>
      </w:r>
      <w:r>
        <w:rPr>
          <w:rFonts w:ascii="IRNazanin" w:hAnsi="IRNazanin" w:eastAsia="IRNazanin"/>
          <w:color w:val="111111"/>
          <w:sz w:val="28"/>
          <w:sz w:val="28"/>
          <w:szCs w:val="28"/>
          <w:rtl w:val="true"/>
          <w:lang w:bidi="fa-IR"/>
        </w:rPr>
        <w:t>فإنّ عدم حضوره عنده کنایة عن عدم تسلّطه علی تسلیمه؛لعدم تملّکه،فیکون مساوقاً للنبویّ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فی ما یملک، و لا عتق إلّا فی ما یملک</w:t>
      </w:r>
      <w:r>
        <w:rPr>
          <w:rFonts w:eastAsia="IRNazanin" w:cs="IRNazanin"/>
          <w:color w:val="111111"/>
          <w:sz w:val="28"/>
          <w:szCs w:val="28"/>
          <w:rtl w:val="true"/>
          <w:lang w:bidi="fa-IR"/>
        </w:rPr>
        <w:t xml:space="preserve">» </w:t>
      </w:r>
      <w:r>
        <w:rPr>
          <w:rStyle w:val="FootnoteAnchor"/>
          <w:rtl w:val="true"/>
        </w:rPr>
        <w:footnoteReference w:id="1946"/>
      </w:r>
      <w:r>
        <w:rPr>
          <w:rFonts w:ascii="IRNazanin" w:hAnsi="IRNazanin" w:eastAsia="IRNazanin"/>
          <w:color w:val="111111"/>
          <w:sz w:val="28"/>
          <w:sz w:val="28"/>
          <w:szCs w:val="28"/>
          <w:rtl w:val="true"/>
          <w:lang w:bidi="fa-IR"/>
        </w:rPr>
        <w:t>،و لِما ورد فی توقیع العسکری صلوات اللّه علیه إلی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ما لیس یملک</w:t>
      </w:r>
      <w:r>
        <w:rPr>
          <w:rFonts w:eastAsia="IRNazanin" w:cs="IRNazanin"/>
          <w:color w:val="111111"/>
          <w:sz w:val="28"/>
          <w:szCs w:val="28"/>
          <w:rtl w:val="true"/>
          <w:lang w:bidi="fa-IR"/>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عن الحمیری أنّ مولانا عجّل اللّه فرجه کتب فی جواب بعض مسائله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الضیعة لا یجوز ابتیاعها إلّا عن مالکها أو بأمره أو رضاً منه</w:t>
      </w:r>
      <w:r>
        <w:rPr>
          <w:rFonts w:eastAsia="IRNazanin" w:cs="IRNazanin"/>
          <w:color w:val="111111"/>
          <w:sz w:val="28"/>
          <w:szCs w:val="28"/>
          <w:rtl w:val="true"/>
          <w:lang w:bidi="fa-IR"/>
        </w:rPr>
        <w:t xml:space="preserve">»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فی الصحیح عن محمّد بن مسلم الوارد فی أرضٍ بفم النیل </w:t>
      </w:r>
      <w:r>
        <w:rPr>
          <w:rStyle w:val="FootnoteAnchor"/>
          <w:rtl w:val="true"/>
        </w:rPr>
        <w:footnoteReference w:id="1949"/>
      </w:r>
      <w:r>
        <w:rPr>
          <w:rFonts w:ascii="IRNazanin" w:hAnsi="IRNazanin" w:eastAsia="IRNazanin"/>
          <w:color w:val="111111"/>
          <w:sz w:val="28"/>
          <w:sz w:val="28"/>
          <w:szCs w:val="28"/>
          <w:rtl w:val="true"/>
          <w:lang w:bidi="fa-IR"/>
        </w:rPr>
        <w:t>اشتراها رجل،و أهل الأرض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أرضنا </w:t>
      </w:r>
      <w:r>
        <w:rPr>
          <w:rStyle w:val="FootnoteAnchor"/>
          <w:rtl w:val="true"/>
        </w:rPr>
        <w:footnoteReference w:id="1950"/>
      </w:r>
      <w:r>
        <w:rPr>
          <w:rFonts w:ascii="IRNazanin" w:hAnsi="IRNazanin" w:eastAsia="IRNazanin"/>
          <w:color w:val="111111"/>
          <w:sz w:val="28"/>
          <w:sz w:val="28"/>
          <w:szCs w:val="28"/>
          <w:rtl w:val="true"/>
          <w:lang w:bidi="fa-IR"/>
        </w:rPr>
        <w:t>،و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الأسیاف</w:t>
      </w:r>
      <w:r>
        <w:rPr>
          <w:rFonts w:eastAsia="IRNazanin" w:cs="IRNazanin"/>
          <w:color w:val="111111"/>
          <w:sz w:val="28"/>
          <w:szCs w:val="28"/>
          <w:rtl w:val="true"/>
          <w:lang w:bidi="fa-IR"/>
        </w:rPr>
        <w:t xml:space="preserve">] </w:t>
      </w:r>
      <w:r>
        <w:rPr>
          <w:rStyle w:val="FootnoteAnchor"/>
          <w:rtl w:val="true"/>
        </w:rPr>
        <w:footnoteReference w:id="1951"/>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أرضنا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تشترها إلّا برضا أهلها</w:t>
      </w:r>
      <w:r>
        <w:rPr>
          <w:rFonts w:eastAsia="IRNazanin" w:cs="IRNazanin"/>
          <w:color w:val="111111"/>
          <w:sz w:val="28"/>
          <w:szCs w:val="28"/>
          <w:rtl w:val="true"/>
          <w:lang w:bidi="fa-IR"/>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الصحیح عن محمّد بن القاسم بن الفضل </w:t>
      </w:r>
      <w:r>
        <w:rPr>
          <w:rStyle w:val="FootnoteAnchor"/>
          <w:rtl w:val="true"/>
        </w:rPr>
        <w:footnoteReference w:id="1953"/>
      </w:r>
      <w:r>
        <w:rPr>
          <w:rFonts w:ascii="IRNazanin" w:hAnsi="IRNazanin" w:eastAsia="IRNazanin"/>
          <w:color w:val="111111"/>
          <w:sz w:val="28"/>
          <w:sz w:val="28"/>
          <w:szCs w:val="28"/>
          <w:rtl w:val="true"/>
          <w:lang w:bidi="fa-IR"/>
        </w:rPr>
        <w:t xml:space="preserve">فی رجل اشتری من امرأة من آل فلان بعض قطائعهم،فکتب علیها </w:t>
      </w:r>
      <w:r>
        <w:rPr>
          <w:rStyle w:val="FootnoteAnchor"/>
          <w:rtl w:val="true"/>
        </w:rPr>
        <w:footnoteReference w:id="1954"/>
      </w:r>
      <w:r>
        <w:rPr>
          <w:rFonts w:ascii="Amiri" w:hAnsi="Amiri" w:eastAsia="Amiri" w:cs="Amiri"/>
          <w:color w:val="111111"/>
          <w:sz w:val="28"/>
          <w:sz w:val="28"/>
          <w:szCs w:val="28"/>
          <w:rtl w:val="true"/>
          <w:lang w:bidi="ar-SA"/>
        </w:rPr>
        <w:t>کتاباً</w:t>
      </w:r>
      <w:bookmarkStart w:id="637" w:name="pg19763_248113"/>
    </w:p>
    <w:p>
      <w:pPr>
        <w:pStyle w:val="BookText"/>
        <w:rPr/>
      </w:pPr>
      <w:bookmarkEnd w:id="637"/>
      <w:r>
        <w:rPr>
          <w:rFonts w:ascii="Amiri" w:hAnsi="Amiri" w:eastAsia="Amiri" w:cs="Amiri"/>
          <w:color w:val="111111"/>
          <w:sz w:val="28"/>
          <w:sz w:val="28"/>
          <w:szCs w:val="28"/>
          <w:rtl w:val="true"/>
          <w:lang w:bidi="ar-SA"/>
        </w:rPr>
        <w:t xml:space="preserve">أنّها </w:t>
      </w:r>
      <w:r>
        <w:rPr>
          <w:rStyle w:val="FootnoteAnchor"/>
          <w:rtl w:val="true"/>
        </w:rPr>
        <w:footnoteReference w:id="1955"/>
      </w:r>
      <w:r>
        <w:rPr>
          <w:rFonts w:ascii="IRNazanin" w:hAnsi="IRNazanin" w:eastAsia="IRNazanin"/>
          <w:color w:val="111111"/>
          <w:sz w:val="28"/>
          <w:sz w:val="28"/>
          <w:szCs w:val="28"/>
          <w:rtl w:val="true"/>
          <w:lang w:bidi="fa-IR"/>
        </w:rPr>
        <w:t xml:space="preserve">قد قبضت المال و لم تقبضه </w:t>
      </w:r>
      <w:r>
        <w:rPr>
          <w:rStyle w:val="FootnoteAnchor"/>
          <w:rtl w:val="true"/>
        </w:rPr>
        <w:footnoteReference w:id="1956"/>
      </w:r>
      <w:r>
        <w:rPr>
          <w:rFonts w:ascii="IRNazanin" w:hAnsi="IRNazanin" w:eastAsia="IRNazanin"/>
          <w:color w:val="111111"/>
          <w:sz w:val="28"/>
          <w:sz w:val="28"/>
          <w:szCs w:val="28"/>
          <w:rtl w:val="true"/>
          <w:lang w:bidi="fa-IR"/>
        </w:rPr>
        <w:t>،فیعطیها المال أم یمنعها؟قال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له </w:t>
      </w:r>
      <w:r>
        <w:rPr>
          <w:rStyle w:val="FootnoteAnchor"/>
          <w:rtl w:val="true"/>
        </w:rPr>
        <w:footnoteReference w:id="1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یمنعها أشدّ المنع،فإنّها باعت ما لم تملکه</w:t>
      </w:r>
      <w:r>
        <w:rPr>
          <w:rFonts w:eastAsia="IRNazanin" w:cs="IRNazanin"/>
          <w:color w:val="111111"/>
          <w:sz w:val="28"/>
          <w:szCs w:val="28"/>
          <w:rtl w:val="true"/>
          <w:lang w:bidi="fa-IR"/>
        </w:rPr>
        <w:t xml:space="preserve">»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8" w:name="__RefHeading___Toc5082908_2314609296"/>
      <w:bookmarkStart w:id="639" w:name="_Toc245"/>
      <w:bookmarkEnd w:id="638"/>
      <w:r>
        <w:rPr>
          <w:rtl w:val="true"/>
        </w:rPr>
        <w:t>[</w:t>
      </w:r>
      <w:r>
        <w:rPr>
          <w:rtl w:val="true"/>
        </w:rPr>
        <w:t>المناقشة فی الاستدلال بالروایات</w:t>
      </w:r>
      <w:r>
        <w:rPr>
          <w:rtl w:val="true"/>
        </w:rPr>
        <w:t>]</w:t>
      </w:r>
      <w:bookmarkEnd w:id="639"/>
    </w:p>
    <w:p>
      <w:pPr>
        <w:pStyle w:val="BookText"/>
        <w:rPr/>
      </w:pPr>
      <w:r>
        <w:rPr>
          <w:rFonts w:ascii="IRNazanin" w:hAnsi="IRNazanin" w:eastAsia="IRNazanin"/>
          <w:color w:val="111111"/>
          <w:sz w:val="28"/>
          <w:sz w:val="28"/>
          <w:szCs w:val="28"/>
          <w:rtl w:val="true"/>
          <w:lang w:bidi="fa-IR"/>
        </w:rPr>
        <w:t>و الجواب عن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الظاهر من الموصول هی العین الشخصیّة؛للإجماع و النصّ علی جواز بیع الکلیّ </w:t>
      </w:r>
      <w:r>
        <w:rPr>
          <w:rStyle w:val="FootnoteAnchor"/>
          <w:rtl w:val="true"/>
        </w:rPr>
        <w:footnoteReference w:id="1959"/>
      </w:r>
      <w:r>
        <w:rPr>
          <w:rFonts w:ascii="IRNazanin" w:hAnsi="IRNazanin" w:eastAsia="IRNazanin"/>
          <w:color w:val="111111"/>
          <w:sz w:val="28"/>
          <w:sz w:val="28"/>
          <w:szCs w:val="28"/>
          <w:rtl w:val="true"/>
          <w:lang w:bidi="fa-IR"/>
        </w:rPr>
        <w:t>،و من البیع البیع لنفسه،لا عن مالک العین، و حینئذٍ فإمّا أن یراد بالبیع مجرّد الإنشاء،فیکون دلیلاً علی عدم جواز بیع الفضولی لنفسه،فلا یقع له و لا للمالک بعد 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یراد ما عن التذکرة من أن یبیع عن نفسه ثمّ یمضی لیشتریه من مالکه،قال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صلّی اللّه علیه و آله و سلم ذکره جواباً لحکیم بن حزام،حیث سأله عن أن یبیع الشیء فیمضی و یشتریه و یسلّمه،فإنّ هذا البیع غیر جائز،و لا نعلم فیه خلافاً؛للنهی المذکور و للغرر؛لأنّ صاحبها قد لا یبیعها </w:t>
      </w:r>
      <w:r>
        <w:rPr>
          <w:rStyle w:val="FootnoteAnchor"/>
          <w:rtl w:val="true"/>
        </w:rPr>
        <w:footnoteReference w:id="196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المعنی یرجع إلی المراد من روایتی خالد و یحیی الآتیتین فی بیع الفضولی لنفسه </w:t>
      </w:r>
      <w:r>
        <w:rPr>
          <w:rStyle w:val="FootnoteAnchor"/>
          <w:rtl w:val="true"/>
        </w:rPr>
        <w:footnoteReference w:id="1961"/>
      </w:r>
      <w:r>
        <w:rPr>
          <w:rFonts w:ascii="IRNazanin" w:hAnsi="IRNazanin" w:eastAsia="IRNazanin"/>
          <w:color w:val="111111"/>
          <w:sz w:val="28"/>
          <w:sz w:val="28"/>
          <w:szCs w:val="28"/>
          <w:rtl w:val="true"/>
          <w:lang w:bidi="fa-IR"/>
        </w:rPr>
        <w:t>،و یکون بطلان البیع بمعنی عدم وقوع البیع للبائع بمجرّد انتقاله إلیه بالشراء،فلا ینافی أهلیّته لتعقّب الإجازة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المخاطب عن البیع دلیل علی عدم وقوعه مؤثّراً فی حقّه،فلا یدلّ علی الغایة بالنسبة إلی المالک حتّی لا تنفعه إجازة </w:t>
      </w:r>
      <w:r>
        <w:rPr>
          <w:rStyle w:val="FootnoteAnchor"/>
          <w:rtl w:val="true"/>
        </w:rPr>
        <w:footnoteReference w:id="1962"/>
      </w:r>
      <w:r>
        <w:rPr>
          <w:rFonts w:ascii="IRNazanin" w:hAnsi="IRNazanin" w:eastAsia="IRNazanin"/>
          <w:color w:val="111111"/>
          <w:sz w:val="28"/>
          <w:sz w:val="28"/>
          <w:szCs w:val="28"/>
          <w:rtl w:val="true"/>
          <w:lang w:bidi="fa-IR"/>
        </w:rPr>
        <w:t xml:space="preserve">المالک فی وقوعه له،و هذا المعنی أظهر من الأوّل و نحن نقول به،کما سیجیء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دلالة النبوی علی المنع،لکنّها بالعموم،فیجب تخصیصه بما تقدّم </w:t>
      </w:r>
      <w:r>
        <w:rPr>
          <w:rStyle w:val="FootnoteAnchor"/>
          <w:rtl w:val="true"/>
        </w:rPr>
        <w:footnoteReference w:id="1964"/>
      </w:r>
      <w:r>
        <w:rPr>
          <w:rFonts w:ascii="IRNazanin" w:hAnsi="IRNazanin" w:eastAsia="IRNazanin"/>
          <w:color w:val="111111"/>
          <w:sz w:val="28"/>
          <w:sz w:val="28"/>
          <w:szCs w:val="28"/>
          <w:rtl w:val="true"/>
          <w:lang w:bidi="fa-IR"/>
        </w:rPr>
        <w:t>من الأدلّة الدالّة علی تصحیح بیع ما لیس عند العاقد لمالکه إذا أجاز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 من الجوابین یظهر الجواب عن 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منه کون المنفی هو البیع لنفسه،و أنّ النفی راجع إلی نفی الصحّة فی حقّه لا فی حقّ المالک،مع أنّ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تخصیصه بما دلّ علی وقوع البیع للمالک إذا أجاز</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الروایتان </w:t>
      </w:r>
      <w:r>
        <w:rPr>
          <w:rStyle w:val="FootnoteAnchor"/>
          <w:rtl w:val="true"/>
        </w:rPr>
        <w:footnoteReference w:id="1965"/>
      </w:r>
      <w:r>
        <w:rPr>
          <w:rFonts w:ascii="IRNazanin" w:hAnsi="IRNazanin" w:eastAsia="IRNazanin"/>
          <w:color w:val="111111"/>
          <w:sz w:val="28"/>
          <w:sz w:val="28"/>
          <w:szCs w:val="28"/>
          <w:rtl w:val="true"/>
          <w:lang w:bidi="fa-IR"/>
        </w:rPr>
        <w:t xml:space="preserve">،فدلالتهما علی ما حملنا علیه السابقین </w:t>
      </w:r>
      <w:r>
        <w:rPr>
          <w:rStyle w:val="FootnoteAnchor"/>
          <w:rtl w:val="true"/>
        </w:rPr>
        <w:footnoteReference w:id="1966"/>
      </w:r>
      <w:r>
        <w:rPr>
          <w:rFonts w:ascii="IRNazanin" w:hAnsi="IRNazanin" w:eastAsia="IRNazanin"/>
          <w:color w:val="111111"/>
          <w:sz w:val="28"/>
          <w:sz w:val="28"/>
          <w:szCs w:val="28"/>
          <w:rtl w:val="true"/>
          <w:lang w:bidi="fa-IR"/>
        </w:rPr>
        <w:t>أوضح،</w:t>
      </w:r>
    </w:p>
    <w:p>
      <w:pPr>
        <w:pStyle w:val="BookText"/>
        <w:rPr/>
      </w:pPr>
      <w:r>
        <w:rPr>
          <w:rFonts w:ascii="IRNazanin" w:hAnsi="IRNazanin" w:eastAsia="IRNazanin"/>
          <w:color w:val="111111"/>
          <w:sz w:val="28"/>
          <w:sz w:val="28"/>
          <w:szCs w:val="28"/>
          <w:rtl w:val="true"/>
          <w:lang w:bidi="fa-IR"/>
        </w:rPr>
        <w:t>و لیس فیهما ما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وقوع البیع الواقع من غیر المالک له إذا أجاز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الحصر فی صحیحة ابن مسلم و التوقیع،فإنّما هو فی مقابلة عدم رضا أهل الأرض و الضیعة رأساً،علی ما یقتضیه السؤال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فی مثل المقام و إن کان یقتضی الفساد،إلّا أنّه بمعنی عدم ترتّب الأثر المقصود من المعاملة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عقد الفضولی لا یترتّب علیه بنفسه </w:t>
      </w:r>
      <w:r>
        <w:rPr>
          <w:rStyle w:val="FootnoteAnchor"/>
          <w:rtl w:val="true"/>
        </w:rPr>
        <w:footnoteReference w:id="1967"/>
      </w:r>
      <w:r>
        <w:rPr>
          <w:rFonts w:ascii="IRNazanin" w:hAnsi="IRNazanin" w:eastAsia="IRNazanin"/>
          <w:color w:val="111111"/>
          <w:sz w:val="28"/>
          <w:sz w:val="28"/>
          <w:szCs w:val="28"/>
          <w:rtl w:val="true"/>
          <w:lang w:bidi="fa-IR"/>
        </w:rPr>
        <w:t xml:space="preserve">الملک المقصود منه؛و لذا یطلق علیه الباطل فی عباراتهم کثیراً،و لذا عدّ فی الشرائع </w:t>
      </w:r>
      <w:r>
        <w:rPr>
          <w:rStyle w:val="FootnoteAnchor"/>
          <w:rtl w:val="true"/>
        </w:rPr>
        <w:footnoteReference w:id="1968"/>
      </w:r>
      <w:r>
        <w:rPr>
          <w:rFonts w:ascii="IRNazanin" w:hAnsi="IRNazanin" w:eastAsia="IRNazanin"/>
          <w:color w:val="111111"/>
          <w:sz w:val="28"/>
          <w:sz w:val="28"/>
          <w:szCs w:val="28"/>
          <w:rtl w:val="true"/>
          <w:lang w:bidi="fa-IR"/>
        </w:rPr>
        <w:t xml:space="preserve">و القواعد </w:t>
      </w:r>
      <w:r>
        <w:rPr>
          <w:rStyle w:val="FootnoteAnchor"/>
          <w:rtl w:val="true"/>
        </w:rPr>
        <w:footnoteReference w:id="1969"/>
      </w:r>
      <w:r>
        <w:rPr>
          <w:rFonts w:ascii="IRNazanin" w:hAnsi="IRNazanin" w:eastAsia="IRNazanin"/>
          <w:color w:val="111111"/>
          <w:sz w:val="28"/>
          <w:sz w:val="28"/>
          <w:szCs w:val="28"/>
          <w:rtl w:val="true"/>
          <w:lang w:bidi="fa-IR"/>
        </w:rPr>
        <w:t>من شروط 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شروط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 العاقد مالکاً أو قائماً مقامه،و إن أبیت إلّا عن ظهور الروایتین فی لغویّة عقد الفضولی رأساً،وجب تخصیصهما </w:t>
      </w:r>
      <w:r>
        <w:rPr>
          <w:rStyle w:val="FootnoteAnchor"/>
          <w:rtl w:val="true"/>
        </w:rPr>
        <w:footnoteReference w:id="1970"/>
      </w:r>
      <w:r>
        <w:rPr>
          <w:rFonts w:ascii="Amiri" w:hAnsi="Amiri" w:eastAsia="Amiri" w:cs="Amiri"/>
          <w:color w:val="111111"/>
          <w:sz w:val="28"/>
          <w:sz w:val="28"/>
          <w:szCs w:val="28"/>
          <w:rtl w:val="true"/>
          <w:lang w:bidi="ar-SA"/>
        </w:rPr>
        <w:t>بما تقدّم من أدلّة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روایة القاسم بن فضل </w:t>
      </w:r>
      <w:r>
        <w:rPr>
          <w:rStyle w:val="FootnoteAnchor"/>
          <w:rtl w:val="true"/>
        </w:rPr>
        <w:footnoteReference w:id="1971"/>
      </w:r>
      <w:r>
        <w:rPr>
          <w:rFonts w:ascii="IRNazanin" w:hAnsi="IRNazanin" w:eastAsia="IRNazanin"/>
          <w:color w:val="111111"/>
          <w:sz w:val="28"/>
          <w:sz w:val="28"/>
          <w:szCs w:val="28"/>
          <w:rtl w:val="true"/>
          <w:lang w:bidi="fa-IR"/>
        </w:rPr>
        <w:t>،فلا دلالة فیها إلّا علی عدم جواز إعطاء الثمن للفضولی؛لأنّه باع ما لا یملک،و هذا حقّ لا ینافی صحّة الفضولی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توقیع الصفّار،فالظاهر منه نفی جواز البیع فی ما لا یملک بمعنی وقوعه للبائع علی جهة الوجوب و اللزوم،و یؤیّده </w:t>
      </w:r>
      <w:r>
        <w:rPr>
          <w:rStyle w:val="FootnoteAnchor"/>
          <w:rtl w:val="true"/>
        </w:rPr>
        <w:footnoteReference w:id="1972"/>
      </w:r>
      <w:r>
        <w:rPr>
          <w:rFonts w:ascii="IRNazanin" w:hAnsi="IRNazanin" w:eastAsia="IRNazanin"/>
          <w:color w:val="111111"/>
          <w:sz w:val="28"/>
          <w:sz w:val="28"/>
          <w:szCs w:val="28"/>
          <w:rtl w:val="true"/>
          <w:lang w:bidi="fa-IR"/>
        </w:rPr>
        <w:t>تصریحه علیه السلام</w:t>
      </w:r>
      <w:bookmarkStart w:id="640" w:name="pg19763_248116"/>
    </w:p>
    <w:p>
      <w:pPr>
        <w:pStyle w:val="BookText"/>
        <w:rPr/>
      </w:pPr>
      <w:bookmarkEnd w:id="640"/>
      <w:r>
        <w:rPr>
          <w:rFonts w:ascii="IRNazanin" w:hAnsi="IRNazanin" w:eastAsia="IRNazanin"/>
          <w:color w:val="111111"/>
          <w:sz w:val="28"/>
          <w:sz w:val="28"/>
          <w:szCs w:val="28"/>
          <w:rtl w:val="true"/>
          <w:lang w:bidi="fa-IR"/>
        </w:rPr>
        <w:t xml:space="preserve">بعد تلک الفقرة بوجوب البیع فیما یملک </w:t>
      </w:r>
      <w:r>
        <w:rPr>
          <w:rStyle w:val="FootnoteAnchor"/>
          <w:rtl w:val="true"/>
        </w:rPr>
        <w:footnoteReference w:id="1973"/>
      </w:r>
      <w:r>
        <w:rPr>
          <w:rFonts w:ascii="IRNazanin" w:hAnsi="IRNazanin" w:eastAsia="IRNazanin"/>
          <w:color w:val="111111"/>
          <w:sz w:val="28"/>
          <w:sz w:val="28"/>
          <w:szCs w:val="28"/>
          <w:rtl w:val="true"/>
          <w:lang w:bidi="fa-IR"/>
        </w:rPr>
        <w:t>،فلا دلالة علی عدم وقوعه لمالکه إذا أجاز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بالجملة،فالإنصاف أنّه لا دلالة فی تلک الأخبار بأسرها علی عدم وقوع بیع غیر المالک للمالک إذا أجاز،و لا تعرّض فیها إلّا لنفی وقوعه للعاقد</w:t>
      </w:r>
      <w:r>
        <w:rPr>
          <w:rFonts w:eastAsia="IRNazanin" w:cs="IRNazanin"/>
          <w:color w:val="111111"/>
          <w:sz w:val="28"/>
          <w:szCs w:val="28"/>
          <w:rtl w:val="true"/>
          <w:lang w:bidi="fa-IR"/>
        </w:rPr>
        <w:t>.</w:t>
      </w:r>
    </w:p>
    <w:p>
      <w:pPr>
        <w:pStyle w:val="Heading6"/>
        <w:numPr>
          <w:ilvl w:val="5"/>
          <w:numId w:val="1"/>
        </w:numPr>
        <w:rPr/>
      </w:pPr>
      <w:bookmarkStart w:id="641" w:name="__RefHeading___Toc5082910_2314609296"/>
      <w:bookmarkStart w:id="642" w:name="_Toc246"/>
      <w:bookmarkEnd w:id="641"/>
      <w:r>
        <w:rPr>
          <w:rtl w:val="true"/>
        </w:rPr>
        <w:t>الثالث</w:t>
      </w:r>
      <w:r>
        <w:rPr>
          <w:rtl w:val="true"/>
        </w:rPr>
        <w:t>:</w:t>
      </w:r>
      <w:r>
        <w:rPr>
          <w:rtl w:val="true"/>
        </w:rPr>
        <w:t>الإجماع علی البطلان،</w:t>
      </w:r>
      <w:bookmarkEnd w:id="642"/>
    </w:p>
    <w:p>
      <w:pPr>
        <w:pStyle w:val="BookText"/>
        <w:rPr/>
      </w:pPr>
      <w:r>
        <w:rPr>
          <w:rFonts w:ascii="IRNazanin" w:hAnsi="IRNazanin" w:eastAsia="IRNazanin"/>
          <w:color w:val="111111"/>
          <w:sz w:val="28"/>
          <w:sz w:val="28"/>
          <w:szCs w:val="28"/>
          <w:rtl w:val="true"/>
          <w:lang w:bidi="fa-IR"/>
        </w:rPr>
        <w:t xml:space="preserve">ادّعاه الشیخ فی الخلاف معترفاً بأنّ الصحّة مذهب قوم من أصحابنا،معتذراً عن ذلک بعدم الاعتداد بخلافهم </w:t>
      </w:r>
      <w:r>
        <w:rPr>
          <w:rStyle w:val="FootnoteAnchor"/>
          <w:rtl w:val="true"/>
        </w:rPr>
        <w:footnoteReference w:id="1974"/>
      </w:r>
      <w:r>
        <w:rPr>
          <w:rFonts w:ascii="IRNazanin" w:hAnsi="IRNazanin" w:eastAsia="IRNazanin"/>
          <w:color w:val="111111"/>
          <w:sz w:val="28"/>
          <w:sz w:val="28"/>
          <w:szCs w:val="28"/>
          <w:rtl w:val="true"/>
          <w:lang w:bidi="fa-IR"/>
        </w:rPr>
        <w:t xml:space="preserve">،و ادّعاه ابن زهرة أیضاً فی الغنیة </w:t>
      </w:r>
      <w:r>
        <w:rPr>
          <w:rStyle w:val="FootnoteAnchor"/>
          <w:rtl w:val="true"/>
        </w:rPr>
        <w:footnoteReference w:id="1975"/>
      </w:r>
      <w:r>
        <w:rPr>
          <w:rFonts w:ascii="IRNazanin" w:hAnsi="IRNazanin" w:eastAsia="IRNazanin"/>
          <w:color w:val="111111"/>
          <w:sz w:val="28"/>
          <w:sz w:val="28"/>
          <w:szCs w:val="28"/>
          <w:rtl w:val="true"/>
          <w:lang w:bidi="fa-IR"/>
        </w:rPr>
        <w:t xml:space="preserve">،و ادّعی الحلّی فی باب المضاربة عدم الخلاف فی بطلان شراء الغاصب إذا اشتری بعین المغصوب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الظنّ بالإجماع،بل الظنّ بعدمه،بعد ذهاب معظم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کالقدیمین و المفید و المرتضی و الشیخ بنفسه فی النهایة التی هی آخر مصنّفاته علی ما قیل و أتباعهم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الصحّة،و إطباق </w:t>
      </w:r>
      <w:r>
        <w:rPr>
          <w:rStyle w:val="FootnoteAnchor"/>
          <w:rtl w:val="true"/>
        </w:rPr>
        <w:footnoteReference w:id="1977"/>
      </w:r>
      <w:r>
        <w:rPr>
          <w:rFonts w:ascii="IRNazanin" w:hAnsi="IRNazanin" w:eastAsia="IRNazanin"/>
          <w:color w:val="111111"/>
          <w:sz w:val="28"/>
          <w:sz w:val="28"/>
          <w:szCs w:val="28"/>
          <w:rtl w:val="true"/>
          <w:lang w:bidi="fa-IR"/>
        </w:rPr>
        <w:t xml:space="preserve">المتأخّرین علیه،عدا فخر الدین و بعض متأخّری المتأخّرین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bookmarkStart w:id="643" w:name="pg19763_248117"/>
    </w:p>
    <w:p>
      <w:pPr>
        <w:pStyle w:val="Heading6"/>
        <w:numPr>
          <w:ilvl w:val="5"/>
          <w:numId w:val="1"/>
        </w:numPr>
        <w:rPr/>
      </w:pPr>
      <w:bookmarkStart w:id="644" w:name="__RefHeading___Toc5082912_2314609296"/>
      <w:bookmarkStart w:id="645" w:name="_Toc247"/>
      <w:bookmarkEnd w:id="643"/>
      <w:bookmarkEnd w:id="644"/>
      <w:r>
        <w:rPr>
          <w:rtl w:val="true"/>
        </w:rPr>
        <w:t>الرابع</w:t>
      </w:r>
      <w:r>
        <w:rPr>
          <w:rtl w:val="true"/>
        </w:rPr>
        <w:t>:</w:t>
      </w:r>
      <w:r>
        <w:rPr>
          <w:rtl w:val="true"/>
        </w:rPr>
        <w:t>ما دلّ من العقل و النقل</w:t>
      </w:r>
      <w:bookmarkEnd w:id="645"/>
    </w:p>
    <w:p>
      <w:pPr>
        <w:pStyle w:val="BookText"/>
        <w:rPr/>
      </w:pPr>
      <w:r>
        <w:rPr>
          <w:rFonts w:ascii="IRNazanin" w:hAnsi="IRNazanin" w:eastAsia="IRNazanin"/>
          <w:color w:val="111111"/>
          <w:sz w:val="28"/>
          <w:sz w:val="28"/>
          <w:szCs w:val="28"/>
          <w:rtl w:val="true"/>
          <w:lang w:bidi="fa-IR"/>
        </w:rPr>
        <w:t>علی عدم جواز التصرّف فی مال الغیر إلّا بإذنه،فإنّ الرضا اللاحق لا ینفع فی رفع القبح الثابت حال التصرّف،ففی التوقیع المرویّ فی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لأحد أن یتصرّف فی مال غیره إلّا بإذنه</w:t>
      </w:r>
      <w:r>
        <w:rPr>
          <w:rFonts w:eastAsia="IRNazanin" w:cs="IRNazanin"/>
          <w:color w:val="111111"/>
          <w:sz w:val="28"/>
          <w:szCs w:val="28"/>
          <w:rtl w:val="true"/>
          <w:lang w:bidi="fa-IR"/>
        </w:rPr>
        <w:t xml:space="preserve">» </w:t>
      </w:r>
      <w:r>
        <w:rPr>
          <w:rStyle w:val="FootnoteAnchor"/>
          <w:rtl w:val="true"/>
        </w:rPr>
        <w:footnoteReference w:id="1979"/>
      </w:r>
      <w:r>
        <w:rPr>
          <w:rFonts w:ascii="IRNazanin" w:hAnsi="IRNazanin" w:eastAsia="IRNazanin"/>
          <w:color w:val="111111"/>
          <w:sz w:val="28"/>
          <w:sz w:val="28"/>
          <w:szCs w:val="28"/>
          <w:rtl w:val="true"/>
          <w:lang w:bidi="fa-IR"/>
        </w:rPr>
        <w:t>،و لا ریب أنّ بیع مال الغیر تصرّف فیه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علی مال الغیر متوقّعاً لإجازته غیر قاصد لترتیب الآثار علیها لیس تصرّفاً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فرض کون العقد علّة تامّة و لو عرفاً لحصول الآثار کما فی بیع المالک أو الغاصب المستقلّ کان حکم العقد جوازاً و منعاً حکم معلوله المترتّب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 کونه تصرّفاً،فممّا استقلّ العقل بجوازه مثل الاستضاءة و الاصطلاء بنور الغیر و ناره،مع أنّه قد یفرض الکلام فیما إذا علم الإذن فی هذا من المقال أو الحال؛بناءً علی أنّ ذلک لا یخرجه عن الفضولی،مع أنّ تحریمه لا یدلّ علی الفساد،مع أنّه لو دلّ لدلّ علی بطلان البیع بمعنی عدم ترتّب الأثر علیه و عدم استقلاله فی ذلک،و لا ینکره القائل بالصحّة،خصوصاً إذا کانت الإجازة ناقلة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الجواب عمّا لو وقع العقد من الفضولی قاصداً لترتیب الأثر من دون مراجعة المشتری؛بناءً علی أنّ العقد المقرون بهذا القصد قبیح محرّم،لا نفس القصد المقرون بهذا العقد</w:t>
      </w:r>
      <w:r>
        <w:rPr>
          <w:rFonts w:eastAsia="IRNazanin" w:cs="IRNazanin"/>
          <w:color w:val="111111"/>
          <w:sz w:val="28"/>
          <w:szCs w:val="28"/>
          <w:rtl w:val="true"/>
          <w:lang w:bidi="fa-IR"/>
        </w:rPr>
        <w:t>.</w:t>
      </w:r>
      <w:bookmarkStart w:id="646" w:name="pg19763_248118"/>
    </w:p>
    <w:p>
      <w:pPr>
        <w:pStyle w:val="Heading6"/>
        <w:numPr>
          <w:ilvl w:val="5"/>
          <w:numId w:val="1"/>
        </w:numPr>
        <w:rPr/>
      </w:pPr>
      <w:bookmarkStart w:id="647" w:name="__RefHeading___Toc5082914_2314609296"/>
      <w:bookmarkStart w:id="648" w:name="_Toc248"/>
      <w:bookmarkEnd w:id="646"/>
      <w:bookmarkEnd w:id="647"/>
      <w:r>
        <w:rPr>
          <w:rtl w:val="true"/>
        </w:rPr>
        <w:t>و قد یستدلّ للمنع بوجوه أُخر ضعیفة،</w:t>
      </w:r>
      <w:bookmarkEnd w:id="648"/>
    </w:p>
    <w:p>
      <w:pPr>
        <w:pStyle w:val="BookText"/>
        <w:rPr/>
      </w:pPr>
      <w:r>
        <w:rPr>
          <w:rFonts w:ascii="IRNazanin" w:hAnsi="IRNazanin" w:eastAsia="IRNazanin"/>
          <w:color w:val="111111"/>
          <w:sz w:val="28"/>
          <w:sz w:val="28"/>
          <w:szCs w:val="28"/>
          <w:rtl w:val="true"/>
          <w:lang w:bidi="fa-IR"/>
        </w:rPr>
        <w:t>أقواها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القدرة علی التسلیم معتبرة فی صحّة البیع،و الفضولی غیر قادر </w:t>
      </w:r>
      <w:r>
        <w:rPr>
          <w:rStyle w:val="FootnoteAnchor"/>
          <w:rtl w:val="true"/>
        </w:rPr>
        <w:footnoteReference w:id="1980"/>
      </w:r>
      <w:r>
        <w:rPr>
          <w:rFonts w:ascii="IRNazanin" w:hAnsi="IRNazanin" w:eastAsia="IRNazanin"/>
          <w:color w:val="111111"/>
          <w:sz w:val="28"/>
          <w:sz w:val="28"/>
          <w:szCs w:val="28"/>
          <w:rtl w:val="true"/>
          <w:lang w:bidi="fa-IR"/>
        </w:rPr>
        <w:t xml:space="preserve">،و أنّ الفضولی غیر قاصد حقیقةً إلی مدلول اللفظ کالمکره،کما صرّح فی المسالک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أنّ الفضولی قد یکون قادراً علی إرضاء المالک </w:t>
      </w:r>
      <w:r>
        <w:rPr>
          <w:rStyle w:val="FootnoteAnchor"/>
          <w:rtl w:val="true"/>
        </w:rPr>
        <w:footnoteReference w:id="1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w:t>
      </w:r>
      <w:r>
        <w:rPr>
          <w:rStyle w:val="FootnoteAnchor"/>
          <w:rtl w:val="true"/>
        </w:rPr>
        <w:footnoteReference w:id="1983"/>
      </w:r>
      <w:r>
        <w:rPr>
          <w:rFonts w:ascii="IRNazanin" w:hAnsi="IRNazanin" w:eastAsia="IRNazanin"/>
          <w:color w:val="111111"/>
          <w:sz w:val="28"/>
          <w:sz w:val="28"/>
          <w:szCs w:val="28"/>
          <w:rtl w:val="true"/>
          <w:lang w:bidi="fa-IR"/>
        </w:rPr>
        <w:t xml:space="preserve">هذا الشرط غیر معتبر فی العاقد قطعاً،بل یکفی تحقّقه فی المالک،فحینئذٍ یشترط فی صحّة العقد مع الإجازة قدرة المجیز علی تسلیمه أو </w:t>
      </w:r>
      <w:r>
        <w:rPr>
          <w:rStyle w:val="FootnoteAnchor"/>
          <w:rtl w:val="true"/>
        </w:rPr>
        <w:footnoteReference w:id="1984"/>
      </w:r>
      <w:r>
        <w:rPr>
          <w:rFonts w:ascii="IRNazanin" w:hAnsi="IRNazanin" w:eastAsia="IRNazanin"/>
          <w:color w:val="111111"/>
          <w:sz w:val="28"/>
          <w:sz w:val="28"/>
          <w:szCs w:val="28"/>
          <w:rtl w:val="true"/>
          <w:lang w:bidi="fa-IR"/>
        </w:rPr>
        <w:t xml:space="preserve">قدرة المشتری علی تسلّمه علی ما سیجیء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یضعّف الثانی بأنّ </w:t>
      </w:r>
      <w:r>
        <w:rPr>
          <w:rStyle w:val="FootnoteAnchor"/>
          <w:rtl w:val="true"/>
        </w:rPr>
        <w:footnoteReference w:id="1986"/>
      </w:r>
      <w:r>
        <w:rPr>
          <w:rFonts w:ascii="IRNazanin" w:hAnsi="IRNazanin" w:eastAsia="IRNazanin"/>
          <w:color w:val="111111"/>
          <w:sz w:val="28"/>
          <w:sz w:val="28"/>
          <w:szCs w:val="28"/>
          <w:rtl w:val="true"/>
          <w:lang w:bidi="fa-IR"/>
        </w:rPr>
        <w:t>المعتبر فی العقد هو هذا القدر من القصد الموجود فی الفضولی و المکره،لا أزید منه،بدلیل الإجماع علی صحّة نکاح الفضولی و بیع المکره بحقّ؛فإنّ دعوی عدم اعتبار القصد فی ذلک للإجماع،کما تری</w:t>
      </w:r>
      <w:r>
        <w:rPr>
          <w:rFonts w:eastAsia="IRNazanin" w:cs="IRNazanin"/>
          <w:color w:val="111111"/>
          <w:sz w:val="28"/>
          <w:szCs w:val="28"/>
          <w:rtl w:val="true"/>
          <w:lang w:bidi="fa-IR"/>
        </w:rPr>
        <w:t>!</w:t>
      </w:r>
      <w:bookmarkStart w:id="649" w:name="pg19763_248119"/>
    </w:p>
    <w:p>
      <w:pPr>
        <w:pStyle w:val="Heading6"/>
        <w:numPr>
          <w:ilvl w:val="5"/>
          <w:numId w:val="1"/>
        </w:numPr>
        <w:rPr/>
      </w:pPr>
      <w:bookmarkStart w:id="650" w:name="__RefHeading___Toc5082916_2314609296"/>
      <w:bookmarkStart w:id="651" w:name="_Toc249"/>
      <w:bookmarkEnd w:id="649"/>
      <w:bookmarkEnd w:id="650"/>
      <w:r>
        <w:rPr>
          <w:rtl w:val="true"/>
        </w:rPr>
        <w:t>المسألة الثانیة أن یسبقه منع المالک،</w:t>
      </w:r>
      <w:bookmarkEnd w:id="651"/>
    </w:p>
    <w:p>
      <w:pPr>
        <w:pStyle w:val="BookText"/>
        <w:rPr/>
      </w:pPr>
      <w:r>
        <w:rPr>
          <w:rFonts w:ascii="IRNazanin" w:hAnsi="IRNazanin" w:eastAsia="IRNazanin"/>
          <w:color w:val="111111"/>
          <w:sz w:val="28"/>
          <w:sz w:val="28"/>
          <w:szCs w:val="28"/>
          <w:rtl w:val="true"/>
          <w:lang w:bidi="fa-IR"/>
        </w:rPr>
        <w:t>و المشهور أیضاً صحّته،و حکی عن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بعض المجوّزین للفضولی اعتبر عدم سبق نهی المالک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یلوح إلیه ما عن التذکرة فی باب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عبدٍ تزوّج بغیر إذن مولاه فهو عاهر</w:t>
      </w:r>
      <w:r>
        <w:rPr>
          <w:rFonts w:eastAsia="IRNazanin" w:cs="IRNazanin"/>
          <w:color w:val="111111"/>
          <w:sz w:val="28"/>
          <w:szCs w:val="28"/>
          <w:rtl w:val="true"/>
          <w:lang w:bidi="fa-IR"/>
        </w:rPr>
        <w:t xml:space="preserve">» </w:t>
      </w:r>
      <w:r>
        <w:rPr>
          <w:rStyle w:val="FootnoteAnchor"/>
          <w:rtl w:val="true"/>
        </w:rPr>
        <w:footnoteReference w:id="1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w:t>
      </w:r>
      <w:r>
        <w:rPr>
          <w:rStyle w:val="FootnoteAnchor"/>
          <w:rtl w:val="true"/>
        </w:rPr>
        <w:footnoteReference w:id="1989"/>
      </w:r>
      <w:r>
        <w:rPr>
          <w:rFonts w:ascii="IRNazanin" w:hAnsi="IRNazanin" w:eastAsia="IRNazanin"/>
          <w:color w:val="111111"/>
          <w:sz w:val="28"/>
          <w:sz w:val="28"/>
          <w:szCs w:val="28"/>
          <w:rtl w:val="true"/>
          <w:lang w:bidi="fa-IR"/>
        </w:rPr>
        <w:t xml:space="preserve">نکح بعد منع مولاه و کراهته؛فإنّه یقع باطلاً </w:t>
      </w:r>
      <w:r>
        <w:rPr>
          <w:rStyle w:val="FootnoteAnchor"/>
          <w:rtl w:val="true"/>
        </w:rPr>
        <w:footnoteReference w:id="1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لا یفرق بین النکاح و غیره </w:t>
      </w:r>
      <w:r>
        <w:rPr>
          <w:rStyle w:val="FootnoteAnchor"/>
          <w:rtl w:val="true"/>
        </w:rPr>
        <w:footnoteReference w:id="1991"/>
      </w:r>
      <w:r>
        <w:rPr>
          <w:rFonts w:ascii="IRNazanin" w:hAnsi="IRNazanin" w:eastAsia="IRNazanin"/>
          <w:color w:val="111111"/>
          <w:sz w:val="28"/>
          <w:sz w:val="28"/>
          <w:szCs w:val="28"/>
          <w:rtl w:val="true"/>
          <w:lang w:bidi="fa-IR"/>
        </w:rPr>
        <w:t xml:space="preserve">،و یظهر من المحقّق الثانی،حیث احتمل </w:t>
      </w:r>
      <w:r>
        <w:rPr>
          <w:rStyle w:val="FootnoteAnchor"/>
          <w:rtl w:val="true"/>
        </w:rPr>
        <w:footnoteReference w:id="1992"/>
      </w:r>
      <w:r>
        <w:rPr>
          <w:rFonts w:ascii="IRNazanin" w:hAnsi="IRNazanin" w:eastAsia="IRNazanin"/>
          <w:color w:val="111111"/>
          <w:sz w:val="28"/>
          <w:sz w:val="28"/>
          <w:szCs w:val="28"/>
          <w:rtl w:val="true"/>
          <w:lang w:bidi="fa-IR"/>
        </w:rPr>
        <w:t xml:space="preserve">فساد بیع الغاصب؛نظراً إلی القرینة الدالّة </w:t>
      </w:r>
      <w:r>
        <w:rPr>
          <w:rStyle w:val="FootnoteAnchor"/>
          <w:rtl w:val="true"/>
        </w:rPr>
        <w:footnoteReference w:id="1993"/>
      </w:r>
      <w:r>
        <w:rPr>
          <w:rFonts w:ascii="IRNazanin" w:hAnsi="IRNazanin" w:eastAsia="IRNazanin"/>
          <w:color w:val="111111"/>
          <w:sz w:val="28"/>
          <w:sz w:val="28"/>
          <w:szCs w:val="28"/>
          <w:rtl w:val="true"/>
          <w:lang w:bidi="fa-IR"/>
        </w:rPr>
        <w:t xml:space="preserve">علی عدم الرضا و هی الغصب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کان،فهذا القول لا وجه له ظاهراً،عدا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المستند فی عقد الفضولی هی روایة عروة </w:t>
      </w:r>
      <w:r>
        <w:rPr>
          <w:rStyle w:val="FootnoteAnchor"/>
          <w:rtl w:val="true"/>
        </w:rPr>
        <w:footnoteReference w:id="1995"/>
      </w:r>
      <w:r>
        <w:rPr>
          <w:rFonts w:ascii="IRNazanin" w:hAnsi="IRNazanin" w:eastAsia="IRNazanin"/>
          <w:color w:val="111111"/>
          <w:sz w:val="28"/>
          <w:sz w:val="28"/>
          <w:szCs w:val="28"/>
          <w:rtl w:val="true"/>
          <w:lang w:bidi="fa-IR"/>
        </w:rPr>
        <w:t>المختصّة بغیر المقام،و أنّ العقد إذا</w:t>
      </w:r>
    </w:p>
    <w:p>
      <w:pPr>
        <w:pStyle w:val="BookText"/>
        <w:rPr/>
      </w:pPr>
      <w:r>
        <w:rPr>
          <w:rFonts w:ascii="IRNazanin" w:hAnsi="IRNazanin" w:eastAsia="IRNazanin"/>
          <w:color w:val="111111"/>
          <w:sz w:val="28"/>
          <w:sz w:val="28"/>
          <w:szCs w:val="28"/>
          <w:rtl w:val="true"/>
          <w:lang w:bidi="fa-IR"/>
        </w:rPr>
        <w:t>وقع منهیّاً عنه فالمنع الموجود بعد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آناً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 فی الردّ، فلا ینفع الإجازة اللاحقة؛بناءً علی أنّه لا یعتبر فی الردّ سوی عدم الرضا الباطنی بالعقد علی ما یقتضیه حکم بعضهم </w:t>
      </w:r>
      <w:r>
        <w:rPr>
          <w:rStyle w:val="FootnoteAnchor"/>
          <w:rtl w:val="true"/>
        </w:rPr>
        <w:footnoteReference w:id="1996"/>
      </w:r>
      <w:r>
        <w:rPr>
          <w:rFonts w:ascii="IRNazanin" w:hAnsi="IRNazanin" w:eastAsia="IRNazanin"/>
          <w:color w:val="111111"/>
          <w:sz w:val="28"/>
          <w:sz w:val="28"/>
          <w:szCs w:val="28"/>
          <w:rtl w:val="true"/>
          <w:lang w:bidi="fa-IR"/>
        </w:rPr>
        <w:t>بأنّه إذا حلف الموکّل علی نفی الإذن فی اشتراء الوکیل انفسخ العقد؛لأنّ الحلف علیه أمارة عدم الرضا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لکنّ الأقوی عدم الفرق؛لعدم انحصار المستند حینئذٍ </w:t>
      </w:r>
      <w:r>
        <w:rPr>
          <w:rStyle w:val="FootnoteAnchor"/>
          <w:rtl w:val="true"/>
        </w:rPr>
        <w:footnoteReference w:id="1997"/>
      </w:r>
      <w:r>
        <w:rPr>
          <w:rFonts w:ascii="IRNazanin" w:hAnsi="IRNazanin" w:eastAsia="IRNazanin"/>
          <w:color w:val="111111"/>
          <w:sz w:val="28"/>
          <w:sz w:val="28"/>
          <w:szCs w:val="28"/>
          <w:rtl w:val="true"/>
          <w:lang w:bidi="fa-IR"/>
        </w:rPr>
        <w:t xml:space="preserve">فی روایة عروة،و کفایة العمومات،مضافاً إلی ترک الاستفصال فی صحیحة محمد بن قیس </w:t>
      </w:r>
      <w:r>
        <w:rPr>
          <w:rStyle w:val="FootnoteAnchor"/>
          <w:rtl w:val="true"/>
        </w:rPr>
        <w:footnoteReference w:id="1998"/>
      </w:r>
      <w:r>
        <w:rPr>
          <w:rFonts w:ascii="IRNazanin" w:hAnsi="IRNazanin" w:eastAsia="IRNazanin"/>
          <w:color w:val="111111"/>
          <w:sz w:val="28"/>
          <w:sz w:val="28"/>
          <w:szCs w:val="28"/>
          <w:rtl w:val="true"/>
          <w:lang w:bidi="fa-IR"/>
        </w:rPr>
        <w:t xml:space="preserve">،و جریان فحوی أدلّة نکاح العبد بدون إذن مولاه </w:t>
      </w:r>
      <w:r>
        <w:rPr>
          <w:rStyle w:val="FootnoteAnchor"/>
          <w:rtl w:val="true"/>
        </w:rPr>
        <w:footnoteReference w:id="1999"/>
      </w:r>
      <w:r>
        <w:rPr>
          <w:rFonts w:ascii="IRNazanin" w:hAnsi="IRNazanin" w:eastAsia="IRNazanin"/>
          <w:color w:val="111111"/>
          <w:sz w:val="28"/>
          <w:sz w:val="28"/>
          <w:szCs w:val="28"/>
          <w:rtl w:val="true"/>
          <w:lang w:bidi="fa-IR"/>
        </w:rPr>
        <w:t xml:space="preserve">، مع ظهور المنع فیها و لو بشاهد الحال بین الموالی و العبید،مع أنّ روایة إجازته صریحة فی عدم قدح معصیة السیّد </w:t>
      </w:r>
      <w:r>
        <w:rPr>
          <w:rStyle w:val="FootnoteAnchor"/>
          <w:rtl w:val="true"/>
        </w:rPr>
        <w:footnoteReference w:id="2000"/>
      </w:r>
      <w:r>
        <w:rPr>
          <w:rFonts w:ascii="IRNazanin" w:hAnsi="IRNazanin" w:eastAsia="IRNazanin"/>
          <w:color w:val="111111"/>
          <w:sz w:val="28"/>
          <w:sz w:val="28"/>
          <w:szCs w:val="28"/>
          <w:rtl w:val="true"/>
          <w:lang w:bidi="fa-IR"/>
        </w:rPr>
        <w:t>،مع جریان المؤیّدات المتقدّمة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بیع مال الیتیم </w:t>
      </w:r>
      <w:r>
        <w:rPr>
          <w:rStyle w:val="FootnoteAnchor"/>
          <w:rtl w:val="true"/>
        </w:rPr>
        <w:footnoteReference w:id="2001"/>
      </w:r>
      <w:r>
        <w:rPr>
          <w:rFonts w:ascii="IRNazanin" w:hAnsi="IRNazanin" w:eastAsia="IRNazanin"/>
          <w:color w:val="111111"/>
          <w:sz w:val="28"/>
          <w:sz w:val="28"/>
          <w:szCs w:val="28"/>
          <w:rtl w:val="true"/>
          <w:lang w:bidi="fa-IR"/>
        </w:rPr>
        <w:t xml:space="preserve">و المغصوب </w:t>
      </w:r>
      <w:r>
        <w:rPr>
          <w:rStyle w:val="FootnoteAnchor"/>
          <w:rtl w:val="true"/>
        </w:rPr>
        <w:footnoteReference w:id="2002"/>
      </w:r>
      <w:r>
        <w:rPr>
          <w:rFonts w:ascii="IRNazanin" w:hAnsi="IRNazanin" w:eastAsia="IRNazanin"/>
          <w:color w:val="111111"/>
          <w:sz w:val="28"/>
          <w:sz w:val="28"/>
          <w:szCs w:val="28"/>
          <w:rtl w:val="true"/>
          <w:lang w:bidi="fa-IR"/>
        </w:rPr>
        <w:t xml:space="preserve">،و مخالفة العامل لما اشترط علیه ربّ المال </w:t>
      </w:r>
      <w:r>
        <w:rPr>
          <w:rStyle w:val="FootnoteAnchor"/>
          <w:rtl w:val="true"/>
        </w:rPr>
        <w:footnoteReference w:id="2003"/>
      </w:r>
      <w:r>
        <w:rPr>
          <w:rFonts w:ascii="IRNazanin" w:hAnsi="IRNazanin" w:eastAsia="IRNazanin"/>
          <w:color w:val="111111"/>
          <w:sz w:val="28"/>
          <w:sz w:val="28"/>
          <w:szCs w:val="28"/>
          <w:rtl w:val="true"/>
          <w:lang w:bidi="fa-IR"/>
        </w:rPr>
        <w:t>،الصریح فی منعه عمّا عداه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ذکر </w:t>
      </w:r>
      <w:r>
        <w:rPr>
          <w:rStyle w:val="FootnoteAnchor"/>
          <w:rtl w:val="true"/>
        </w:rPr>
        <w:footnoteReference w:id="2004"/>
      </w:r>
      <w:r>
        <w:rPr>
          <w:rFonts w:ascii="IRNazanin" w:hAnsi="IRNazanin" w:eastAsia="IRNazanin"/>
          <w:color w:val="111111"/>
          <w:sz w:val="28"/>
          <w:sz w:val="28"/>
          <w:szCs w:val="28"/>
          <w:rtl w:val="true"/>
          <w:lang w:bidi="fa-IR"/>
        </w:rPr>
        <w:t>من المنع الباقی بعد العقد و لو آناً ما،فلم یدلّ دلیل علی کونه فسخاً لا ینفع بعده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فی حلف الموکّل غیر مسلّم،و لو سُلّم فمن جهة ظهور الإقدام علی الحلف علی ما أنکره فی ردّ البیع و عدم تسلیمه 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وجه صحّة عقد المکره بعد الرضا،و أنّ کراهة المالک حال العقد و بعد العقد لا تقدح فی صحّته إذا لحقه الإجازة</w:t>
      </w:r>
      <w:r>
        <w:rPr>
          <w:rFonts w:eastAsia="IRNazanin" w:cs="IRNazanin"/>
          <w:color w:val="111111"/>
          <w:sz w:val="28"/>
          <w:szCs w:val="28"/>
          <w:rtl w:val="true"/>
          <w:lang w:bidi="fa-IR"/>
        </w:rPr>
        <w:t>.</w:t>
      </w:r>
      <w:bookmarkStart w:id="652" w:name="pg19763_248122"/>
    </w:p>
    <w:p>
      <w:pPr>
        <w:pStyle w:val="Heading6"/>
        <w:numPr>
          <w:ilvl w:val="5"/>
          <w:numId w:val="1"/>
        </w:numPr>
        <w:rPr/>
      </w:pPr>
      <w:bookmarkStart w:id="653" w:name="__RefHeading___Toc5082918_2314609296"/>
      <w:bookmarkStart w:id="654" w:name="_Toc250"/>
      <w:bookmarkEnd w:id="652"/>
      <w:bookmarkEnd w:id="653"/>
      <w:r>
        <w:rPr>
          <w:rtl w:val="true"/>
        </w:rPr>
        <w:t>المسألة الثالثة أن یبیع الفضولی لنفسه،</w:t>
      </w:r>
      <w:bookmarkEnd w:id="654"/>
    </w:p>
    <w:p>
      <w:pPr>
        <w:pStyle w:val="BookText"/>
        <w:rPr/>
      </w:pPr>
      <w:r>
        <w:rPr>
          <w:rFonts w:ascii="IRNazanin" w:hAnsi="IRNazanin" w:eastAsia="IRNazanin"/>
          <w:color w:val="111111"/>
          <w:sz w:val="28"/>
          <w:sz w:val="28"/>
          <w:szCs w:val="28"/>
          <w:rtl w:val="true"/>
          <w:lang w:bidi="fa-IR"/>
        </w:rPr>
        <w:t xml:space="preserve">و هذا غالباً یکون فی بیع الغاصب،و قد یتّفق من غیره بزعم ملکیّة المبیع،کما فی مورد صحیحة الحلبی المتقدّمة فی الإقالة بوضیعة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5" w:name="__RefHeading___Toc5082920_2314609296"/>
      <w:bookmarkStart w:id="656" w:name="_Toc251"/>
      <w:bookmarkEnd w:id="655"/>
      <w:r>
        <w:rPr>
          <w:rtl w:val="true"/>
        </w:rPr>
        <w:t>[</w:t>
      </w:r>
      <w:r>
        <w:rPr>
          <w:rtl w:val="true"/>
        </w:rPr>
        <w:t>الأقوی الصحة و الدلیل علیه</w:t>
      </w:r>
      <w:r>
        <w:rPr>
          <w:rtl w:val="true"/>
        </w:rPr>
        <w:t>]</w:t>
      </w:r>
      <w:bookmarkEnd w:id="656"/>
    </w:p>
    <w:p>
      <w:pPr>
        <w:pStyle w:val="BookText"/>
        <w:rPr/>
      </w:pPr>
      <w:r>
        <w:rPr>
          <w:rFonts w:ascii="IRNazanin" w:hAnsi="IRNazanin" w:eastAsia="IRNazanin"/>
          <w:color w:val="111111"/>
          <w:sz w:val="28"/>
          <w:sz w:val="28"/>
          <w:szCs w:val="28"/>
          <w:rtl w:val="true"/>
          <w:lang w:bidi="fa-IR"/>
        </w:rPr>
        <w:t>و الأقوی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الصحّة وفاقاً للمشهور؛للعمومات المتقدّمة </w:t>
      </w:r>
      <w:r>
        <w:rPr>
          <w:rStyle w:val="FootnoteAnchor"/>
          <w:rtl w:val="true"/>
        </w:rPr>
        <w:footnoteReference w:id="2006"/>
      </w:r>
      <w:r>
        <w:rPr>
          <w:rFonts w:ascii="IRNazanin" w:hAnsi="IRNazanin" w:eastAsia="IRNazanin"/>
          <w:color w:val="111111"/>
          <w:sz w:val="28"/>
          <w:sz w:val="28"/>
          <w:szCs w:val="28"/>
          <w:rtl w:val="true"/>
          <w:lang w:bidi="fa-IR"/>
        </w:rPr>
        <w:t xml:space="preserve">بالتقریب المتقدّم،و فحوی الصحّة فی النکاح </w:t>
      </w:r>
      <w:r>
        <w:rPr>
          <w:rStyle w:val="FootnoteAnchor"/>
          <w:rtl w:val="true"/>
        </w:rPr>
        <w:footnoteReference w:id="2007"/>
      </w:r>
      <w:r>
        <w:rPr>
          <w:rFonts w:ascii="IRNazanin" w:hAnsi="IRNazanin" w:eastAsia="IRNazanin"/>
          <w:color w:val="111111"/>
          <w:sz w:val="28"/>
          <w:sz w:val="28"/>
          <w:szCs w:val="28"/>
          <w:rtl w:val="true"/>
          <w:lang w:bidi="fa-IR"/>
        </w:rPr>
        <w:t xml:space="preserve">،و أکثر ما تقدّم من المؤیّدات </w:t>
      </w:r>
      <w:r>
        <w:rPr>
          <w:rStyle w:val="FootnoteAnchor"/>
          <w:rtl w:val="true"/>
        </w:rPr>
        <w:footnoteReference w:id="2008"/>
      </w:r>
      <w:r>
        <w:rPr>
          <w:rFonts w:ascii="IRNazanin" w:hAnsi="IRNazanin" w:eastAsia="IRNazanin"/>
          <w:color w:val="111111"/>
          <w:sz w:val="28"/>
          <w:sz w:val="28"/>
          <w:szCs w:val="28"/>
          <w:rtl w:val="true"/>
          <w:lang w:bidi="fa-IR"/>
        </w:rPr>
        <w:t xml:space="preserve">،مع ظهور صحیحة ابن قیس المتقدّمة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7" w:name="__RefHeading___Toc5082922_2314609296"/>
      <w:bookmarkStart w:id="658" w:name="_Toc252"/>
      <w:bookmarkEnd w:id="657"/>
      <w:r>
        <w:rPr>
          <w:rtl w:val="true"/>
        </w:rPr>
        <w:t>[</w:t>
      </w:r>
      <w:r>
        <w:rPr>
          <w:rtl w:val="true"/>
        </w:rPr>
        <w:t>الإشکال علی صحة هذا البیع من وجوه</w:t>
      </w:r>
      <w:r>
        <w:rPr>
          <w:rtl w:val="true"/>
        </w:rPr>
        <w:t>]</w:t>
      </w:r>
      <w:bookmarkEnd w:id="658"/>
    </w:p>
    <w:p>
      <w:pPr>
        <w:pStyle w:val="BookText"/>
        <w:rPr/>
      </w:pPr>
      <w:r>
        <w:rPr>
          <w:rFonts w:ascii="IRNazanin" w:hAnsi="IRNazanin" w:eastAsia="IRNazanin"/>
          <w:color w:val="111111"/>
          <w:sz w:val="28"/>
          <w:sz w:val="28"/>
          <w:szCs w:val="28"/>
          <w:rtl w:val="true"/>
          <w:lang w:bidi="fa-IR"/>
        </w:rPr>
        <w:t xml:space="preserve">و لا وجه للفرق بینه و بین ما تقدّم من بیع الفضولی للمالک إلّا وجوه تظهر من کلمات جماعة،بعضها مختصّ ببیع </w:t>
      </w:r>
      <w:r>
        <w:rPr>
          <w:rStyle w:val="FootnoteAnchor"/>
          <w:rtl w:val="true"/>
        </w:rPr>
        <w:footnoteReference w:id="2010"/>
      </w:r>
      <w:r>
        <w:rPr>
          <w:rFonts w:ascii="IRNazanin" w:hAnsi="IRNazanin" w:eastAsia="IRNazanin"/>
          <w:color w:val="111111"/>
          <w:sz w:val="28"/>
          <w:sz w:val="28"/>
          <w:szCs w:val="28"/>
          <w:rtl w:val="true"/>
          <w:lang w:bidi="fa-IR"/>
        </w:rPr>
        <w:t>الغاصب،و بعضها مشترک بین جمیع صور المسألة</w:t>
      </w:r>
      <w:r>
        <w:rPr>
          <w:rFonts w:eastAsia="IRNazanin" w:cs="IRNazanin"/>
          <w:color w:val="111111"/>
          <w:sz w:val="28"/>
          <w:szCs w:val="28"/>
          <w:rtl w:val="true"/>
          <w:lang w:bidi="fa-IR"/>
        </w:rPr>
        <w:t>:</w:t>
      </w:r>
    </w:p>
    <w:p>
      <w:pPr>
        <w:pStyle w:val="Heading6"/>
        <w:numPr>
          <w:ilvl w:val="5"/>
          <w:numId w:val="1"/>
        </w:numPr>
        <w:rPr/>
      </w:pPr>
      <w:bookmarkStart w:id="659" w:name="__RefHeading___Toc5082924_2314609296"/>
      <w:bookmarkStart w:id="660" w:name="_Toc253"/>
      <w:bookmarkEnd w:id="659"/>
      <w:r>
        <w:rPr>
          <w:rtl w:val="true"/>
        </w:rPr>
        <w:t>[</w:t>
      </w:r>
      <w:r>
        <w:rPr>
          <w:rtl w:val="true"/>
        </w:rPr>
        <w:t>الوجه الأول و جوابه</w:t>
      </w:r>
      <w:r>
        <w:rPr>
          <w:rtl w:val="true"/>
        </w:rPr>
        <w:t>]</w:t>
      </w:r>
      <w:bookmarkEnd w:id="66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ما تقدّم من النبویین </w:t>
      </w:r>
      <w:r>
        <w:rPr>
          <w:rStyle w:val="FootnoteAnchor"/>
          <w:rtl w:val="true"/>
        </w:rPr>
        <w:footnoteReference w:id="2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غیرهما </w:t>
      </w:r>
      <w:r>
        <w:rPr>
          <w:rStyle w:val="FootnoteAnchor"/>
          <w:rtl w:val="true"/>
        </w:rPr>
        <w:footnoteReference w:id="2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اختصاص مورد الجمیع</w:t>
      </w:r>
      <w:bookmarkStart w:id="661" w:name="pg19763_248123"/>
    </w:p>
    <w:p>
      <w:pPr>
        <w:pStyle w:val="BookText"/>
        <w:rPr/>
      </w:pPr>
      <w:bookmarkEnd w:id="661"/>
      <w:r>
        <w:rPr>
          <w:rFonts w:ascii="IRNazanin" w:hAnsi="IRNazanin" w:eastAsia="IRNazanin"/>
          <w:color w:val="111111"/>
          <w:sz w:val="28"/>
          <w:sz w:val="28"/>
          <w:szCs w:val="28"/>
          <w:rtl w:val="true"/>
          <w:lang w:bidi="fa-IR"/>
        </w:rPr>
        <w:t>ببیع الفضولی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عنها یعرف ممّا تقدّم،من أنّ مضمونها عدم وقوع بیع غیر المالک لبائعه الغیر المالک،بلا تعرّضٍ فیها لوقوعه و عدمه بالنسبة إلی المالک إذا أجاز</w:t>
      </w:r>
      <w:r>
        <w:rPr>
          <w:rFonts w:eastAsia="IRNazanin" w:cs="IRNazanin"/>
          <w:color w:val="111111"/>
          <w:sz w:val="28"/>
          <w:szCs w:val="28"/>
          <w:rtl w:val="true"/>
          <w:lang w:bidi="fa-IR"/>
        </w:rPr>
        <w:t>.</w:t>
      </w:r>
    </w:p>
    <w:p>
      <w:pPr>
        <w:pStyle w:val="Heading6"/>
        <w:numPr>
          <w:ilvl w:val="5"/>
          <w:numId w:val="1"/>
        </w:numPr>
        <w:rPr/>
      </w:pPr>
      <w:bookmarkStart w:id="662" w:name="__RefHeading___Toc5082926_2314609296"/>
      <w:bookmarkStart w:id="663" w:name="_Toc254"/>
      <w:bookmarkEnd w:id="662"/>
      <w:r>
        <w:rPr>
          <w:rtl w:val="true"/>
        </w:rPr>
        <w:t>[</w:t>
      </w:r>
      <w:r>
        <w:rPr>
          <w:rtl w:val="true"/>
        </w:rPr>
        <w:t>الوجه الثانی و جوابه</w:t>
      </w:r>
      <w:r>
        <w:rPr>
          <w:rtl w:val="true"/>
        </w:rPr>
        <w:t>]</w:t>
      </w:r>
      <w:bookmarkEnd w:id="66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المسألة علی ما سبق من اعتبار عدم سبق منع المالک، و هذا غالباً مفقود فی المغصوب،و قد تقدّم عن المحقّق الکرکی أنّ الغصب قرینة عدم الرضا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الکلام فی الأعمّ من بیع الغاصب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الغصب أمارة عدم الرضا بالبیع للغاصب لا مطلقاً، فقد یرضی المالک ببیع الغاصب لتوقع الإجازة و تملّک الثمن،فلیس فی الغصب دلالة علی عدم الرضا بأصل البیع،بل الغاصب و غیره من هذه الجهة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سبق منع المالک غیر مؤثّر</w:t>
      </w:r>
      <w:r>
        <w:rPr>
          <w:rFonts w:eastAsia="IRNazanin" w:cs="IRNazanin"/>
          <w:color w:val="111111"/>
          <w:sz w:val="28"/>
          <w:szCs w:val="28"/>
          <w:rtl w:val="true"/>
          <w:lang w:bidi="fa-IR"/>
        </w:rPr>
        <w:t>.</w:t>
      </w:r>
    </w:p>
    <w:p>
      <w:pPr>
        <w:pStyle w:val="Heading6"/>
        <w:numPr>
          <w:ilvl w:val="5"/>
          <w:numId w:val="1"/>
        </w:numPr>
        <w:rPr/>
      </w:pPr>
      <w:bookmarkStart w:id="664" w:name="__RefHeading___Toc5082928_2314609296"/>
      <w:bookmarkStart w:id="665" w:name="_Toc255"/>
      <w:bookmarkEnd w:id="664"/>
      <w:r>
        <w:rPr>
          <w:rtl w:val="true"/>
        </w:rPr>
        <w:t>[</w:t>
      </w:r>
      <w:r>
        <w:rPr>
          <w:rtl w:val="true"/>
        </w:rPr>
        <w:t>الوجه الثالث و جوابه</w:t>
      </w:r>
      <w:r>
        <w:rPr>
          <w:rtl w:val="true"/>
        </w:rPr>
        <w:t>]</w:t>
      </w:r>
      <w:bookmarkEnd w:id="66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الفضولی إذا قصد إلی بیع مال الغیر لنفسه،لم </w:t>
      </w:r>
      <w:r>
        <w:rPr>
          <w:rStyle w:val="FootnoteAnchor"/>
          <w:rtl w:val="true"/>
        </w:rPr>
        <w:footnoteReference w:id="2014"/>
      </w:r>
      <w:r>
        <w:rPr>
          <w:rFonts w:ascii="IRNazanin" w:hAnsi="IRNazanin" w:eastAsia="IRNazanin"/>
          <w:color w:val="111111"/>
          <w:sz w:val="28"/>
          <w:sz w:val="28"/>
          <w:szCs w:val="28"/>
          <w:rtl w:val="true"/>
          <w:lang w:bidi="fa-IR"/>
        </w:rPr>
        <w:t>یقصد حقیقة المعاوضة؛إذ لا یعقل دخول أحد العوضین فی ملک من لم یخرج عن ملکه الآخر،فالمعاوضة الحقیقیّة غیر متصوّرة،فحقیقته یرجع إلی إعطاء المبیع و أخذ الثمن لنفسه،و هذا لیس بیعاً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اختصاصه ببیع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w:t>
      </w:r>
      <w:bookmarkStart w:id="666" w:name="pg19763_248124"/>
    </w:p>
    <w:p>
      <w:pPr>
        <w:pStyle w:val="BookText"/>
        <w:rPr/>
      </w:pPr>
      <w:bookmarkEnd w:id="666"/>
      <w:r>
        <w:rPr>
          <w:rFonts w:ascii="IRNazanin" w:hAnsi="IRNazanin" w:eastAsia="IRNazanin"/>
          <w:color w:val="111111"/>
          <w:sz w:val="28"/>
          <w:sz w:val="28"/>
          <w:szCs w:val="28"/>
          <w:rtl w:val="true"/>
          <w:lang w:bidi="fa-IR"/>
        </w:rPr>
        <w:t>المعاوضة الحقیقیّة مبنیّ علی جعل الغاصب نفسه مالکاً حقیقیّا و إن کان هذا الجعل لا حقیقة له،لکنّ المعاوضة المبنیّة علی هذا الأمر الغیر الحقیقی حقیقیّة،نظیر المجاز الادّعائی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باع لنفسه من دون بناء علی ملکیّة المثمن و لا اعتقاد له،کانت المعاملة باطلة غیر واقعة له و لا للمالک؛لعدم تحقّق معنی المعاوضة؛و لذا ذکروا أنّه لو اشتری بماله لغیره شیئاً بطل،و لم یقع له و لا لغیره،و المراد ما لو قصد تملّک الغیر للمبیع بإزاء مال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تخیّل بعض المحقّقین </w:t>
      </w:r>
      <w:r>
        <w:rPr>
          <w:rStyle w:val="FootnoteAnchor"/>
          <w:rtl w:val="true"/>
        </w:rPr>
        <w:footnoteReference w:id="2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البطلان هنا یستلزم البطلان للمقام،و هو ما لو باع مال غیره لنفسه؛لأنّه عکسه،و قد عرفت أنّ عکسه هو ما إذا قصد تملّک الثمن من دون بناءٍ و لا اعتقادٍ لتملّک المثمن؛لأنّ المفروض الکلام فی وقوع المعاملة للمالک إذا أجاز</w:t>
      </w:r>
      <w:r>
        <w:rPr>
          <w:rFonts w:eastAsia="IRNazanin" w:cs="IRNazanin"/>
          <w:color w:val="111111"/>
          <w:sz w:val="28"/>
          <w:szCs w:val="28"/>
          <w:rtl w:val="true"/>
          <w:lang w:bidi="fa-IR"/>
        </w:rPr>
        <w:t>.</w:t>
      </w:r>
    </w:p>
    <w:p>
      <w:pPr>
        <w:pStyle w:val="Heading6"/>
        <w:numPr>
          <w:ilvl w:val="5"/>
          <w:numId w:val="1"/>
        </w:numPr>
        <w:rPr/>
      </w:pPr>
      <w:bookmarkStart w:id="667" w:name="__RefHeading___Toc5082930_2314609296"/>
      <w:bookmarkStart w:id="668" w:name="_Toc256"/>
      <w:bookmarkEnd w:id="667"/>
      <w:r>
        <w:rPr>
          <w:rtl w:val="true"/>
        </w:rPr>
        <w:t>[</w:t>
      </w:r>
      <w:r>
        <w:rPr>
          <w:rtl w:val="true"/>
        </w:rPr>
        <w:t>الوجه الرابع و المناقشات فیه و الجواب عنها</w:t>
      </w:r>
      <w:r>
        <w:rPr>
          <w:rtl w:val="true"/>
        </w:rPr>
        <w:t>]</w:t>
      </w:r>
      <w:bookmarkEnd w:id="66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الفضولی إذا قصد البیع لنفسه،فإن تعلّقت إجازة المالک بهذا الذی قصده البائع کان منافیاً لصحّة العقد؛لأنّ معناها هو صیرورة الثمن لمالک المثمن بإجازته،و إن تعلّقت بغیر المقصود کانت بعقد مستأنف،لا إمضاءً لنقل الفضولی،فیکون النقل من المنشئ غیر مجاز،و المجاز غیر مُنشَأ</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أجاب المحقّق القمّی رحمه اللّه عن هذا </w:t>
      </w:r>
      <w:r>
        <w:rPr>
          <w:rStyle w:val="FootnoteAnchor"/>
          <w:rtl w:val="true"/>
        </w:rPr>
        <w:footnoteReference w:id="2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أجوبة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الإجازة فی هذه الصورة مصحّحة للبیع،لا بمعنی لحوق الإجازة لنفس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الفضولی المعهود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تبدیل رضا</w:t>
      </w:r>
    </w:p>
    <w:p>
      <w:pPr>
        <w:pStyle w:val="BookText"/>
        <w:rPr/>
      </w:pPr>
      <w:r>
        <w:rPr>
          <w:rFonts w:ascii="IRNazanin" w:hAnsi="IRNazanin" w:eastAsia="IRNazanin"/>
          <w:color w:val="111111"/>
          <w:sz w:val="28"/>
          <w:sz w:val="28"/>
          <w:szCs w:val="28"/>
          <w:rtl w:val="true"/>
          <w:lang w:bidi="fa-IR"/>
        </w:rPr>
        <w:t xml:space="preserve">الغاصب و بیعه لنفسه برضا المالک و وقوع البیع عنه </w:t>
      </w:r>
      <w:r>
        <w:rPr>
          <w:rStyle w:val="FootnoteAnchor"/>
          <w:rtl w:val="true"/>
        </w:rPr>
        <w:footnoteReference w:id="2017"/>
      </w:r>
      <w:r>
        <w:rPr>
          <w:rFonts w:ascii="IRNazanin" w:hAnsi="IRNazanin" w:eastAsia="IRNazanin"/>
          <w:color w:val="111111"/>
          <w:sz w:val="28"/>
          <w:sz w:val="28"/>
          <w:szCs w:val="28"/>
          <w:rtl w:val="true"/>
          <w:lang w:bidi="fa-IR"/>
        </w:rPr>
        <w:t xml:space="preserve">،و قال نظیر ذلک فیما لو باع شیئاً ثمّ ملکه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صرّح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حاصل الإجازة یرجع إلی أنّ العقد الذی قُصد إلی کونه واقعاً علی المال المعیّن لنفس البائع الغاصب و المشتری العالم قد بدّلتُه علی کونه </w:t>
      </w:r>
      <w:r>
        <w:rPr>
          <w:rStyle w:val="FootnoteAnchor"/>
          <w:rtl w:val="true"/>
        </w:rPr>
        <w:footnoteReference w:id="2019"/>
      </w:r>
      <w:r>
        <w:rPr>
          <w:rFonts w:ascii="IRNazanin" w:hAnsi="IRNazanin" w:eastAsia="IRNazanin"/>
          <w:color w:val="111111"/>
          <w:sz w:val="28"/>
          <w:sz w:val="28"/>
          <w:szCs w:val="28"/>
          <w:rtl w:val="true"/>
          <w:lang w:bidi="fa-IR"/>
        </w:rPr>
        <w:t xml:space="preserve">علی هذا الملک بعینه لنفسی، فیکون عقداً جدیداً،کما هو أحد الأقوال فی الإجازة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الإجازة علی هذا تصیر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معاوضة جدیدة من طرف المجیز و المشتری؛لأنّ المفروض عدم رضا المشتری ثانیاً بالتبدیل المذکور؛لأنّ قصد البائع البیع لنفسه إذا فرض تأثیره فی مغایرة العقد الواقع للعقد المجاز،فالمشتری إنّما رضی </w:t>
      </w:r>
      <w:r>
        <w:rPr>
          <w:rStyle w:val="FootnoteAnchor"/>
          <w:rtl w:val="true"/>
        </w:rPr>
        <w:footnoteReference w:id="2021"/>
      </w:r>
      <w:r>
        <w:rPr>
          <w:rFonts w:ascii="IRNazanin" w:hAnsi="IRNazanin" w:eastAsia="IRNazanin"/>
          <w:color w:val="111111"/>
          <w:sz w:val="28"/>
          <w:sz w:val="28"/>
          <w:szCs w:val="28"/>
          <w:rtl w:val="true"/>
          <w:lang w:bidi="fa-IR"/>
        </w:rPr>
        <w:t xml:space="preserve">بذلک الإیجاب المغایر لمؤدّی الإجازة،فإذا التزم بکون مرجع الإجازة إلی تبدیل عقد بعقد،و بعدم الحاجة إلی قبول </w:t>
      </w:r>
      <w:r>
        <w:rPr>
          <w:rStyle w:val="FootnoteAnchor"/>
          <w:rtl w:val="true"/>
        </w:rPr>
        <w:footnoteReference w:id="2022"/>
      </w:r>
      <w:r>
        <w:rPr>
          <w:rFonts w:ascii="IRNazanin" w:hAnsi="IRNazanin" w:eastAsia="IRNazanin"/>
          <w:color w:val="111111"/>
          <w:sz w:val="28"/>
          <w:sz w:val="28"/>
          <w:szCs w:val="28"/>
          <w:rtl w:val="true"/>
          <w:lang w:bidi="fa-IR"/>
        </w:rPr>
        <w:t>المشتری ثانیاً،فقد قامت الإجازة من المالک مقام إیجابه و قبول المشتری،و هذا خلاف الإجماع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القول بکون الإجازة عقداً مستأنفاً،فلم یعهد من أحد من العلماء و غیرهم،و إنّما حکی کاشف الرموز عن شیخه </w:t>
      </w:r>
      <w:r>
        <w:rPr>
          <w:rStyle w:val="FootnoteAnchor"/>
          <w:rtl w:val="true"/>
        </w:rPr>
        <w:footnoteReference w:id="2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الإجازة من مالک المبیع بیع مستقلّ فهو بیع بغیر لفظ البیع قائم </w:t>
      </w:r>
      <w:r>
        <w:rPr>
          <w:rStyle w:val="FootnoteAnchor"/>
          <w:rtl w:val="true"/>
        </w:rPr>
        <w:footnoteReference w:id="2024"/>
      </w:r>
      <w:r>
        <w:rPr>
          <w:rFonts w:ascii="IRNazanin" w:hAnsi="IRNazanin" w:eastAsia="IRNazanin"/>
          <w:color w:val="111111"/>
          <w:sz w:val="28"/>
          <w:sz w:val="28"/>
          <w:szCs w:val="28"/>
          <w:rtl w:val="true"/>
          <w:lang w:bidi="fa-IR"/>
        </w:rPr>
        <w:t xml:space="preserve">مقام إیجاب البائع،و ینضمّ إلیه القبول المتقدّم </w:t>
      </w:r>
      <w:r>
        <w:rPr>
          <w:rStyle w:val="FootnoteAnchor"/>
          <w:rtl w:val="true"/>
        </w:rPr>
        <w:footnoteReference w:id="2025"/>
      </w:r>
      <w:r>
        <w:rPr>
          <w:rFonts w:ascii="IRNazanin" w:hAnsi="IRNazanin" w:eastAsia="IRNazanin"/>
          <w:color w:val="111111"/>
          <w:sz w:val="28"/>
          <w:sz w:val="28"/>
          <w:szCs w:val="28"/>
          <w:rtl w:val="true"/>
          <w:lang w:bidi="fa-IR"/>
        </w:rPr>
        <w:t xml:space="preserve">من المشتری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لا یجری فیما نحن فیه؛لأنّه إذا قصد البائع البیع لنفسه فقد قصد المشتری تملیک الثمن للبائع و تملّک المبیع منه،فإذا بنی علی کون وقوع البیع للمالک مغایراً لما وقع،فلا بدّ له </w:t>
      </w:r>
      <w:r>
        <w:rPr>
          <w:rStyle w:val="FootnoteAnchor"/>
          <w:rtl w:val="true"/>
        </w:rPr>
        <w:footnoteReference w:id="2027"/>
      </w:r>
      <w:r>
        <w:rPr>
          <w:rFonts w:ascii="IRNazanin" w:hAnsi="IRNazanin" w:eastAsia="IRNazanin"/>
          <w:color w:val="111111"/>
          <w:sz w:val="28"/>
          <w:sz w:val="28"/>
          <w:szCs w:val="28"/>
          <w:rtl w:val="true"/>
          <w:lang w:bidi="fa-IR"/>
        </w:rPr>
        <w:t>من قبول آخر،فالاکتفاء عنه بمجرّد إجازة البائع الراجعة إلی تبدیل البیع للغاصب بالبیع لنفسه، التزام بکفایة رضا البائع و إنشائه عن رضا المشتری و إنشائه،و هذا ما ذکرنا أنّه خلاف الإجماع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مغایرة ما وقع لما أُجیز،و توضیحه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البائع الفضولی إنّما قصد تملیک المثمن للمشتری بإزاء الثمن، و أمّا کون الثمن مالاً له أو لغیره،فإیجاب البیع ساکت عنه،فیرجع فیه</w:t>
      </w:r>
    </w:p>
    <w:p>
      <w:pPr>
        <w:pStyle w:val="BookText"/>
        <w:rPr/>
      </w:pPr>
      <w:r>
        <w:rPr>
          <w:rFonts w:ascii="IRNazanin" w:hAnsi="IRNazanin" w:eastAsia="IRNazanin"/>
          <w:color w:val="111111"/>
          <w:sz w:val="28"/>
          <w:sz w:val="28"/>
          <w:szCs w:val="28"/>
          <w:rtl w:val="true"/>
          <w:lang w:bidi="fa-IR"/>
        </w:rPr>
        <w:t xml:space="preserve">إلی ما یقتضیه مفهوم المعاوضة من دخول العوض فی ملک مالک المعوّض؛تحقیقاً لمعنی المعاوضة و المبادلة،و حیث إنّ البائع یملِّک المثمن بانیاً علی تملّکه له و تسلطه علیه عدواناً أو اعتقاداً،لزم من ذلک بناؤه علی تملّک الثمن و التسلّط علیه،و هذا معنی قصد بیعه لنفسه،و حیث إنّ المثمن ملک لمالکه واقعاً فإذا أجاز المعاوضة انتقل عوضه إلیه،فعلم من ذلک أنّ قصد البائع البیع لنفسه غیر مأخوذ فی مفهوم الإیجاب حتّی یتردّد </w:t>
      </w:r>
      <w:r>
        <w:rPr>
          <w:rStyle w:val="FootnoteAnchor"/>
          <w:rtl w:val="true"/>
        </w:rPr>
        <w:footnoteReference w:id="2028"/>
      </w:r>
      <w:r>
        <w:rPr>
          <w:rFonts w:ascii="IRNazanin" w:hAnsi="IRNazanin" w:eastAsia="IRNazanin"/>
          <w:color w:val="111111"/>
          <w:sz w:val="28"/>
          <w:sz w:val="28"/>
          <w:szCs w:val="28"/>
          <w:rtl w:val="true"/>
          <w:lang w:bidi="fa-IR"/>
        </w:rPr>
        <w:t>الأمر فی هذا المقام بین المحذورین المذکورین،بل مفهوم الإیجاب هو تملیک المثمن بعوض من دون تعرّضٍ فیه لمن یرجع إلیه العوض،إلّا باقتضاء المعاوضة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یشکل فیما إذا فرضنا الفضولی مشتریاً لنفسه بمال الغیر فقال للبائع الأصیل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الثوب بهذه الدراهم؛فإنّ مفهوم هذا الإنشاء هو تملّک </w:t>
      </w:r>
      <w:r>
        <w:rPr>
          <w:rStyle w:val="FootnoteAnchor"/>
          <w:rtl w:val="true"/>
        </w:rPr>
        <w:footnoteReference w:id="2029"/>
      </w:r>
      <w:r>
        <w:rPr>
          <w:rFonts w:ascii="IRNazanin" w:hAnsi="IRNazanin" w:eastAsia="IRNazanin"/>
          <w:color w:val="111111"/>
          <w:sz w:val="28"/>
          <w:sz w:val="28"/>
          <w:szCs w:val="28"/>
          <w:rtl w:val="true"/>
          <w:lang w:bidi="fa-IR"/>
        </w:rPr>
        <w:t>الفضولی للثوب،فلا مورد لإجازة مالک الدراهم علی وجه ینتقل الثوب إلیه،فلا بدّ من التزام کون الإجازة نقلاً مستأنفاً غیر ما أنشأه الفضولی الغاصب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بالجملة،فنسبة </w:t>
      </w:r>
      <w:r>
        <w:rPr>
          <w:rStyle w:val="FootnoteAnchor"/>
          <w:rtl w:val="true"/>
        </w:rPr>
        <w:footnoteReference w:id="2030"/>
      </w:r>
      <w:r>
        <w:rPr>
          <w:rFonts w:ascii="IRNazanin" w:hAnsi="IRNazanin" w:eastAsia="IRNazanin"/>
          <w:color w:val="111111"/>
          <w:sz w:val="28"/>
          <w:sz w:val="28"/>
          <w:szCs w:val="28"/>
          <w:rtl w:val="true"/>
          <w:lang w:bidi="fa-IR"/>
        </w:rPr>
        <w:t xml:space="preserve">المتکلّم الفضولی ملک </w:t>
      </w:r>
      <w:r>
        <w:rPr>
          <w:rStyle w:val="FootnoteAnchor"/>
          <w:rtl w:val="true"/>
        </w:rPr>
        <w:footnoteReference w:id="2031"/>
      </w:r>
      <w:r>
        <w:rPr>
          <w:rFonts w:ascii="IRNazanin" w:hAnsi="IRNazanin" w:eastAsia="IRNazanin"/>
          <w:color w:val="111111"/>
          <w:sz w:val="28"/>
          <w:sz w:val="28"/>
          <w:szCs w:val="28"/>
          <w:rtl w:val="true"/>
          <w:lang w:bidi="fa-IR"/>
        </w:rPr>
        <w:t>المثمن إلی نفسه بقوله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ملکت أو تملّکت،کإیقاع المتکلّم الأصلی التملیک علی المخاطب الفضولی</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هذا الثوب بهذه الدراهم مع علمه بکون الدراهم لغیره أو جهله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استشکل العلّامة رحمه اللّه فی التذکرة،حیث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باع الفضولی مع جهل الآخر فإشکال،من أنّ الآخر إنّما قصد تملیک العاقد </w:t>
      </w:r>
      <w:r>
        <w:rPr>
          <w:rStyle w:val="FootnoteAnchor"/>
          <w:rtl w:val="true"/>
        </w:rPr>
        <w:footnoteReference w:id="2032"/>
      </w:r>
      <w:r>
        <w:rPr>
          <w:rFonts w:ascii="IRNazanin" w:hAnsi="IRNazanin" w:eastAsia="IRNazanin"/>
          <w:color w:val="111111"/>
          <w:sz w:val="28"/>
          <w:sz w:val="28"/>
          <w:szCs w:val="28"/>
          <w:rtl w:val="true"/>
          <w:lang w:bidi="fa-IR"/>
        </w:rPr>
        <w:t xml:space="preserve">،و لا ینتقض بما لو جهل الآخر وکالة العاقد أو ولایته؛لأنّه حینئذٍ إنّما یقصد به المخاطب بعنوانه الأعمّ من کونه أصلیّاً أو نائباً،و لذا یجوز مخاطبته و إسناد الملک </w:t>
      </w:r>
      <w:r>
        <w:rPr>
          <w:rStyle w:val="FootnoteAnchor"/>
          <w:rtl w:val="true"/>
        </w:rPr>
        <w:footnoteReference w:id="2033"/>
      </w:r>
      <w:r>
        <w:rPr>
          <w:rFonts w:ascii="IRNazanin" w:hAnsi="IRNazanin" w:eastAsia="IRNazanin"/>
          <w:color w:val="111111"/>
          <w:sz w:val="28"/>
          <w:sz w:val="28"/>
          <w:szCs w:val="28"/>
          <w:rtl w:val="true"/>
          <w:lang w:bidi="fa-IR"/>
        </w:rPr>
        <w:t>إلیه مع علمه بکونه نائباً،و لیس إلّا بملاحظة المخاطب باعتبار کونه نائباً،فإذا صحّ اعتباره نائباً صحّ اعتباره علی الوجه الأعمّ من کونه نائباً أو أصلیاً،أمّا الفضولی فهو أجنبی عن المالک لا یمکن فیه ذلک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تفطّن بعض المعاصرین </w:t>
      </w:r>
      <w:r>
        <w:rPr>
          <w:rStyle w:val="FootnoteAnchor"/>
          <w:rtl w:val="true"/>
        </w:rPr>
        <w:footnoteReference w:id="2034"/>
      </w:r>
      <w:r>
        <w:rPr>
          <w:rFonts w:ascii="IRNazanin" w:hAnsi="IRNazanin" w:eastAsia="IRNazanin"/>
          <w:color w:val="111111"/>
          <w:sz w:val="28"/>
          <w:sz w:val="28"/>
          <w:szCs w:val="28"/>
          <w:rtl w:val="true"/>
          <w:lang w:bidi="fa-IR"/>
        </w:rPr>
        <w:t>لهذا الإشکال فی بعض کلماته، فالتزم تارة ببطلان شراء الغاصب لنفسه،مع أنّه لا یخفی مخالفته للفتاوی و أکثر النصوص المتقدّمة فی المسألة کما اعترف به أخیراً، و أُخری بأنّ الإجازة إنّما تتعلّق بنفس مبادلة العوضین و إن کانت خصوصیّة ملک المشتری الغاصب للمثمن مأخوذة فیها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العقد فی العبارة التی ذکرناها فی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 المشتری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 أو ملکت هذا منک بهذه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إنشاء تملّکه للمبیع،فإجازة هذا الإنشاء لا یحصل بها تملّک المالک</w:t>
      </w:r>
    </w:p>
    <w:p>
      <w:pPr>
        <w:pStyle w:val="BookText"/>
        <w:rPr/>
      </w:pPr>
      <w:r>
        <w:rPr>
          <w:rFonts w:ascii="IRNazanin" w:hAnsi="IRNazanin" w:eastAsia="IRNazanin"/>
          <w:color w:val="111111"/>
          <w:sz w:val="28"/>
          <w:sz w:val="28"/>
          <w:szCs w:val="28"/>
          <w:rtl w:val="true"/>
          <w:lang w:bidi="fa-IR"/>
        </w:rPr>
        <w:t xml:space="preserve">الأصلی له،بل یتوقّف </w:t>
      </w:r>
      <w:r>
        <w:rPr>
          <w:rStyle w:val="FootnoteAnchor"/>
          <w:rtl w:val="true"/>
        </w:rPr>
        <w:footnoteReference w:id="2035"/>
      </w:r>
      <w:r>
        <w:rPr>
          <w:rFonts w:ascii="IRNazanin" w:hAnsi="IRNazanin" w:eastAsia="IRNazanin"/>
          <w:color w:val="111111"/>
          <w:sz w:val="28"/>
          <w:sz w:val="28"/>
          <w:szCs w:val="28"/>
          <w:rtl w:val="true"/>
          <w:lang w:bidi="fa-IR"/>
        </w:rPr>
        <w:t>علی نقل مستأنف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فالأنسب فی التفصّی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نسبة الملک </w:t>
      </w:r>
      <w:r>
        <w:rPr>
          <w:rStyle w:val="FootnoteAnchor"/>
          <w:rtl w:val="true"/>
        </w:rPr>
        <w:footnoteReference w:id="2036"/>
      </w:r>
      <w:r>
        <w:rPr>
          <w:rFonts w:ascii="IRNazanin" w:hAnsi="IRNazanin" w:eastAsia="IRNazanin"/>
          <w:color w:val="111111"/>
          <w:sz w:val="28"/>
          <w:sz w:val="28"/>
          <w:szCs w:val="28"/>
          <w:rtl w:val="true"/>
          <w:lang w:bidi="fa-IR"/>
        </w:rPr>
        <w:t>إلی الفضولی العاقد لنفسه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 غیره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حیث هو،بل من حیث جعل نفسه مالکاً للثمن اعتقاداً أو عدواناً؛و لذا لو عقد لنفسه من دون البناء علی مالکیّته للثمن </w:t>
      </w:r>
      <w:r>
        <w:rPr>
          <w:rStyle w:val="FootnoteAnchor"/>
          <w:rtl w:val="true"/>
        </w:rPr>
        <w:footnoteReference w:id="2037"/>
      </w:r>
      <w:r>
        <w:rPr>
          <w:rFonts w:ascii="IRNazanin" w:hAnsi="IRNazanin" w:eastAsia="IRNazanin"/>
          <w:color w:val="111111"/>
          <w:sz w:val="28"/>
          <w:sz w:val="28"/>
          <w:szCs w:val="28"/>
          <w:rtl w:val="true"/>
          <w:lang w:bidi="fa-IR"/>
        </w:rPr>
        <w:t>التزمنا بلغویّته؛ضرورة عدم تحقّق مفهوم المبادلة بتملّک شخص المال بإزاء مال غیره،فالمبادلة الحقیقیة من العاقد لنفسه لا یکون إلّا إذا کان مالکاً حقیقیاً أو ادّعائیاً،فلو لم یکن أحدهما و عقد لنفسه لم یتحقّق المعاوضة و المبادلة حقیقة،فإذا قال الفضولی الغاصب المشتری لنفسه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 منک کذا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فالمنسوب إلیه التملّک إنّما هو المتکلّم لا من حیث هو،بل من حیث عدّ نفسه مالکاً اعتقاداً أو عدواناً،و حیث إنّ الثابت للشیء من حیثیة تقییدیة ثابت لنفس تلک الحیثیة،فالمسند إلیه التملّک حقیقة هو المالک للثمن </w:t>
      </w:r>
      <w:r>
        <w:rPr>
          <w:rStyle w:val="FootnoteAnchor"/>
          <w:rtl w:val="true"/>
        </w:rPr>
        <w:footnoteReference w:id="2038"/>
      </w:r>
      <w:r>
        <w:rPr>
          <w:rFonts w:ascii="Amiri" w:hAnsi="Amiri" w:eastAsia="Amiri" w:cs="Amiri"/>
          <w:color w:val="111111"/>
          <w:sz w:val="28"/>
          <w:sz w:val="28"/>
          <w:szCs w:val="28"/>
          <w:rtl w:val="true"/>
          <w:lang w:bidi="ar-SA"/>
        </w:rPr>
        <w:t xml:space="preserve">،إلّا أنّ الفضولی لمّا بنی علی أنّه </w:t>
      </w:r>
      <w:r>
        <w:rPr>
          <w:rStyle w:val="FootnoteAnchor"/>
          <w:rtl w:val="true"/>
        </w:rPr>
        <w:footnoteReference w:id="2039"/>
      </w:r>
      <w:r>
        <w:rPr>
          <w:rFonts w:ascii="IRNazanin" w:hAnsi="IRNazanin" w:eastAsia="IRNazanin"/>
          <w:color w:val="111111"/>
          <w:sz w:val="28"/>
          <w:sz w:val="28"/>
          <w:szCs w:val="28"/>
          <w:rtl w:val="true"/>
          <w:lang w:bidi="fa-IR"/>
        </w:rPr>
        <w:t xml:space="preserve">المالک المسلّط علی الثمن </w:t>
      </w:r>
      <w:r>
        <w:rPr>
          <w:rStyle w:val="FootnoteAnchor"/>
          <w:rtl w:val="true"/>
        </w:rPr>
        <w:footnoteReference w:id="2040"/>
      </w:r>
      <w:r>
        <w:rPr>
          <w:rFonts w:ascii="IRNazanin" w:hAnsi="IRNazanin" w:eastAsia="IRNazanin"/>
          <w:color w:val="111111"/>
          <w:sz w:val="28"/>
          <w:sz w:val="28"/>
          <w:szCs w:val="28"/>
          <w:rtl w:val="true"/>
          <w:lang w:bidi="fa-IR"/>
        </w:rPr>
        <w:t>أسند ملک المثمن الذی هو بدل الثمن إلی</w:t>
      </w:r>
    </w:p>
    <w:p>
      <w:pPr>
        <w:pStyle w:val="BookText"/>
        <w:rPr/>
      </w:pPr>
      <w:r>
        <w:rPr>
          <w:rFonts w:ascii="IRNazanin" w:hAnsi="IRNazanin" w:eastAsia="IRNazanin"/>
          <w:color w:val="111111"/>
          <w:sz w:val="28"/>
          <w:sz w:val="28"/>
          <w:szCs w:val="28"/>
          <w:rtl w:val="true"/>
          <w:lang w:bidi="fa-IR"/>
        </w:rPr>
        <w:t xml:space="preserve">نفسه،فالإجازة الحاصلة من المالک متعلّقة بإنشاء الفضولی و هو التملّک المسند إلی مالک الثمن </w:t>
      </w:r>
      <w:r>
        <w:rPr>
          <w:rStyle w:val="FootnoteAnchor"/>
          <w:rtl w:val="true"/>
        </w:rPr>
        <w:footnoteReference w:id="2041"/>
      </w:r>
      <w:r>
        <w:rPr>
          <w:rFonts w:ascii="IRNazanin" w:hAnsi="IRNazanin" w:eastAsia="IRNazanin"/>
          <w:color w:val="111111"/>
          <w:sz w:val="28"/>
          <w:sz w:val="28"/>
          <w:szCs w:val="28"/>
          <w:rtl w:val="true"/>
          <w:lang w:bidi="fa-IR"/>
        </w:rPr>
        <w:t xml:space="preserve">،و هو حقیقة نفس المجیز،فیلزم من ذلک انتقال المثمن </w:t>
      </w:r>
      <w:r>
        <w:rPr>
          <w:rStyle w:val="FootnoteAnchor"/>
          <w:rtl w:val="true"/>
        </w:rPr>
        <w:footnoteReference w:id="2042"/>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هذا،مع أنّه ربما یلتزم صحّة أن یکون الإجازة لعقد الفضولی موجبة لصیرورة العوض ملکاً للفضولی،ذکره شیخ مشایخنا فی شرحه علی القواعد </w:t>
      </w:r>
      <w:r>
        <w:rPr>
          <w:rStyle w:val="FootnoteAnchor"/>
          <w:rtl w:val="true"/>
        </w:rPr>
        <w:footnoteReference w:id="2043"/>
      </w:r>
      <w:r>
        <w:rPr>
          <w:rFonts w:ascii="IRNazanin" w:hAnsi="IRNazanin" w:eastAsia="IRNazanin"/>
          <w:color w:val="111111"/>
          <w:sz w:val="28"/>
          <w:sz w:val="28"/>
          <w:szCs w:val="28"/>
          <w:rtl w:val="true"/>
          <w:lang w:bidi="fa-IR"/>
        </w:rPr>
        <w:t xml:space="preserve">،و تبعه غیر واحد من أجلّاء تلامذته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بعضهم </w:t>
      </w:r>
      <w:r>
        <w:rPr>
          <w:rStyle w:val="FootnoteAnchor"/>
          <w:rtl w:val="true"/>
        </w:rPr>
        <w:footnoteReference w:id="2045"/>
      </w:r>
      <w:r>
        <w:rPr>
          <w:rFonts w:ascii="IRNazanin" w:hAnsi="IRNazanin" w:eastAsia="IRNazanin"/>
          <w:color w:val="111111"/>
          <w:sz w:val="28"/>
          <w:sz w:val="28"/>
          <w:szCs w:val="28"/>
          <w:rtl w:val="true"/>
          <w:lang w:bidi="fa-IR"/>
        </w:rPr>
        <w:t>فی ذلک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بیع مال الغیر عن نفسه و الشراء بمال الغیر لنفسه،جعل ذلک المال له ضمناً،حتّی أنّه علی فرض صحّة ذلک البیع أو </w:t>
      </w:r>
      <w:r>
        <w:rPr>
          <w:rStyle w:val="FootnoteAnchor"/>
          <w:rtl w:val="true"/>
        </w:rPr>
        <w:footnoteReference w:id="2046"/>
      </w:r>
      <w:r>
        <w:rPr>
          <w:rFonts w:ascii="IRNazanin" w:hAnsi="IRNazanin" w:eastAsia="IRNazanin"/>
          <w:color w:val="111111"/>
          <w:sz w:val="28"/>
          <w:sz w:val="28"/>
          <w:szCs w:val="28"/>
          <w:rtl w:val="true"/>
          <w:lang w:bidi="fa-IR"/>
        </w:rPr>
        <w:t xml:space="preserve">الشراء تملّکه </w:t>
      </w:r>
      <w:r>
        <w:rPr>
          <w:rStyle w:val="FootnoteAnchor"/>
          <w:rtl w:val="true"/>
        </w:rPr>
        <w:footnoteReference w:id="2047"/>
      </w:r>
      <w:r>
        <w:rPr>
          <w:rFonts w:ascii="IRNazanin" w:hAnsi="IRNazanin" w:eastAsia="IRNazanin"/>
          <w:color w:val="111111"/>
          <w:sz w:val="28"/>
          <w:sz w:val="28"/>
          <w:szCs w:val="28"/>
          <w:rtl w:val="true"/>
          <w:lang w:bidi="fa-IR"/>
        </w:rPr>
        <w:t xml:space="preserve">قبل آن </w:t>
      </w:r>
      <w:r>
        <w:rPr>
          <w:rStyle w:val="FootnoteAnchor"/>
          <w:rtl w:val="true"/>
        </w:rPr>
        <w:footnoteReference w:id="2048"/>
      </w:r>
      <w:r>
        <w:rPr>
          <w:rFonts w:ascii="IRNazanin" w:hAnsi="IRNazanin" w:eastAsia="IRNazanin"/>
          <w:color w:val="111111"/>
          <w:sz w:val="28"/>
          <w:sz w:val="28"/>
          <w:szCs w:val="28"/>
          <w:rtl w:val="true"/>
          <w:lang w:bidi="fa-IR"/>
        </w:rPr>
        <w:t>انتقاله إلی غیره،لیکون انتقاله إلیه عن ملکه،نظیر 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مالی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لک بمالی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تملیک ضمنیّ حاصل ببیعه أو الشراء</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فی المقام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أجاز المالک صحّ البیع أو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الشراء، و صحّته تتضمّن انتقاله إلیه حین البیع أو الشراء،فکما أنّ الإجازة</w:t>
      </w:r>
    </w:p>
    <w:p>
      <w:pPr>
        <w:pStyle w:val="BookText"/>
        <w:rPr/>
      </w:pPr>
      <w:r>
        <w:rPr>
          <w:rFonts w:ascii="IRNazanin" w:hAnsi="IRNazanin" w:eastAsia="IRNazanin"/>
          <w:color w:val="111111"/>
          <w:sz w:val="28"/>
          <w:sz w:val="28"/>
          <w:szCs w:val="28"/>
          <w:rtl w:val="true"/>
          <w:lang w:bidi="fa-IR"/>
        </w:rPr>
        <w:t xml:space="preserve">المذکورة تصحّح البیع أو الشراء،کذلک تقضی بحصول الانتقال الذی یتضمّنه البیع الصحیح،فتلک الإجازة اللاحقة قائمة مقام الإذن السابق، قاضیة بتملیکه </w:t>
      </w:r>
      <w:r>
        <w:rPr>
          <w:rStyle w:val="FootnoteAnchor"/>
          <w:rtl w:val="true"/>
        </w:rPr>
        <w:footnoteReference w:id="2049"/>
      </w:r>
      <w:r>
        <w:rPr>
          <w:rFonts w:ascii="IRNazanin" w:hAnsi="IRNazanin" w:eastAsia="IRNazanin"/>
          <w:color w:val="111111"/>
          <w:sz w:val="28"/>
          <w:sz w:val="28"/>
          <w:szCs w:val="28"/>
          <w:rtl w:val="true"/>
          <w:lang w:bidi="fa-IR"/>
        </w:rPr>
        <w:t>المبیع؛لیقع البیع فی ملکه،و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اشتراط کون أحد العوضین ملکاً للعاقد فی انتقال بدله إلیه،بل یکفی أن یکون مأذوناً فی بیعه لنفسه أو الشراء به،فلو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هذا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لک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الثمن فی الصورة الأُولی بانتقال المبیع عن مالکه إلی المشتری،و کذا ملک المثمن </w:t>
      </w:r>
      <w:r>
        <w:rPr>
          <w:rStyle w:val="FootnoteAnchor"/>
          <w:rtl w:val="true"/>
        </w:rPr>
        <w:footnoteReference w:id="2050"/>
      </w:r>
      <w:r>
        <w:rPr>
          <w:rFonts w:ascii="IRNazanin" w:hAnsi="IRNazanin" w:eastAsia="IRNazanin"/>
          <w:color w:val="111111"/>
          <w:sz w:val="28"/>
          <w:sz w:val="28"/>
          <w:szCs w:val="28"/>
          <w:rtl w:val="true"/>
          <w:lang w:bidi="fa-IR"/>
        </w:rPr>
        <w:t>فی الصورة الثانیة،و یتفرّع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اتّفق بعد ذلک فسخ المعاوضة رجع الملک إلی مالکه،دون العاقد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 الوجهین نظر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2051"/>
      </w:r>
      <w:r>
        <w:rPr>
          <w:rFonts w:ascii="IRNazanin" w:hAnsi="IRNazanin" w:eastAsia="IRNazanin"/>
          <w:color w:val="111111"/>
          <w:sz w:val="28"/>
          <w:sz w:val="28"/>
          <w:szCs w:val="28"/>
          <w:rtl w:val="true"/>
          <w:lang w:bidi="fa-IR"/>
        </w:rPr>
        <w:t xml:space="preserve">الأوّل،فلأنّ صحّة الإذن فی بیع المال لنفسه أو الشراء لنفسه ممنوعة،کما تقدّم فی بعض فروع المعاطاة </w:t>
      </w:r>
      <w:r>
        <w:rPr>
          <w:rStyle w:val="FootnoteAnchor"/>
          <w:rtl w:val="true"/>
        </w:rPr>
        <w:footnoteReference w:id="2052"/>
      </w:r>
      <w:r>
        <w:rPr>
          <w:rFonts w:ascii="IRNazanin" w:hAnsi="IRNazanin" w:eastAsia="IRNazanin"/>
          <w:color w:val="111111"/>
          <w:sz w:val="28"/>
          <w:sz w:val="28"/>
          <w:szCs w:val="28"/>
          <w:rtl w:val="true"/>
          <w:lang w:bidi="fa-IR"/>
        </w:rPr>
        <w:t>،مع أنّ قیاس الإجازة علی الإذن قیاس مع الفارق؛لأنّ الإذن فی البیع یحتمل فیه أن یوجب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الملک آناً ما قبل البیع،بخلاف الإجازة؛فإنّها لا تتعلّق إلّا بما وقع </w:t>
      </w:r>
      <w:r>
        <w:rPr>
          <w:rStyle w:val="FootnoteAnchor"/>
          <w:rtl w:val="true"/>
        </w:rPr>
        <w:footnoteReference w:id="2053"/>
      </w:r>
      <w:r>
        <w:rPr>
          <w:rFonts w:ascii="IRNazanin" w:hAnsi="IRNazanin" w:eastAsia="IRNazanin"/>
          <w:color w:val="111111"/>
          <w:sz w:val="28"/>
          <w:sz w:val="28"/>
          <w:szCs w:val="28"/>
          <w:rtl w:val="true"/>
          <w:lang w:bidi="fa-IR"/>
        </w:rPr>
        <w:t>سابقاً،و المفروض أنّه لم یقع إلّا مبادلة مال الغیر بمال آخر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نعم،لمّا بنی هو علی ملکیة ذلک المال عدواناً أو اعتقاداً قصد </w:t>
      </w:r>
      <w:r>
        <w:rPr>
          <w:rStyle w:val="FootnoteAnchor"/>
          <w:rtl w:val="true"/>
        </w:rPr>
        <w:footnoteReference w:id="2054"/>
      </w:r>
      <w:r>
        <w:rPr>
          <w:rFonts w:ascii="Amiri" w:hAnsi="Amiri" w:eastAsia="Amiri" w:cs="Amiri"/>
          <w:color w:val="111111"/>
          <w:sz w:val="28"/>
          <w:sz w:val="28"/>
          <w:szCs w:val="28"/>
          <w:rtl w:val="true"/>
          <w:lang w:bidi="ar-SA"/>
        </w:rPr>
        <w:t xml:space="preserve">بالمعاوضة </w:t>
      </w:r>
      <w:r>
        <w:rPr>
          <w:rStyle w:val="FootnoteAnchor"/>
          <w:rtl w:val="true"/>
        </w:rPr>
        <w:footnoteReference w:id="2055"/>
      </w:r>
      <w:r>
        <w:rPr>
          <w:rFonts w:ascii="IRNazanin" w:hAnsi="IRNazanin" w:eastAsia="IRNazanin"/>
          <w:color w:val="111111"/>
          <w:sz w:val="28"/>
          <w:sz w:val="28"/>
          <w:szCs w:val="28"/>
          <w:rtl w:val="true"/>
          <w:lang w:bidi="fa-IR"/>
        </w:rPr>
        <w:t xml:space="preserve">رجوع البدل </w:t>
      </w:r>
      <w:r>
        <w:rPr>
          <w:rStyle w:val="FootnoteAnchor"/>
          <w:rtl w:val="true"/>
        </w:rPr>
        <w:footnoteReference w:id="2056"/>
      </w:r>
      <w:r>
        <w:rPr>
          <w:rFonts w:ascii="IRNazanin" w:hAnsi="IRNazanin" w:eastAsia="IRNazanin"/>
          <w:color w:val="111111"/>
          <w:sz w:val="28"/>
          <w:sz w:val="28"/>
          <w:szCs w:val="28"/>
          <w:rtl w:val="true"/>
          <w:lang w:bidi="fa-IR"/>
        </w:rPr>
        <w:t xml:space="preserve">إلیه،فالإجازة من المالک إن رجعت إلی نفس المبادلة أفادت دخول البدل فی ملک المجیز،و إن رجعت إلی المبادلة منضمّة إلی بناء العاقد علی تملّک المال،فهی و إن أفادت دخول البدل فی ملک العاقد،إلّا أنّ مرجع هذا إلی إجازة ما بنی علیه العاقد من التملّک و إمضائه له؛إذ بعد إمضائه یقع البیع فی ملک العاقد فیملک البدل،إلّا أنّ من المعلوم عدم الدلیل علی تأثیر الإجازة فی تأثیر </w:t>
      </w:r>
      <w:r>
        <w:rPr>
          <w:rStyle w:val="FootnoteAnchor"/>
          <w:rtl w:val="true"/>
        </w:rPr>
        <w:footnoteReference w:id="2057"/>
      </w:r>
      <w:r>
        <w:rPr>
          <w:rFonts w:ascii="IRNazanin" w:hAnsi="IRNazanin" w:eastAsia="IRNazanin"/>
          <w:color w:val="111111"/>
          <w:sz w:val="28"/>
          <w:sz w:val="28"/>
          <w:szCs w:val="28"/>
          <w:rtl w:val="true"/>
          <w:lang w:bidi="fa-IR"/>
        </w:rPr>
        <w:t>ذلک البناء فی تحقّق متعلّقه شرعاً،بل الدلیل علی عدمه؛لأنّ هذا ممّا لا یؤثّر فیه الإذن؛لأنّ الإذن فی التملّک لا یؤثر التملّک،فکیف إجازته؟ و أمّا الثانی،فلما عرفت من منافاته لحقیقة البیع التی هی المبادلة؛ و لذا صرّح العلّامة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 موضعٍ من کتبه </w:t>
      </w:r>
      <w:r>
        <w:rPr>
          <w:rStyle w:val="FootnoteAnchor"/>
          <w:rtl w:val="true"/>
        </w:rPr>
        <w:footnoteReference w:id="2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تارةً بأنّه لا یتصوّر، و أُخری بأنّه لا یعقل أن یشتری الإنسان لنفسه بمال غیره شیئاً،بل ادّعی بعضهم </w:t>
      </w:r>
      <w:r>
        <w:rPr>
          <w:rStyle w:val="FootnoteAnchor"/>
          <w:rtl w:val="true"/>
        </w:rPr>
        <w:footnoteReference w:id="2059"/>
      </w:r>
      <w:r>
        <w:rPr>
          <w:rFonts w:ascii="IRNazanin" w:hAnsi="IRNazanin" w:eastAsia="IRNazanin"/>
          <w:color w:val="111111"/>
          <w:sz w:val="28"/>
          <w:sz w:val="28"/>
          <w:szCs w:val="28"/>
          <w:rtl w:val="true"/>
          <w:lang w:bidi="fa-IR"/>
        </w:rPr>
        <w:t>فی مسألة قبض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w:t>
      </w:r>
      <w:r>
        <w:rPr>
          <w:rStyle w:val="FootnoteAnchor"/>
          <w:rtl w:val="true"/>
        </w:rPr>
        <w:footnoteReference w:id="2060"/>
      </w:r>
      <w:r>
        <w:rPr>
          <w:rFonts w:ascii="IRNazanin" w:hAnsi="IRNazanin" w:eastAsia="IRNazanin"/>
          <w:color w:val="111111"/>
          <w:sz w:val="28"/>
          <w:sz w:val="28"/>
          <w:szCs w:val="28"/>
          <w:rtl w:val="true"/>
          <w:lang w:bidi="fa-IR"/>
        </w:rPr>
        <w:t>الخلاف فی بطلان قول مالک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لنفسک به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به الشیخ </w:t>
      </w:r>
      <w:r>
        <w:rPr>
          <w:rStyle w:val="FootnoteAnchor"/>
          <w:rtl w:val="true"/>
        </w:rPr>
        <w:footnoteReference w:id="2061"/>
      </w:r>
      <w:r>
        <w:rPr>
          <w:rFonts w:ascii="Amiri" w:hAnsi="Amiri" w:eastAsia="Amiri" w:cs="Amiri"/>
          <w:color w:val="111111"/>
          <w:sz w:val="28"/>
          <w:sz w:val="28"/>
          <w:szCs w:val="28"/>
          <w:rtl w:val="true"/>
          <w:lang w:bidi="ar-SA"/>
        </w:rPr>
        <w:t xml:space="preserve">و المحقّق </w:t>
      </w:r>
      <w:r>
        <w:rPr>
          <w:rStyle w:val="FootnoteAnchor"/>
          <w:rtl w:val="true"/>
        </w:rPr>
        <w:footnoteReference w:id="2062"/>
      </w:r>
      <w:r>
        <w:rPr>
          <w:rFonts w:ascii="IRNazanin" w:hAnsi="IRNazanin" w:eastAsia="IRNazanin"/>
          <w:color w:val="111111"/>
          <w:sz w:val="28"/>
          <w:sz w:val="28"/>
          <w:szCs w:val="28"/>
          <w:rtl w:val="true"/>
          <w:lang w:bidi="fa-IR"/>
        </w:rPr>
        <w:t xml:space="preserve">و غیرهما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نعم،سیأتی فی مسألة جواز تتبّع العقود للمالک مع علم المشتری بالغصب </w:t>
      </w:r>
      <w:r>
        <w:rPr>
          <w:rStyle w:val="FootnoteAnchor"/>
          <w:rtl w:val="true"/>
        </w:rPr>
        <w:footnoteReference w:id="2064"/>
      </w:r>
      <w:r>
        <w:rPr>
          <w:rFonts w:ascii="IRNazanin" w:hAnsi="IRNazanin" w:eastAsia="IRNazanin"/>
          <w:color w:val="111111"/>
          <w:sz w:val="28"/>
          <w:sz w:val="28"/>
          <w:szCs w:val="28"/>
          <w:rtl w:val="true"/>
          <w:lang w:bidi="fa-IR"/>
        </w:rPr>
        <w:t>،أنّ ظاهر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کقطب الدین و الشهید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الغاصب مسلّط علی الثمن و إن لم یملکه،فإذا اشتری به شیئاً ملکه، و ظاهر هذا إمکان أن لا یملک الثمن و یملک المثمن المشتری،إلّا أن یحمل </w:t>
      </w:r>
      <w:r>
        <w:rPr>
          <w:rStyle w:val="FootnoteAnchor"/>
          <w:rtl w:val="true"/>
        </w:rPr>
        <w:footnoteReference w:id="2065"/>
      </w:r>
      <w:r>
        <w:rPr>
          <w:rFonts w:ascii="IRNazanin" w:hAnsi="IRNazanin" w:eastAsia="IRNazanin"/>
          <w:color w:val="111111"/>
          <w:sz w:val="28"/>
          <w:sz w:val="28"/>
          <w:szCs w:val="28"/>
          <w:rtl w:val="true"/>
          <w:lang w:bidi="fa-IR"/>
        </w:rPr>
        <w:t xml:space="preserve">ذلک منهم علی التزام تملّک </w:t>
      </w:r>
      <w:r>
        <w:rPr>
          <w:rStyle w:val="FootnoteAnchor"/>
          <w:rtl w:val="true"/>
        </w:rPr>
        <w:footnoteReference w:id="2066"/>
      </w:r>
      <w:r>
        <w:rPr>
          <w:rFonts w:ascii="IRNazanin" w:hAnsi="IRNazanin" w:eastAsia="IRNazanin"/>
          <w:color w:val="111111"/>
          <w:sz w:val="28"/>
          <w:sz w:val="28"/>
          <w:szCs w:val="28"/>
          <w:rtl w:val="true"/>
          <w:lang w:bidi="fa-IR"/>
        </w:rPr>
        <w:t xml:space="preserve">البائع الغاصب للثمن </w:t>
      </w:r>
      <w:r>
        <w:rPr>
          <w:rStyle w:val="FootnoteAnchor"/>
          <w:rtl w:val="true"/>
        </w:rPr>
        <w:footnoteReference w:id="2067"/>
      </w:r>
      <w:r>
        <w:rPr>
          <w:rFonts w:ascii="IRNazanin" w:hAnsi="IRNazanin" w:eastAsia="IRNazanin"/>
          <w:color w:val="111111"/>
          <w:sz w:val="28"/>
          <w:sz w:val="28"/>
          <w:szCs w:val="28"/>
          <w:rtl w:val="true"/>
          <w:lang w:bidi="fa-IR"/>
        </w:rPr>
        <w:t xml:space="preserve">مطلقاً کما نسبه الفخر رحمه اللّه إلی الأصحاب </w:t>
      </w:r>
      <w:r>
        <w:rPr>
          <w:rStyle w:val="FootnoteAnchor"/>
          <w:rtl w:val="true"/>
        </w:rPr>
        <w:footnoteReference w:id="2068"/>
      </w:r>
      <w:r>
        <w:rPr>
          <w:rFonts w:ascii="IRNazanin" w:hAnsi="IRNazanin" w:eastAsia="IRNazanin"/>
          <w:color w:val="111111"/>
          <w:sz w:val="28"/>
          <w:sz w:val="28"/>
          <w:szCs w:val="28"/>
          <w:rtl w:val="true"/>
          <w:lang w:bidi="fa-IR"/>
        </w:rPr>
        <w:t>،أو آناً ما قبل أن یشتری به شیئاً؛ تصحیحاً للشراء</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کان،فالأولی فی التفصّی عن الإشکال المذکور فی البیع لنفسه ما ذکرنا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bookmarkStart w:id="669" w:name="pg19763_248134"/>
    </w:p>
    <w:p>
      <w:pPr>
        <w:pStyle w:val="Heading6"/>
        <w:numPr>
          <w:ilvl w:val="5"/>
          <w:numId w:val="1"/>
        </w:numPr>
        <w:rPr/>
      </w:pPr>
      <w:bookmarkStart w:id="670" w:name="__RefHeading___Toc5082932_2314609296"/>
      <w:bookmarkStart w:id="671" w:name="_Toc257"/>
      <w:bookmarkEnd w:id="669"/>
      <w:bookmarkEnd w:id="670"/>
      <w:r>
        <w:rPr>
          <w:rtl w:val="true"/>
        </w:rPr>
        <w:t>[</w:t>
      </w:r>
      <w:r>
        <w:rPr>
          <w:rtl w:val="true"/>
        </w:rPr>
        <w:t>الوجه الخامس و جوابه</w:t>
      </w:r>
      <w:r>
        <w:rPr>
          <w:rtl w:val="true"/>
        </w:rPr>
        <w:t>]</w:t>
      </w:r>
      <w:bookmarkEnd w:id="671"/>
    </w:p>
    <w:p>
      <w:pPr>
        <w:pStyle w:val="BookText"/>
        <w:rPr/>
      </w:pPr>
      <w:r>
        <w:rPr>
          <w:rFonts w:ascii="IRNazanin" w:hAnsi="IRNazanin" w:eastAsia="IRNazanin"/>
          <w:color w:val="111111"/>
          <w:sz w:val="28"/>
          <w:sz w:val="28"/>
          <w:szCs w:val="28"/>
          <w:rtl w:val="true"/>
          <w:lang w:bidi="fa-IR"/>
        </w:rPr>
        <w:t>ثمّ إنّ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نسبة ملک العوض حقیقة إنّما هو إلی مالک المعوّض،لکنّه بحسب بناء الطرفین علی مالکیة الغاصب للعوض منسوب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اندفاع إشکال آخر فی صحّة البیع لنفسه،مختصٍّ بصورة علم المشتری،و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الأصیل إذا کان عالماً بکون البائع لنفسه غاصباً فقد حکم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حکی عنهم </w:t>
      </w:r>
      <w:r>
        <w:rPr>
          <w:rStyle w:val="FootnoteAnchor"/>
          <w:rtl w:val="true"/>
        </w:rPr>
        <w:footnoteReference w:id="2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المالک لو ردّ فلیس للمشتری الرجوع علی البائع بالثمن،و هذا کاشف عن عدم تحقّق المعاوضة الحقیقیة،و إلّا لکان ردّها موجباً لرجوع کلِّ عوضٍ إلی مالکه،و حینئذٍ فإذا أجاز المالک لم یملک الثمن؛لسبق اختصاص الغاصب به،فیکون البیع بلا ثمن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 هذا هو الوجه فی إشکال العلّامة فی التذکرة،حیث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الإشکال فی صحّة بیع الفضولی مع جهل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الحکم فی الغاصب مع علم المشتری أشکل </w:t>
      </w:r>
      <w:r>
        <w:rPr>
          <w:rStyle w:val="FootnoteAnchor"/>
          <w:rtl w:val="true"/>
        </w:rPr>
        <w:footnoteReference w:id="20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تسلیم ما نقل عن الأصحاب من أنّه لیس للمشتری استرداد الثمن مع ردّ المالک و بقائه </w:t>
      </w:r>
      <w:r>
        <w:rPr>
          <w:rStyle w:val="FootnoteAnchor"/>
          <w:rtl w:val="true"/>
        </w:rPr>
        <w:footnoteReference w:id="2073"/>
      </w:r>
      <w:r>
        <w:rPr>
          <w:rFonts w:ascii="IRNazanin" w:hAnsi="IRNazanin" w:eastAsia="IRNazanin"/>
          <w:color w:val="111111"/>
          <w:sz w:val="28"/>
          <w:sz w:val="28"/>
          <w:szCs w:val="28"/>
          <w:rtl w:val="true"/>
          <w:lang w:bidi="fa-IR"/>
        </w:rPr>
        <w:t xml:space="preserve">،و بعد تسلیم أنّ الوجه فی حکمهم ذلک هو مطلق التسلیط علی تقدیری الردّ و الإجازة، لا </w:t>
      </w:r>
      <w:r>
        <w:rPr>
          <w:rStyle w:val="FootnoteAnchor"/>
          <w:rtl w:val="true"/>
        </w:rPr>
        <w:footnoteReference w:id="2074"/>
      </w:r>
      <w:r>
        <w:rPr>
          <w:rFonts w:ascii="IRNazanin" w:hAnsi="IRNazanin" w:eastAsia="IRNazanin"/>
          <w:color w:val="111111"/>
          <w:sz w:val="28"/>
          <w:sz w:val="28"/>
          <w:szCs w:val="28"/>
          <w:rtl w:val="true"/>
          <w:lang w:bidi="fa-IR"/>
        </w:rPr>
        <w:t>التسلیط المراعی بعدم إجازة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یتوجّه علی القول بالنقل،</w:t>
      </w:r>
    </w:p>
    <w:p>
      <w:pPr>
        <w:pStyle w:val="BookText"/>
        <w:rPr/>
      </w:pPr>
      <w:r>
        <w:rPr>
          <w:rFonts w:ascii="IRNazanin" w:hAnsi="IRNazanin" w:eastAsia="IRNazanin"/>
          <w:color w:val="111111"/>
          <w:sz w:val="28"/>
          <w:sz w:val="28"/>
          <w:szCs w:val="28"/>
          <w:rtl w:val="true"/>
          <w:lang w:bidi="fa-IR"/>
        </w:rPr>
        <w:t>حیث إنّ تسلیط المشتری للبائع علی الثمن قبل انتقاله إلی مالک المبیع بالإجازة،فلا یبقی مورد للإجازة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القول بالکشف،فلا یتوجّه إشکال أصلاً؛لأنّ الردّ کاشف عن کون تسلیط المشتری تسلیطاً له علی مال نفسه،و الإجازة کاشفة عن کونه تسلیطاً له علی ما یملکه غیره بالعقد السابق علی التسلیط الحاصل بالإقباض؛و لذا لو لم یقبضه الثمن حتّی أجاز المالک أو ردّ،لم یکن للغاصب انتزاعه من ید المشتری أو المالک،و سیأتی فی مسألة جواز تتبّع العقود للمالک </w:t>
      </w:r>
      <w:r>
        <w:rPr>
          <w:rStyle w:val="FootnoteAnchor"/>
          <w:rtl w:val="true"/>
        </w:rPr>
        <w:footnoteReference w:id="2075"/>
      </w:r>
      <w:r>
        <w:rPr>
          <w:rFonts w:ascii="IRNazanin" w:hAnsi="IRNazanin" w:eastAsia="IRNazanin"/>
          <w:color w:val="111111"/>
          <w:sz w:val="28"/>
          <w:sz w:val="28"/>
          <w:szCs w:val="28"/>
          <w:rtl w:val="true"/>
          <w:lang w:bidi="fa-IR"/>
        </w:rPr>
        <w:t>تتمّة لذلک،فانتظر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صحّة بیع الفضولی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 کان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فی وقوعه للمالک إذا أجاز،و هو الذی لم یفرّق المشهور بینه و بین الفضولی البائع للمالک،لا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صحّة بیع الفضولی و وقوعه لنفسه إذا صار مالکاً للمبیع و أجاز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باع لنفسه أو المالک </w:t>
      </w:r>
      <w:r>
        <w:rPr>
          <w:rStyle w:val="FootnoteAnchor"/>
          <w:rtl w:val="true"/>
        </w:rPr>
        <w:footnoteReference w:id="20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دخل له بما نحن فیه؛ لأنّ الکلام هنا فی وقوع البیع للمالک،و هناک فی وقوعه للعاقد إذا ملک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ذکره فی الریاض من أنّ بیع الفضولی لنفسه باطل </w:t>
      </w:r>
      <w:r>
        <w:rPr>
          <w:rStyle w:val="FootnoteAnchor"/>
          <w:rtl w:val="true"/>
        </w:rPr>
        <w:footnoteReference w:id="2077"/>
      </w:r>
      <w:r>
        <w:rPr>
          <w:rFonts w:ascii="IRNazanin" w:hAnsi="IRNazanin" w:eastAsia="IRNazanin"/>
          <w:color w:val="111111"/>
          <w:sz w:val="28"/>
          <w:sz w:val="28"/>
          <w:szCs w:val="28"/>
          <w:rtl w:val="true"/>
          <w:lang w:bidi="fa-IR"/>
        </w:rPr>
        <w:t xml:space="preserve">و نسب إلی التذکرة نفی الخلاف فیه </w:t>
      </w:r>
      <w:r>
        <w:rPr>
          <w:rStyle w:val="FootnoteAnchor"/>
          <w:rtl w:val="true"/>
        </w:rPr>
        <w:footnoteReference w:id="2078"/>
      </w:r>
      <w:r>
        <w:rPr>
          <w:rFonts w:ascii="IRNazanin" w:hAnsi="IRNazanin" w:eastAsia="IRNazanin"/>
          <w:color w:val="111111"/>
          <w:sz w:val="28"/>
          <w:sz w:val="28"/>
          <w:szCs w:val="28"/>
          <w:rtl w:val="true"/>
          <w:lang w:bidi="fa-IR"/>
        </w:rPr>
        <w:t>فی غیر محلّه،إلّا أن یرید ما ذکرناه،و هو خلاف ظاهر کلامه</w:t>
      </w:r>
      <w:r>
        <w:rPr>
          <w:rFonts w:eastAsia="IRNazanin" w:cs="IRNazanin"/>
          <w:color w:val="111111"/>
          <w:sz w:val="28"/>
          <w:szCs w:val="28"/>
          <w:rtl w:val="true"/>
          <w:lang w:bidi="fa-IR"/>
        </w:rPr>
        <w:t>.</w:t>
      </w:r>
      <w:bookmarkStart w:id="672" w:name="pg19763_248136"/>
    </w:p>
    <w:p>
      <w:pPr>
        <w:pStyle w:val="Heading6"/>
        <w:numPr>
          <w:ilvl w:val="5"/>
          <w:numId w:val="1"/>
        </w:numPr>
        <w:rPr/>
      </w:pPr>
      <w:bookmarkStart w:id="673" w:name="__RefHeading___Toc5082934_2314609296"/>
      <w:bookmarkStart w:id="674" w:name="_Toc258"/>
      <w:bookmarkEnd w:id="672"/>
      <w:bookmarkEnd w:id="673"/>
      <w:r>
        <w:rPr>
          <w:rtl w:val="true"/>
        </w:rPr>
        <w:t>بقی هنا أمران</w:t>
      </w:r>
      <w:r>
        <w:rPr>
          <w:rtl w:val="true"/>
        </w:rPr>
        <w:t>:</w:t>
      </w:r>
      <w:bookmarkEnd w:id="674"/>
    </w:p>
    <w:p>
      <w:pPr>
        <w:pStyle w:val="Heading6"/>
        <w:numPr>
          <w:ilvl w:val="5"/>
          <w:numId w:val="1"/>
        </w:numPr>
        <w:rPr/>
      </w:pPr>
      <w:bookmarkStart w:id="675" w:name="__RefHeading___Toc5082936_2314609296"/>
      <w:bookmarkStart w:id="676" w:name="_Toc259"/>
      <w:bookmarkEnd w:id="675"/>
      <w:r>
        <w:rPr>
          <w:rtl w:val="true"/>
        </w:rPr>
        <w:t>الأوّل</w:t>
      </w:r>
      <w:r>
        <w:rPr>
          <w:rtl w:val="true"/>
        </w:rPr>
        <w:t xml:space="preserve">: </w:t>
      </w:r>
      <w:r>
        <w:rPr>
          <w:rtl w:val="true"/>
        </w:rPr>
        <w:t>أنّه لا فرق علی القول بصحّة بیع الفضولی بین کون مال الغیر عیناً أو دیناً</w:t>
      </w:r>
      <w:bookmarkEnd w:id="67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علی القول بصحّة بیع الفضولی بین کون مال الغیر عیناً أو دیناً </w:t>
      </w:r>
      <w:r>
        <w:rPr>
          <w:rStyle w:val="FootnoteAnchor"/>
          <w:rtl w:val="true"/>
        </w:rPr>
        <w:footnoteReference w:id="2079"/>
      </w:r>
      <w:r>
        <w:rPr>
          <w:rFonts w:ascii="IRNazanin" w:hAnsi="IRNazanin" w:eastAsia="IRNazanin"/>
          <w:color w:val="111111"/>
          <w:sz w:val="28"/>
          <w:sz w:val="28"/>
          <w:szCs w:val="28"/>
          <w:rtl w:val="true"/>
          <w:lang w:bidi="fa-IR"/>
        </w:rPr>
        <w:t>فی ذمّة الغیر،</w:t>
      </w:r>
    </w:p>
    <w:p>
      <w:pPr>
        <w:pStyle w:val="BookText"/>
        <w:rPr/>
      </w:pPr>
      <w:r>
        <w:rPr>
          <w:rFonts w:ascii="IRNazanin" w:hAnsi="IRNazanin" w:eastAsia="IRNazanin"/>
          <w:color w:val="111111"/>
          <w:sz w:val="28"/>
          <w:sz w:val="28"/>
          <w:szCs w:val="28"/>
          <w:rtl w:val="true"/>
          <w:lang w:bidi="fa-IR"/>
        </w:rPr>
        <w:t>و منه جعل العوض ثمناً أو مثمناً فی ذمّة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تشخیص </w:t>
      </w:r>
      <w:r>
        <w:rPr>
          <w:rStyle w:val="FootnoteAnchor"/>
          <w:rtl w:val="true"/>
        </w:rPr>
        <w:footnoteReference w:id="2080"/>
      </w:r>
      <w:r>
        <w:rPr>
          <w:rFonts w:ascii="IRNazanin" w:hAnsi="IRNazanin" w:eastAsia="IRNazanin"/>
          <w:color w:val="111111"/>
          <w:sz w:val="28"/>
          <w:sz w:val="28"/>
          <w:szCs w:val="28"/>
          <w:rtl w:val="true"/>
          <w:lang w:bidi="fa-IR"/>
        </w:rPr>
        <w:t>ما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یعقد علیه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بإضافة الذمّة إلی الغیر،بأن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کرّاً من طعام فی ذمّة فلان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بکذا فی ذمّة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أجاز فلان یقع العقد له،و إن ردّ بطل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بقصده العقد له؛فإنّه إذا قصده فی العقد تعیّن کونه صاحب الذمّة؛لما عرفت من استحالة دخول أحد العوضین فی ملک غیر مَن خرج عنه الآخر،إلّا علی احتمال ضعیف تقدّم عن بعض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أنّ تعیین العوض فی الخارج یغنی عن قصد من وقع له العقد،فکذا قصد من وقع له العقد یغنی عن تعیین الثمن الکلّی بإضافته إلی ذمّة شخص خاصّ،و حینئذٍ فإن أجاز من قصد مالکیّته </w:t>
      </w:r>
      <w:r>
        <w:rPr>
          <w:rStyle w:val="FootnoteAnchor"/>
          <w:rtl w:val="true"/>
        </w:rPr>
        <w:footnoteReference w:id="2082"/>
      </w:r>
      <w:r>
        <w:rPr>
          <w:rFonts w:ascii="IRNazanin" w:hAnsi="IRNazanin" w:eastAsia="IRNazanin"/>
          <w:color w:val="111111"/>
          <w:sz w:val="28"/>
          <w:sz w:val="28"/>
          <w:szCs w:val="28"/>
          <w:rtl w:val="true"/>
          <w:lang w:bidi="fa-IR"/>
        </w:rPr>
        <w:t xml:space="preserve">وقع العقد </w:t>
      </w:r>
      <w:r>
        <w:rPr>
          <w:rStyle w:val="FootnoteAnchor"/>
          <w:rtl w:val="true"/>
        </w:rPr>
        <w:footnoteReference w:id="2083"/>
      </w:r>
      <w:r>
        <w:rPr>
          <w:rFonts w:ascii="IRNazanin" w:hAnsi="IRNazanin" w:eastAsia="IRNazanin"/>
          <w:color w:val="111111"/>
          <w:sz w:val="28"/>
          <w:sz w:val="28"/>
          <w:szCs w:val="28"/>
          <w:rtl w:val="true"/>
          <w:lang w:bidi="fa-IR"/>
        </w:rPr>
        <w:t>،و إن ردّ فمقتضی القاعدة بطلان العقد واقعاً؛لأنّ مقتضی ردّ العقد بقاء کلّ عوض علی ملک صاحبه،إذ المال مردّد فی باب الفضولی</w:t>
      </w:r>
    </w:p>
    <w:p>
      <w:pPr>
        <w:pStyle w:val="BookText"/>
        <w:rPr/>
      </w:pPr>
      <w:r>
        <w:rPr>
          <w:rFonts w:ascii="IRNazanin" w:hAnsi="IRNazanin" w:eastAsia="IRNazanin"/>
          <w:color w:val="111111"/>
          <w:sz w:val="28"/>
          <w:sz w:val="28"/>
          <w:szCs w:val="28"/>
          <w:rtl w:val="true"/>
          <w:lang w:bidi="fa-IR"/>
        </w:rPr>
        <w:t xml:space="preserve">بین مالکه الأصلی و من وقع له العقد،فلا معنی لخروجه عن ملک مالکه و تردّده بین الفضولی و من وقع له العقد؛إذ لو صحّ وقوعه للفضولی لم یحتج إلی إجازة و وقع له،إلّا أنّ الطرف الآخر لو لم یصدّقه علی هذا القصد </w:t>
      </w:r>
      <w:r>
        <w:rPr>
          <w:rStyle w:val="FootnoteAnchor"/>
          <w:rtl w:val="true"/>
        </w:rPr>
        <w:footnoteReference w:id="2084"/>
      </w:r>
      <w:r>
        <w:rPr>
          <w:rFonts w:ascii="IRNazanin" w:hAnsi="IRNazanin" w:eastAsia="IRNazanin"/>
          <w:color w:val="111111"/>
          <w:sz w:val="28"/>
          <w:sz w:val="28"/>
          <w:szCs w:val="28"/>
          <w:rtl w:val="true"/>
          <w:lang w:bidi="fa-IR"/>
        </w:rPr>
        <w:t xml:space="preserve">و حلف علی نفی العلم حکم له علی الفضولی؛لوقوع </w:t>
      </w:r>
      <w:r>
        <w:rPr>
          <w:rStyle w:val="FootnoteAnchor"/>
          <w:rtl w:val="true"/>
        </w:rPr>
        <w:footnoteReference w:id="2085"/>
      </w:r>
      <w:r>
        <w:rPr>
          <w:rFonts w:ascii="IRNazanin" w:hAnsi="IRNazanin" w:eastAsia="IRNazanin"/>
          <w:color w:val="111111"/>
          <w:sz w:val="28"/>
          <w:sz w:val="28"/>
          <w:szCs w:val="28"/>
          <w:rtl w:val="true"/>
          <w:lang w:bidi="fa-IR"/>
        </w:rPr>
        <w:t xml:space="preserve">العقد له ظاهراً،کما عن المحقّق </w:t>
      </w:r>
      <w:r>
        <w:rPr>
          <w:rStyle w:val="FootnoteAnchor"/>
          <w:rtl w:val="true"/>
        </w:rPr>
        <w:footnoteReference w:id="2086"/>
      </w:r>
      <w:r>
        <w:rPr>
          <w:rFonts w:ascii="IRNazanin" w:hAnsi="IRNazanin" w:eastAsia="IRNazanin"/>
          <w:color w:val="111111"/>
          <w:sz w:val="28"/>
          <w:sz w:val="28"/>
          <w:szCs w:val="28"/>
          <w:rtl w:val="true"/>
          <w:lang w:bidi="fa-IR"/>
        </w:rPr>
        <w:t xml:space="preserve">و فخر الإسلام </w:t>
      </w:r>
      <w:r>
        <w:rPr>
          <w:rStyle w:val="FootnoteAnchor"/>
          <w:rtl w:val="true"/>
        </w:rPr>
        <w:footnoteReference w:id="2087"/>
      </w:r>
      <w:r>
        <w:rPr>
          <w:rFonts w:ascii="IRNazanin" w:hAnsi="IRNazanin" w:eastAsia="IRNazanin"/>
          <w:color w:val="111111"/>
          <w:sz w:val="28"/>
          <w:sz w:val="28"/>
          <w:szCs w:val="28"/>
          <w:rtl w:val="true"/>
          <w:lang w:bidi="fa-IR"/>
        </w:rPr>
        <w:t xml:space="preserve">و المحقّق الکرکی </w:t>
      </w:r>
      <w:r>
        <w:rPr>
          <w:rStyle w:val="FootnoteAnchor"/>
          <w:rtl w:val="true"/>
        </w:rPr>
        <w:footnoteReference w:id="2088"/>
      </w:r>
      <w:r>
        <w:rPr>
          <w:rFonts w:ascii="IRNazanin" w:hAnsi="IRNazanin" w:eastAsia="IRNazanin"/>
          <w:color w:val="111111"/>
          <w:sz w:val="28"/>
          <w:sz w:val="28"/>
          <w:szCs w:val="28"/>
          <w:rtl w:val="true"/>
          <w:lang w:bidi="fa-IR"/>
        </w:rPr>
        <w:t xml:space="preserve">و السیوری </w:t>
      </w:r>
      <w:r>
        <w:rPr>
          <w:rStyle w:val="FootnoteAnchor"/>
          <w:rtl w:val="true"/>
        </w:rPr>
        <w:footnoteReference w:id="2089"/>
      </w:r>
      <w:r>
        <w:rPr>
          <w:rFonts w:ascii="IRNazanin" w:hAnsi="IRNazanin" w:eastAsia="IRNazanin"/>
          <w:color w:val="111111"/>
          <w:sz w:val="28"/>
          <w:sz w:val="28"/>
          <w:szCs w:val="28"/>
          <w:rtl w:val="true"/>
          <w:lang w:bidi="fa-IR"/>
        </w:rPr>
        <w:t xml:space="preserve">و الشهید الثانی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یظهر من إطلاق بعض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کالقواعد </w:t>
      </w:r>
      <w:r>
        <w:rPr>
          <w:rStyle w:val="FootnoteAnchor"/>
          <w:rtl w:val="true"/>
        </w:rPr>
        <w:footnoteReference w:id="2091"/>
      </w:r>
      <w:r>
        <w:rPr>
          <w:rFonts w:ascii="IRNazanin" w:hAnsi="IRNazanin" w:eastAsia="IRNazanin"/>
          <w:color w:val="111111"/>
          <w:sz w:val="28"/>
          <w:sz w:val="28"/>
          <w:szCs w:val="28"/>
          <w:rtl w:val="true"/>
          <w:lang w:bidi="fa-IR"/>
        </w:rPr>
        <w:t xml:space="preserve">و المبسوط </w:t>
      </w:r>
      <w:r>
        <w:rPr>
          <w:rStyle w:val="FootnoteAnchor"/>
          <w:rtl w:val="true"/>
        </w:rPr>
        <w:footnoteReference w:id="2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العقد له واقعاً،و قد نسب ذلک إلی جماعة </w:t>
      </w:r>
      <w:r>
        <w:rPr>
          <w:rStyle w:val="FootnoteAnchor"/>
          <w:rtl w:val="true"/>
        </w:rPr>
        <w:footnoteReference w:id="2093"/>
      </w:r>
      <w:r>
        <w:rPr>
          <w:rFonts w:ascii="IRNazanin" w:hAnsi="IRNazanin" w:eastAsia="IRNazanin"/>
          <w:color w:val="111111"/>
          <w:sz w:val="28"/>
          <w:sz w:val="28"/>
          <w:szCs w:val="28"/>
          <w:rtl w:val="true"/>
          <w:lang w:bidi="fa-IR"/>
        </w:rPr>
        <w:t>فی بعض فروع المضاربة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عرفت أنّ </w:t>
      </w:r>
      <w:r>
        <w:rPr>
          <w:rStyle w:val="FootnoteAnchor"/>
          <w:rtl w:val="true"/>
        </w:rPr>
        <w:footnoteReference w:id="2094"/>
      </w:r>
      <w:r>
        <w:rPr>
          <w:rFonts w:ascii="IRNazanin" w:hAnsi="IRNazanin" w:eastAsia="IRNazanin"/>
          <w:color w:val="111111"/>
          <w:sz w:val="28"/>
          <w:sz w:val="28"/>
          <w:szCs w:val="28"/>
          <w:rtl w:val="true"/>
          <w:lang w:bidi="fa-IR"/>
        </w:rPr>
        <w:t>قصد البیع للغیر أو إضافته إلیه فی اللفظ</w:t>
      </w:r>
    </w:p>
    <w:p>
      <w:pPr>
        <w:pStyle w:val="BookText"/>
        <w:rPr/>
      </w:pPr>
      <w:r>
        <w:rPr>
          <w:rFonts w:ascii="IRNazanin" w:hAnsi="IRNazanin" w:eastAsia="IRNazanin"/>
          <w:color w:val="111111"/>
          <w:sz w:val="28"/>
          <w:sz w:val="28"/>
          <w:szCs w:val="28"/>
          <w:rtl w:val="true"/>
          <w:lang w:bidi="fa-IR"/>
        </w:rPr>
        <w:t>یوجب صرف الکلیّ إلی ذمّة ذلک الغیر،کما أنّ إضافة الکلّی إلیه یوجب صرف البیع أو الشراء إلیه و إن لم یقصده أو لم یضفه إلیه، ظهر من ذلک التنافی بین إضافة البیع إلی غیره و إضافة الکلّی إلی نفسه أو قصده من غیر إضافة،و کذا بین إضافة البیع إلی نفسه و إضافة الکلّی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جمع بین المتنافیین،بأن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هذا لفلان بدرهم فی ذمّتی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هذا لنفسی بدرهم فی ذمّة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الأوّل یحتمل البطلان؛لأنّه فی حکم شراء شیء للغیر بعین ماله،و یحتمل إلغاء أحد القیدین و تصحیح المعاملة لنفسه أو للغیر </w:t>
      </w:r>
      <w:r>
        <w:rPr>
          <w:rStyle w:val="FootnoteAnchor"/>
          <w:rtl w:val="true"/>
        </w:rPr>
        <w:footnoteReference w:id="2095"/>
      </w:r>
      <w:r>
        <w:rPr>
          <w:rFonts w:ascii="IRNazanin" w:hAnsi="IRNazanin" w:eastAsia="IRNazanin"/>
          <w:color w:val="111111"/>
          <w:sz w:val="28"/>
          <w:sz w:val="28"/>
          <w:szCs w:val="28"/>
          <w:rtl w:val="true"/>
          <w:lang w:bidi="fa-IR"/>
        </w:rPr>
        <w:t>،و فی الثانی یحتمل کونه من قبیل شرائه لنفسه بعین مال الغیر،فیقع للغیر بعد إجازته،لکن بعد تصحیح المعاوضة بالبناء علی التملّک فی ذمّة الغیر اعتقاداً،و یحتمل الصحّة بإلغاء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تقیید الشراء أوّلاً بکونه لنفسه یوجب إلغاء ما ینافیه من إضافة الذمّة إلی الغیر،و المسألة تحتاج إلی تأمّل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فضولیاً،فإن کان بعین مال الغیر،فالخلاف فی البطلان و الوقف علی الإجازة،إلّا أنّ أبا حنیفة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یقع </w:t>
      </w:r>
      <w:r>
        <w:rPr>
          <w:rStyle w:val="FootnoteAnchor"/>
          <w:rtl w:val="true"/>
        </w:rPr>
        <w:footnoteReference w:id="2096"/>
      </w:r>
      <w:r>
        <w:rPr>
          <w:rFonts w:ascii="IRNazanin" w:hAnsi="IRNazanin" w:eastAsia="IRNazanin"/>
          <w:color w:val="111111"/>
          <w:sz w:val="28"/>
          <w:sz w:val="28"/>
          <w:szCs w:val="28"/>
          <w:rtl w:val="true"/>
          <w:lang w:bidi="fa-IR"/>
        </w:rPr>
        <w:t xml:space="preserve">للمشتری بکلّ </w:t>
      </w:r>
      <w:r>
        <w:rPr>
          <w:rStyle w:val="FootnoteAnchor"/>
          <w:rtl w:val="true"/>
        </w:rPr>
        <w:footnoteReference w:id="2097"/>
      </w:r>
      <w:r>
        <w:rPr>
          <w:rFonts w:ascii="IRNazanin" w:hAnsi="IRNazanin" w:eastAsia="IRNazanin"/>
          <w:color w:val="111111"/>
          <w:sz w:val="28"/>
          <w:sz w:val="28"/>
          <w:szCs w:val="28"/>
          <w:rtl w:val="true"/>
          <w:lang w:bidi="fa-IR"/>
        </w:rPr>
        <w:t xml:space="preserve">حال </w:t>
      </w:r>
      <w:r>
        <w:rPr>
          <w:rStyle w:val="FootnoteAnchor"/>
          <w:rtl w:val="true"/>
        </w:rPr>
        <w:footnoteReference w:id="2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الذمّة لغیره و أطلق</w:t>
      </w:r>
    </w:p>
    <w:p>
      <w:pPr>
        <w:pStyle w:val="BookText"/>
        <w:rPr/>
      </w:pPr>
      <w:r>
        <w:rPr>
          <w:rFonts w:ascii="IRNazanin" w:hAnsi="IRNazanin" w:eastAsia="IRNazanin"/>
          <w:color w:val="111111"/>
          <w:sz w:val="28"/>
          <w:sz w:val="28"/>
          <w:szCs w:val="28"/>
          <w:rtl w:val="true"/>
          <w:lang w:bidi="fa-IR"/>
        </w:rPr>
        <w:t>اللفظ،قال 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یقف علی الإجازة،فإن أجاز صحّ و لزمه أداء الثمن،و إن ردّ نفذ عن المباشر،و به قال الشافعی فی القدیم </w:t>
      </w:r>
      <w:r>
        <w:rPr>
          <w:rStyle w:val="FootnoteAnchor"/>
          <w:rtl w:val="true"/>
        </w:rPr>
        <w:footnoteReference w:id="2099"/>
      </w:r>
      <w:r>
        <w:rPr>
          <w:rFonts w:ascii="IRNazanin" w:hAnsi="IRNazanin" w:eastAsia="IRNazanin"/>
          <w:color w:val="111111"/>
          <w:sz w:val="28"/>
          <w:sz w:val="28"/>
          <w:szCs w:val="28"/>
          <w:rtl w:val="true"/>
          <w:lang w:bidi="fa-IR"/>
        </w:rPr>
        <w:t xml:space="preserve">و أحمد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إنّما یصحّ الشراء؛لأنّه تصرّف فی ذمّته لا فی مال غیره،و إنّما وقف علی الإجازة لأنّه عقد الشراء له،فإن أجازه لزمه،و إن ردّه لزم من اشتراه،و لا فرق بین أن ینقد </w:t>
      </w:r>
      <w:r>
        <w:rPr>
          <w:rStyle w:val="FootnoteAnchor"/>
          <w:rtl w:val="true"/>
        </w:rPr>
        <w:footnoteReference w:id="2101"/>
      </w:r>
      <w:r>
        <w:rPr>
          <w:rFonts w:ascii="IRNazanin" w:hAnsi="IRNazanin" w:eastAsia="IRNazanin"/>
          <w:color w:val="111111"/>
          <w:sz w:val="28"/>
          <w:sz w:val="28"/>
          <w:szCs w:val="28"/>
          <w:rtl w:val="true"/>
          <w:lang w:bidi="fa-IR"/>
        </w:rPr>
        <w:t>من مال الغیر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یقع عن المباشر،و هو جدید للشافعی </w:t>
      </w:r>
      <w:r>
        <w:rPr>
          <w:rStyle w:val="FootnoteAnchor"/>
          <w:rtl w:val="true"/>
        </w:rPr>
        <w:footnoteReference w:id="210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 الاتّفاق علی وقوع الشراء مع الردّ للمشتری واقعاً،کما یشعر به تعلیله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تصرّف فی ذمّته لا فی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أشرنا سابقاً </w:t>
      </w:r>
      <w:r>
        <w:rPr>
          <w:rStyle w:val="FootnoteAnchor"/>
          <w:rtl w:val="true"/>
        </w:rPr>
        <w:footnoteReference w:id="2103"/>
      </w:r>
      <w:r>
        <w:rPr>
          <w:rFonts w:ascii="IRNazanin" w:hAnsi="IRNazanin" w:eastAsia="IRNazanin"/>
          <w:color w:val="111111"/>
          <w:sz w:val="28"/>
          <w:sz w:val="28"/>
          <w:szCs w:val="28"/>
          <w:rtl w:val="true"/>
          <w:lang w:bidi="fa-IR"/>
        </w:rPr>
        <w:t xml:space="preserve">إجمالاً إلی أنّ تطبیق هذا علی القواعد مشکل؛لأنّه إن جعل المال فی ذمّته بالأصالة،فیکون ما فی ذمّته کعین </w:t>
      </w:r>
      <w:r>
        <w:rPr>
          <w:rStyle w:val="FootnoteAnchor"/>
          <w:rtl w:val="true"/>
        </w:rPr>
        <w:footnoteReference w:id="2104"/>
      </w:r>
      <w:r>
        <w:rPr>
          <w:rFonts w:ascii="IRNazanin" w:hAnsi="IRNazanin" w:eastAsia="IRNazanin"/>
          <w:color w:val="111111"/>
          <w:sz w:val="28"/>
          <w:sz w:val="28"/>
          <w:szCs w:val="28"/>
          <w:rtl w:val="true"/>
          <w:lang w:bidi="fa-IR"/>
        </w:rPr>
        <w:t>ماله،فیکون کما لو باع عین ماله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الأوفق بالقواعد فی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البطلان لو عمل بالنیّة؛بناءً علی أنّه لا یعقل فی المعاوضة دخول عوض مال</w:t>
      </w:r>
      <w:bookmarkStart w:id="677" w:name="pg19763_248140"/>
    </w:p>
    <w:p>
      <w:pPr>
        <w:pStyle w:val="BookText"/>
        <w:rPr/>
      </w:pPr>
      <w:bookmarkEnd w:id="677"/>
      <w:r>
        <w:rPr>
          <w:rFonts w:ascii="IRNazanin" w:hAnsi="IRNazanin" w:eastAsia="IRNazanin"/>
          <w:color w:val="111111"/>
          <w:sz w:val="28"/>
          <w:sz w:val="28"/>
          <w:szCs w:val="28"/>
          <w:rtl w:val="true"/>
          <w:lang w:bidi="fa-IR"/>
        </w:rPr>
        <w:t xml:space="preserve">الغیر فی ملک غیره قهراً،و إمّا صحّته و وقوعه لنفسه لو ألغی النیّة؛بناءً علی انصراف المعاملة إلی مالک العین قهراً </w:t>
      </w:r>
      <w:r>
        <w:rPr>
          <w:rStyle w:val="FootnoteAnchor"/>
          <w:rtl w:val="true"/>
        </w:rPr>
        <w:footnoteReference w:id="2105"/>
      </w:r>
      <w:r>
        <w:rPr>
          <w:rFonts w:ascii="IRNazanin" w:hAnsi="IRNazanin" w:eastAsia="IRNazanin"/>
          <w:color w:val="111111"/>
          <w:sz w:val="28"/>
          <w:sz w:val="28"/>
          <w:szCs w:val="28"/>
          <w:rtl w:val="true"/>
          <w:lang w:bidi="fa-IR"/>
        </w:rPr>
        <w:t>و إن نوی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 المال فی ذمّته،لا من حیث الأصالة،بل من حیث جعل نفسه نائباً عن الغیر فضولاً،ففیه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Style w:val="FootnoteAnchor"/>
          <w:rtl w:val="true"/>
        </w:rPr>
        <w:footnoteReference w:id="2106"/>
      </w:r>
      <w:r>
        <w:rPr>
          <w:rFonts w:ascii="IRNazanin" w:hAnsi="IRNazanin" w:eastAsia="IRNazanin"/>
          <w:color w:val="111111"/>
          <w:sz w:val="28"/>
          <w:sz w:val="28"/>
          <w:szCs w:val="28"/>
          <w:rtl w:val="true"/>
          <w:lang w:bidi="fa-IR"/>
        </w:rPr>
        <w:t>الإشکال فی صحّة هذا لو لم یرجع إلی الشراء فی ذمّة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من هذا أنّ الغیر إذا ردّ هذه المعاملة و هذه النیابة تقع فاسدة من أصلها،لا أنّها تقع للمباشر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نعم،إذا عجز المباشر من إثبات ذلک علی البائع لزمه ذلک فی ظاهر الشریعة،کما ذکرنا سابقاً </w:t>
      </w:r>
      <w:r>
        <w:rPr>
          <w:rStyle w:val="FootnoteAnchor"/>
          <w:rtl w:val="true"/>
        </w:rPr>
        <w:footnoteReference w:id="2107"/>
      </w:r>
      <w:r>
        <w:rPr>
          <w:rFonts w:ascii="IRNazanin" w:hAnsi="IRNazanin" w:eastAsia="IRNazanin"/>
          <w:color w:val="111111"/>
          <w:sz w:val="28"/>
          <w:sz w:val="28"/>
          <w:szCs w:val="28"/>
          <w:rtl w:val="true"/>
          <w:lang w:bidi="fa-IR"/>
        </w:rPr>
        <w:t xml:space="preserve">و نصّ علیه جماعة فی باب التوکیل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کان،فوقوع المعاملة فی الواقع مردّدةً بین المباشر و المنویّ، دون التزامه خرط القتاد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تنزیل العبارة </w:t>
      </w:r>
      <w:r>
        <w:rPr>
          <w:rStyle w:val="FootnoteAnchor"/>
          <w:rtl w:val="true"/>
        </w:rPr>
        <w:footnoteReference w:id="2109"/>
      </w:r>
      <w:r>
        <w:rPr>
          <w:rFonts w:ascii="IRNazanin" w:hAnsi="IRNazanin" w:eastAsia="IRNazanin"/>
          <w:color w:val="111111"/>
          <w:sz w:val="28"/>
          <w:sz w:val="28"/>
          <w:szCs w:val="28"/>
          <w:rtl w:val="true"/>
          <w:lang w:bidi="fa-IR"/>
        </w:rPr>
        <w:t>علی الوقوع للمباشر ظاهراً،لکنّه بعید</w:t>
      </w:r>
      <w:r>
        <w:rPr>
          <w:rFonts w:eastAsia="IRNazanin" w:cs="IRNazanin"/>
          <w:color w:val="111111"/>
          <w:sz w:val="28"/>
          <w:szCs w:val="28"/>
          <w:rtl w:val="true"/>
          <w:lang w:bidi="fa-IR"/>
        </w:rPr>
        <w:t>.</w:t>
      </w:r>
    </w:p>
    <w:p>
      <w:pPr>
        <w:pStyle w:val="Heading6"/>
        <w:numPr>
          <w:ilvl w:val="5"/>
          <w:numId w:val="1"/>
        </w:numPr>
        <w:rPr/>
      </w:pPr>
      <w:bookmarkStart w:id="678" w:name="__RefHeading___Toc5082938_2314609296"/>
      <w:bookmarkStart w:id="679" w:name="_Toc260"/>
      <w:bookmarkEnd w:id="678"/>
      <w:r>
        <w:rPr>
          <w:rtl w:val="true"/>
        </w:rPr>
        <w:t>الثانی</w:t>
      </w:r>
      <w:r>
        <w:rPr>
          <w:rtl w:val="true"/>
        </w:rPr>
        <w:t xml:space="preserve">: </w:t>
      </w:r>
      <w:r>
        <w:rPr>
          <w:rtl w:val="true"/>
        </w:rPr>
        <w:t>الظاهر أنّه لا فرق فیما ذکرنا من أقسام بیع الفضولی بین البیع العقدی و المعاطاة؛</w:t>
      </w:r>
      <w:bookmarkEnd w:id="67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إفادتها للملک؛إذ لا فارق بینها و بین العقد؛فإنّ التقابض بین الفضولیّین أو فضولیّ و أصیل إذا وقع بنیّة التملیک و التملّک فأجازه المالک،فلا مانع من وقوع المجاز من حینه أو من حین الإجازة،فعموم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Style w:val="FootnoteAnchor"/>
          <w:rtl w:val="true"/>
        </w:rPr>
        <w:footnoteReference w:id="2110"/>
      </w:r>
      <w:r>
        <w:rPr>
          <w:rFonts w:ascii="IRNazanin" w:hAnsi="IRNazanin" w:eastAsia="IRNazanin"/>
          <w:color w:val="111111"/>
          <w:sz w:val="28"/>
          <w:sz w:val="28"/>
          <w:szCs w:val="28"/>
          <w:rtl w:val="true"/>
          <w:lang w:bidi="fa-IR"/>
        </w:rPr>
        <w:t>شامل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عروة البارقی </w:t>
      </w:r>
      <w:r>
        <w:rPr>
          <w:rStyle w:val="FootnoteAnchor"/>
          <w:rtl w:val="true"/>
        </w:rPr>
        <w:footnoteReference w:id="2111"/>
      </w:r>
      <w:r>
        <w:rPr>
          <w:rFonts w:ascii="IRNazanin" w:hAnsi="IRNazanin" w:eastAsia="IRNazanin"/>
          <w:color w:val="111111"/>
          <w:sz w:val="28"/>
          <w:sz w:val="28"/>
          <w:szCs w:val="28"/>
          <w:rtl w:val="true"/>
          <w:lang w:bidi="fa-IR"/>
        </w:rPr>
        <w:t>حیث إنّ الظاهر وقوع المعاملة بالمعاطاة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الإشکال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الإقباض الذی یحصل به التملیک محرّم؛لکونه تصرّفاً فی مال الغیر فلا یترتّب علیه أثر،فی غیر محلّه؛إذ قد لا یحتاج إلی إقباض مال الغیر،کما لو اشتری الفضولی لغیره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قد یقع الإقباض مقروناً برضا المالک؛بناءً علی ظاهر کلامهم من أنّ العلم بالرضا لا یخرج المعاملة عن معاملة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النهی لا یدلّ علی الفساد،مع أنّه لو دلّ لدلّ علی عدم ترتّب الأثر المقصود و هو استقلال الإقباض فی السببیة،فلا ینافی کونه جزءَ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یستدلّ علی ذلک </w:t>
      </w:r>
      <w:r>
        <w:rPr>
          <w:rStyle w:val="FootnoteAnchor"/>
          <w:rtl w:val="true"/>
        </w:rPr>
        <w:footnoteReference w:id="2112"/>
      </w:r>
      <w:r>
        <w:rPr>
          <w:rFonts w:ascii="IRNazanin" w:hAnsi="IRNazanin" w:eastAsia="IRNazanin"/>
          <w:color w:val="111111"/>
          <w:sz w:val="28"/>
          <w:sz w:val="28"/>
          <w:szCs w:val="28"/>
          <w:rtl w:val="true"/>
          <w:lang w:bidi="fa-IR"/>
        </w:rPr>
        <w:t>بأنّ المعاطاة منوطة بالتراضی و قصد الإباحة أو التملیک،و هما من وظائف المالک،و لا یتصوّر صدورهما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ذکر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المکره و الفضولی قاصدان للّفظ دون المدلول،و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قصد المدلول لا یتحقّق من غیر المالک </w:t>
      </w:r>
      <w:r>
        <w:rPr>
          <w:rStyle w:val="FootnoteAnchor"/>
          <w:rtl w:val="true"/>
        </w:rPr>
        <w:footnoteReference w:id="2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مشروطة أیضاً بالقبض و الإقباض من الطرفین أو من أحدهما مقارناً للأمرین،و لا أثر له إلّا إذا صدر من المالک أو بإذنه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الإقباض و القبض فی المعاطاة عند مَن اعتبره</w:t>
      </w:r>
    </w:p>
    <w:p>
      <w:pPr>
        <w:pStyle w:val="BookText"/>
        <w:rPr/>
      </w:pPr>
      <w:r>
        <w:rPr>
          <w:rFonts w:ascii="IRNazanin" w:hAnsi="IRNazanin" w:eastAsia="IRNazanin"/>
          <w:color w:val="111111"/>
          <w:sz w:val="28"/>
          <w:sz w:val="28"/>
          <w:szCs w:val="28"/>
          <w:rtl w:val="true"/>
          <w:lang w:bidi="fa-IR"/>
        </w:rPr>
        <w:t>فیها إنّما هو لحصول إنشاء التملیک أو الإباحة،فهو عندهم من الأسباب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الشهید فی قواعده </w:t>
      </w:r>
      <w:r>
        <w:rPr>
          <w:rStyle w:val="FootnoteAnchor"/>
          <w:rtl w:val="true"/>
        </w:rPr>
        <w:footnoteReference w:id="2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المعاطاة عندهم عقد فعلی، و لذا ذکر بعض الحنفیة القائلین بلزومها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البیع ینعقد بالإیجاب و القبول و بالتعاطی </w:t>
      </w:r>
      <w:r>
        <w:rPr>
          <w:rStyle w:val="FootnoteAnchor"/>
          <w:rtl w:val="true"/>
        </w:rPr>
        <w:footnoteReference w:id="2115"/>
      </w:r>
      <w:r>
        <w:rPr>
          <w:rFonts w:ascii="IRNazanin" w:hAnsi="IRNazanin" w:eastAsia="IRNazanin"/>
          <w:color w:val="111111"/>
          <w:sz w:val="28"/>
          <w:sz w:val="28"/>
          <w:szCs w:val="28"/>
          <w:rtl w:val="true"/>
          <w:lang w:bidi="fa-IR"/>
        </w:rPr>
        <w:t>،و حینئذٍ فلا مانع من أن یقصد الفضولی بإقباضه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القائم بنفسه،المقصود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مقارنة الرضا من المالک للإنشاء الفعلی دون القولی مع اتّحاد أدلّة اعتبار الرضا و طیب النفس فی حلّ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من </w:t>
      </w:r>
      <w:r>
        <w:rPr>
          <w:rStyle w:val="FootnoteAnchor"/>
          <w:rtl w:val="true"/>
        </w:rPr>
        <w:footnoteReference w:id="2116"/>
      </w:r>
      <w:r>
        <w:rPr>
          <w:rFonts w:ascii="IRNazanin" w:hAnsi="IRNazanin" w:eastAsia="IRNazanin"/>
          <w:color w:val="111111"/>
          <w:sz w:val="28"/>
          <w:sz w:val="28"/>
          <w:szCs w:val="28"/>
          <w:rtl w:val="true"/>
          <w:lang w:bidi="fa-IR"/>
        </w:rPr>
        <w:t>الشهید الثانی لا یجدی فیما نحن فیه؛لأنّا لا نعتبر فی فعل الفضولی أزید من القصد الموجود فی قوله؛لعدم الدلیل،و لو ثبت لثبت منه اعتبار المقارنة فی العقد القولی أیضاً،إلّا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مقتضی الدلیل ذلک،خرج عنه بالدلیل معاملة الفضولی إذا وقعت بالقول،لکنّک قد عرفت أنّ عقد </w:t>
      </w:r>
      <w:r>
        <w:rPr>
          <w:rStyle w:val="FootnoteAnchor"/>
          <w:rtl w:val="true"/>
        </w:rPr>
        <w:footnoteReference w:id="2117"/>
      </w:r>
      <w:r>
        <w:rPr>
          <w:rFonts w:ascii="IRNazanin" w:hAnsi="IRNazanin" w:eastAsia="IRNazanin"/>
          <w:color w:val="111111"/>
          <w:sz w:val="28"/>
          <w:sz w:val="28"/>
          <w:szCs w:val="28"/>
          <w:rtl w:val="true"/>
          <w:lang w:bidi="fa-IR"/>
        </w:rPr>
        <w:t xml:space="preserve">الفضولی لیس علی خلاف القاعدة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المعاطاة لا یعتبر فیها قبض و لو اتّفق معها،بل السبب المستقلّ هو تراضی المالکین بملکیّة </w:t>
      </w:r>
      <w:r>
        <w:rPr>
          <w:rStyle w:val="FootnoteAnchor"/>
          <w:rtl w:val="true"/>
        </w:rPr>
        <w:footnoteReference w:id="2119"/>
      </w:r>
      <w:r>
        <w:rPr>
          <w:rFonts w:ascii="Amiri" w:hAnsi="Amiri" w:eastAsia="Amiri" w:cs="Amiri"/>
          <w:color w:val="111111"/>
          <w:sz w:val="28"/>
          <w:sz w:val="28"/>
          <w:szCs w:val="28"/>
          <w:rtl w:val="true"/>
          <w:lang w:bidi="ar-SA"/>
        </w:rPr>
        <w:t>کلٍّ منهما لمال صاحبه مطلقاً</w:t>
      </w:r>
    </w:p>
    <w:p>
      <w:pPr>
        <w:pStyle w:val="BookText"/>
        <w:rPr/>
      </w:pPr>
      <w:r>
        <w:rPr>
          <w:rFonts w:ascii="IRNazanin" w:hAnsi="IRNazanin" w:eastAsia="IRNazanin"/>
          <w:color w:val="111111"/>
          <w:sz w:val="28"/>
          <w:sz w:val="28"/>
          <w:szCs w:val="28"/>
          <w:rtl w:val="true"/>
          <w:lang w:bidi="fa-IR"/>
        </w:rPr>
        <w:t xml:space="preserve">أو مع وصولهما </w:t>
      </w:r>
      <w:r>
        <w:rPr>
          <w:rStyle w:val="FootnoteAnchor"/>
          <w:rtl w:val="true"/>
        </w:rPr>
        <w:footnoteReference w:id="2120"/>
      </w:r>
      <w:r>
        <w:rPr>
          <w:rFonts w:ascii="IRNazanin" w:hAnsi="IRNazanin" w:eastAsia="IRNazanin"/>
          <w:color w:val="111111"/>
          <w:sz w:val="28"/>
          <w:sz w:val="28"/>
          <w:szCs w:val="28"/>
          <w:rtl w:val="true"/>
          <w:lang w:bidi="fa-IR"/>
        </w:rPr>
        <w:t>أو وصول أحدهما،لم یعقل وقوعها من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نعم،الواقع منه إیصال المال،و المفروض أنّه لا مدخل له فی المعاملة،فإذا رضی المالک بمالکیة من وصل إلیه المال تحقّقت المعاطاة من حین الرضا و لم یکن إجازة لمعاطاة سابقة،لکنّ الإنصاف أنّ هذا المعنی غیر مقصود للعلماء فی عنوان المعاطاة و إنّما قصدهم إلی العقد الفعلی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علی القول بالملک،و أمّا علی القول بالإباحة،فیمکن القول ببطلان الفضولی؛لأنّ إفادة المعاملة المقصود بها الملک للإباحة خلاف القاعدة،فیقتصر فیها علی صورة تعاطی المالکین،مع أنّ حصول الإباحة قبل الإجازة غیر ممکن،و الآثار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بیع المال علی القول بجواز مثل هذا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وقعت فی غیر زمان الإباحة الفعلیة،لم تؤثّر أثراً،فإذا أجاز حدث الإباحة من حین الإجازة،اللّهم إلّا أن یقال بکفایة وقوعها مع الإباحة الواقعیة إذا کشف </w:t>
      </w:r>
      <w:r>
        <w:rPr>
          <w:rStyle w:val="FootnoteAnchor"/>
          <w:rtl w:val="true"/>
        </w:rPr>
        <w:footnoteReference w:id="2121"/>
      </w:r>
      <w:r>
        <w:rPr>
          <w:rFonts w:ascii="Amiri" w:hAnsi="Amiri" w:eastAsia="Amiri" w:cs="Amiri"/>
          <w:color w:val="111111"/>
          <w:sz w:val="28"/>
          <w:sz w:val="28"/>
          <w:szCs w:val="28"/>
          <w:rtl w:val="true"/>
          <w:lang w:bidi="ar-SA"/>
        </w:rPr>
        <w:t>عنها الإجازة،فافهم</w:t>
      </w:r>
      <w:r>
        <w:rPr>
          <w:rFonts w:eastAsia="Amiri" w:cs="Amiri" w:ascii="Amiri" w:hAnsi="Amiri"/>
          <w:color w:val="111111"/>
          <w:sz w:val="28"/>
          <w:szCs w:val="28"/>
          <w:rtl w:val="true"/>
          <w:lang w:bidi="ar-SA"/>
        </w:rPr>
        <w:t>.</w:t>
      </w:r>
      <w:bookmarkStart w:id="680" w:name="pg19763_248145"/>
    </w:p>
    <w:p>
      <w:pPr>
        <w:pStyle w:val="Heading6"/>
        <w:numPr>
          <w:ilvl w:val="5"/>
          <w:numId w:val="1"/>
        </w:numPr>
        <w:rPr/>
      </w:pPr>
      <w:bookmarkStart w:id="681" w:name="__RefHeading___Toc5082940_2314609296"/>
      <w:bookmarkStart w:id="682" w:name="_Toc261"/>
      <w:bookmarkEnd w:id="680"/>
      <w:bookmarkEnd w:id="681"/>
      <w:r>
        <w:rPr>
          <w:rtl w:val="true"/>
        </w:rPr>
        <w:t>القول فی الإجازة و الردّ</w:t>
      </w:r>
      <w:bookmarkEnd w:id="682"/>
    </w:p>
    <w:p>
      <w:pPr>
        <w:pStyle w:val="Heading6"/>
        <w:numPr>
          <w:ilvl w:val="5"/>
          <w:numId w:val="1"/>
        </w:numPr>
        <w:rPr/>
      </w:pPr>
      <w:bookmarkStart w:id="683" w:name="__RefHeading___Toc5082942_2314609296"/>
      <w:bookmarkStart w:id="684" w:name="_Toc262"/>
      <w:bookmarkEnd w:id="683"/>
      <w:r>
        <w:rPr>
          <w:rtl w:val="true"/>
        </w:rPr>
        <w:t>أمّا الکلام فی الإجازة</w:t>
      </w:r>
      <w:r>
        <w:rPr>
          <w:rtl w:val="true"/>
        </w:rPr>
        <w:t>:</w:t>
      </w:r>
      <w:bookmarkEnd w:id="684"/>
    </w:p>
    <w:p>
      <w:pPr>
        <w:pStyle w:val="BookText"/>
        <w:rPr/>
      </w:pPr>
      <w:r>
        <w:rPr>
          <w:rFonts w:ascii="IRNazanin" w:hAnsi="IRNazanin" w:eastAsia="IRNazanin"/>
          <w:color w:val="111111"/>
          <w:sz w:val="28"/>
          <w:sz w:val="28"/>
          <w:szCs w:val="28"/>
          <w:rtl w:val="true"/>
          <w:lang w:bidi="fa-IR"/>
        </w:rPr>
        <w:t>فیقع تارةً فی حکمها و شروطها،و أُخری فی المجیز،و ثالثة فی المجاز</w:t>
      </w:r>
      <w:r>
        <w:rPr>
          <w:rFonts w:eastAsia="IRNazanin" w:cs="IRNazanin"/>
          <w:color w:val="111111"/>
          <w:sz w:val="28"/>
          <w:szCs w:val="28"/>
          <w:rtl w:val="true"/>
          <w:lang w:bidi="fa-IR"/>
        </w:rPr>
        <w:t>.</w:t>
      </w:r>
    </w:p>
    <w:p>
      <w:pPr>
        <w:pStyle w:val="Heading6"/>
        <w:numPr>
          <w:ilvl w:val="5"/>
          <w:numId w:val="1"/>
        </w:numPr>
        <w:rPr/>
      </w:pPr>
      <w:bookmarkStart w:id="685" w:name="__RefHeading___Toc5082944_2314609296"/>
      <w:bookmarkStart w:id="686" w:name="_Toc263"/>
      <w:bookmarkEnd w:id="685"/>
      <w:r>
        <w:rPr>
          <w:rtl w:val="true"/>
        </w:rPr>
        <w:t>[</w:t>
      </w:r>
      <w:r>
        <w:rPr>
          <w:rtl w:val="true"/>
        </w:rPr>
        <w:t>هل الإجازة کاشفة أم ناقلة</w:t>
      </w:r>
      <w:r>
        <w:rPr>
          <w:rtl w:val="true"/>
        </w:rPr>
        <w:t>]</w:t>
      </w:r>
      <w:bookmarkEnd w:id="686"/>
    </w:p>
    <w:p>
      <w:pPr>
        <w:pStyle w:val="Heading6"/>
        <w:numPr>
          <w:ilvl w:val="5"/>
          <w:numId w:val="1"/>
        </w:numPr>
        <w:rPr/>
      </w:pPr>
      <w:bookmarkStart w:id="687" w:name="__RefHeading___Toc5082946_2314609296"/>
      <w:bookmarkStart w:id="688" w:name="_Toc264"/>
      <w:bookmarkEnd w:id="687"/>
      <w:r>
        <w:rPr>
          <w:rtl w:val="true"/>
        </w:rPr>
        <w:t>أمّا حکمها،</w:t>
      </w:r>
      <w:bookmarkEnd w:id="688"/>
    </w:p>
    <w:p>
      <w:pPr>
        <w:pStyle w:val="BookText"/>
        <w:rPr/>
      </w:pPr>
      <w:r>
        <w:rPr>
          <w:rFonts w:ascii="IRNazanin" w:hAnsi="IRNazanin" w:eastAsia="IRNazanin"/>
          <w:color w:val="111111"/>
          <w:sz w:val="28"/>
          <w:sz w:val="28"/>
          <w:szCs w:val="28"/>
          <w:rtl w:val="true"/>
          <w:lang w:bidi="fa-IR"/>
        </w:rPr>
        <w:t>فقد اختلف القائلون بصحّة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اتّفاقهم علی توقّفها علی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کونها کاشفة بمعنی أنّه یحکم بعد الإجازة بحصول آثار العقد من حین وقوعه حتّی کأنّ الإجازة وقعت مقارنة للعقد،أو ناقلة بمعنی ترتّب آثار العقد من حینها حتّی کأنّ العقد وقع حال الإجازة،علی قولین</w:t>
      </w:r>
      <w:r>
        <w:rPr>
          <w:rFonts w:eastAsia="IRNazanin" w:cs="IRNazanin"/>
          <w:color w:val="111111"/>
          <w:sz w:val="28"/>
          <w:szCs w:val="28"/>
          <w:rtl w:val="true"/>
          <w:lang w:bidi="fa-IR"/>
        </w:rPr>
        <w:t>:</w:t>
      </w:r>
    </w:p>
    <w:p>
      <w:pPr>
        <w:pStyle w:val="Heading6"/>
        <w:numPr>
          <w:ilvl w:val="5"/>
          <w:numId w:val="1"/>
        </w:numPr>
        <w:rPr/>
      </w:pPr>
      <w:bookmarkStart w:id="689" w:name="__RefHeading___Toc5082948_2314609296"/>
      <w:bookmarkStart w:id="690" w:name="_Toc265"/>
      <w:bookmarkEnd w:id="689"/>
      <w:r>
        <w:rPr>
          <w:rtl w:val="true"/>
        </w:rPr>
        <w:t>[</w:t>
      </w:r>
      <w:r>
        <w:rPr>
          <w:rtl w:val="true"/>
        </w:rPr>
        <w:t>الأکثر علی الکشف</w:t>
      </w:r>
      <w:r>
        <w:rPr>
          <w:rtl w:val="true"/>
        </w:rPr>
        <w:t>]</w:t>
      </w:r>
      <w:bookmarkEnd w:id="690"/>
    </w:p>
    <w:p>
      <w:pPr>
        <w:pStyle w:val="Heading6"/>
        <w:numPr>
          <w:ilvl w:val="5"/>
          <w:numId w:val="1"/>
        </w:numPr>
        <w:rPr/>
      </w:pPr>
      <w:bookmarkStart w:id="691" w:name="__RefHeading___Toc5082950_2314609296"/>
      <w:bookmarkStart w:id="692" w:name="_Toc266"/>
      <w:bookmarkEnd w:id="691"/>
      <w:r>
        <w:rPr>
          <w:rtl w:val="true"/>
        </w:rPr>
        <w:t>[</w:t>
      </w:r>
      <w:r>
        <w:rPr>
          <w:rtl w:val="true"/>
        </w:rPr>
        <w:t>الکلام فی أدلة القائلین بالکشف و المناقشات فیها</w:t>
      </w:r>
      <w:r>
        <w:rPr>
          <w:rtl w:val="true"/>
        </w:rPr>
        <w:t>]</w:t>
      </w:r>
      <w:bookmarkEnd w:id="69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فالأکثر علی الأوّل،و استدلّ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جامع المقاصد </w:t>
      </w:r>
      <w:r>
        <w:rPr>
          <w:rStyle w:val="FootnoteAnchor"/>
          <w:rtl w:val="true"/>
        </w:rPr>
        <w:footnoteReference w:id="2122"/>
      </w:r>
      <w:r>
        <w:rPr>
          <w:rFonts w:ascii="Amiri" w:hAnsi="Amiri" w:eastAsia="Amiri" w:cs="Amiri"/>
          <w:color w:val="111111"/>
          <w:sz w:val="28"/>
          <w:sz w:val="28"/>
          <w:szCs w:val="28"/>
          <w:rtl w:val="true"/>
          <w:lang w:bidi="ar-SA"/>
        </w:rPr>
        <w:t xml:space="preserve">و الروضة </w:t>
      </w:r>
      <w:r>
        <w:rPr>
          <w:rStyle w:val="FootnoteAnchor"/>
          <w:rtl w:val="true"/>
        </w:rPr>
        <w:footnoteReference w:id="2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العقد سبب تامّ فی الملک؛لعموم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124"/>
      </w:r>
      <w:r>
        <w:rPr>
          <w:rFonts w:ascii="IRNazanin" w:hAnsi="IRNazanin" w:eastAsia="IRNazanin"/>
          <w:color w:val="111111"/>
          <w:sz w:val="28"/>
          <w:sz w:val="28"/>
          <w:szCs w:val="28"/>
          <w:rtl w:val="true"/>
          <w:lang w:bidi="fa-IR"/>
        </w:rPr>
        <w:t xml:space="preserve">،و تمامه فی الفضولی إنّما یعلم بالإجازة،فإذا أجاز تبیّن کونه تامّاً یوجب </w:t>
      </w:r>
      <w:r>
        <w:rPr>
          <w:rStyle w:val="FootnoteAnchor"/>
          <w:rtl w:val="true"/>
        </w:rPr>
        <w:footnoteReference w:id="2125"/>
      </w:r>
      <w:r>
        <w:rPr>
          <w:rFonts w:ascii="IRNazanin" w:hAnsi="IRNazanin" w:eastAsia="IRNazanin"/>
          <w:color w:val="111111"/>
          <w:sz w:val="28"/>
          <w:sz w:val="28"/>
          <w:szCs w:val="28"/>
          <w:rtl w:val="true"/>
          <w:lang w:bidi="fa-IR"/>
        </w:rPr>
        <w:t>ترتّب الملک علیه،و إلّا لزم أن لا یکون الوفاء بالعقد</w:t>
      </w:r>
    </w:p>
    <w:p>
      <w:pPr>
        <w:pStyle w:val="BookText"/>
        <w:rPr/>
      </w:pPr>
      <w:r>
        <w:rPr>
          <w:rFonts w:ascii="IRNazanin" w:hAnsi="IRNazanin" w:eastAsia="IRNazanin"/>
          <w:color w:val="111111"/>
          <w:sz w:val="28"/>
          <w:sz w:val="28"/>
          <w:szCs w:val="28"/>
          <w:rtl w:val="true"/>
          <w:lang w:bidi="fa-IR"/>
        </w:rPr>
        <w:t>خاصّة،بل به مع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بأنّ الإجازة متعلّقة بالعقد،فهی </w:t>
      </w:r>
      <w:r>
        <w:rPr>
          <w:rStyle w:val="FootnoteAnchor"/>
          <w:rtl w:val="true"/>
        </w:rPr>
        <w:footnoteReference w:id="2126"/>
      </w:r>
      <w:r>
        <w:rPr>
          <w:rFonts w:ascii="IRNazanin" w:hAnsi="IRNazanin" w:eastAsia="IRNazanin"/>
          <w:color w:val="111111"/>
          <w:sz w:val="28"/>
          <w:sz w:val="28"/>
          <w:szCs w:val="28"/>
          <w:rtl w:val="true"/>
          <w:lang w:bidi="fa-IR"/>
        </w:rPr>
        <w:t xml:space="preserve">رضا بمضمونه،و لیس إلّا نقل العوضین من حینه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فخر الدین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لهم بأنّها لو لم تکن کاشفة لزم تأثیر المعدوم فی الموجود؛لأنّ العقد حالها عدم </w:t>
      </w:r>
      <w:r>
        <w:rPr>
          <w:rStyle w:val="FootnoteAnchor"/>
          <w:rtl w:val="true"/>
        </w:rPr>
        <w:footnoteReference w:id="21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 أُرید بکون العقد سبباً تاماً کونه </w:t>
      </w:r>
      <w:r>
        <w:rPr>
          <w:rStyle w:val="FootnoteAnchor"/>
          <w:rtl w:val="true"/>
        </w:rPr>
        <w:footnoteReference w:id="2129"/>
      </w:r>
      <w:r>
        <w:rPr>
          <w:rFonts w:ascii="IRNazanin" w:hAnsi="IRNazanin" w:eastAsia="IRNazanin"/>
          <w:color w:val="111111"/>
          <w:sz w:val="28"/>
          <w:sz w:val="28"/>
          <w:szCs w:val="28"/>
          <w:rtl w:val="true"/>
          <w:lang w:bidi="fa-IR"/>
        </w:rPr>
        <w:t>علّة تامّة للنقل إذا صدر عن رضا المالک،فهو مسلّم،إلّا أنّ بالإجازة لا یعلم تمام ذلک السبب،و لا یتبیّن کونه تامّاً؛إذ الإجازة لا تکشف عن مقارنة الرضا،غایة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لازم صحّة عقد الفضولی کونها قائمة مقام الرضا المقارن،فیکون لها </w:t>
      </w:r>
      <w:r>
        <w:rPr>
          <w:rStyle w:val="FootnoteAnchor"/>
          <w:rtl w:val="true"/>
        </w:rPr>
        <w:footnoteReference w:id="2130"/>
      </w:r>
      <w:r>
        <w:rPr>
          <w:rFonts w:ascii="IRNazanin" w:hAnsi="IRNazanin" w:eastAsia="IRNazanin"/>
          <w:color w:val="111111"/>
          <w:sz w:val="28"/>
          <w:sz w:val="28"/>
          <w:szCs w:val="28"/>
          <w:rtl w:val="true"/>
          <w:lang w:bidi="fa-IR"/>
        </w:rPr>
        <w:t xml:space="preserve">مدخل فی تمامیّة السبب کالرضا المقارن،فلا معنی لحصول الأثر قبلها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فساد تقریر الدلیل </w:t>
      </w:r>
      <w:r>
        <w:rPr>
          <w:rStyle w:val="FootnoteAnchor"/>
          <w:rtl w:val="true"/>
        </w:rPr>
        <w:footnoteReference w:id="2132"/>
      </w:r>
      <w:r>
        <w:rPr>
          <w:rFonts w:ascii="IRNazanin" w:hAnsi="IRNazanin" w:eastAsia="IRNazanin"/>
          <w:color w:val="111111"/>
          <w:sz w:val="28"/>
          <w:sz w:val="28"/>
          <w:szCs w:val="28"/>
          <w:rtl w:val="true"/>
          <w:lang w:bidi="fa-IR"/>
        </w:rPr>
        <w:t xml:space="preserve">بأنّ العقد الواقع جامع </w:t>
      </w:r>
      <w:r>
        <w:rPr>
          <w:rStyle w:val="FootnoteAnchor"/>
          <w:rtl w:val="true"/>
        </w:rPr>
        <w:footnoteReference w:id="2133"/>
      </w:r>
      <w:r>
        <w:rPr>
          <w:rFonts w:ascii="IRNazanin" w:hAnsi="IRNazanin" w:eastAsia="IRNazanin"/>
          <w:color w:val="111111"/>
          <w:sz w:val="28"/>
          <w:sz w:val="28"/>
          <w:szCs w:val="28"/>
          <w:rtl w:val="true"/>
          <w:lang w:bidi="fa-IR"/>
        </w:rPr>
        <w:t>لجمیع</w:t>
      </w:r>
    </w:p>
    <w:p>
      <w:pPr>
        <w:pStyle w:val="BookText"/>
        <w:rPr/>
      </w:pPr>
      <w:r>
        <w:rPr>
          <w:rFonts w:ascii="IRNazanin" w:hAnsi="IRNazanin" w:eastAsia="IRNazanin"/>
          <w:color w:val="111111"/>
          <w:sz w:val="28"/>
          <w:sz w:val="28"/>
          <w:szCs w:val="28"/>
          <w:rtl w:val="true"/>
          <w:lang w:bidi="fa-IR"/>
        </w:rPr>
        <w:t xml:space="preserve">الشروط،و </w:t>
      </w:r>
      <w:r>
        <w:rPr>
          <w:rStyle w:val="FootnoteAnchor"/>
          <w:rtl w:val="true"/>
        </w:rPr>
        <w:footnoteReference w:id="2134"/>
      </w:r>
      <w:r>
        <w:rPr>
          <w:rFonts w:ascii="IRNazanin" w:hAnsi="IRNazanin" w:eastAsia="IRNazanin"/>
          <w:color w:val="111111"/>
          <w:sz w:val="28"/>
          <w:sz w:val="28"/>
          <w:szCs w:val="28"/>
          <w:rtl w:val="true"/>
          <w:lang w:bidi="fa-IR"/>
        </w:rPr>
        <w:t>کلّها حاصلة إلّا رضا المالک،فإذا حصل بالإجازة عمل السبب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إذا اعترف أنّ رضا المالک من جملة الشروط،فکیف یکون کاشفاً عن وجود المشروط قبله؟ 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الشروط الشرعیة لیست کالعقلیة،بل هی بحسب ما یقتضیه جعل الشارع،فقد یجعل الشارع ما یشبه تقدیم المسبّب علی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کغسل الجمعة یوم الخمیس و إعطاء الفطرة قبل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تقدّم المشروط علی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کغسل الفجر بعد الفجر للمستحاضة الصائمة،و کغسل العشاءَین لصوم الیوم الماضی علی القول به </w:t>
      </w:r>
      <w:r>
        <w:rPr>
          <w:rStyle w:val="FootnoteAnchor"/>
          <w:rtl w:val="true"/>
        </w:rPr>
        <w:footnoteReference w:id="2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فرق فیما فرض شرطاً أو سبباً بین الشرعی و غیره، و تکثیر الأمثلة لا یوجب وقوع المحال العقلی،فهی کدعوی أنّ التناقض الشرعی بین الشیئین لا یمنع عن اجتماعهما؛لأنّ النقیض الشرعی غیر العقلی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فجمیع ما ورد ممّا یوهم ذلک </w:t>
      </w:r>
      <w:r>
        <w:rPr>
          <w:rStyle w:val="FootnoteAnchor"/>
          <w:rtl w:val="true"/>
        </w:rPr>
        <w:footnoteReference w:id="2136"/>
      </w:r>
      <w:r>
        <w:rPr>
          <w:rFonts w:ascii="IRNazanin" w:hAnsi="IRNazanin" w:eastAsia="IRNazanin"/>
          <w:color w:val="111111"/>
          <w:sz w:val="28"/>
          <w:sz w:val="28"/>
          <w:szCs w:val="28"/>
          <w:rtl w:val="true"/>
          <w:lang w:bidi="fa-IR"/>
        </w:rPr>
        <w:t>لا بدّ فیه من التزام أنّ المتأخّر لیس سبباً أو شرطاً،بل السبب و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المنتزع من ذلک،لکن ذلک لا یمکن فی ما نحن فیه،بأن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الشرط تعقّب الإجازة و لحوقها بالعقد،و هذا أمر مقارن للعقد علی تقدیر الإجازة؛لمخالفته الأدلّة </w:t>
      </w:r>
      <w:r>
        <w:rPr>
          <w:rStyle w:val="FootnoteAnchor"/>
          <w:rtl w:val="true"/>
        </w:rPr>
        <w:footnoteReference w:id="2137"/>
      </w:r>
      <w:r>
        <w:rPr>
          <w:rFonts w:ascii="IRNazanin" w:hAnsi="IRNazanin" w:eastAsia="IRNazanin"/>
          <w:color w:val="111111"/>
          <w:sz w:val="28"/>
          <w:sz w:val="28"/>
          <w:szCs w:val="28"/>
          <w:rtl w:val="true"/>
          <w:lang w:bidi="fa-IR"/>
        </w:rPr>
        <w:t>،اللّهم إلّا أن یکون مراده بالشرط ما یتوقّف تأثیر السبب</w:t>
      </w:r>
    </w:p>
    <w:p>
      <w:pPr>
        <w:pStyle w:val="BookText"/>
        <w:rPr/>
      </w:pPr>
      <w:r>
        <w:rPr>
          <w:rFonts w:ascii="IRNazanin" w:hAnsi="IRNazanin" w:eastAsia="IRNazanin"/>
          <w:color w:val="111111"/>
          <w:sz w:val="28"/>
          <w:sz w:val="28"/>
          <w:szCs w:val="28"/>
          <w:rtl w:val="true"/>
          <w:lang w:bidi="fa-IR"/>
        </w:rPr>
        <w:t xml:space="preserve">المتقدّم فی زمانه علی لحوقه،و هذا مع أنّه لا یستحقّ إطلاق الشرط علیه،غیر صادق علی الرضا؛لأنّ المستفاد من العقل و النقل اعتبار رضا المالک فی انتقال ماله،و أنّه </w:t>
      </w:r>
      <w:r>
        <w:rPr>
          <w:rStyle w:val="FootnoteAnchor"/>
          <w:rtl w:val="true"/>
        </w:rPr>
        <w:footnoteReference w:id="2138"/>
      </w:r>
      <w:r>
        <w:rPr>
          <w:rFonts w:ascii="IRNazanin" w:hAnsi="IRNazanin" w:eastAsia="IRNazanin"/>
          <w:color w:val="111111"/>
          <w:sz w:val="28"/>
          <w:sz w:val="28"/>
          <w:szCs w:val="28"/>
          <w:rtl w:val="true"/>
          <w:lang w:bidi="fa-IR"/>
        </w:rPr>
        <w:t xml:space="preserve">لا یحلّ لغیره بدون طیب النفس </w:t>
      </w:r>
      <w:r>
        <w:rPr>
          <w:rStyle w:val="FootnoteAnchor"/>
          <w:rtl w:val="true"/>
        </w:rPr>
        <w:footnoteReference w:id="2139"/>
      </w:r>
      <w:r>
        <w:rPr>
          <w:rFonts w:ascii="IRNazanin" w:hAnsi="IRNazanin" w:eastAsia="IRNazanin"/>
          <w:color w:val="111111"/>
          <w:sz w:val="28"/>
          <w:sz w:val="28"/>
          <w:szCs w:val="28"/>
          <w:rtl w:val="true"/>
          <w:lang w:bidi="fa-IR"/>
        </w:rPr>
        <w:t>، و أنّه لا ینفع لحوقه فی حلّ تصرّف الغیر و انقطاع سلطنة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ضعف ما احتمله فی المقام بعض الأعلام </w:t>
      </w:r>
      <w:r>
        <w:rPr>
          <w:rStyle w:val="FootnoteAnchor"/>
          <w:rtl w:val="true"/>
        </w:rPr>
        <w:footnoteReference w:id="2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التزم به غیر واحد من المعاصرین </w:t>
      </w:r>
      <w:r>
        <w:rPr>
          <w:rStyle w:val="FootnoteAnchor"/>
          <w:rtl w:val="true"/>
        </w:rPr>
        <w:footnoteReference w:id="2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معنی شرطیة الإجازة مع کونها کاشفة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الوصف المنتزع منها،و هو کونها لاحقة للعقد فی المستقبل،فالعلّة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الملحوق بالإجازة،و هذه صفة مقارنة للعقد و إن کان نفس الإجازة متأخّرة عنه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التزم بعضهم </w:t>
      </w:r>
      <w:r>
        <w:rPr>
          <w:rStyle w:val="FootnoteAnchor"/>
          <w:rtl w:val="true"/>
        </w:rPr>
        <w:footnoteReference w:id="2142"/>
      </w:r>
      <w:r>
        <w:rPr>
          <w:rFonts w:ascii="IRNazanin" w:hAnsi="IRNazanin" w:eastAsia="IRNazanin"/>
          <w:color w:val="111111"/>
          <w:sz w:val="28"/>
          <w:sz w:val="28"/>
          <w:szCs w:val="28"/>
          <w:rtl w:val="true"/>
          <w:lang w:bidi="fa-IR"/>
        </w:rPr>
        <w:t xml:space="preserve">بما </w:t>
      </w:r>
      <w:r>
        <w:rPr>
          <w:rStyle w:val="FootnoteAnchor"/>
          <w:rtl w:val="true"/>
        </w:rPr>
        <w:footnoteReference w:id="2143"/>
      </w:r>
      <w:r>
        <w:rPr>
          <w:rFonts w:ascii="IRNazanin" w:hAnsi="IRNazanin" w:eastAsia="IRNazanin"/>
          <w:color w:val="111111"/>
          <w:sz w:val="28"/>
          <w:sz w:val="28"/>
          <w:szCs w:val="28"/>
          <w:rtl w:val="true"/>
          <w:lang w:bidi="fa-IR"/>
        </w:rPr>
        <w:t>یتفرّع علی هذا،من أنّه إذا علم المشتری أنّ المالک للمبیع سیجیز العقد،حلّ له التصرّف فیه بمجرّد العقد،و فیه ما لا یخفی من المخالفة للأدلّة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 الوجه الثانی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الإجازة و إن کانت رضاً بمضمون العقد،إلّا أنّ مضمون العقد لیس هو النقل من حینه حتّی یتعلّق الإجازة و الرضا بذلک النقل المقیّد بکونه فی ذلک الحال،بل هو نفس النقل مجرّداً عن ملاحظة وقوعه فی زمان،و إنّما الزمان من ضروریات إنشائه؛فإنّ قول العاقد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من هذا 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النقل المنشأ به واقعاً فی ذلک الحین،فالزمان ظرف للنقل لا قید له،فکما أنّ إنشاء مجرّد النقل الذی هو مضمون العقد فی زمان یوجب وقوعه من المنشئ فی ذلک الزمان،فکذلک إجازة ذلک النقل فی زمان یوجب وقوعه من المجیز فی زمان الإجازة،و کما أنّ الشارع إذا أمضی نفس العقد وقع النقل من زمانه،فکذلک إذا أمضی إجازة المالک وقع النقل من زمان </w:t>
      </w:r>
      <w:r>
        <w:rPr>
          <w:rStyle w:val="FootnoteAnchor"/>
          <w:rtl w:val="true"/>
        </w:rPr>
        <w:footnoteReference w:id="2145"/>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لأجل ما ذکرنا لم یکن مقتضی القبول وقوع الملک من زمان الإیجاب،مع أنّه لیس إلّا رضاً بمضمون الإیجاب،فلو کان مضمون الإیجاب النقل من حینه و کان القبول رضا بذلک،کان معنی إمضاء الشارع للعقد الحکم بترتّب الأثر من حین الإیجاب؛لأنّ الموجب ینقل من حینه،و القابل یتقبّل ذلک و یرضی به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سبب للملک فلا یتقدّم علیه،مدفوعة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سببیّته للملک لیست إلّا بمعنی إمضاء الشارع لمقتضاه،فإذا فرض</w:t>
      </w:r>
    </w:p>
    <w:p>
      <w:pPr>
        <w:pStyle w:val="BookText"/>
        <w:rPr/>
      </w:pPr>
      <w:r>
        <w:rPr>
          <w:rFonts w:ascii="IRNazanin" w:hAnsi="IRNazanin" w:eastAsia="IRNazanin"/>
          <w:color w:val="111111"/>
          <w:sz w:val="28"/>
          <w:sz w:val="28"/>
          <w:szCs w:val="28"/>
          <w:rtl w:val="true"/>
          <w:lang w:bidi="fa-IR"/>
        </w:rPr>
        <w:t>مقتضاه مرکّباً من نقل فی زمانٍ و رضا بذلک النقل،کان مقتضی العقد الملک بعد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فسخ العقد إلّا انحلاله من زمانه،لا من زمان العقد؛فإنّ الفسخ نظیر الإجازة و الردّ لا یتعلّق إلّا بمضمون العقد و هو النقل من حینه،فلو کان زمان وقوع النقل مأخوذاً فی العقد علی وجه القیدیّة لکان ردّه و حلّه موجباً للحکم بعدم الآثار من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جمیع ذلک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کون زمان النقل إلّا ظرفاً،فجمیع ما یتعلّق بالعقد من الإمضاء و الردّ و الفسخ،إنّما یتعلّق بنفس المضمون،دون المقیّد بذلک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حصول الإجازة بقول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بکون مالی لزید بإزاء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بانتقال مالی إلی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الألفاظ التی لا تعرّض فیها لإنشاء الفضولی فضلاً عن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جعلوا تمکین الزوجة بالدخول علیها إجازة منها، و نحو ذلک،و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الرضا یتعلّق بنفس نتیجة العقد،من غیر ملاحظة زمان نقل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الإجازة من المالک قائمة مقام رضاه و إذنه المقرون بإنشاء الفضولی أو مقام نفس إنشائه،فلا یصیر المالک بمنزلة العاقد إلّا بعد الإجازة،فهی إمّا شرط أو جزء سبب للملک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المؤثّر هو العقد المرضیّ به،و المقیّد من حیث إنّه مقیّد لا یوجد إلّا بعد القید،و لا یکفی فی التأثیر وجود ذات المقیّد</w:t>
      </w:r>
    </w:p>
    <w:p>
      <w:pPr>
        <w:pStyle w:val="BookText"/>
        <w:rPr/>
      </w:pPr>
      <w:r>
        <w:rPr>
          <w:rFonts w:ascii="Amiri" w:hAnsi="Amiri" w:eastAsia="Amiri" w:cs="Amiri"/>
          <w:color w:val="111111"/>
          <w:sz w:val="28"/>
          <w:sz w:val="28"/>
          <w:szCs w:val="28"/>
          <w:rtl w:val="true"/>
          <w:lang w:bidi="ar-SA"/>
        </w:rPr>
        <w:t xml:space="preserve">المجرّدة </w:t>
      </w:r>
      <w:r>
        <w:rPr>
          <w:rStyle w:val="FootnoteAnchor"/>
          <w:rtl w:val="true"/>
        </w:rPr>
        <w:footnoteReference w:id="2146"/>
      </w:r>
      <w:r>
        <w:rPr>
          <w:rFonts w:ascii="IRNazanin" w:hAnsi="IRNazanin" w:eastAsia="IRNazanin"/>
          <w:color w:val="111111"/>
          <w:sz w:val="28"/>
          <w:sz w:val="28"/>
          <w:szCs w:val="28"/>
          <w:rtl w:val="true"/>
          <w:lang w:bidi="fa-IR"/>
        </w:rPr>
        <w:t>عن القید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Style w:val="FootnoteAnchor"/>
          <w:rtl w:val="true"/>
        </w:rPr>
        <w:footnoteReference w:id="2147"/>
      </w:r>
      <w:r>
        <w:rPr>
          <w:rFonts w:ascii="IRNazanin" w:hAnsi="IRNazanin" w:eastAsia="IRNazanin"/>
          <w:color w:val="111111"/>
          <w:sz w:val="28"/>
          <w:sz w:val="28"/>
          <w:szCs w:val="28"/>
          <w:rtl w:val="true"/>
          <w:lang w:bidi="fa-IR"/>
        </w:rPr>
        <w:t xml:space="preserve">لو سلّمنا عدم کون الإجازة شرطاً اصطلاحیّاً لیؤخذ فیه تقدّمه علی المشروط،و لا جزء سبب،و إنّما هی من المالک محدثةٌ للتأثیر فی العقد السابق و جاعلةٌ له </w:t>
      </w:r>
      <w:r>
        <w:rPr>
          <w:rStyle w:val="FootnoteAnchor"/>
          <w:rtl w:val="true"/>
        </w:rPr>
        <w:footnoteReference w:id="2148"/>
      </w:r>
      <w:r>
        <w:rPr>
          <w:rFonts w:ascii="IRNazanin" w:hAnsi="IRNazanin" w:eastAsia="IRNazanin"/>
          <w:color w:val="111111"/>
          <w:sz w:val="28"/>
          <w:sz w:val="28"/>
          <w:szCs w:val="28"/>
          <w:rtl w:val="true"/>
          <w:lang w:bidi="fa-IR"/>
        </w:rPr>
        <w:t>سبباً تامّاً حتّی کأنه وقع مؤثّراً،فیتفرّع علیه أنّ مجرّد رضا المالک بنتیجة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محض الملکیّة من غیر التفات إلی وقوع عقد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Style w:val="FootnoteAnchor"/>
          <w:rtl w:val="true"/>
        </w:rPr>
        <w:footnoteReference w:id="2149"/>
      </w:r>
      <w:r>
        <w:rPr>
          <w:rFonts w:ascii="IRNazanin" w:hAnsi="IRNazanin" w:eastAsia="IRNazanin"/>
          <w:color w:val="111111"/>
          <w:sz w:val="28"/>
          <w:sz w:val="28"/>
          <w:szCs w:val="28"/>
          <w:rtl w:val="true"/>
          <w:lang w:bidi="fa-IR"/>
        </w:rPr>
        <w:t>بإجازة؛لأنّ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جائزاً نافذاً ماضیاً،لکن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یدلّ دلیل علی إمضاء الشارع لإجازة المالک علی هذا الوجه؛لأنّ وجوب الوفاء بالعقد تکلیف یتوجّه إلی العاقدین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الوفاء بالعهد و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المالک لا یصیر عاقداً أو بمنزلته إلّا بعد الإجازة فلا یجب الوفاء إلّا بعدها،و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 الشرعی یتبع الحکم الشرعی،فما لم یجب الوفاء فلا ملک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الاستدلال للکشف بدلیل وجوب الوفاء بالعقود،بدعوی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الوفاء بالعقد و العمل بمقتضاه هو الالتزام </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بالنقل من حین العقد،و قس علی ذلک ما لو کان دلیل الملک عموم أَحَلَّ اللّٰهُ الْبَیْعَ </w:t>
      </w:r>
      <w:r>
        <w:rPr>
          <w:rStyle w:val="FootnoteAnchor"/>
          <w:rtl w:val="true"/>
        </w:rPr>
        <w:footnoteReference w:id="2151"/>
      </w:r>
      <w:r>
        <w:rPr>
          <w:rFonts w:ascii="Amiri" w:hAnsi="Amiri" w:eastAsia="Amiri" w:cs="Amiri"/>
          <w:color w:val="111111"/>
          <w:sz w:val="28"/>
          <w:sz w:val="28"/>
          <w:szCs w:val="28"/>
          <w:rtl w:val="true"/>
          <w:lang w:bidi="ar-SA"/>
        </w:rPr>
        <w:t xml:space="preserve">فإنّ الملک ملزوم لحلّیة التصرّف </w:t>
      </w:r>
      <w:r>
        <w:rPr>
          <w:rStyle w:val="FootnoteAnchor"/>
          <w:rtl w:val="true"/>
        </w:rPr>
        <w:footnoteReference w:id="2152"/>
      </w:r>
      <w:r>
        <w:rPr>
          <w:rFonts w:ascii="IRNazanin" w:hAnsi="IRNazanin" w:eastAsia="IRNazanin"/>
          <w:color w:val="111111"/>
          <w:sz w:val="28"/>
          <w:sz w:val="28"/>
          <w:szCs w:val="28"/>
          <w:rtl w:val="true"/>
          <w:lang w:bidi="fa-IR"/>
        </w:rPr>
        <w:t xml:space="preserve">،و قبل </w:t>
      </w:r>
      <w:r>
        <w:rPr>
          <w:rStyle w:val="FootnoteAnchor"/>
          <w:rtl w:val="true"/>
        </w:rPr>
        <w:footnoteReference w:id="2153"/>
      </w:r>
      <w:r>
        <w:rPr>
          <w:rFonts w:ascii="IRNazanin" w:hAnsi="IRNazanin" w:eastAsia="IRNazanin"/>
          <w:color w:val="111111"/>
          <w:sz w:val="28"/>
          <w:sz w:val="28"/>
          <w:szCs w:val="28"/>
          <w:rtl w:val="true"/>
          <w:lang w:bidi="fa-IR"/>
        </w:rPr>
        <w:t>الإجازة لا یحلّ التصرّف،خصوصاً إذا علم عدم رضا المالک باطناً أو تردّده فی الفسخ و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دلالة الدلیل علی إمضاء الشارع لإجازة المالک علی طبق مفهومها اللغوی و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جعل العقد السابق جائزاً ماضیاً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الوفاء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بمقتضاه و مؤدّاه العرفی، فإذا صار العقد بالإجازة </w:t>
      </w:r>
      <w:r>
        <w:rPr>
          <w:rStyle w:val="FootnoteAnchor"/>
          <w:rtl w:val="true"/>
        </w:rPr>
        <w:footnoteReference w:id="2154"/>
      </w:r>
      <w:r>
        <w:rPr>
          <w:rFonts w:ascii="IRNazanin" w:hAnsi="IRNazanin" w:eastAsia="IRNazanin"/>
          <w:color w:val="111111"/>
          <w:sz w:val="28"/>
          <w:sz w:val="28"/>
          <w:szCs w:val="28"/>
          <w:rtl w:val="true"/>
          <w:lang w:bidi="fa-IR"/>
        </w:rPr>
        <w:t xml:space="preserve">کأنه </w:t>
      </w:r>
      <w:r>
        <w:rPr>
          <w:rStyle w:val="FootnoteAnchor"/>
          <w:rtl w:val="true"/>
        </w:rPr>
        <w:footnoteReference w:id="2155"/>
      </w:r>
      <w:r>
        <w:rPr>
          <w:rFonts w:ascii="Amiri" w:hAnsi="Amiri" w:eastAsia="Amiri" w:cs="Amiri"/>
          <w:color w:val="111111"/>
          <w:sz w:val="28"/>
          <w:sz w:val="28"/>
          <w:szCs w:val="28"/>
          <w:rtl w:val="true"/>
          <w:lang w:bidi="ar-SA"/>
        </w:rPr>
        <w:t xml:space="preserve">وقع مؤثّراً ماضیاً </w:t>
      </w:r>
      <w:r>
        <w:rPr>
          <w:rStyle w:val="FootnoteAnchor"/>
          <w:rtl w:val="true"/>
        </w:rPr>
        <w:footnoteReference w:id="2156"/>
      </w:r>
      <w:r>
        <w:rPr>
          <w:rFonts w:ascii="IRNazanin" w:hAnsi="IRNazanin" w:eastAsia="IRNazanin"/>
          <w:color w:val="111111"/>
          <w:sz w:val="28"/>
          <w:sz w:val="28"/>
          <w:szCs w:val="28"/>
          <w:rtl w:val="true"/>
          <w:lang w:bidi="fa-IR"/>
        </w:rPr>
        <w:t>،کان مقتضی العقد المُجاز عرفاً ترتّب الآثار من حینه،فیجب شرعاً العمل به علی هذا الوجه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نقول بعد الإغماض عن أنّ مجرّد کون الإجازة بمعنی جعل العقد السابق جائزاً نافذاً،لا یوجب کون مقتضی العقد و مؤدّاه العرفی ترتّب الأثر من حین العقد،کما أنّ کون مفهوم القبول رضا بمفهوم الإیجاب و إمضاءً </w:t>
      </w:r>
      <w:r>
        <w:rPr>
          <w:rStyle w:val="FootnoteAnchor"/>
          <w:rtl w:val="true"/>
        </w:rPr>
        <w:footnoteReference w:id="2157"/>
      </w:r>
      <w:r>
        <w:rPr>
          <w:rFonts w:ascii="IRNazanin" w:hAnsi="IRNazanin" w:eastAsia="IRNazanin"/>
          <w:color w:val="111111"/>
          <w:sz w:val="28"/>
          <w:sz w:val="28"/>
          <w:szCs w:val="28"/>
          <w:rtl w:val="true"/>
          <w:lang w:bidi="fa-IR"/>
        </w:rPr>
        <w:t>له لا یوجب ذلک،حتّی یکون مقتضی الوفاء بالعقد</w:t>
      </w:r>
    </w:p>
    <w:p>
      <w:pPr>
        <w:pStyle w:val="BookText"/>
        <w:rPr/>
      </w:pPr>
      <w:r>
        <w:rPr>
          <w:rFonts w:ascii="IRNazanin" w:hAnsi="IRNazanin" w:eastAsia="IRNazanin"/>
          <w:color w:val="111111"/>
          <w:sz w:val="28"/>
          <w:sz w:val="28"/>
          <w:szCs w:val="28"/>
          <w:rtl w:val="true"/>
          <w:lang w:bidi="fa-IR"/>
        </w:rPr>
        <w:t>ترتیب الآثار من حین الإیجاب،فتأمّل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Style w:val="FootnoteAnchor"/>
          <w:rtl w:val="true"/>
        </w:rPr>
        <w:footnoteReference w:id="2158"/>
      </w:r>
      <w:r>
        <w:rPr>
          <w:rFonts w:ascii="IRNazanin" w:hAnsi="IRNazanin" w:eastAsia="IRNazanin"/>
          <w:color w:val="111111"/>
          <w:sz w:val="28"/>
          <w:sz w:val="28"/>
          <w:szCs w:val="28"/>
          <w:rtl w:val="true"/>
          <w:lang w:bidi="fa-IR"/>
        </w:rPr>
        <w:t>هذا المعنی علی حقیقته غیر معقول؛لأنّ العقد الموجود علی صفة عدم التأثیر یستحیل لحوق صفة التأثیر له؛لاستحالة خروج الشیء عمّا وقع علیه،فإذا دلّ الدلیل الشرعی علی إمضاء الإجازة علی هذا الوجه الغیر المعقول،فلا بدّ من صرفه بدلالة الاقتضاء إلی إرادة معاملة العقد بعد الإجازة معاملة العقد الواقع مؤثّراً من حیث ترتّب الآثار الممکنة،فإذا أجاز المالک حَکمنا بانتقال نماء المبیع بعد العقد إلی المشتری و إن کان أصل الملک قبل الإجازة للمالک و وقع النماء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یعامل بعد الإجازة معاملةَ العقد الواقع مؤثّراً من حینه بالنسبة إلی ما أمکن من الآثار،و هذا نقل حقیقیّ فی حکم الکشف من بعض الجهات،و سیأتی الثمرة بینه و بین الکشف الحقیقی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أعرف من قال بهذا الوجه من الکشف إلّا الأُستاذ شریف العلماء قدّس سرّه فیما عثرت علیه من بعض تحقیقاته،و إلّا فظاهر کلام القائلین بالکشف أنّ الانتقال فی زمان العقد؛و لذا عنون العلّامة رحمه اللّه فی القواعد مسألة الکشف و النقل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زمان الانتقال إشکال</w:t>
      </w:r>
      <w:r>
        <w:rPr>
          <w:rFonts w:eastAsia="IRNazanin" w:cs="IRNazanin"/>
          <w:color w:val="111111"/>
          <w:sz w:val="28"/>
          <w:szCs w:val="28"/>
          <w:rtl w:val="true"/>
          <w:lang w:bidi="fa-IR"/>
        </w:rPr>
        <w:t xml:space="preserve">»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النزاع فی هذه المسألة نزاعاً فی زمان الانتقال</w:t>
      </w:r>
      <w:r>
        <w:rPr>
          <w:rFonts w:eastAsia="IRNazanin" w:cs="IRNazanin"/>
          <w:color w:val="111111"/>
          <w:sz w:val="28"/>
          <w:szCs w:val="28"/>
          <w:rtl w:val="true"/>
          <w:lang w:bidi="fa-IR"/>
        </w:rPr>
        <w:t>.</w:t>
      </w:r>
      <w:bookmarkStart w:id="693" w:name="pg19763_248154"/>
    </w:p>
    <w:p>
      <w:pPr>
        <w:pStyle w:val="Heading6"/>
        <w:numPr>
          <w:ilvl w:val="5"/>
          <w:numId w:val="1"/>
        </w:numPr>
        <w:rPr/>
      </w:pPr>
      <w:bookmarkStart w:id="694" w:name="__RefHeading___Toc5082952_2314609296"/>
      <w:bookmarkStart w:id="695" w:name="_Toc267"/>
      <w:bookmarkEnd w:id="693"/>
      <w:bookmarkEnd w:id="694"/>
      <w:r>
        <w:rPr>
          <w:rtl w:val="true"/>
        </w:rPr>
        <w:t>[</w:t>
      </w:r>
      <w:r>
        <w:rPr>
          <w:rtl w:val="true"/>
        </w:rPr>
        <w:t>معانی الکشف</w:t>
      </w:r>
      <w:r>
        <w:rPr>
          <w:rtl w:val="true"/>
        </w:rPr>
        <w:t>]</w:t>
      </w:r>
      <w:bookmarkEnd w:id="695"/>
    </w:p>
    <w:p>
      <w:pPr>
        <w:pStyle w:val="BookText"/>
        <w:rPr/>
      </w:pPr>
      <w:r>
        <w:rPr>
          <w:rFonts w:ascii="IRNazanin" w:hAnsi="IRNazanin" w:eastAsia="IRNazanin"/>
          <w:color w:val="111111"/>
          <w:sz w:val="28"/>
          <w:sz w:val="28"/>
          <w:szCs w:val="28"/>
          <w:rtl w:val="true"/>
          <w:lang w:bidi="fa-IR"/>
        </w:rPr>
        <w:t>و قد تحصّل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کاشفیة الإجازة علی وجوه ثلاثة،قال بکلٍّ </w:t>
      </w:r>
      <w:r>
        <w:rPr>
          <w:rStyle w:val="FootnoteAnchor"/>
          <w:rtl w:val="true"/>
        </w:rPr>
        <w:footnoteReference w:id="2161"/>
      </w:r>
      <w:r>
        <w:rPr>
          <w:rFonts w:ascii="IRNazanin" w:hAnsi="IRNazanin" w:eastAsia="IRNazanin"/>
          <w:color w:val="111111"/>
          <w:sz w:val="28"/>
          <w:sz w:val="28"/>
          <w:szCs w:val="28"/>
          <w:rtl w:val="true"/>
          <w:lang w:bidi="fa-IR"/>
        </w:rPr>
        <w:t>منها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الکشف الحقیقی و التزام کون الإجازة فیها شرطاً متأخّراً؛و لذا اعترضهم </w:t>
      </w:r>
      <w:r>
        <w:rPr>
          <w:rStyle w:val="FootnoteAnchor"/>
          <w:rtl w:val="true"/>
        </w:rPr>
        <w:footnoteReference w:id="2162"/>
      </w:r>
      <w:r>
        <w:rPr>
          <w:rFonts w:ascii="IRNazanin" w:hAnsi="IRNazanin" w:eastAsia="IRNazanin"/>
          <w:color w:val="111111"/>
          <w:sz w:val="28"/>
          <w:sz w:val="28"/>
          <w:szCs w:val="28"/>
          <w:rtl w:val="true"/>
          <w:lang w:bidi="fa-IR"/>
        </w:rPr>
        <w:t xml:space="preserve">جمال المحقّقین فی حاشیته علی الروضة </w:t>
      </w:r>
      <w:r>
        <w:rPr>
          <w:rStyle w:val="FootnoteAnchor"/>
          <w:rtl w:val="true"/>
        </w:rPr>
        <w:footnoteReference w:id="2163"/>
      </w:r>
      <w:r>
        <w:rPr>
          <w:rFonts w:ascii="Amiri" w:hAnsi="Amiri" w:eastAsia="Amiri" w:cs="Amiri"/>
          <w:color w:val="111111"/>
          <w:sz w:val="28"/>
          <w:sz w:val="28"/>
          <w:szCs w:val="28"/>
          <w:rtl w:val="true"/>
          <w:lang w:bidi="ar-SA"/>
        </w:rPr>
        <w:t xml:space="preserve">بأنّ الشرط لا یتأخّر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الکشف الحقیقی و التزام کون الشرط تعقّب العقد بالإجازة لا نفس الإجازة؛فراراً عن لزوم تأخّر الشرط عن المشروط،و التزم بعضهم بجواز التصرّف قبل الإجازة لو علم تحقّقها فیما بعد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الحکمی،و هو إجراء أحکام الکشف بقدر الإمکان مع عدم تحقّق الملک فی الواقع إلّا بعد الإجازة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تبیّن من تضاعیف کلماتنا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الأنسب بالقواعد و العمومات هو النقل،ثمّ بعده الکشف الحکمی،و أمّا الکشف الحقیقی مع کون نفس الإجازة من الشروط،فإتمامه بالقواعد فی غایة الإشکال؛و لذا استشکل فیه العلّامة فی القواعد </w:t>
      </w:r>
      <w:r>
        <w:rPr>
          <w:rStyle w:val="FootnoteAnchor"/>
          <w:rtl w:val="true"/>
        </w:rPr>
        <w:footnoteReference w:id="2166"/>
      </w:r>
      <w:r>
        <w:rPr>
          <w:rFonts w:ascii="IRNazanin" w:hAnsi="IRNazanin" w:eastAsia="IRNazanin"/>
          <w:color w:val="111111"/>
          <w:sz w:val="28"/>
          <w:sz w:val="28"/>
          <w:szCs w:val="28"/>
          <w:rtl w:val="true"/>
          <w:lang w:bidi="fa-IR"/>
        </w:rPr>
        <w:t xml:space="preserve">و لم یرجّحه المحقّق الثانی فی حاشیة الإرشاد </w:t>
      </w:r>
      <w:r>
        <w:rPr>
          <w:rStyle w:val="FootnoteAnchor"/>
          <w:rtl w:val="true"/>
        </w:rPr>
        <w:footnoteReference w:id="21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الإیضاح اختیار خلافه </w:t>
      </w:r>
      <w:r>
        <w:rPr>
          <w:rStyle w:val="FootnoteAnchor"/>
          <w:rtl w:val="true"/>
        </w:rPr>
        <w:footnoteReference w:id="2168"/>
      </w:r>
      <w:r>
        <w:rPr>
          <w:rFonts w:ascii="IRNazanin" w:hAnsi="IRNazanin" w:eastAsia="IRNazanin"/>
          <w:color w:val="111111"/>
          <w:sz w:val="28"/>
          <w:sz w:val="28"/>
          <w:szCs w:val="28"/>
          <w:rtl w:val="true"/>
          <w:lang w:bidi="fa-IR"/>
        </w:rPr>
        <w:t xml:space="preserve">،تبعاً للمحکی عن کاشف الرموز </w:t>
      </w:r>
      <w:r>
        <w:rPr>
          <w:rStyle w:val="FootnoteAnchor"/>
          <w:rtl w:val="true"/>
        </w:rPr>
        <w:footnoteReference w:id="2169"/>
      </w:r>
      <w:r>
        <w:rPr>
          <w:rFonts w:ascii="IRNazanin" w:hAnsi="IRNazanin" w:eastAsia="IRNazanin"/>
          <w:color w:val="111111"/>
          <w:sz w:val="28"/>
          <w:sz w:val="28"/>
          <w:szCs w:val="28"/>
          <w:rtl w:val="true"/>
          <w:lang w:bidi="fa-IR"/>
        </w:rPr>
        <w:t xml:space="preserve">و قوّاه فی مجمع البرهان </w:t>
      </w:r>
      <w:r>
        <w:rPr>
          <w:rStyle w:val="FootnoteAnchor"/>
          <w:rtl w:val="true"/>
        </w:rPr>
        <w:footnoteReference w:id="2170"/>
      </w:r>
      <w:r>
        <w:rPr>
          <w:rFonts w:ascii="IRNazanin" w:hAnsi="IRNazanin" w:eastAsia="IRNazanin"/>
          <w:color w:val="111111"/>
          <w:sz w:val="28"/>
          <w:sz w:val="28"/>
          <w:szCs w:val="28"/>
          <w:rtl w:val="true"/>
          <w:lang w:bidi="fa-IR"/>
        </w:rPr>
        <w:t xml:space="preserve">،و تبعهم کاشف اللثام فی النکاح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بحسب القواعد و العمومات،و أمّا الأخبار،فالظاهر من صحیحة محمد بن قیس </w:t>
      </w:r>
      <w:r>
        <w:rPr>
          <w:rStyle w:val="FootnoteAnchor"/>
          <w:rtl w:val="true"/>
        </w:rPr>
        <w:footnoteReference w:id="2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فی الدروس </w:t>
      </w:r>
      <w:r>
        <w:rPr>
          <w:rStyle w:val="FootnoteAnchor"/>
          <w:rtl w:val="true"/>
        </w:rPr>
        <w:footnoteReference w:id="2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الأخبار التی بعدها </w:t>
      </w:r>
      <w:r>
        <w:rPr>
          <w:rStyle w:val="FootnoteAnchor"/>
          <w:rtl w:val="true"/>
        </w:rPr>
        <w:footnoteReference w:id="2174"/>
      </w:r>
      <w:r>
        <w:rPr>
          <w:rFonts w:ascii="IRNazanin" w:hAnsi="IRNazanin" w:eastAsia="IRNazanin"/>
          <w:color w:val="111111"/>
          <w:sz w:val="28"/>
          <w:sz w:val="28"/>
          <w:szCs w:val="28"/>
          <w:rtl w:val="true"/>
          <w:lang w:bidi="fa-IR"/>
        </w:rPr>
        <w:t>،لکن لا ظهور فیها للکشف بالمعنی المشهور،فتحتمل الکشف الحکمی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نعم،صحیحة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الواردة فی تزویج الصغیرین فضولاً، الآمرة بعزل المیراث من الزوج المدرک الذی أجاز فمات،للزوجة الغیر المدرکة حتّی تدرک و تحلف </w:t>
      </w:r>
      <w:r>
        <w:rPr>
          <w:rStyle w:val="FootnoteAnchor"/>
          <w:rtl w:val="true"/>
        </w:rPr>
        <w:footnoteReference w:id="2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ظاهرة فی قول الکشف؛إذ لو کان مال المیّت قبل إجازة الزوجة باقیة </w:t>
      </w:r>
      <w:r>
        <w:rPr>
          <w:rStyle w:val="FootnoteAnchor"/>
          <w:rtl w:val="true"/>
        </w:rPr>
        <w:footnoteReference w:id="2176"/>
      </w:r>
      <w:r>
        <w:rPr>
          <w:rFonts w:ascii="IRNazanin" w:hAnsi="IRNazanin" w:eastAsia="IRNazanin"/>
          <w:color w:val="111111"/>
          <w:sz w:val="28"/>
          <w:sz w:val="28"/>
          <w:szCs w:val="28"/>
          <w:rtl w:val="true"/>
          <w:lang w:bidi="fa-IR"/>
        </w:rPr>
        <w:t>علی ملک سائر الورثة،کان العزل</w:t>
      </w:r>
    </w:p>
    <w:p>
      <w:pPr>
        <w:pStyle w:val="BookText"/>
        <w:rPr/>
      </w:pPr>
      <w:r>
        <w:rPr>
          <w:rFonts w:ascii="IRNazanin" w:hAnsi="IRNazanin" w:eastAsia="IRNazanin"/>
          <w:color w:val="111111"/>
          <w:sz w:val="28"/>
          <w:sz w:val="28"/>
          <w:szCs w:val="28"/>
          <w:rtl w:val="true"/>
          <w:lang w:bidi="fa-IR"/>
        </w:rPr>
        <w:t>مخالفاً 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الناس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 الحکم بالعزل منضمّاً إلی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2177"/>
      </w:r>
      <w:r>
        <w:rPr>
          <w:rFonts w:ascii="IRNazanin" w:hAnsi="IRNazanin" w:eastAsia="IRNazanin"/>
          <w:color w:val="111111"/>
          <w:sz w:val="28"/>
          <w:sz w:val="28"/>
          <w:szCs w:val="28"/>
          <w:rtl w:val="true"/>
          <w:lang w:bidi="fa-IR"/>
        </w:rPr>
        <w:t>یفید أنّ العزل لاحتمال کون الزوجة الغیر المدرکة وارثةً فی الواقع،فکأنه احتیاط فی الأموال قد غلّبه الشارع علی أصالة عدم الإجازة،کعزل نصیب الحمل و جعله أکثر ما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بیان الثمرة بین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باحتمالاته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الثمرة علی الکشف الحقیقی،بین کون نفس الإجازة شرطاً،و کون الشرط تعقّب العقد بها و لحوقها له،فقد یظهر فی جواز تصرّف کلٍّ منهما فیما انتقل إلیه بإنشاء الفضولی إذا علم إجازة المالک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الثمرة بین الکشف الحقیقی و الحکمی مع کون نفس الإجازة شرطاً،یظهر </w:t>
      </w:r>
      <w:r>
        <w:rPr>
          <w:rStyle w:val="FootnoteAnchor"/>
          <w:rtl w:val="true"/>
        </w:rPr>
        <w:footnoteReference w:id="2178"/>
      </w:r>
      <w:r>
        <w:rPr>
          <w:rFonts w:ascii="IRNazanin" w:hAnsi="IRNazanin" w:eastAsia="IRNazanin"/>
          <w:color w:val="111111"/>
          <w:sz w:val="28"/>
          <w:sz w:val="28"/>
          <w:szCs w:val="28"/>
          <w:rtl w:val="true"/>
          <w:lang w:bidi="fa-IR"/>
        </w:rPr>
        <w:t>فی مثل ما إذا وطئ المشتری الجاریة قبل إجازة مالکها فأجاز،فإنّ الوطء علی الکشف الحقیقی حرام ظاهراً؛لأصالة عدم الإجازة،حلال واقعاً؛لکشف الإجازة عن وقوعه فی ملکه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أولدها صارت أُمّ ولد علی الکشف الحقیقی و الحکمی؛لأنّ مقتضی جعل العقد الواقع ماضیاً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حکم وقوع الوطء فی الملک، و یحتمل عدم تحقّق الاستیلاد علی الحکمی؛لعدم تحقّق حدوث الولد فی الملک و إن حکم بملکیّته للمشتری بعد ذلک</w:t>
      </w:r>
      <w:r>
        <w:rPr>
          <w:rFonts w:eastAsia="IRNazanin" w:cs="IRNazanin"/>
          <w:color w:val="111111"/>
          <w:sz w:val="28"/>
          <w:szCs w:val="28"/>
          <w:rtl w:val="true"/>
          <w:lang w:bidi="fa-IR"/>
        </w:rPr>
        <w:t>.</w:t>
      </w:r>
      <w:bookmarkStart w:id="696" w:name="pg19763_248157"/>
    </w:p>
    <w:p>
      <w:pPr>
        <w:pStyle w:val="BookText"/>
        <w:rPr/>
      </w:pPr>
      <w:bookmarkEnd w:id="696"/>
      <w:r>
        <w:rPr>
          <w:rFonts w:ascii="Amiri" w:hAnsi="Amiri" w:eastAsia="Amiri" w:cs="Amiri"/>
          <w:color w:val="111111"/>
          <w:sz w:val="28"/>
          <w:sz w:val="28"/>
          <w:szCs w:val="28"/>
          <w:rtl w:val="true"/>
          <w:lang w:bidi="ar-SA"/>
        </w:rPr>
        <w:t>و لو نقل المالک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w:t>
      </w:r>
      <w:r>
        <w:rPr>
          <w:rStyle w:val="FootnoteAnchor"/>
          <w:rtl w:val="true"/>
        </w:rPr>
        <w:footnoteReference w:id="2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عن ملکه قبل الإجازة فأجاز،بطل النقل علی الکشف الحقیقی؛لانکشاف وقوعه فی ملک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کون النقل بمنزلة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 صحیحاً علی الکشف الحکمی،و علی المجیز قیمتها </w:t>
      </w:r>
      <w:r>
        <w:rPr>
          <w:rStyle w:val="FootnoteAnchor"/>
          <w:rtl w:val="true"/>
        </w:rPr>
        <w:footnoteReference w:id="2180"/>
      </w:r>
      <w:r>
        <w:rPr>
          <w:rFonts w:ascii="IRNazanin" w:hAnsi="IRNazanin" w:eastAsia="IRNazanin"/>
          <w:color w:val="111111"/>
          <w:sz w:val="28"/>
          <w:sz w:val="28"/>
          <w:szCs w:val="28"/>
          <w:rtl w:val="true"/>
          <w:lang w:bidi="fa-IR"/>
        </w:rPr>
        <w:t>لأنّه مقتضی الجمع بین جعل العقد ماضیاً من حین وقوعه و مقتضی صحّة النقل الواقع قبل حکم الشارع بهذا الجعل،کما فی الفسخ بالخیار مع انتقال متعلّقه بنقل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الکشف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بعد الإجازة بترتّب آثار ملکیة المشتری من حین العقد،فإن ترتّب شیء من آثار ملکیة المالک قبل 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کإتلاف النماء و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یناف الإجازة،جمع بینه و بین مقتضی الإجازة بالرجوع إلی البدل،و إن نافی الإجازة کإتلاف العین عقلاً أو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محلّها،مع احتمال الرجوع إلی البدل، و سیجیء</w:t>
      </w:r>
      <w:r>
        <w:rPr>
          <w:rFonts w:eastAsia="IRNazanin" w:cs="IRNazanin"/>
          <w:color w:val="111111"/>
          <w:sz w:val="28"/>
          <w:szCs w:val="28"/>
          <w:rtl w:val="true"/>
          <w:lang w:bidi="fa-IR"/>
        </w:rPr>
        <w:t>.</w:t>
      </w:r>
    </w:p>
    <w:p>
      <w:pPr>
        <w:pStyle w:val="Heading6"/>
        <w:numPr>
          <w:ilvl w:val="5"/>
          <w:numId w:val="1"/>
        </w:numPr>
        <w:rPr/>
      </w:pPr>
      <w:bookmarkStart w:id="697" w:name="__RefHeading___Toc5082954_2314609296"/>
      <w:bookmarkStart w:id="698" w:name="_Toc268"/>
      <w:bookmarkEnd w:id="697"/>
      <w:r>
        <w:rPr>
          <w:rtl w:val="true"/>
        </w:rPr>
        <w:t>ثمّ،إنّهم ذکروا للثمرة بین الکشف و النقل مواضع</w:t>
      </w:r>
      <w:r>
        <w:rPr>
          <w:rtl w:val="true"/>
        </w:rPr>
        <w:t>:</w:t>
      </w:r>
      <w:bookmarkEnd w:id="698"/>
    </w:p>
    <w:p>
      <w:pPr>
        <w:pStyle w:val="Heading6"/>
        <w:numPr>
          <w:ilvl w:val="5"/>
          <w:numId w:val="1"/>
        </w:numPr>
        <w:rPr/>
      </w:pPr>
      <w:bookmarkStart w:id="699" w:name="__RefHeading___Toc5082956_2314609296"/>
      <w:bookmarkStart w:id="700" w:name="_Toc269"/>
      <w:bookmarkEnd w:id="699"/>
      <w:r>
        <w:rPr>
          <w:rtl w:val="true"/>
        </w:rPr>
        <w:t>منها</w:t>
      </w:r>
      <w:r>
        <w:rPr>
          <w:rtl w:val="true"/>
        </w:rPr>
        <w:t>:</w:t>
      </w:r>
      <w:r>
        <w:rPr>
          <w:rtl w:val="true"/>
        </w:rPr>
        <w:t>النماء،</w:t>
      </w:r>
      <w:bookmarkEnd w:id="70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علی الکشف بقولٍ مطلق لمن انتقل إلیه العین، و علی النقل لمن انتقلت عنه،و للشهید الثانی فی الروضة عبارةٌ </w:t>
      </w:r>
      <w:r>
        <w:rPr>
          <w:rStyle w:val="FootnoteAnchor"/>
          <w:rtl w:val="true"/>
        </w:rPr>
        <w:footnoteReference w:id="2181"/>
      </w:r>
      <w:r>
        <w:rPr>
          <w:rFonts w:ascii="IRNazanin" w:hAnsi="IRNazanin" w:eastAsia="IRNazanin"/>
          <w:color w:val="111111"/>
          <w:sz w:val="28"/>
          <w:sz w:val="28"/>
          <w:szCs w:val="28"/>
          <w:rtl w:val="true"/>
          <w:lang w:bidi="fa-IR"/>
        </w:rPr>
        <w:t>،توجیه</w:t>
      </w:r>
      <w:bookmarkStart w:id="701" w:name="pg19763_248158"/>
    </w:p>
    <w:p>
      <w:pPr>
        <w:pStyle w:val="BookText"/>
        <w:rPr/>
      </w:pPr>
      <w:bookmarkEnd w:id="701"/>
      <w:r>
        <w:rPr>
          <w:rFonts w:ascii="IRNazanin" w:hAnsi="IRNazanin" w:eastAsia="IRNazanin"/>
          <w:color w:val="111111"/>
          <w:sz w:val="28"/>
          <w:sz w:val="28"/>
          <w:szCs w:val="28"/>
          <w:rtl w:val="true"/>
          <w:lang w:bidi="fa-IR"/>
        </w:rPr>
        <w:t>المراد منها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فعله بعض </w:t>
      </w:r>
      <w:r>
        <w:rPr>
          <w:rStyle w:val="FootnoteAnchor"/>
          <w:rtl w:val="true"/>
        </w:rPr>
        <w:footnoteReference w:id="2182"/>
      </w:r>
      <w:r>
        <w:rPr>
          <w:rFonts w:ascii="IRNazanin" w:hAnsi="IRNazanin" w:eastAsia="IRNazanin"/>
          <w:color w:val="111111"/>
          <w:sz w:val="28"/>
          <w:sz w:val="28"/>
          <w:szCs w:val="28"/>
          <w:rtl w:val="true"/>
          <w:lang w:bidi="fa-IR"/>
        </w:rPr>
        <w:t xml:space="preserve">أولی من توجیه حکم ظاهرها،کما تکلّفه آخر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2" w:name="__RefHeading___Toc5082958_2314609296"/>
      <w:bookmarkStart w:id="703" w:name="_Toc270"/>
      <w:bookmarkEnd w:id="702"/>
      <w:r>
        <w:rPr>
          <w:rtl w:val="true"/>
        </w:rPr>
        <w:t>و منها</w:t>
      </w:r>
      <w:r>
        <w:rPr>
          <w:rtl w:val="true"/>
        </w:rPr>
        <w:t>:</w:t>
      </w:r>
      <w:r>
        <w:rPr>
          <w:rtl w:val="true"/>
        </w:rPr>
        <w:t>أنّ فسخ الأصیل لإنشائه قبل إجازة الآخر مبطل له علی القول بالنقل،دون الکشف،</w:t>
      </w:r>
      <w:bookmarkEnd w:id="703"/>
    </w:p>
    <w:p>
      <w:pPr>
        <w:pStyle w:val="BookText"/>
        <w:rPr/>
      </w:pPr>
      <w:r>
        <w:rPr>
          <w:rFonts w:ascii="IRNazanin" w:hAnsi="IRNazanin" w:eastAsia="IRNazanin"/>
          <w:color w:val="111111"/>
          <w:sz w:val="28"/>
          <w:sz w:val="28"/>
          <w:szCs w:val="28"/>
          <w:rtl w:val="true"/>
          <w:lang w:bidi="fa-IR"/>
        </w:rPr>
        <w:t xml:space="preserve">بمعنی أنّه لو جعلناها ناقلة کان فسخ الأصیل کفسخ الموجب قبل قبول القابل </w:t>
      </w:r>
      <w:r>
        <w:rPr>
          <w:rStyle w:val="FootnoteAnchor"/>
          <w:rtl w:val="true"/>
        </w:rPr>
        <w:footnoteReference w:id="2184"/>
      </w:r>
      <w:r>
        <w:rPr>
          <w:rFonts w:ascii="IRNazanin" w:hAnsi="IRNazanin" w:eastAsia="IRNazanin"/>
          <w:color w:val="111111"/>
          <w:sz w:val="28"/>
          <w:sz w:val="28"/>
          <w:szCs w:val="28"/>
          <w:rtl w:val="true"/>
          <w:lang w:bidi="fa-IR"/>
        </w:rPr>
        <w:t>فی کونه ملغیاً لإنشائه السابق،بخلاف ما لو جعلت کاشفة؛فإنّ العقد تامّ من طرف الأصیل، غایة الأمر تسلّط الآخر علی فسخه،و هذا مبنیّ علی ما تسالموا علیه من جواز إبطال أحد المتعاقدین لإنشائه قبل إنشاء صاحبه،بل قبل تحقّق شرط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کالقبض فی الهبة و الوقف و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یرد ما اعترضه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منع جواز الإبطال علی القول بالنقل؛معلّلاً بأنّ ترتّب الأثر علی جزء السبب بعد انضمام الجزء الآخر من أحکام الوضع لا مدخل لاختیار المشتری فیه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أنّ عدم تخلّل الفسخ بین جزئی السبب</w:t>
      </w:r>
      <w:bookmarkStart w:id="704" w:name="pg19763_248159"/>
    </w:p>
    <w:p>
      <w:pPr>
        <w:pStyle w:val="BookText"/>
        <w:rPr/>
      </w:pPr>
      <w:bookmarkEnd w:id="704"/>
      <w:r>
        <w:rPr>
          <w:rFonts w:ascii="IRNazanin" w:hAnsi="IRNazanin" w:eastAsia="IRNazanin"/>
          <w:color w:val="111111"/>
          <w:sz w:val="28"/>
          <w:sz w:val="28"/>
          <w:szCs w:val="28"/>
          <w:rtl w:val="true"/>
          <w:lang w:bidi="fa-IR"/>
        </w:rPr>
        <w:t>شرط،فانضمام الجزء الآخر من دون تحقّق الشرط غیر مجدٍ فی وجود المسبّب؛فالأولی فی سند المنع دفع احتمال اشتراط عدم تخلّل الفسخ بإطلاقات صحّة العقود و لزومها،و لا یخلو عن إشکال</w:t>
      </w:r>
      <w:r>
        <w:rPr>
          <w:rFonts w:eastAsia="IRNazanin" w:cs="IRNazanin"/>
          <w:color w:val="111111"/>
          <w:sz w:val="28"/>
          <w:szCs w:val="28"/>
          <w:rtl w:val="true"/>
          <w:lang w:bidi="fa-IR"/>
        </w:rPr>
        <w:t>.</w:t>
      </w:r>
    </w:p>
    <w:p>
      <w:pPr>
        <w:pStyle w:val="Heading6"/>
        <w:numPr>
          <w:ilvl w:val="5"/>
          <w:numId w:val="1"/>
        </w:numPr>
        <w:rPr/>
      </w:pPr>
      <w:bookmarkStart w:id="705" w:name="__RefHeading___Toc5082960_2314609296"/>
      <w:bookmarkStart w:id="706" w:name="_Toc271"/>
      <w:bookmarkEnd w:id="705"/>
      <w:r>
        <w:rPr>
          <w:rtl w:val="true"/>
        </w:rPr>
        <w:t>و منها</w:t>
      </w:r>
      <w:r>
        <w:rPr>
          <w:rtl w:val="true"/>
        </w:rPr>
        <w:t>:</w:t>
      </w:r>
      <w:r>
        <w:rPr>
          <w:rtl w:val="true"/>
        </w:rPr>
        <w:t>جواز تصرّف الأصیل فیما انتقل عنه بناءً علی النقل،</w:t>
      </w:r>
      <w:bookmarkEnd w:id="706"/>
    </w:p>
    <w:p>
      <w:pPr>
        <w:pStyle w:val="BookText"/>
        <w:rPr/>
      </w:pPr>
      <w:r>
        <w:rPr>
          <w:rFonts w:ascii="IRNazanin" w:hAnsi="IRNazanin" w:eastAsia="IRNazanin"/>
          <w:color w:val="111111"/>
          <w:sz w:val="28"/>
          <w:sz w:val="28"/>
          <w:szCs w:val="28"/>
          <w:rtl w:val="true"/>
          <w:lang w:bidi="fa-IR"/>
        </w:rPr>
        <w:t>و إن قلنا بأنّ فسخه غیر مبطل لإنشائه،فلو باع جاریة من فضولیٍّ جاز له وطؤها،و إن استولدها صارت أُمّ ولد؛لأنّها ملکه،و کذا لو زوّجت نفسها من فضولی جاز لها التزویج من الغیر،فلو حصل الإجازة فی المثالین لغت؛لعدم بقاء المحلّ قابلاً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الفسخ القولی 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غیر مبطل لإنشاء الأصیل،إلّا أنّ له فعل ما ینافی انتقال المال عنه علی وجه یفوّت محلّ الإجازة،فینفسخ العقد بنفسه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عدم جواز التصرّف علی هذا القول أیضاً؛و لعلّه لجریان عموم وجوب الوفاء بالعقد فی حقّ الأصیل و إن لم یجب فی الطرف الآخر،و هو الذی یظهر من المحقّق الثانی فی مسألة شراء الغاصب بعین المال المغصوب؛حیث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للبائع و لا للغاصب التصرّف فی العین لإمکان الإجازة،سیّما علی القول بالکشف </w:t>
      </w:r>
      <w:r>
        <w:rPr>
          <w:rStyle w:val="FootnoteAnchor"/>
          <w:rtl w:val="true"/>
        </w:rPr>
        <w:footnoteReference w:id="218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الإجازة علی القول بالنقل له مدخل فی العقد شرطاً أو شطراً،فما لم یتحقّق الشرط أو الجزء لم یجب الوفاء علی أحد من </w:t>
      </w:r>
      <w:r>
        <w:rPr>
          <w:rStyle w:val="FootnoteAnchor"/>
          <w:rtl w:val="true"/>
        </w:rPr>
        <w:footnoteReference w:id="2187"/>
      </w:r>
    </w:p>
    <w:p>
      <w:pPr>
        <w:pStyle w:val="BookText"/>
        <w:rPr/>
      </w:pPr>
      <w:r>
        <w:rPr>
          <w:rFonts w:ascii="IRNazanin" w:hAnsi="IRNazanin" w:eastAsia="IRNazanin"/>
          <w:color w:val="111111"/>
          <w:sz w:val="28"/>
          <w:sz w:val="28"/>
          <w:szCs w:val="28"/>
          <w:rtl w:val="true"/>
          <w:lang w:bidi="fa-IR"/>
        </w:rPr>
        <w:t xml:space="preserve">المتعاقدین؛لأنّ المأمور بالوفاء به </w:t>
      </w:r>
      <w:r>
        <w:rPr>
          <w:rStyle w:val="FootnoteAnchor"/>
          <w:rtl w:val="true"/>
        </w:rPr>
        <w:footnoteReference w:id="2188"/>
      </w:r>
      <w:r>
        <w:rPr>
          <w:rFonts w:ascii="IRNazanin" w:hAnsi="IRNazanin" w:eastAsia="IRNazanin"/>
          <w:color w:val="111111"/>
          <w:sz w:val="28"/>
          <w:sz w:val="28"/>
          <w:szCs w:val="28"/>
          <w:rtl w:val="true"/>
          <w:lang w:bidi="fa-IR"/>
        </w:rPr>
        <w:t>هو العقد المقیّد الذی لا یوجد إلّا بعد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2189"/>
      </w:r>
      <w:r>
        <w:rPr>
          <w:rFonts w:ascii="IRNazanin" w:hAnsi="IRNazanin" w:eastAsia="IRNazanin"/>
          <w:color w:val="111111"/>
          <w:sz w:val="28"/>
          <w:sz w:val="28"/>
          <w:szCs w:val="28"/>
          <w:rtl w:val="true"/>
          <w:lang w:bidi="fa-IR"/>
        </w:rPr>
        <w:t xml:space="preserve">کلّه علی النقل،و أمّا علی القول بالکشف،فلا یجوز التصرّف فیه،علی ما یستفاد من کلمات جماعة،کالعلّامة و السیّد العمیدی </w:t>
      </w:r>
      <w:r>
        <w:rPr>
          <w:rStyle w:val="FootnoteAnchor"/>
          <w:rtl w:val="true"/>
        </w:rPr>
        <w:footnoteReference w:id="2190"/>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191"/>
      </w:r>
      <w:r>
        <w:rPr>
          <w:rFonts w:ascii="IRNazanin" w:hAnsi="IRNazanin" w:eastAsia="IRNazanin"/>
          <w:color w:val="111111"/>
          <w:sz w:val="28"/>
          <w:sz w:val="28"/>
          <w:szCs w:val="28"/>
          <w:rtl w:val="true"/>
          <w:lang w:bidi="fa-IR"/>
        </w:rPr>
        <w:t>و ظاهر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اعترض علیه بعدم المانع له </w:t>
      </w:r>
      <w:r>
        <w:rPr>
          <w:rStyle w:val="FootnoteAnchor"/>
          <w:rtl w:val="true"/>
        </w:rPr>
        <w:footnoteReference w:id="2192"/>
      </w:r>
      <w:r>
        <w:rPr>
          <w:rFonts w:ascii="IRNazanin" w:hAnsi="IRNazanin" w:eastAsia="IRNazanin"/>
          <w:color w:val="111111"/>
          <w:sz w:val="28"/>
          <w:sz w:val="28"/>
          <w:szCs w:val="28"/>
          <w:rtl w:val="true"/>
          <w:lang w:bidi="fa-IR"/>
        </w:rPr>
        <w:t>من التصرّف؛لأنّ مجرّد احتمال انتقال المال عنه فی الواقع،لا یقدح فی السلطنة الثابتة له؛و لذا صرّح بعض المعاصرین بجواز التصرّف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نعم،إذا حصلت </w:t>
      </w:r>
      <w:r>
        <w:rPr>
          <w:rStyle w:val="FootnoteAnchor"/>
          <w:rtl w:val="true"/>
        </w:rPr>
        <w:footnoteReference w:id="2193"/>
      </w:r>
      <w:r>
        <w:rPr>
          <w:rFonts w:ascii="IRNazanin" w:hAnsi="IRNazanin" w:eastAsia="IRNazanin"/>
          <w:color w:val="111111"/>
          <w:sz w:val="28"/>
          <w:sz w:val="28"/>
          <w:szCs w:val="28"/>
          <w:rtl w:val="true"/>
          <w:lang w:bidi="fa-IR"/>
        </w:rPr>
        <w:t>الإجازة کشفت عن بطلان کلّ تصرّف منافٍ لانتقال المال إلی المجیز، فیأخذ المال مع بقائه و بدله مع 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علم بإجازة المالک لم یجز له التصرّف </w:t>
      </w:r>
      <w:r>
        <w:rPr>
          <w:rStyle w:val="FootnoteAnchor"/>
          <w:rtl w:val="true"/>
        </w:rPr>
        <w:footnoteReference w:id="21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عموم وجوب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 علی الأصیل و لزوم العقد و حرمة نقضه من جانبه،و وجوب الوفاء علیه لیس مراعی بإجازة المالک،بل مقتضی العموم وجوبه حتّی مع العلم بعدم إجازة</w:t>
      </w:r>
    </w:p>
    <w:p>
      <w:pPr>
        <w:pStyle w:val="BookText"/>
        <w:rPr/>
      </w:pPr>
      <w:r>
        <w:rPr>
          <w:rFonts w:ascii="IRNazanin" w:hAnsi="IRNazanin" w:eastAsia="IRNazanin"/>
          <w:color w:val="111111"/>
          <w:sz w:val="28"/>
          <w:sz w:val="28"/>
          <w:szCs w:val="28"/>
          <w:rtl w:val="true"/>
          <w:lang w:bidi="fa-IR"/>
        </w:rPr>
        <w:t>المالک،و من هنا یظهر أنّه لا فائدة فی أصالة عدم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ما ذکره البعض </w:t>
      </w:r>
      <w:r>
        <w:rPr>
          <w:rStyle w:val="FootnoteAnchor"/>
          <w:rtl w:val="true"/>
        </w:rPr>
        <w:footnoteReference w:id="2195"/>
      </w:r>
      <w:r>
        <w:rPr>
          <w:rFonts w:ascii="IRNazanin" w:hAnsi="IRNazanin" w:eastAsia="IRNazanin"/>
          <w:color w:val="111111"/>
          <w:sz w:val="28"/>
          <w:sz w:val="28"/>
          <w:szCs w:val="28"/>
          <w:rtl w:val="true"/>
          <w:lang w:bidi="fa-IR"/>
        </w:rPr>
        <w:t>المعاصر صحیح علی مذهبه فی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 العقد مشروطاً بتعقّبه بالإجازة؛لعدم إحراز الشرط مع الشکّ، فلا یجب الوفاء به علی أحد من 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المشهور فی معنی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 نفس الإجازة المتأخّرة شرطاً لکون العقد السابق بنفسه مؤثّراً تامّاً،فالذی یجب الوفاء به هو نفس العقد من غیر تقیید، و قد تحقّق،فیجب علی الأصیل الالتزام به و عدم نقضه إلی أن ینقض؛ فإنّ ردّ المالک فسخٌ للعقد </w:t>
      </w:r>
      <w:r>
        <w:rPr>
          <w:rStyle w:val="FootnoteAnchor"/>
          <w:rtl w:val="true"/>
        </w:rPr>
        <w:footnoteReference w:id="2196"/>
      </w:r>
      <w:r>
        <w:rPr>
          <w:rFonts w:ascii="IRNazanin" w:hAnsi="IRNazanin" w:eastAsia="IRNazanin"/>
          <w:color w:val="111111"/>
          <w:sz w:val="28"/>
          <w:sz w:val="28"/>
          <w:szCs w:val="28"/>
          <w:rtl w:val="true"/>
          <w:lang w:bidi="fa-IR"/>
        </w:rPr>
        <w:t>من طرف الأصیل،کما أنّ إجازته إمضاء له من طرف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تحقّق العقد،فمقتضی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بالکشف،المبنیّ علی کون ما یجب الوفاء به هو العقد من دون ضمیمة شیءٍ شرطاً أو شطراً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نقضه علی الأصیل مطلقاً،فکلّ تصرّف یعدّ نقضاً لعقد المبادلة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اجتماعه مع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جائز</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تبیّن فساد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العمل بمقتضی العقد کما یوجب حرمة تصرّف الأصیل فیما انتقل عنه،کذلک یوجب جواز تصرّفه فیما انتقل إلیه؛لأنّ مقتضی العقد مبادلة المالین،فحرمة التصرّف فی ماله مع حرمة التصرّف فی عوضه ینافی </w:t>
      </w:r>
      <w:r>
        <w:rPr>
          <w:rStyle w:val="FootnoteAnchor"/>
          <w:rtl w:val="true"/>
        </w:rPr>
        <w:footnoteReference w:id="2197"/>
      </w:r>
      <w:r>
        <w:rPr>
          <w:rFonts w:ascii="IRNazanin" w:hAnsi="IRNazanin" w:eastAsia="IRNazanin"/>
          <w:color w:val="111111"/>
          <w:sz w:val="28"/>
          <w:sz w:val="28"/>
          <w:szCs w:val="28"/>
          <w:rtl w:val="true"/>
          <w:lang w:bidi="fa-IR"/>
        </w:rPr>
        <w:t>مقتضی العقد،أعنی المبادلة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الثابت من وجوب وفاء العاقد بما التزم علی نفسه من المبادلة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نقضه و التخطّی عنه،و هذا لا یدلّ إلّا علی حرمة التصرّف فی ماله؛حیث التزم بخروجه عن ملکه و لو بالبدل، و أمّا دخول البدل فی ملکه فلیس ممّا التزمه علی نفسه،بل ممّا جعله لنفسه،و مقتضی الوفاء بالعقد حرمة رفع الید عمّا التزم علی نفسه، و أمّا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بإزاء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خارج عن الالتزام علی نفسه و إن کان داخلاً فی مفهوم المبادلة،فلو لم یتصرّف فی مال صاحبه لم یکن ذلک نقضاً للمبادلة،فالمرجع فی هذا التصرّف فعلاً و ترکاً </w:t>
      </w:r>
      <w:r>
        <w:rPr>
          <w:rStyle w:val="FootnoteAnchor"/>
          <w:rtl w:val="true"/>
        </w:rPr>
        <w:footnoteReference w:id="2198"/>
      </w:r>
      <w:r>
        <w:rPr>
          <w:rFonts w:ascii="IRNazanin" w:hAnsi="IRNazanin" w:eastAsia="IRNazanin"/>
          <w:color w:val="111111"/>
          <w:sz w:val="28"/>
          <w:sz w:val="28"/>
          <w:szCs w:val="28"/>
          <w:rtl w:val="true"/>
          <w:lang w:bidi="fa-IR"/>
        </w:rPr>
        <w:t>إلی ما یقتضیه الأصل،و هی أصالة عدم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الالتزام المذکور إنّما هو علی تقدیر الإجازة و دخول البدل فی ملکه،فالالتزام معلّق علی تقدیر لم یعلم تحقّقه،فهو کالنذر المعلّق علی شرط؛حیث حکم جماعة </w:t>
      </w:r>
      <w:r>
        <w:rPr>
          <w:rStyle w:val="FootnoteAnchor"/>
          <w:rtl w:val="true"/>
        </w:rPr>
        <w:footnoteReference w:id="2199"/>
      </w:r>
      <w:r>
        <w:rPr>
          <w:rFonts w:ascii="IRNazanin" w:hAnsi="IRNazanin" w:eastAsia="IRNazanin"/>
          <w:color w:val="111111"/>
          <w:sz w:val="28"/>
          <w:sz w:val="28"/>
          <w:szCs w:val="28"/>
          <w:rtl w:val="true"/>
          <w:lang w:bidi="fa-IR"/>
        </w:rPr>
        <w:t>بجواز التصرّف فی المال المنذور قبل تحقّق الشرط إذا لم یعلم بتحقّقه،فکما أنّ التصرّف حینئذٍ لا یعدّ حنثاً،فکذا التصرّف فیما نحن فیه قبل العلم بتحقّق الإجازة لا یعدّ نقضاً لما التزمه؛إذ لم یلتزمه فی الحقیقة إلّا معلّقاً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جواز التصرّف فی مسألة النذر المشهورة بالإشکال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Style w:val="FootnoteAnchor"/>
          <w:rtl w:val="true"/>
        </w:rPr>
        <w:footnoteReference w:id="2200"/>
      </w:r>
      <w:r>
        <w:rPr>
          <w:rFonts w:ascii="IRNazanin" w:hAnsi="IRNazanin" w:eastAsia="IRNazanin"/>
          <w:color w:val="111111"/>
          <w:sz w:val="28"/>
          <w:sz w:val="28"/>
          <w:szCs w:val="28"/>
          <w:rtl w:val="true"/>
          <w:lang w:bidi="fa-IR"/>
        </w:rPr>
        <w:t>الفرق بینهما أنّ الالتزام هنا غیر معلّق علی الإجازة،</w:t>
      </w:r>
    </w:p>
    <w:p>
      <w:pPr>
        <w:pStyle w:val="BookText"/>
        <w:rPr/>
      </w:pPr>
      <w:r>
        <w:rPr>
          <w:rFonts w:ascii="IRNazanin" w:hAnsi="IRNazanin" w:eastAsia="IRNazanin"/>
          <w:color w:val="111111"/>
          <w:sz w:val="28"/>
          <w:sz w:val="28"/>
          <w:szCs w:val="28"/>
          <w:rtl w:val="true"/>
          <w:lang w:bidi="fa-IR"/>
        </w:rPr>
        <w:t>و إنّما التزم بالمبادلة متوقّعاً للإجازة،فیجب علیه الوفاء به،و یحرم علیه نقضه إلی أن یحصل ما یتوقّعه من الإجازة،أو ینتقض التزامه بردّ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اختصاص حرمة النقض بما یعدّ من التصرّفات منافیاً لما التزمه الأصیل علی نفسه،دون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القواعد فی باب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تولّی الفضولی أحد طرفی العقد ثبت فی حقّ المباشر تحریم المصاهرة،فإن کان زوجاً حرمت علیه الخامسة و الأُخت و الأُمّ و البنت،إلّا إذا فسخت،علی إشکال فی الأُمّ،و فی الطلاق نظر؛لترتّبه علی عقد لازم،فلا یبیح </w:t>
      </w:r>
      <w:r>
        <w:rPr>
          <w:rStyle w:val="FootnoteAnchor"/>
          <w:rtl w:val="true"/>
        </w:rPr>
        <w:footnoteReference w:id="2201"/>
      </w:r>
      <w:r>
        <w:rPr>
          <w:rFonts w:ascii="IRNazanin" w:hAnsi="IRNazanin" w:eastAsia="IRNazanin"/>
          <w:color w:val="111111"/>
          <w:sz w:val="28"/>
          <w:sz w:val="28"/>
          <w:szCs w:val="28"/>
          <w:rtl w:val="true"/>
          <w:lang w:bidi="fa-IR"/>
        </w:rPr>
        <w:t xml:space="preserve">المصاهرة،و إن کانت زوجة لم یحلّ لها نکاح غیره إلّا إذا فسخ،و الطلاق هنا </w:t>
      </w:r>
      <w:r>
        <w:rPr>
          <w:rStyle w:val="FootnoteAnchor"/>
          <w:rtl w:val="true"/>
        </w:rPr>
        <w:footnoteReference w:id="2202"/>
      </w:r>
      <w:r>
        <w:rPr>
          <w:rFonts w:ascii="IRNazanin" w:hAnsi="IRNazanin" w:eastAsia="IRNazanin"/>
          <w:color w:val="111111"/>
          <w:sz w:val="28"/>
          <w:sz w:val="28"/>
          <w:szCs w:val="28"/>
          <w:rtl w:val="true"/>
          <w:lang w:bidi="fa-IR"/>
        </w:rPr>
        <w:t xml:space="preserve">معتبر </w:t>
      </w:r>
      <w:r>
        <w:rPr>
          <w:rStyle w:val="FootnoteAnchor"/>
          <w:rtl w:val="true"/>
        </w:rPr>
        <w:footnoteReference w:id="220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کشف اللثام نفی الإشکال </w:t>
      </w:r>
      <w:r>
        <w:rPr>
          <w:rStyle w:val="FootnoteAnchor"/>
          <w:rtl w:val="true"/>
        </w:rPr>
        <w:footnoteReference w:id="2204"/>
      </w:r>
      <w:r>
        <w:rPr>
          <w:rFonts w:ascii="IRNazanin" w:hAnsi="IRNazanin" w:eastAsia="IRNazanin"/>
          <w:color w:val="111111"/>
          <w:sz w:val="28"/>
          <w:sz w:val="28"/>
          <w:szCs w:val="28"/>
          <w:rtl w:val="true"/>
          <w:lang w:bidi="fa-IR"/>
        </w:rPr>
        <w:t xml:space="preserve">،و قد صرّح أیضاً جماعة بلزوم النکاح المذکور من طرف الأصیل،و فرّعوا علیه تحریم المصاهرة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مثل النظر إلی المزوّجة فضولاً و إلی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 ممّا لا یعدّ ترکه نقضاً لما التزم العاقد علی نفسه،فهو باقٍ تحت الأُصول؛</w:t>
      </w:r>
      <w:bookmarkStart w:id="707" w:name="pg19763_248164"/>
    </w:p>
    <w:p>
      <w:pPr>
        <w:pStyle w:val="BookText"/>
        <w:rPr/>
      </w:pPr>
      <w:bookmarkEnd w:id="707"/>
      <w:r>
        <w:rPr>
          <w:rFonts w:ascii="IRNazanin" w:hAnsi="IRNazanin" w:eastAsia="IRNazanin"/>
          <w:color w:val="111111"/>
          <w:sz w:val="28"/>
          <w:sz w:val="28"/>
          <w:szCs w:val="28"/>
          <w:rtl w:val="true"/>
          <w:lang w:bidi="fa-IR"/>
        </w:rPr>
        <w:t xml:space="preserve">لأنّ ذلک من لوازم علاقة الزوجیة الغیر الثابتة،بل المنفیّة بالأصل، فحرمة نقض العاقد لما عقد علی نفسه لا یتوقّف علی ثبوت نتیجة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علاقة الملک أو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ثبوت النتیجة تابع لثبوت حرمة النقض من الطرفین</w:t>
      </w:r>
      <w:r>
        <w:rPr>
          <w:rFonts w:eastAsia="IRNazanin" w:cs="IRNazanin"/>
          <w:color w:val="111111"/>
          <w:sz w:val="28"/>
          <w:szCs w:val="28"/>
          <w:rtl w:val="true"/>
          <w:lang w:bidi="fa-IR"/>
        </w:rPr>
        <w:t>.</w:t>
      </w:r>
    </w:p>
    <w:p>
      <w:pPr>
        <w:pStyle w:val="Heading6"/>
        <w:numPr>
          <w:ilvl w:val="5"/>
          <w:numId w:val="1"/>
        </w:numPr>
        <w:rPr/>
      </w:pPr>
      <w:bookmarkStart w:id="708" w:name="__RefHeading___Toc5082962_2314609296"/>
      <w:bookmarkStart w:id="709" w:name="_Toc272"/>
      <w:bookmarkEnd w:id="708"/>
      <w:r>
        <w:rPr>
          <w:rtl w:val="true"/>
        </w:rPr>
        <w:t>ثمّ إنّ بعض متأخّری المتأخّرین ذکر ثمرات أُخر لا بأس بذکرها للتنبّه بها</w:t>
      </w:r>
      <w:bookmarkEnd w:id="709"/>
    </w:p>
    <w:p>
      <w:pPr>
        <w:pStyle w:val="BookText"/>
        <w:rPr/>
      </w:pPr>
      <w:r>
        <w:rPr>
          <w:rStyle w:val="FootnoteAnchor"/>
          <w:rtl w:val="true"/>
        </w:rPr>
        <w:footnoteReference w:id="2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یمکن أن یقال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انسلخت قابلیّة الملک عن أحد المتبایعین بموته قبل إجازة الآخر أو بعروض کفر بارتداد فطریّ أو غیره مع کون المبیع عبداً مسلماً أو مُصحَفاً،فیصحّ حینئذٍ علی الکشف دون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انسلخت قابلیّة المنقول بتلفٍ أو عروض نجاسة له مع میعانه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مقابله ما لو تجدّدت القابلیة قبل الإجازة بعد انعدامها حال العقد،کما لو تجدّدت الثمرة و بدا صلاحها بعد العقد قبل الإجازة،و فیما قارن العقد فقد الشروط </w:t>
      </w:r>
      <w:r>
        <w:rPr>
          <w:rStyle w:val="FootnoteAnchor"/>
          <w:rtl w:val="true"/>
        </w:rPr>
        <w:footnoteReference w:id="2207"/>
      </w:r>
      <w:r>
        <w:rPr>
          <w:rFonts w:ascii="Amiri" w:hAnsi="Amiri" w:eastAsia="Amiri" w:cs="Amiri"/>
          <w:color w:val="111111"/>
          <w:sz w:val="28"/>
          <w:sz w:val="28"/>
          <w:szCs w:val="28"/>
          <w:rtl w:val="true"/>
          <w:lang w:bidi="ar-SA"/>
        </w:rPr>
        <w:t xml:space="preserve">ثمّ حصلت </w:t>
      </w:r>
      <w:r>
        <w:rPr>
          <w:rStyle w:val="FootnoteAnchor"/>
          <w:rtl w:val="true"/>
        </w:rPr>
        <w:footnoteReference w:id="2208"/>
      </w:r>
      <w:r>
        <w:rPr>
          <w:rFonts w:ascii="IRNazanin" w:hAnsi="IRNazanin" w:eastAsia="IRNazanin"/>
          <w:color w:val="111111"/>
          <w:sz w:val="28"/>
          <w:sz w:val="28"/>
          <w:szCs w:val="28"/>
          <w:rtl w:val="true"/>
          <w:lang w:bidi="fa-IR"/>
        </w:rPr>
        <w:t xml:space="preserve">و بالعکس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یعترض </w:t>
      </w:r>
      <w:r>
        <w:rPr>
          <w:rStyle w:val="FootnoteAnchor"/>
          <w:rtl w:val="true"/>
        </w:rPr>
        <w:footnoteReference w:id="2210"/>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دعوی ظهور الأدلّة فی</w:t>
      </w:r>
    </w:p>
    <w:p>
      <w:pPr>
        <w:pStyle w:val="BookText"/>
        <w:rPr/>
      </w:pPr>
      <w:r>
        <w:rPr>
          <w:rFonts w:ascii="IRNazanin" w:hAnsi="IRNazanin" w:eastAsia="IRNazanin"/>
          <w:color w:val="111111"/>
          <w:sz w:val="28"/>
          <w:sz w:val="28"/>
          <w:szCs w:val="28"/>
          <w:rtl w:val="true"/>
          <w:lang w:bidi="fa-IR"/>
        </w:rPr>
        <w:t>اعتبار استمرار القابلیة إلی حین الإجازة علی الکشف،فیکشف الإجازة عن حدوث الملک من حین العقد مستمرّاً إلی حین الإجازة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وجه لاعتبار استمرار القابلیّة،و لا استمرار التملّک المکشوف عنه بالإجازة إلی حینها،کما لو وقعت بیوع متعدّدة علی ماله </w:t>
      </w:r>
      <w:r>
        <w:rPr>
          <w:rStyle w:val="FootnoteAnchor"/>
          <w:rtl w:val="true"/>
        </w:rPr>
        <w:footnoteReference w:id="2211"/>
      </w:r>
      <w:r>
        <w:rPr>
          <w:rFonts w:ascii="Amiri" w:hAnsi="Amiri" w:eastAsia="Amiri" w:cs="Amiri"/>
          <w:color w:val="111111"/>
          <w:sz w:val="28"/>
          <w:sz w:val="28"/>
          <w:szCs w:val="28"/>
          <w:rtl w:val="true"/>
          <w:lang w:bidi="ar-SA"/>
        </w:rPr>
        <w:t xml:space="preserve">،فإنّهم صرّحوا بأنّ إجازة الأوّل توجب صحّة الجمیع </w:t>
      </w:r>
      <w:r>
        <w:rPr>
          <w:rStyle w:val="FootnoteAnchor"/>
          <w:rtl w:val="true"/>
        </w:rPr>
        <w:footnoteReference w:id="2212"/>
      </w:r>
      <w:r>
        <w:rPr>
          <w:rFonts w:ascii="IRNazanin" w:hAnsi="IRNazanin" w:eastAsia="IRNazanin"/>
          <w:color w:val="111111"/>
          <w:sz w:val="28"/>
          <w:sz w:val="28"/>
          <w:szCs w:val="28"/>
          <w:rtl w:val="true"/>
          <w:lang w:bidi="fa-IR"/>
        </w:rPr>
        <w:t xml:space="preserve">،مع عدم بقاء مالکیة الأوّل مستمرّاً،و کما یشعر بعض أخبار المسألة المتقدّمة؛حیث إنّ ظاهر بعضها و صریح الآخر </w:t>
      </w:r>
      <w:r>
        <w:rPr>
          <w:rStyle w:val="FootnoteAnchor"/>
          <w:rtl w:val="true"/>
        </w:rPr>
        <w:footnoteReference w:id="2213"/>
      </w:r>
      <w:r>
        <w:rPr>
          <w:rFonts w:ascii="IRNazanin" w:hAnsi="IRNazanin" w:eastAsia="IRNazanin"/>
          <w:color w:val="111111"/>
          <w:sz w:val="28"/>
          <w:sz w:val="28"/>
          <w:szCs w:val="28"/>
          <w:rtl w:val="true"/>
          <w:lang w:bidi="fa-IR"/>
        </w:rPr>
        <w:t xml:space="preserve">عدم اعتبار حیاة المتعاقدین حال الإجازة،مضافاً إلی فحوی خبر تزویج الصغیرین </w:t>
      </w:r>
      <w:r>
        <w:rPr>
          <w:rStyle w:val="FootnoteAnchor"/>
          <w:rtl w:val="true"/>
        </w:rPr>
        <w:footnoteReference w:id="2214"/>
      </w:r>
      <w:r>
        <w:rPr>
          <w:rFonts w:ascii="Amiri" w:hAnsi="Amiri" w:eastAsia="Amiri" w:cs="Amiri"/>
          <w:color w:val="111111"/>
          <w:sz w:val="28"/>
          <w:sz w:val="28"/>
          <w:szCs w:val="28"/>
          <w:rtl w:val="true"/>
          <w:lang w:bidi="ar-SA"/>
        </w:rPr>
        <w:t xml:space="preserve">الذی یصلح ردّاً </w:t>
      </w:r>
      <w:r>
        <w:rPr>
          <w:rStyle w:val="FootnoteAnchor"/>
          <w:rtl w:val="true"/>
        </w:rPr>
        <w:footnoteReference w:id="2215"/>
      </w:r>
      <w:r>
        <w:rPr>
          <w:rFonts w:ascii="IRNazanin" w:hAnsi="IRNazanin" w:eastAsia="IRNazanin"/>
          <w:color w:val="111111"/>
          <w:sz w:val="28"/>
          <w:sz w:val="28"/>
          <w:szCs w:val="28"/>
          <w:rtl w:val="true"/>
          <w:lang w:bidi="fa-IR"/>
        </w:rPr>
        <w:t>لما ذکر فی الثمرة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المنقول عن قابلیة تعلّق إنشاء عقد أو إجازة به؛لتلف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موت أحد الزوجین کتلف أحد العوضین فی فوات أحد رکنی العقد،مضافاً إلی إطلاق روایة عروة </w:t>
      </w:r>
      <w:r>
        <w:rPr>
          <w:rStyle w:val="FootnoteAnchor"/>
          <w:rtl w:val="true"/>
        </w:rPr>
        <w:footnoteReference w:id="2216"/>
      </w:r>
      <w:r>
        <w:rPr>
          <w:rFonts w:ascii="IRNazanin" w:hAnsi="IRNazanin" w:eastAsia="IRNazanin"/>
          <w:color w:val="111111"/>
          <w:sz w:val="28"/>
          <w:sz w:val="28"/>
          <w:szCs w:val="28"/>
          <w:rtl w:val="true"/>
          <w:lang w:bidi="fa-IR"/>
        </w:rPr>
        <w:t xml:space="preserve">،حیث لم یستفصل النبیّ صلّی اللّه علیه و آله و سلم عن موت الشاة أو ذبحه و إتلافه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نعم،ما ذکره أخیراً من تجدّد القابلیّة بعد العقد حال الإجازة لا یصلح ثمرة للمسألة؛لبطلان العقد ظاهراً علی القولین،و کذا فیما لو قارن العقد فقد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بالجملة،فباب المناقشة و إن کان واسعاً،إلّا أنّ الأرجح فی النظر ما ذکرناه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یقال </w:t>
      </w:r>
      <w:r>
        <w:rPr>
          <w:rStyle w:val="FootnoteAnchor"/>
          <w:rtl w:val="true"/>
        </w:rPr>
        <w:footnoteReference w:id="2218"/>
      </w:r>
      <w:r>
        <w:rPr>
          <w:rFonts w:ascii="IRNazanin" w:hAnsi="IRNazanin" w:eastAsia="IRNazanin"/>
          <w:color w:val="111111"/>
          <w:sz w:val="28"/>
          <w:sz w:val="28"/>
          <w:szCs w:val="28"/>
          <w:rtl w:val="true"/>
          <w:lang w:bidi="fa-IR"/>
        </w:rPr>
        <w:t>بظهور الثمرة فی تعلّق الخیارات و حقّ الشفعة و احتساب مبدأ الخیارات و معرفة مجلس الصرف و السلم و الایمان و النذور المتعلّقة بمال البائع أو المشتری،و تظهر الثمرة أیضاً فی العقود المترتّبة علی الثمن أو المثمن،و سیأتی إن شاء اللّه</w:t>
      </w:r>
      <w:r>
        <w:rPr>
          <w:rFonts w:eastAsia="IRNazanin" w:cs="IRNazanin"/>
          <w:color w:val="111111"/>
          <w:sz w:val="28"/>
          <w:szCs w:val="28"/>
          <w:rtl w:val="true"/>
          <w:lang w:bidi="fa-IR"/>
        </w:rPr>
        <w:t>.</w:t>
      </w:r>
      <w:bookmarkStart w:id="710" w:name="pg19763_248167"/>
    </w:p>
    <w:p>
      <w:pPr>
        <w:pStyle w:val="Heading6"/>
        <w:numPr>
          <w:ilvl w:val="5"/>
          <w:numId w:val="1"/>
        </w:numPr>
        <w:rPr/>
      </w:pPr>
      <w:bookmarkStart w:id="711" w:name="__RefHeading___Toc5082964_2314609296"/>
      <w:bookmarkStart w:id="712" w:name="_Toc273"/>
      <w:bookmarkEnd w:id="710"/>
      <w:bookmarkEnd w:id="711"/>
      <w:r>
        <w:rPr>
          <w:rtl w:val="true"/>
        </w:rPr>
        <w:t>[</w:t>
      </w:r>
      <w:r>
        <w:rPr>
          <w:rtl w:val="true"/>
        </w:rPr>
        <w:t>أما شروطها</w:t>
      </w:r>
      <w:r>
        <w:rPr>
          <w:rtl w:val="true"/>
        </w:rPr>
        <w:t>]</w:t>
      </w:r>
      <w:bookmarkEnd w:id="712"/>
    </w:p>
    <w:p>
      <w:pPr>
        <w:pStyle w:val="Heading6"/>
        <w:numPr>
          <w:ilvl w:val="5"/>
          <w:numId w:val="1"/>
        </w:numPr>
        <w:rPr/>
      </w:pPr>
      <w:bookmarkStart w:id="713" w:name="__RefHeading___Toc5082966_2314609296"/>
      <w:bookmarkStart w:id="714" w:name="_Toc274"/>
      <w:bookmarkEnd w:id="713"/>
      <w:r>
        <w:rPr>
          <w:rtl w:val="true"/>
        </w:rPr>
        <w:t>و ینبغی التنبیه علی أُمور</w:t>
      </w:r>
      <w:r>
        <w:rPr>
          <w:rtl w:val="true"/>
        </w:rPr>
        <w:t>:</w:t>
      </w:r>
      <w:bookmarkEnd w:id="714"/>
    </w:p>
    <w:p>
      <w:pPr>
        <w:pStyle w:val="Heading6"/>
        <w:numPr>
          <w:ilvl w:val="5"/>
          <w:numId w:val="1"/>
        </w:numPr>
        <w:rPr/>
      </w:pPr>
      <w:bookmarkStart w:id="715" w:name="__RefHeading___Toc5082968_2314609296"/>
      <w:bookmarkStart w:id="716" w:name="_Toc275"/>
      <w:bookmarkEnd w:id="715"/>
      <w:r>
        <w:rPr>
          <w:rtl w:val="true"/>
        </w:rPr>
        <w:t>الأوّل أنّ الخلاف فی کون الإجازة کاشفة أو ناقلة لیس فی مفهومها اللغوی</w:t>
      </w:r>
      <w:bookmarkEnd w:id="716"/>
    </w:p>
    <w:p>
      <w:pPr>
        <w:pStyle w:val="BookText"/>
        <w:rPr/>
      </w:pPr>
      <w:r>
        <w:rPr>
          <w:rFonts w:ascii="IRNazanin" w:hAnsi="IRNazanin" w:eastAsia="IRNazanin"/>
          <w:color w:val="111111"/>
          <w:sz w:val="28"/>
          <w:sz w:val="28"/>
          <w:szCs w:val="28"/>
          <w:rtl w:val="true"/>
          <w:lang w:bidi="fa-IR"/>
        </w:rPr>
        <w:t xml:space="preserve">و معنی الإجازة وضعاً أو انصرافاً،بل فی حکمها الشرعی بحسب ملاحظة اعتبار رضا المالک و أدلّة وجوب الوفاء بالعقود و غیرهما من الأدلّة الخارجیة،فلو قصد المجیز الإمضاء من حین الإجازة علی القول بالکشف، أو </w:t>
      </w:r>
      <w:r>
        <w:rPr>
          <w:rStyle w:val="FootnoteAnchor"/>
          <w:rtl w:val="true"/>
        </w:rPr>
        <w:footnoteReference w:id="2219"/>
      </w:r>
      <w:r>
        <w:rPr>
          <w:rFonts w:ascii="IRNazanin" w:hAnsi="IRNazanin" w:eastAsia="IRNazanin"/>
          <w:color w:val="111111"/>
          <w:sz w:val="28"/>
          <w:sz w:val="28"/>
          <w:szCs w:val="28"/>
          <w:rtl w:val="true"/>
          <w:lang w:bidi="fa-IR"/>
        </w:rPr>
        <w:t>الإمضاء من حین العقد علی القول بالنقل،ففی صحّتها وجهان</w:t>
      </w:r>
      <w:r>
        <w:rPr>
          <w:rFonts w:eastAsia="IRNazanin" w:cs="IRNazanin"/>
          <w:color w:val="111111"/>
          <w:sz w:val="28"/>
          <w:szCs w:val="28"/>
          <w:rtl w:val="true"/>
          <w:lang w:bidi="fa-IR"/>
        </w:rPr>
        <w:t>.</w:t>
      </w:r>
    </w:p>
    <w:p>
      <w:pPr>
        <w:pStyle w:val="Heading6"/>
        <w:numPr>
          <w:ilvl w:val="5"/>
          <w:numId w:val="1"/>
        </w:numPr>
        <w:rPr/>
      </w:pPr>
      <w:bookmarkStart w:id="717" w:name="__RefHeading___Toc5082970_2314609296"/>
      <w:bookmarkStart w:id="718" w:name="_Toc276"/>
      <w:bookmarkEnd w:id="717"/>
      <w:r>
        <w:rPr>
          <w:rtl w:val="true"/>
        </w:rPr>
        <w:t>الثانی أنّه یشترط فی الإجازة أن یکون باللفظ الدالّ علیه</w:t>
      </w:r>
      <w:bookmarkEnd w:id="718"/>
    </w:p>
    <w:p>
      <w:pPr>
        <w:pStyle w:val="BookText"/>
        <w:rPr/>
      </w:pPr>
      <w:r>
        <w:rPr>
          <w:rFonts w:ascii="IRNazanin" w:hAnsi="IRNazanin" w:eastAsia="IRNazanin"/>
          <w:color w:val="111111"/>
          <w:sz w:val="28"/>
          <w:sz w:val="28"/>
          <w:szCs w:val="28"/>
          <w:rtl w:val="true"/>
          <w:lang w:bidi="fa-IR"/>
        </w:rPr>
        <w:t xml:space="preserve">الثانی أنّه یشترط فی الإجازة أن یکون باللفظ الدالّ علیه </w:t>
      </w:r>
      <w:r>
        <w:rPr>
          <w:rStyle w:val="FootnoteAnchor"/>
          <w:rtl w:val="true"/>
        </w:rPr>
        <w:footnoteReference w:id="2220"/>
      </w:r>
      <w:r>
        <w:rPr>
          <w:rFonts w:ascii="IRNazanin" w:hAnsi="IRNazanin" w:eastAsia="IRNazanin"/>
          <w:color w:val="111111"/>
          <w:sz w:val="28"/>
          <w:sz w:val="28"/>
          <w:szCs w:val="28"/>
          <w:rtl w:val="true"/>
          <w:lang w:bidi="fa-IR"/>
        </w:rPr>
        <w:t>علی وجه الصراحة العرفیة،</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شبه ذلک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روایة البارقی </w:t>
      </w:r>
      <w:r>
        <w:rPr>
          <w:rStyle w:val="FootnoteAnchor"/>
          <w:rtl w:val="true"/>
        </w:rPr>
        <w:footnoteReference w:id="2221"/>
      </w:r>
      <w:r>
        <w:rPr>
          <w:rFonts w:ascii="IRNazanin" w:hAnsi="IRNazanin" w:eastAsia="IRNazanin"/>
          <w:color w:val="111111"/>
          <w:sz w:val="28"/>
          <w:sz w:val="28"/>
          <w:szCs w:val="28"/>
          <w:rtl w:val="true"/>
          <w:lang w:bidi="fa-IR"/>
        </w:rPr>
        <w:t>وقوعها بالکنایة،و لیس ببعید إذا اتّکل</w:t>
      </w:r>
      <w:bookmarkStart w:id="719" w:name="pg19763_248168"/>
    </w:p>
    <w:p>
      <w:pPr>
        <w:pStyle w:val="BookText"/>
        <w:rPr/>
      </w:pPr>
      <w:bookmarkEnd w:id="719"/>
      <w:r>
        <w:rPr>
          <w:rFonts w:ascii="IRNazanin" w:hAnsi="IRNazanin" w:eastAsia="IRNazanin"/>
          <w:color w:val="111111"/>
          <w:sz w:val="28"/>
          <w:sz w:val="28"/>
          <w:szCs w:val="28"/>
          <w:rtl w:val="true"/>
          <w:lang w:bidi="fa-IR"/>
        </w:rPr>
        <w:t xml:space="preserve">علیه </w:t>
      </w:r>
      <w:r>
        <w:rPr>
          <w:rStyle w:val="FootnoteAnchor"/>
          <w:rtl w:val="true"/>
        </w:rPr>
        <w:footnoteReference w:id="2222"/>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5082972_2314609296"/>
      <w:bookmarkStart w:id="721" w:name="_Toc277"/>
      <w:bookmarkEnd w:id="720"/>
      <w:r>
        <w:rPr>
          <w:rtl w:val="true"/>
        </w:rPr>
        <w:t>[</w:t>
      </w:r>
      <w:r>
        <w:rPr>
          <w:rtl w:val="true"/>
        </w:rPr>
        <w:t>کفایة الفعل الکاشف عن الرضا فی الإجازة</w:t>
      </w:r>
      <w:r>
        <w:rPr>
          <w:rtl w:val="true"/>
        </w:rPr>
        <w:t>]</w:t>
      </w:r>
      <w:bookmarkEnd w:id="721"/>
    </w:p>
    <w:p>
      <w:pPr>
        <w:pStyle w:val="BookText"/>
        <w:rPr/>
      </w:pPr>
      <w:r>
        <w:rPr>
          <w:rFonts w:ascii="IRNazanin" w:hAnsi="IRNazanin" w:eastAsia="IRNazanin"/>
          <w:color w:val="111111"/>
          <w:sz w:val="28"/>
          <w:sz w:val="28"/>
          <w:szCs w:val="28"/>
          <w:rtl w:val="true"/>
          <w:lang w:bidi="fa-IR"/>
        </w:rPr>
        <w:t>و الظاهر أنّ الفعل الکاشف عرفاً عن الرضا بالعقد کافٍ، کالتصرّف فی الثمن،و منه إجازة البیع الواقع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w:t>
      </w:r>
      <w:r>
        <w:rPr>
          <w:rStyle w:val="FootnoteAnchor"/>
          <w:rtl w:val="true"/>
        </w:rPr>
        <w:footnoteReference w:id="2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کتمکین الزوجة من الدخول بها إذا زوّجت فضولاً،کما صرّح به العلّامة قدّس سرّه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یحکی عن بعضٍ اعتبار اللفظ </w:t>
      </w:r>
      <w:r>
        <w:rPr>
          <w:rStyle w:val="FootnoteAnchor"/>
          <w:rtl w:val="true"/>
        </w:rPr>
        <w:footnoteReference w:id="2225"/>
      </w:r>
      <w:r>
        <w:rPr>
          <w:rFonts w:ascii="IRNazanin" w:hAnsi="IRNazanin" w:eastAsia="IRNazanin"/>
          <w:color w:val="111111"/>
          <w:sz w:val="28"/>
          <w:sz w:val="28"/>
          <w:szCs w:val="28"/>
          <w:rtl w:val="true"/>
          <w:lang w:bidi="fa-IR"/>
        </w:rPr>
        <w:t xml:space="preserve">،بل نسب إلی صریح جماعة و ظاهر آخرین </w:t>
      </w:r>
      <w:r>
        <w:rPr>
          <w:rStyle w:val="FootnoteAnchor"/>
          <w:rtl w:val="true"/>
        </w:rPr>
        <w:footnoteReference w:id="2226"/>
      </w:r>
      <w:r>
        <w:rPr>
          <w:rFonts w:ascii="IRNazanin" w:hAnsi="IRNazanin" w:eastAsia="IRNazanin"/>
          <w:color w:val="111111"/>
          <w:sz w:val="28"/>
          <w:sz w:val="28"/>
          <w:szCs w:val="28"/>
          <w:rtl w:val="true"/>
          <w:lang w:bidi="fa-IR"/>
        </w:rPr>
        <w:t>،و فی النسبة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علیه بعضهم </w:t>
      </w:r>
      <w:r>
        <w:rPr>
          <w:rStyle w:val="FootnoteAnchor"/>
          <w:rtl w:val="true"/>
        </w:rPr>
        <w:footnoteReference w:id="2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w:t>
      </w:r>
      <w:r>
        <w:rPr>
          <w:rStyle w:val="FootnoteAnchor"/>
          <w:rtl w:val="true"/>
        </w:rPr>
        <w:footnoteReference w:id="2228"/>
      </w:r>
      <w:r>
        <w:rPr>
          <w:rFonts w:ascii="IRNazanin" w:hAnsi="IRNazanin" w:eastAsia="IRNazanin"/>
          <w:color w:val="111111"/>
          <w:sz w:val="28"/>
          <w:sz w:val="28"/>
          <w:szCs w:val="28"/>
          <w:rtl w:val="true"/>
          <w:lang w:bidi="fa-IR"/>
        </w:rPr>
        <w:t>کالبیع فی استقرار الملک،و هو یشبه المصادرة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الاستقراء فی النواقل الاختیاریة اللازمة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اعتبار اللفظ،و من المعلوم أنّ النقل الحقیقی العرفی من المالک یحصل بتأثیر الإجازة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نظر،بل لو لا شبهة الإجماع الحاصلة من عبارة جماعة من المعاصرین </w:t>
      </w:r>
      <w:r>
        <w:rPr>
          <w:rStyle w:val="FootnoteAnchor"/>
          <w:rtl w:val="true"/>
        </w:rPr>
        <w:footnoteReference w:id="2229"/>
      </w:r>
      <w:r>
        <w:rPr>
          <w:rFonts w:ascii="IRNazanin" w:hAnsi="IRNazanin" w:eastAsia="IRNazanin"/>
          <w:color w:val="111111"/>
          <w:sz w:val="28"/>
          <w:sz w:val="28"/>
          <w:szCs w:val="28"/>
          <w:rtl w:val="true"/>
          <w:lang w:bidi="fa-IR"/>
        </w:rPr>
        <w:t>تعیّن القول بکفایة نفس الرضا إذا علم حصوله من أیّ</w:t>
      </w:r>
    </w:p>
    <w:p>
      <w:pPr>
        <w:pStyle w:val="BookText"/>
        <w:rPr/>
      </w:pPr>
      <w:r>
        <w:rPr>
          <w:rFonts w:ascii="IRNazanin" w:hAnsi="IRNazanin" w:eastAsia="IRNazanin"/>
          <w:color w:val="111111"/>
          <w:sz w:val="28"/>
          <w:sz w:val="28"/>
          <w:szCs w:val="28"/>
          <w:rtl w:val="true"/>
          <w:lang w:bidi="fa-IR"/>
        </w:rPr>
        <w:t xml:space="preserve">طریق،کما یستظهر من کثیر من الفتاوی </w:t>
      </w:r>
      <w:r>
        <w:rPr>
          <w:rStyle w:val="FootnoteAnchor"/>
          <w:rtl w:val="true"/>
        </w:rPr>
        <w:footnoteReference w:id="2230"/>
      </w:r>
      <w:r>
        <w:rPr>
          <w:rFonts w:ascii="IRNazanin" w:hAnsi="IRNazanin" w:eastAsia="IRNazanin"/>
          <w:color w:val="111111"/>
          <w:sz w:val="28"/>
          <w:sz w:val="28"/>
          <w:szCs w:val="28"/>
          <w:rtl w:val="true"/>
          <w:lang w:bidi="fa-IR"/>
        </w:rPr>
        <w:t xml:space="preserve">و النصوص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علّل جماعة </w:t>
      </w:r>
      <w:r>
        <w:rPr>
          <w:rStyle w:val="FootnoteAnchor"/>
          <w:rtl w:val="true"/>
        </w:rPr>
        <w:footnoteReference w:id="2232"/>
      </w:r>
      <w:r>
        <w:rPr>
          <w:rFonts w:ascii="IRNazanin" w:hAnsi="IRNazanin" w:eastAsia="IRNazanin"/>
          <w:color w:val="111111"/>
          <w:sz w:val="28"/>
          <w:sz w:val="28"/>
          <w:szCs w:val="28"/>
          <w:rtl w:val="true"/>
          <w:lang w:bidi="fa-IR"/>
        </w:rPr>
        <w:t>عدم کفایة السکوت فی الإجازة بکونه أعمّ من الرضا فلا یدلّ علیه،فالعدول عن التعلیل بعدم اللفظ إلی عدم الدلالة کالصریح فیما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عن آخرین </w:t>
      </w:r>
      <w:r>
        <w:rPr>
          <w:rStyle w:val="FootnoteAnchor"/>
          <w:rtl w:val="true"/>
        </w:rPr>
        <w:footnoteReference w:id="2233"/>
      </w:r>
      <w:r>
        <w:rPr>
          <w:rFonts w:ascii="IRNazanin" w:hAnsi="IRNazanin" w:eastAsia="IRNazanin"/>
          <w:color w:val="111111"/>
          <w:sz w:val="28"/>
          <w:sz w:val="28"/>
          <w:szCs w:val="28"/>
          <w:rtl w:val="true"/>
          <w:lang w:bidi="fa-IR"/>
        </w:rPr>
        <w:t>أنّه إذا أنکر الموکّل الإذن فیما أوقعه الوکیل من المعاملة فحلف انفسخت؛لأنّ الحلف یدلّ علی کراهتها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یکفی فی إجازة البکر للعقد الواقع علیها فضولاً سکوتها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المراد من ذلک أنّه لا یحتاج إلی إجازتها، بل المراد کفایة السکوت الظاهر فی الرضا و إن لم یفد القطع؛دفعاً</w:t>
      </w:r>
      <w:bookmarkStart w:id="722" w:name="pg19763_248170"/>
    </w:p>
    <w:p>
      <w:pPr>
        <w:pStyle w:val="BookText"/>
        <w:rPr/>
      </w:pPr>
      <w:bookmarkEnd w:id="722"/>
      <w:r>
        <w:rPr>
          <w:rFonts w:ascii="IRNazanin" w:hAnsi="IRNazanin" w:eastAsia="IRNazanin"/>
          <w:color w:val="111111"/>
          <w:sz w:val="28"/>
          <w:sz w:val="28"/>
          <w:szCs w:val="28"/>
          <w:rtl w:val="true"/>
          <w:lang w:bidi="fa-IR"/>
        </w:rPr>
        <w:t>للحرج علیها و علینا</w:t>
      </w:r>
      <w:r>
        <w:rPr>
          <w:rFonts w:eastAsia="IRNazanin" w:cs="IRNazanin"/>
          <w:color w:val="111111"/>
          <w:sz w:val="28"/>
          <w:szCs w:val="28"/>
          <w:rtl w:val="true"/>
          <w:lang w:bidi="fa-IR"/>
        </w:rPr>
        <w:t>.</w:t>
      </w:r>
    </w:p>
    <w:p>
      <w:pPr>
        <w:pStyle w:val="Heading6"/>
        <w:numPr>
          <w:ilvl w:val="5"/>
          <w:numId w:val="1"/>
        </w:numPr>
        <w:rPr/>
      </w:pPr>
      <w:bookmarkStart w:id="723" w:name="__RefHeading___Toc5082974_2314609296"/>
      <w:bookmarkStart w:id="724" w:name="_Toc278"/>
      <w:bookmarkEnd w:id="723"/>
      <w:r>
        <w:rPr>
          <w:rtl w:val="true"/>
        </w:rPr>
        <w:t>[</w:t>
      </w:r>
      <w:r>
        <w:rPr>
          <w:rtl w:val="true"/>
        </w:rPr>
        <w:t>کفایة الرضا الباطنی،و الاستدلال علیه</w:t>
      </w:r>
      <w:r>
        <w:rPr>
          <w:rtl w:val="true"/>
        </w:rPr>
        <w:t>]</w:t>
      </w:r>
      <w:bookmarkEnd w:id="724"/>
    </w:p>
    <w:p>
      <w:pPr>
        <w:pStyle w:val="BookText"/>
        <w:rPr/>
      </w:pPr>
      <w:r>
        <w:rPr>
          <w:rFonts w:ascii="IRNazanin" w:hAnsi="IRNazanin" w:eastAsia="IRNazanin"/>
          <w:color w:val="111111"/>
          <w:sz w:val="28"/>
          <w:sz w:val="28"/>
          <w:szCs w:val="28"/>
          <w:rtl w:val="true"/>
          <w:lang w:bidi="fa-IR"/>
        </w:rPr>
        <w:t xml:space="preserve">ثمّ إنّ الظاهر أنّ کلّ من قال بکفایة الفعل الکاشف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کأکل الثمن و تمکین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اکتفی به من جهة الرضا المدلول علیه به، لا من جهة سببیّة الفعل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غیر واحد </w:t>
      </w:r>
      <w:r>
        <w:rPr>
          <w:rStyle w:val="FootnoteAnchor"/>
          <w:rtl w:val="true"/>
        </w:rPr>
        <w:footnoteReference w:id="2235"/>
      </w:r>
      <w:r>
        <w:rPr>
          <w:rFonts w:ascii="IRNazanin" w:hAnsi="IRNazanin" w:eastAsia="IRNazanin"/>
          <w:color w:val="111111"/>
          <w:sz w:val="28"/>
          <w:sz w:val="28"/>
          <w:szCs w:val="28"/>
          <w:rtl w:val="true"/>
          <w:lang w:bidi="fa-IR"/>
        </w:rPr>
        <w:t>بأنّه لو رضی المکره بما فعله صحّ،و لم یعبّروا بالإجازة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فیمن زوّجت نفسها فی حال السکر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إذا أقامت معه بعد ما أفاقت فذلک رضاً منها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عرفت </w:t>
      </w:r>
      <w:r>
        <w:rPr>
          <w:rStyle w:val="FootnoteAnchor"/>
          <w:rtl w:val="true"/>
        </w:rPr>
        <w:footnoteReference w:id="2237"/>
      </w:r>
      <w:r>
        <w:rPr>
          <w:rFonts w:ascii="IRNazanin" w:hAnsi="IRNazanin" w:eastAsia="IRNazanin"/>
          <w:color w:val="111111"/>
          <w:sz w:val="28"/>
          <w:sz w:val="28"/>
          <w:szCs w:val="28"/>
          <w:rtl w:val="true"/>
          <w:lang w:bidi="fa-IR"/>
        </w:rPr>
        <w:t>أیضاً استدلالهم علی کون الإجازة کاشفة بأنّ العقد مستجمع للشرائط عدا رضا المالک،فإذا حصل عمل السبب التامّ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بالجملة،فدعوی الإجماع فی المسألة دونها خرط القتاد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فالعمومات المتمسّک بها لصحّة الفضولی </w:t>
      </w:r>
      <w:r>
        <w:rPr>
          <w:rStyle w:val="FootnoteAnchor"/>
          <w:rtl w:val="true"/>
        </w:rPr>
        <w:footnoteReference w:id="2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السالمة عن ورود مخصّص علیها،عدا ما دلّ علی اعتبار رضا المالک فی حلّ ماله و انتقاله إلی الغیر و رفع سلطنته عنه </w:t>
      </w:r>
      <w:r>
        <w:rPr>
          <w:rStyle w:val="FootnoteAnchor"/>
          <w:rtl w:val="true"/>
        </w:rPr>
        <w:footnoteReference w:id="2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حجّة فی المقام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ورد فی عدّة أخبار من أنّ سکوت المولی بعد</w:t>
      </w:r>
      <w:bookmarkStart w:id="725" w:name="pg19763_248171"/>
    </w:p>
    <w:p>
      <w:pPr>
        <w:pStyle w:val="BookText"/>
        <w:rPr/>
      </w:pPr>
      <w:bookmarkEnd w:id="725"/>
      <w:r>
        <w:rPr>
          <w:rFonts w:ascii="IRNazanin" w:hAnsi="IRNazanin" w:eastAsia="IRNazanin"/>
          <w:color w:val="111111"/>
          <w:sz w:val="28"/>
          <w:sz w:val="28"/>
          <w:szCs w:val="28"/>
          <w:rtl w:val="true"/>
          <w:lang w:bidi="fa-IR"/>
        </w:rPr>
        <w:t xml:space="preserve">علمه بتزویج عبده إقرار منه له علیه </w:t>
      </w:r>
      <w:r>
        <w:rPr>
          <w:rStyle w:val="FootnoteAnchor"/>
          <w:rtl w:val="true"/>
        </w:rPr>
        <w:footnoteReference w:id="2240"/>
      </w:r>
      <w:r>
        <w:rPr>
          <w:rFonts w:ascii="IRNazanin" w:hAnsi="IRNazanin" w:eastAsia="IRNazanin"/>
          <w:color w:val="111111"/>
          <w:sz w:val="28"/>
          <w:sz w:val="28"/>
          <w:szCs w:val="28"/>
          <w:rtl w:val="true"/>
          <w:lang w:bidi="fa-IR"/>
        </w:rPr>
        <w:t xml:space="preserve">،و ما دلّ علی أنّ قول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لعبده المتزوّج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الرضا بالنکاح فیصیر إجازة </w:t>
      </w:r>
      <w:r>
        <w:rPr>
          <w:rStyle w:val="FootnoteAnchor"/>
          <w:rtl w:val="true"/>
        </w:rPr>
        <w:footnoteReference w:id="2241"/>
      </w:r>
      <w:r>
        <w:rPr>
          <w:rFonts w:ascii="IRNazanin" w:hAnsi="IRNazanin" w:eastAsia="IRNazanin"/>
          <w:color w:val="111111"/>
          <w:sz w:val="28"/>
          <w:sz w:val="28"/>
          <w:szCs w:val="28"/>
          <w:rtl w:val="true"/>
          <w:lang w:bidi="fa-IR"/>
        </w:rPr>
        <w:t xml:space="preserve">،و علی أنّ المانع من لزوم نکاح العبد بدون إذن مولاه معصیة المولی التی ترتفع بالرضا </w:t>
      </w:r>
      <w:r>
        <w:rPr>
          <w:rStyle w:val="FootnoteAnchor"/>
          <w:rtl w:val="true"/>
        </w:rPr>
        <w:footnoteReference w:id="2242"/>
      </w:r>
      <w:r>
        <w:rPr>
          <w:rFonts w:ascii="Amiri" w:hAnsi="Amiri" w:eastAsia="Amiri" w:cs="Amiri"/>
          <w:color w:val="111111"/>
          <w:sz w:val="28"/>
          <w:sz w:val="28"/>
          <w:szCs w:val="28"/>
          <w:rtl w:val="true"/>
          <w:lang w:bidi="ar-SA"/>
        </w:rPr>
        <w:t xml:space="preserve">،و ما دلّ علی أنّ التصرّف من ذی الخیار رضاً منه </w:t>
      </w:r>
      <w:r>
        <w:rPr>
          <w:rStyle w:val="FootnoteAnchor"/>
          <w:rtl w:val="true"/>
        </w:rPr>
        <w:footnoteReference w:id="2243"/>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Heading6"/>
        <w:numPr>
          <w:ilvl w:val="5"/>
          <w:numId w:val="1"/>
        </w:numPr>
        <w:rPr/>
      </w:pPr>
      <w:bookmarkStart w:id="726" w:name="__RefHeading___Toc5082976_2314609296"/>
      <w:bookmarkStart w:id="727" w:name="_Toc279"/>
      <w:bookmarkEnd w:id="726"/>
      <w:r>
        <w:rPr>
          <w:rtl w:val="true"/>
        </w:rPr>
        <w:t>[</w:t>
      </w:r>
      <w:r>
        <w:rPr>
          <w:rtl w:val="true"/>
        </w:rPr>
        <w:t>هل یکفی الرضا مقارنا للعقد أو سابقا علیه؟</w:t>
      </w:r>
      <w:r>
        <w:rPr>
          <w:rtl w:val="true"/>
        </w:rPr>
        <w:t>]</w:t>
      </w:r>
      <w:bookmarkEnd w:id="727"/>
    </w:p>
    <w:p>
      <w:pPr>
        <w:pStyle w:val="BookText"/>
        <w:rPr/>
      </w:pPr>
      <w:r>
        <w:rPr>
          <w:rFonts w:ascii="IRNazanin" w:hAnsi="IRNazanin" w:eastAsia="IRNazanin"/>
          <w:color w:val="111111"/>
          <w:sz w:val="28"/>
          <w:sz w:val="28"/>
          <w:szCs w:val="28"/>
          <w:rtl w:val="true"/>
          <w:lang w:bidi="fa-IR"/>
        </w:rPr>
        <w:t>بقی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قلنا بعدم اعتبار إنشاء الإجازة باللفظ، و کفایة مطلق الرضا أو الفعل الدالّ علیه،فینبغی أن یقال بکفایة وقوع مثل ذلک مقارناً للعقد أو سابقاً،فإذا فرضنا أنّه علم رضا </w:t>
      </w:r>
      <w:r>
        <w:rPr>
          <w:rStyle w:val="FootnoteAnchor"/>
          <w:rtl w:val="true"/>
        </w:rPr>
        <w:footnoteReference w:id="2244"/>
      </w:r>
      <w:r>
        <w:rPr>
          <w:rFonts w:ascii="IRNazanin" w:hAnsi="IRNazanin" w:eastAsia="IRNazanin"/>
          <w:color w:val="111111"/>
          <w:sz w:val="28"/>
          <w:sz w:val="28"/>
          <w:szCs w:val="28"/>
          <w:rtl w:val="true"/>
          <w:lang w:bidi="fa-IR"/>
        </w:rPr>
        <w:t>المالک بقول أو فعل یدلّ علی رضاه ببیع ماله کفی فی اللزوم؛لأنّ ما یؤثّر بلحوقه یؤثّر بمقارنته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الأصحاب لا یلتزمون بذلک،فمقتضی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یصحّ الإجازة إلّا بما لو وقع قبل العقد کان إذناً مخرجاً للبیع عن بیع الفضولی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کان مجرّد الرضا ملزماً،کان مجرّد الکراهة فسخاً </w:t>
      </w:r>
      <w:r>
        <w:rPr>
          <w:rStyle w:val="FootnoteAnchor"/>
          <w:rtl w:val="true"/>
        </w:rPr>
        <w:footnoteReference w:id="2245"/>
      </w:r>
      <w:r>
        <w:rPr>
          <w:rFonts w:ascii="IRNazanin" w:hAnsi="IRNazanin" w:eastAsia="IRNazanin"/>
          <w:color w:val="111111"/>
          <w:sz w:val="28"/>
          <w:sz w:val="28"/>
          <w:szCs w:val="28"/>
          <w:rtl w:val="true"/>
          <w:lang w:bidi="fa-IR"/>
        </w:rPr>
        <w:t>،فیلزم عدم وقوع بیع الفضولی مع نهی المالک؛لأنّ الکراهة</w:t>
      </w:r>
      <w:bookmarkStart w:id="728" w:name="pg19763_248172"/>
    </w:p>
    <w:p>
      <w:pPr>
        <w:pStyle w:val="BookText"/>
        <w:rPr/>
      </w:pPr>
      <w:bookmarkEnd w:id="728"/>
      <w:r>
        <w:rPr>
          <w:rFonts w:ascii="IRNazanin" w:hAnsi="IRNazanin" w:eastAsia="IRNazanin"/>
          <w:color w:val="111111"/>
          <w:sz w:val="28"/>
          <w:sz w:val="28"/>
          <w:szCs w:val="28"/>
          <w:rtl w:val="true"/>
          <w:lang w:bidi="fa-IR"/>
        </w:rPr>
        <w:t>الحاصلة حینه و بعده و لو آناً ما تکفی فی الفسخ،بل یلزم عدم وقوع بیع المکره أصلاً،إلّا أن یلتزم بعدم کون مجرّد الکراهة فسخاً و إن کان مجرّد الرضا إجازة</w:t>
      </w:r>
      <w:r>
        <w:rPr>
          <w:rFonts w:eastAsia="IRNazanin" w:cs="IRNazanin"/>
          <w:color w:val="111111"/>
          <w:sz w:val="28"/>
          <w:szCs w:val="28"/>
          <w:rtl w:val="true"/>
          <w:lang w:bidi="fa-IR"/>
        </w:rPr>
        <w:t>.</w:t>
      </w:r>
    </w:p>
    <w:p>
      <w:pPr>
        <w:pStyle w:val="Heading6"/>
        <w:numPr>
          <w:ilvl w:val="5"/>
          <w:numId w:val="1"/>
        </w:numPr>
        <w:rPr/>
      </w:pPr>
      <w:bookmarkStart w:id="729" w:name="__RefHeading___Toc5082978_2314609296"/>
      <w:bookmarkStart w:id="730" w:name="_Toc280"/>
      <w:bookmarkEnd w:id="729"/>
      <w:r>
        <w:rPr>
          <w:rtl w:val="true"/>
        </w:rPr>
        <w:t>الثالث من شروط الإجازة أن لا یسبقها الردّ؛</w:t>
      </w:r>
      <w:bookmarkEnd w:id="730"/>
    </w:p>
    <w:p>
      <w:pPr>
        <w:pStyle w:val="BookText"/>
        <w:rPr/>
      </w:pPr>
      <w:r>
        <w:rPr>
          <w:rFonts w:ascii="IRNazanin" w:hAnsi="IRNazanin" w:eastAsia="IRNazanin"/>
          <w:color w:val="111111"/>
          <w:sz w:val="28"/>
          <w:sz w:val="28"/>
          <w:szCs w:val="28"/>
          <w:rtl w:val="true"/>
          <w:lang w:bidi="fa-IR"/>
        </w:rPr>
        <w:t xml:space="preserve">إذ مع الردّ ینفسخ العقد، فلا یبقی ما یلحقه الإجازة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ظهور الإجماع،بل التصریح به فی کلام بعض مشایخنا </w:t>
      </w:r>
      <w:r>
        <w:rPr>
          <w:rStyle w:val="FootnoteAnchor"/>
          <w:rtl w:val="true"/>
        </w:rPr>
        <w:footnoteReference w:id="2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الإجازة إنّما تجعل المجیز أحد طرفی العقد،و إلّا لم یکن مکلّفاً بالوفاء بالعقد؛لما عرفت من أنّ وجوب الوفاء إنّما هو فی حقّ العاقدین أو من قام </w:t>
      </w:r>
      <w:r>
        <w:rPr>
          <w:rStyle w:val="FootnoteAnchor"/>
          <w:rtl w:val="true"/>
        </w:rPr>
        <w:footnoteReference w:id="2248"/>
      </w:r>
      <w:r>
        <w:rPr>
          <w:rFonts w:ascii="IRNazanin" w:hAnsi="IRNazanin" w:eastAsia="IRNazanin"/>
          <w:color w:val="111111"/>
          <w:sz w:val="28"/>
          <w:sz w:val="28"/>
          <w:szCs w:val="28"/>
          <w:rtl w:val="true"/>
          <w:lang w:bidi="fa-IR"/>
        </w:rPr>
        <w:t>مقامهما،و قد تقرّر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w:t>
      </w:r>
      <w:r>
        <w:rPr>
          <w:rStyle w:val="FootnoteAnchor"/>
          <w:rtl w:val="true"/>
        </w:rPr>
        <w:footnoteReference w:id="2249"/>
      </w:r>
      <w:r>
        <w:rPr>
          <w:rFonts w:ascii="IRNazanin" w:hAnsi="IRNazanin" w:eastAsia="IRNazanin"/>
          <w:color w:val="111111"/>
          <w:sz w:val="28"/>
          <w:sz w:val="28"/>
          <w:szCs w:val="28"/>
          <w:rtl w:val="true"/>
          <w:lang w:bidi="fa-IR"/>
        </w:rPr>
        <w:t>شروط الصیغة أن لا یحصل بین طرفی العقد ما یسقطهما عن صدق العقد الذی هو فی معنی المعاهدة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أنّ مقتضی سلطنة الناس علی أموالهم تأثیر الردّ فی قطع علاقة الطرف الآخر عن ملکه،فلا یبقی ما یلحقه الإجازة،فتأمّل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نعم،الصحیحة الواردة فی بیع الولیدة </w:t>
      </w:r>
      <w:r>
        <w:rPr>
          <w:rStyle w:val="FootnoteAnchor"/>
          <w:rtl w:val="true"/>
        </w:rPr>
        <w:footnoteReference w:id="2250"/>
      </w:r>
      <w:r>
        <w:rPr>
          <w:rFonts w:ascii="IRNazanin" w:hAnsi="IRNazanin" w:eastAsia="IRNazanin"/>
          <w:color w:val="111111"/>
          <w:sz w:val="28"/>
          <w:sz w:val="28"/>
          <w:szCs w:val="28"/>
          <w:rtl w:val="true"/>
          <w:lang w:bidi="fa-IR"/>
        </w:rPr>
        <w:t>ظاهرة فی صحّة الإجازة</w:t>
      </w:r>
      <w:bookmarkStart w:id="731" w:name="pg19763_248173"/>
    </w:p>
    <w:p>
      <w:pPr>
        <w:pStyle w:val="BookText"/>
        <w:rPr/>
      </w:pPr>
      <w:bookmarkEnd w:id="731"/>
      <w:r>
        <w:rPr>
          <w:rFonts w:ascii="IRNazanin" w:hAnsi="IRNazanin" w:eastAsia="IRNazanin"/>
          <w:color w:val="111111"/>
          <w:sz w:val="28"/>
          <w:sz w:val="28"/>
          <w:szCs w:val="28"/>
          <w:rtl w:val="true"/>
          <w:lang w:bidi="fa-IR"/>
        </w:rPr>
        <w:t>بعد الردّ،اللّهم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الردّ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کأخذ المبیع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کافٍ،بل لا بدّ من إنشاء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الفسخ هنا لیس بأولی من الفسخ فی العقود اللازمة و قد صرّحوا بحصوله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الذی یحصل به الفسخ هو فعل لوازم ملک المبیع کالوطء و العتق و نحوهما،لا مثل أخذ المبیع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بالجملة،فالظاهر </w:t>
      </w:r>
      <w:r>
        <w:rPr>
          <w:rStyle w:val="FootnoteAnchor"/>
          <w:rtl w:val="true"/>
        </w:rPr>
        <w:footnoteReference w:id="2251"/>
      </w:r>
      <w:r>
        <w:rPr>
          <w:rFonts w:ascii="IRNazanin" w:hAnsi="IRNazanin" w:eastAsia="IRNazanin"/>
          <w:color w:val="111111"/>
          <w:sz w:val="28"/>
          <w:sz w:val="28"/>
          <w:szCs w:val="28"/>
          <w:rtl w:val="true"/>
          <w:lang w:bidi="fa-IR"/>
        </w:rPr>
        <w:t>هنا و فی جمیع الالتزامات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الاعتبار بالإجازة الواقعة عقیب الفسخ،فإن سلّم ظهور الروایة فی خلافه فلیطرح أو یؤوّل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2" w:name="__RefHeading___Toc5082980_2314609296"/>
      <w:bookmarkStart w:id="733" w:name="_Toc281"/>
      <w:bookmarkEnd w:id="732"/>
      <w:r>
        <w:rPr>
          <w:rtl w:val="true"/>
        </w:rPr>
        <w:t>الرابع الإجازة أثر من آثار سلطنة المالک علی ماله،</w:t>
      </w:r>
      <w:bookmarkEnd w:id="73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فموضوعها المالک، 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راجع إلی أنّ له أن یتصرّف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مات المالک لم یورّث الإجازة،و إنّما یورّث المال الذی عقد علیه الفضولی،فله الإجازة؛بناءً علی ما سیجیء من جواز مغایرة المجیز و المالک حال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باع مال أبیه فبان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الفرق بین إرث الإجازة و إرث المال یظهر بالتأمّل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bookmarkStart w:id="734" w:name="pg19763_248174"/>
    </w:p>
    <w:p>
      <w:pPr>
        <w:pStyle w:val="Heading6"/>
        <w:numPr>
          <w:ilvl w:val="5"/>
          <w:numId w:val="1"/>
        </w:numPr>
        <w:rPr/>
      </w:pPr>
      <w:bookmarkStart w:id="735" w:name="__RefHeading___Toc5082982_2314609296"/>
      <w:bookmarkStart w:id="736" w:name="_Toc282"/>
      <w:bookmarkEnd w:id="734"/>
      <w:bookmarkEnd w:id="735"/>
      <w:r>
        <w:rPr>
          <w:rtl w:val="true"/>
        </w:rPr>
        <w:t>الخامس إجازة البیع لیست إجازة لقبض الثمن،و لا لإقباض المبیع،</w:t>
      </w:r>
      <w:bookmarkEnd w:id="736"/>
    </w:p>
    <w:p>
      <w:pPr>
        <w:pStyle w:val="BookText"/>
        <w:rPr/>
      </w:pPr>
      <w:r>
        <w:rPr>
          <w:rFonts w:ascii="IRNazanin" w:hAnsi="IRNazanin" w:eastAsia="IRNazanin"/>
          <w:color w:val="111111"/>
          <w:sz w:val="28"/>
          <w:sz w:val="28"/>
          <w:szCs w:val="28"/>
          <w:rtl w:val="true"/>
          <w:lang w:bidi="fa-IR"/>
        </w:rPr>
        <w:t>و لو أجازهما صریحاً أو فهم إجازتهما من إجازة البیع مضت الإجازة؛ لأنّ مرجع إجازة القبض إلی إسقاط ضمان الثمن عن عهدة المشتری، و مرجع إجازة الإقباض إلی حصول المبیع فی ید المشتری برضا البائع، فیترتّب علیه جمیع الآثار المترتّبة علی قبض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ما ذکرنا إنّما یصحّ فی قبض الثمن المعیّن،و أمّا قبض الکلّی و تشخّصه به فوقوعه من الفضولی علی وجهٍ تصحّحه الإجازة یحتاج إلی دلیلٍ معمِّمٍ لحکم عقد الفضولی لمثل القبض و الإقباض،و إتمام الدلیل علی ذلک لا یخلو عن </w:t>
      </w:r>
      <w:r>
        <w:rPr>
          <w:rStyle w:val="FootnoteAnchor"/>
          <w:rtl w:val="true"/>
        </w:rPr>
        <w:footnoteReference w:id="2254"/>
      </w:r>
      <w:r>
        <w:rPr>
          <w:rFonts w:ascii="Amiri" w:hAnsi="Amiri" w:eastAsia="Amiri" w:cs="Amiri"/>
          <w:color w:val="111111"/>
          <w:sz w:val="28"/>
          <w:sz w:val="28"/>
          <w:szCs w:val="28"/>
          <w:rtl w:val="true"/>
          <w:lang w:bidi="ar-SA"/>
        </w:rPr>
        <w:t>صعوبة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حکی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أجاز المالک بیع الغاصب لم یطالب المشتری بالثمن،ثمّ ضعّفه بعدم استلزام إجازة العقد لإجازة القبض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حال،فلو کان إجازة العقد دون القبض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الصرف و السلم بعد قبض الفضولی و التفرّق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إجازة العقد إجازةً للقبض؛صوناً للإجازة عن اللغویة</w:t>
      </w:r>
      <w:r>
        <w:rPr>
          <w:rFonts w:eastAsia="IRNazanin" w:cs="IRNazanin"/>
          <w:color w:val="111111"/>
          <w:sz w:val="28"/>
          <w:szCs w:val="28"/>
          <w:rtl w:val="true"/>
          <w:lang w:bidi="fa-IR"/>
        </w:rPr>
        <w:t>.</w:t>
      </w:r>
      <w:bookmarkStart w:id="737" w:name="pg19763_248175"/>
    </w:p>
    <w:p>
      <w:pPr>
        <w:pStyle w:val="BookText"/>
        <w:rPr/>
      </w:pPr>
      <w:bookmarkEnd w:id="737"/>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العقد دون القبض،ففی بطلان العقد أو بطلان ردّ القبض وجهان</w:t>
      </w:r>
      <w:r>
        <w:rPr>
          <w:rFonts w:eastAsia="IRNazanin" w:cs="IRNazanin"/>
          <w:color w:val="111111"/>
          <w:sz w:val="28"/>
          <w:szCs w:val="28"/>
          <w:rtl w:val="true"/>
          <w:lang w:bidi="fa-IR"/>
        </w:rPr>
        <w:t>.</w:t>
      </w:r>
    </w:p>
    <w:p>
      <w:pPr>
        <w:pStyle w:val="Heading6"/>
        <w:numPr>
          <w:ilvl w:val="5"/>
          <w:numId w:val="1"/>
        </w:numPr>
        <w:rPr/>
      </w:pPr>
      <w:bookmarkStart w:id="738" w:name="__RefHeading___Toc5082984_2314609296"/>
      <w:bookmarkStart w:id="739" w:name="_Toc283"/>
      <w:bookmarkEnd w:id="738"/>
      <w:r>
        <w:rPr>
          <w:rtl w:val="true"/>
        </w:rPr>
        <w:t>السادس الإجازة لیست علی الفور؛</w:t>
      </w:r>
      <w:bookmarkEnd w:id="739"/>
    </w:p>
    <w:p>
      <w:pPr>
        <w:pStyle w:val="BookText"/>
        <w:rPr/>
      </w:pPr>
      <w:r>
        <w:rPr>
          <w:rFonts w:ascii="IRNazanin" w:hAnsi="IRNazanin" w:eastAsia="IRNazanin"/>
          <w:color w:val="111111"/>
          <w:sz w:val="28"/>
          <w:sz w:val="28"/>
          <w:szCs w:val="28"/>
          <w:rtl w:val="true"/>
          <w:lang w:bidi="fa-IR"/>
        </w:rPr>
        <w:t xml:space="preserve">للعمومات و لصحیحة محمّد بن قیس </w:t>
      </w:r>
      <w:r>
        <w:rPr>
          <w:rStyle w:val="FootnoteAnchor"/>
          <w:rtl w:val="true"/>
        </w:rPr>
        <w:footnoteReference w:id="2256"/>
      </w:r>
      <w:r>
        <w:rPr>
          <w:rFonts w:ascii="IRNazanin" w:hAnsi="IRNazanin" w:eastAsia="IRNazanin"/>
          <w:color w:val="111111"/>
          <w:sz w:val="28"/>
          <w:sz w:val="28"/>
          <w:szCs w:val="28"/>
          <w:rtl w:val="true"/>
          <w:lang w:bidi="fa-IR"/>
        </w:rPr>
        <w:t xml:space="preserve">و أکثر المؤیّدات المذکورة بعدها </w:t>
      </w:r>
      <w:r>
        <w:rPr>
          <w:rStyle w:val="FootnoteAnchor"/>
          <w:rtl w:val="true"/>
        </w:rPr>
        <w:footnoteReference w:id="2257"/>
      </w:r>
      <w:r>
        <w:rPr>
          <w:rFonts w:ascii="IRNazanin" w:hAnsi="IRNazanin" w:eastAsia="IRNazanin"/>
          <w:color w:val="111111"/>
          <w:sz w:val="28"/>
          <w:sz w:val="28"/>
          <w:szCs w:val="28"/>
          <w:rtl w:val="true"/>
          <w:lang w:bidi="fa-IR"/>
        </w:rPr>
        <w:t>،و لو لم یجز المالک و لم یردّ حتّی لزم تضرّر الأصیل بعدم تصرّفه فیما انتقل عنه و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تدارکه بالخیار أو إجبار المالک علی أحد الأمرین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0" w:name="__RefHeading___Toc5082986_2314609296"/>
      <w:bookmarkStart w:id="741" w:name="_Toc284"/>
      <w:bookmarkEnd w:id="740"/>
      <w:r>
        <w:rPr>
          <w:rtl w:val="true"/>
        </w:rPr>
        <w:t>السابع هل یعتبر فی صحّة الإجازة مطابقتها للعقد الواقع عموماً أو</w:t>
      </w:r>
      <w:bookmarkEnd w:id="741"/>
    </w:p>
    <w:p>
      <w:pPr>
        <w:pStyle w:val="BookText"/>
        <w:rPr/>
      </w:pPr>
      <w:r>
        <w:rPr>
          <w:rFonts w:ascii="IRNazanin" w:hAnsi="IRNazanin" w:eastAsia="IRNazanin"/>
          <w:color w:val="111111"/>
          <w:sz w:val="28"/>
          <w:sz w:val="28"/>
          <w:szCs w:val="28"/>
          <w:rtl w:val="true"/>
          <w:lang w:bidi="fa-IR"/>
        </w:rPr>
        <w:t xml:space="preserve">السابع هل یعتبر فی صحّة الإجازة مطابقتها للعقد الواقع عموماً أو </w:t>
      </w:r>
      <w:r>
        <w:rPr>
          <w:rStyle w:val="FootnoteAnchor"/>
          <w:rtl w:val="true"/>
        </w:rPr>
        <w:footnoteReference w:id="2259"/>
      </w:r>
      <w:r>
        <w:rPr>
          <w:rFonts w:ascii="IRNazanin" w:hAnsi="IRNazanin" w:eastAsia="IRNazanin"/>
          <w:color w:val="111111"/>
          <w:sz w:val="28"/>
          <w:sz w:val="28"/>
          <w:szCs w:val="28"/>
          <w:rtl w:val="true"/>
          <w:lang w:bidi="fa-IR"/>
        </w:rPr>
        <w:t>خصوصاً،أم لا؟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التفصیل،فلو أوقع العقد علی صفقة فأجاز المالک بیع بعضها،فالأقوی الجواز کما لو کانت الصفقة بین مالکین فأجاز أحدهما، و ضررُ التبعّض </w:t>
      </w:r>
      <w:r>
        <w:rPr>
          <w:rStyle w:val="FootnoteAnchor"/>
          <w:rtl w:val="true"/>
        </w:rPr>
        <w:footnoteReference w:id="2260"/>
      </w:r>
      <w:r>
        <w:rPr>
          <w:rFonts w:ascii="IRNazanin" w:hAnsi="IRNazanin" w:eastAsia="IRNazanin"/>
          <w:color w:val="111111"/>
          <w:sz w:val="28"/>
          <w:sz w:val="28"/>
          <w:szCs w:val="28"/>
          <w:rtl w:val="true"/>
          <w:lang w:bidi="fa-IR"/>
        </w:rPr>
        <w:t>علی المشتری یجبر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أوقع العقد علی شرط فأجازه المالک مجرّداً عن الشرط، فالأقوی عدم الجواز؛بناءً علی عدم قابلیة العقد للتبعیض من حیث الشرط و إن کان قابلاً للتبعیض من حیث الجزء؛و لذا لا یؤثّر بطلان الجزء بخلاف بطلان الشرط</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انعکس الأمر،بأن عقد الفضولی مجرّداً عن الشرط </w:t>
      </w:r>
      <w:r>
        <w:rPr>
          <w:rStyle w:val="FootnoteAnchor"/>
          <w:rtl w:val="true"/>
        </w:rPr>
        <w:footnoteReference w:id="2261"/>
      </w:r>
      <w:r>
        <w:rPr>
          <w:rFonts w:ascii="IRNazanin" w:hAnsi="IRNazanin" w:eastAsia="IRNazanin"/>
          <w:color w:val="111111"/>
          <w:sz w:val="28"/>
          <w:sz w:val="28"/>
          <w:szCs w:val="28"/>
          <w:rtl w:val="true"/>
          <w:lang w:bidi="fa-IR"/>
        </w:rPr>
        <w:t>و أجاز المالک مشروطاً،ففی صحّة الإجازة مع الشرط إذا رضی به الأصیل فیکون نظیر الشرط الواقع فی ضمن القبول إذا رضی به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بدون الشرط؛لعدم وجوب الوفاء بالشرط إلّا إذا وقع فی حیّز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یجدی وقوعه فی حیّز القبول إلّا إذا تقدّم علی الإیجاب،لیرد الإیجاب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بطلانها؛لأنّه إذا لغی الشرط لغی المشروط؛ لکون المجموع التزاماً واحداً،وجوه،أقواها الأخیر</w:t>
      </w:r>
      <w:r>
        <w:rPr>
          <w:rFonts w:eastAsia="IRNazanin" w:cs="IRNazanin"/>
          <w:color w:val="111111"/>
          <w:sz w:val="28"/>
          <w:szCs w:val="28"/>
          <w:rtl w:val="true"/>
          <w:lang w:bidi="fa-IR"/>
        </w:rPr>
        <w:t>.</w:t>
      </w:r>
      <w:bookmarkStart w:id="742" w:name="pg19763_248177"/>
    </w:p>
    <w:p>
      <w:pPr>
        <w:pStyle w:val="Heading6"/>
        <w:numPr>
          <w:ilvl w:val="5"/>
          <w:numId w:val="1"/>
        </w:numPr>
        <w:rPr/>
      </w:pPr>
      <w:bookmarkStart w:id="743" w:name="__RefHeading___Toc5082988_2314609296"/>
      <w:bookmarkStart w:id="744" w:name="_Toc285"/>
      <w:bookmarkEnd w:id="742"/>
      <w:bookmarkEnd w:id="743"/>
      <w:r>
        <w:rPr>
          <w:rtl w:val="true"/>
        </w:rPr>
        <w:t>و أمّا القول فی المجیز،</w:t>
      </w:r>
      <w:bookmarkEnd w:id="744"/>
    </w:p>
    <w:p>
      <w:pPr>
        <w:pStyle w:val="BookText"/>
        <w:rPr/>
      </w:pPr>
      <w:r>
        <w:rPr>
          <w:rFonts w:ascii="IRNazanin" w:hAnsi="IRNazanin" w:eastAsia="IRNazanin"/>
          <w:color w:val="111111"/>
          <w:sz w:val="28"/>
          <w:sz w:val="28"/>
          <w:szCs w:val="28"/>
          <w:rtl w:val="true"/>
          <w:lang w:bidi="fa-IR"/>
        </w:rPr>
        <w:t>فاستقصاؤه یتمّ ببیان أُمور</w:t>
      </w:r>
      <w:r>
        <w:rPr>
          <w:rFonts w:eastAsia="IRNazanin" w:cs="IRNazanin"/>
          <w:color w:val="111111"/>
          <w:sz w:val="28"/>
          <w:szCs w:val="28"/>
          <w:rtl w:val="true"/>
          <w:lang w:bidi="fa-IR"/>
        </w:rPr>
        <w:t>:</w:t>
      </w:r>
    </w:p>
    <w:p>
      <w:pPr>
        <w:pStyle w:val="Heading6"/>
        <w:numPr>
          <w:ilvl w:val="5"/>
          <w:numId w:val="1"/>
        </w:numPr>
        <w:rPr/>
      </w:pPr>
      <w:bookmarkStart w:id="745" w:name="__RefHeading___Toc5082990_2314609296"/>
      <w:bookmarkStart w:id="746" w:name="_Toc286"/>
      <w:bookmarkEnd w:id="745"/>
      <w:r>
        <w:rPr>
          <w:rtl w:val="true"/>
        </w:rPr>
        <w:t>الأوّل</w:t>
      </w:r>
      <w:r>
        <w:rPr>
          <w:rtl w:val="true"/>
        </w:rPr>
        <w:t xml:space="preserve">: </w:t>
      </w:r>
      <w:r>
        <w:rPr>
          <w:rtl w:val="true"/>
        </w:rPr>
        <w:t>یشترط فی المجیز أن یکون حین الإجازة جائز التصرّف بالبلوغ و العقل و الرشد،</w:t>
      </w:r>
      <w:bookmarkEnd w:id="746"/>
    </w:p>
    <w:p>
      <w:pPr>
        <w:pStyle w:val="BookText"/>
        <w:rPr/>
      </w:pPr>
      <w:r>
        <w:rPr>
          <w:rFonts w:ascii="IRNazanin" w:hAnsi="IRNazanin" w:eastAsia="IRNazanin"/>
          <w:color w:val="111111"/>
          <w:sz w:val="28"/>
          <w:sz w:val="28"/>
          <w:szCs w:val="28"/>
          <w:rtl w:val="true"/>
          <w:lang w:bidi="fa-IR"/>
        </w:rPr>
        <w:t>و لو أجاز المریض بُنی نفوذها علی نفوذ منجّزات المریض،و لا فرق فیما ذکر بین القول بالکشف و النقل</w:t>
      </w:r>
      <w:r>
        <w:rPr>
          <w:rFonts w:eastAsia="IRNazanin" w:cs="IRNazanin"/>
          <w:color w:val="111111"/>
          <w:sz w:val="28"/>
          <w:szCs w:val="28"/>
          <w:rtl w:val="true"/>
          <w:lang w:bidi="fa-IR"/>
        </w:rPr>
        <w:t>.</w:t>
      </w:r>
    </w:p>
    <w:p>
      <w:pPr>
        <w:pStyle w:val="Heading6"/>
        <w:numPr>
          <w:ilvl w:val="5"/>
          <w:numId w:val="1"/>
        </w:numPr>
        <w:rPr/>
      </w:pPr>
      <w:bookmarkStart w:id="747" w:name="__RefHeading___Toc5082992_2314609296"/>
      <w:bookmarkStart w:id="748" w:name="_Toc287"/>
      <w:bookmarkEnd w:id="747"/>
      <w:r>
        <w:rPr>
          <w:rtl w:val="true"/>
        </w:rPr>
        <w:t>الثانی</w:t>
      </w:r>
      <w:r>
        <w:rPr>
          <w:rtl w:val="true"/>
        </w:rPr>
        <w:t xml:space="preserve">: </w:t>
      </w:r>
      <w:r>
        <w:rPr>
          <w:rtl w:val="true"/>
        </w:rPr>
        <w:t>هل یشترط فی صحّة عقد الفضولی وجود مجیزٍ حین العقد،</w:t>
      </w:r>
      <w:bookmarkEnd w:id="748"/>
    </w:p>
    <w:p>
      <w:pPr>
        <w:pStyle w:val="BookText"/>
        <w:rPr/>
      </w:pPr>
      <w:r>
        <w:rPr>
          <w:rFonts w:ascii="IRNazanin" w:hAnsi="IRNazanin" w:eastAsia="IRNazanin"/>
          <w:color w:val="111111"/>
          <w:sz w:val="28"/>
          <w:sz w:val="28"/>
          <w:szCs w:val="28"/>
          <w:rtl w:val="true"/>
          <w:lang w:bidi="fa-IR"/>
        </w:rPr>
        <w:t>فلا یجوز بیع مال الیتیم لغیر مصلحة و لا ینفعه إجازته إذا بلغ أو إجازة ولیّه إذا حدثت المصلحة بعد البیع،أم لا یشترط؟قولان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أوّلهما للعلّامة فی ظاهر القواعد </w:t>
      </w:r>
      <w:r>
        <w:rPr>
          <w:rStyle w:val="FootnoteAnchor"/>
          <w:rtl w:val="true"/>
        </w:rPr>
        <w:footnoteReference w:id="2262"/>
      </w:r>
      <w:r>
        <w:rPr>
          <w:rFonts w:ascii="Amiri" w:hAnsi="Amiri" w:eastAsia="Amiri" w:cs="Amiri"/>
          <w:color w:val="111111"/>
          <w:sz w:val="28"/>
          <w:sz w:val="28"/>
          <w:szCs w:val="28"/>
          <w:rtl w:val="true"/>
          <w:lang w:bidi="ar-SA"/>
        </w:rPr>
        <w:t xml:space="preserve">،و استُدلّ </w:t>
      </w:r>
      <w:r>
        <w:rPr>
          <w:rStyle w:val="FootnoteAnchor"/>
          <w:rtl w:val="true"/>
        </w:rPr>
        <w:footnoteReference w:id="2263"/>
      </w:r>
      <w:r>
        <w:rPr>
          <w:rFonts w:ascii="IRNazanin" w:hAnsi="IRNazanin" w:eastAsia="IRNazanin"/>
          <w:color w:val="111111"/>
          <w:sz w:val="28"/>
          <w:sz w:val="28"/>
          <w:szCs w:val="28"/>
          <w:rtl w:val="true"/>
          <w:lang w:bidi="fa-IR"/>
        </w:rPr>
        <w:t>له بأنّ صحّة العقد و الحال هذه ممتنعة،فإذا امتنع فی زمان امتنع دائماً،و بلزوم الضرر علی المشتری؛لامتناع تصرّفه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عدم الإجازة،و لعدم تحقّق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الثمن؛لإمکان تحقّق الإجازة،فیکون قد خرج عن ملکه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انتقاضه بما إذا کان المجیز بعیداً امتنع الوصول إلیه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ما ذکره </w:t>
      </w:r>
      <w:r>
        <w:rPr>
          <w:rStyle w:val="FootnoteAnchor"/>
          <w:rtl w:val="true"/>
        </w:rPr>
        <w:footnoteReference w:id="2264"/>
      </w:r>
      <w:r>
        <w:rPr>
          <w:rFonts w:ascii="IRNazanin" w:hAnsi="IRNazanin" w:eastAsia="IRNazanin"/>
          <w:color w:val="111111"/>
          <w:sz w:val="28"/>
          <w:sz w:val="28"/>
          <w:szCs w:val="28"/>
          <w:rtl w:val="true"/>
          <w:lang w:bidi="fa-IR"/>
        </w:rPr>
        <w:t xml:space="preserve">من أنّ امتناع صحّة العقد فی زمانٍ یقتضی امتناعه دائماً،سواء قلنا بالنقل أم بالکشف،و أمّا الضرر فیتدارک </w:t>
      </w:r>
      <w:r>
        <w:rPr>
          <w:rStyle w:val="FootnoteAnchor"/>
          <w:rtl w:val="true"/>
        </w:rPr>
        <w:footnoteReference w:id="2265"/>
      </w:r>
      <w:r>
        <w:rPr>
          <w:rFonts w:ascii="IRNazanin" w:hAnsi="IRNazanin" w:eastAsia="IRNazanin"/>
          <w:color w:val="111111"/>
          <w:sz w:val="28"/>
          <w:sz w:val="28"/>
          <w:szCs w:val="28"/>
          <w:rtl w:val="true"/>
          <w:lang w:bidi="fa-IR"/>
        </w:rPr>
        <w:t>بما یتدارک به صورة النقض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کلّه،مضافاً إلی الأخبار الواردة فی تزویج الصغار </w:t>
      </w:r>
      <w:r>
        <w:rPr>
          <w:rStyle w:val="FootnoteAnchor"/>
          <w:rtl w:val="true"/>
        </w:rPr>
        <w:footnoteReference w:id="2266"/>
      </w:r>
      <w:r>
        <w:rPr>
          <w:rFonts w:ascii="Amiri" w:hAnsi="Amiri" w:eastAsia="Amiri" w:cs="Amiri"/>
          <w:color w:val="111111"/>
          <w:sz w:val="28"/>
          <w:sz w:val="28"/>
          <w:szCs w:val="28"/>
          <w:rtl w:val="true"/>
          <w:lang w:bidi="ar-SA"/>
        </w:rPr>
        <w:t xml:space="preserve">فضولاً </w:t>
      </w:r>
      <w:r>
        <w:rPr>
          <w:rStyle w:val="FootnoteAnchor"/>
          <w:rtl w:val="true"/>
        </w:rPr>
        <w:footnoteReference w:id="2267"/>
      </w:r>
      <w:r>
        <w:rPr>
          <w:rFonts w:ascii="IRNazanin" w:hAnsi="IRNazanin" w:eastAsia="IRNazanin"/>
          <w:color w:val="111111"/>
          <w:sz w:val="28"/>
          <w:sz w:val="28"/>
          <w:szCs w:val="28"/>
          <w:rtl w:val="true"/>
          <w:lang w:bidi="fa-IR"/>
        </w:rPr>
        <w:t>الشاملة لصورة وجود ولیّ النکاح و إهماله الإجازة إلی بلوغهم،و صورة عدم وجود الولیّ؛بناءً علی عدم ولایة الحاکم علی الصغیر فی النکاح، و انحصار الولیّ فی الأب و الجدّ و الوصیّ،علی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کان،فالأقوی عدم الاشتراط؛وفاقاً للمحکیّ عن ابن المتوّج البحرانی </w:t>
      </w:r>
      <w:r>
        <w:rPr>
          <w:rStyle w:val="FootnoteAnchor"/>
          <w:rtl w:val="true"/>
        </w:rPr>
        <w:footnoteReference w:id="2268"/>
      </w:r>
      <w:r>
        <w:rPr>
          <w:rFonts w:ascii="IRNazanin" w:hAnsi="IRNazanin" w:eastAsia="IRNazanin"/>
          <w:color w:val="111111"/>
          <w:sz w:val="28"/>
          <w:sz w:val="28"/>
          <w:szCs w:val="28"/>
          <w:rtl w:val="true"/>
          <w:lang w:bidi="fa-IR"/>
        </w:rPr>
        <w:t xml:space="preserve">و الشهید </w:t>
      </w:r>
      <w:r>
        <w:rPr>
          <w:rStyle w:val="FootnoteAnchor"/>
          <w:rtl w:val="true"/>
        </w:rPr>
        <w:footnoteReference w:id="2269"/>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270"/>
      </w:r>
      <w:r>
        <w:rPr>
          <w:rFonts w:ascii="IRNazanin" w:hAnsi="IRNazanin" w:eastAsia="IRNazanin"/>
          <w:color w:val="111111"/>
          <w:sz w:val="28"/>
          <w:sz w:val="28"/>
          <w:szCs w:val="28"/>
          <w:rtl w:val="true"/>
          <w:lang w:bidi="fa-IR"/>
        </w:rPr>
        <w:t xml:space="preserve">و غیرهم </w:t>
      </w:r>
      <w:r>
        <w:rPr>
          <w:rStyle w:val="FootnoteAnchor"/>
          <w:rtl w:val="true"/>
        </w:rPr>
        <w:footnoteReference w:id="2271"/>
      </w:r>
      <w:r>
        <w:rPr>
          <w:rFonts w:ascii="IRNazanin" w:hAnsi="IRNazanin" w:eastAsia="IRNazanin"/>
          <w:color w:val="111111"/>
          <w:sz w:val="28"/>
          <w:sz w:val="28"/>
          <w:szCs w:val="28"/>
          <w:rtl w:val="true"/>
          <w:lang w:bidi="fa-IR"/>
        </w:rPr>
        <w:t>،بل لم یرجّحه غیر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العلّامة فی القواعد مثّل لعدم وجود المجیز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ببیع مال الیتیم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البیضاوی علی ما قیل </w:t>
      </w:r>
      <w:r>
        <w:rPr>
          <w:rStyle w:val="FootnoteAnchor"/>
          <w:rtl w:val="true"/>
        </w:rPr>
        <w:footnoteReference w:id="2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الإیراد</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یتمّ علی مذهب الإمامیة من وجود الإمام علیه السلام فی کلّ 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أجاب بأنّ الإمام غیر متمکّن من الوصول إلیه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انتصر للمورد بأنّ نائب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المجتهد الجامع للشرائط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موجود،بل لو فرض عدم المجتهد فالعدل موجود،بل للفسّاق الولایة علی الطفل فی مصالحه مع عدم العدول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الانتصار فی غیر محلّه؛إذ کما یمکن فرض عدم التمکّن من الإمام یمکن عدم اطلاع نائبه من المجتهد و العدول أیضاً،فإن أُرید وجود ذات المجیز،فالأولی منع تسلیم دفع الاعتراض بعدم </w:t>
      </w:r>
      <w:r>
        <w:rPr>
          <w:rStyle w:val="FootnoteAnchor"/>
          <w:rtl w:val="true"/>
        </w:rPr>
        <w:footnoteReference w:id="2276"/>
      </w:r>
      <w:r>
        <w:rPr>
          <w:rFonts w:ascii="IRNazanin" w:hAnsi="IRNazanin" w:eastAsia="IRNazanin"/>
          <w:color w:val="111111"/>
          <w:sz w:val="28"/>
          <w:sz w:val="28"/>
          <w:szCs w:val="28"/>
          <w:rtl w:val="true"/>
          <w:lang w:bidi="fa-IR"/>
        </w:rPr>
        <w:t>التمکّن من الإمام علیه السلام،و إن أُرید وجوده مع تمکّنه من الإجازة،فیمکن فرض عدمه فی المجتهد و العدول إذا لم یطّلعوا علی العقد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فعله فخر الدین </w:t>
      </w:r>
      <w:r>
        <w:rPr>
          <w:rStyle w:val="FootnoteAnchor"/>
          <w:rtl w:val="true"/>
        </w:rPr>
        <w:footnoteReference w:id="2277"/>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278"/>
      </w:r>
      <w:r>
        <w:rPr>
          <w:rFonts w:ascii="IRNazanin" w:hAnsi="IRNazanin" w:eastAsia="IRNazanin"/>
          <w:color w:val="111111"/>
          <w:sz w:val="28"/>
          <w:sz w:val="28"/>
          <w:szCs w:val="28"/>
          <w:rtl w:val="true"/>
          <w:lang w:bidi="fa-IR"/>
        </w:rPr>
        <w:t xml:space="preserve">من تقیید بیع مال الیتیم بما إذا کان علی خلاف المصلحة،فیرجع الکلام أیضاً إلی اشتراط إمکان فعلیّة الإجازة من المجیز،لا وجود ذات مَن مِن شأنه </w:t>
      </w:r>
      <w:r>
        <w:rPr>
          <w:rStyle w:val="FootnoteAnchor"/>
          <w:rtl w:val="true"/>
        </w:rPr>
        <w:footnoteReference w:id="2279"/>
      </w:r>
      <w:bookmarkStart w:id="749" w:name="pg19763_248180"/>
    </w:p>
    <w:p>
      <w:pPr>
        <w:pStyle w:val="BookText"/>
        <w:rPr/>
      </w:pPr>
      <w:bookmarkEnd w:id="749"/>
      <w:r>
        <w:rPr>
          <w:rFonts w:ascii="IRNazanin" w:hAnsi="IRNazanin" w:eastAsia="IRNazanin"/>
          <w:color w:val="111111"/>
          <w:sz w:val="28"/>
          <w:sz w:val="28"/>
          <w:szCs w:val="28"/>
          <w:rtl w:val="true"/>
          <w:lang w:bidi="fa-IR"/>
        </w:rPr>
        <w:t>الإجازة؛فإنّه فرض غیر واقع فی الأموال</w:t>
      </w:r>
      <w:r>
        <w:rPr>
          <w:rFonts w:eastAsia="IRNazanin" w:cs="IRNazanin"/>
          <w:color w:val="111111"/>
          <w:sz w:val="28"/>
          <w:szCs w:val="28"/>
          <w:rtl w:val="true"/>
          <w:lang w:bidi="fa-IR"/>
        </w:rPr>
        <w:t>.</w:t>
      </w:r>
    </w:p>
    <w:p>
      <w:pPr>
        <w:pStyle w:val="Heading6"/>
        <w:numPr>
          <w:ilvl w:val="5"/>
          <w:numId w:val="1"/>
        </w:numPr>
        <w:rPr/>
      </w:pPr>
      <w:bookmarkStart w:id="750" w:name="__RefHeading___Toc5082994_2314609296"/>
      <w:bookmarkStart w:id="751" w:name="_Toc288"/>
      <w:bookmarkEnd w:id="750"/>
      <w:r>
        <w:rPr>
          <w:rtl w:val="true"/>
        </w:rPr>
        <w:t>الثالث</w:t>
      </w:r>
      <w:r>
        <w:rPr>
          <w:rtl w:val="true"/>
        </w:rPr>
        <w:t xml:space="preserve">: </w:t>
      </w:r>
      <w:r>
        <w:rPr>
          <w:rtl w:val="true"/>
        </w:rPr>
        <w:t>لا یشترط فی المجیز کونه جائز التصرّف حال العقد،</w:t>
      </w:r>
      <w:bookmarkEnd w:id="751"/>
    </w:p>
    <w:p>
      <w:pPr>
        <w:pStyle w:val="BookText"/>
        <w:rPr/>
      </w:pPr>
      <w:r>
        <w:rPr>
          <w:rFonts w:ascii="IRNazanin" w:hAnsi="IRNazanin" w:eastAsia="IRNazanin"/>
          <w:color w:val="111111"/>
          <w:sz w:val="28"/>
          <w:sz w:val="28"/>
          <w:szCs w:val="28"/>
          <w:rtl w:val="true"/>
          <w:lang w:bidi="fa-IR"/>
        </w:rPr>
        <w:t xml:space="preserve">سواء کان عدم جواز </w:t>
      </w:r>
      <w:r>
        <w:rPr>
          <w:rStyle w:val="FootnoteAnchor"/>
          <w:rtl w:val="true"/>
        </w:rPr>
        <w:footnoteReference w:id="2280"/>
      </w:r>
      <w:r>
        <w:rPr>
          <w:rFonts w:ascii="IRNazanin" w:hAnsi="IRNazanin" w:eastAsia="IRNazanin"/>
          <w:color w:val="111111"/>
          <w:sz w:val="28"/>
          <w:sz w:val="28"/>
          <w:szCs w:val="28"/>
          <w:rtl w:val="true"/>
          <w:lang w:bidi="fa-IR"/>
        </w:rPr>
        <w:t>التصرّف لأجل عدم المقتضی أو للمانع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المقتضی قد یکون لأجل عدم کونه مالکاً و لا مأذوناً حال العقد،و قد یکون لأجل کونه محجوراً علیه لِسَفهٍ أو جُنون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المانع کما لو باع الراهن بدون إذن المرتهن ثمّ فکّ الرهن</w:t>
      </w:r>
      <w:r>
        <w:rPr>
          <w:rFonts w:eastAsia="IRNazanin" w:cs="IRNazanin"/>
          <w:color w:val="111111"/>
          <w:sz w:val="28"/>
          <w:szCs w:val="28"/>
          <w:rtl w:val="true"/>
          <w:lang w:bidi="fa-IR"/>
        </w:rPr>
        <w:t>.</w:t>
      </w:r>
    </w:p>
    <w:p>
      <w:pPr>
        <w:pStyle w:val="Heading6"/>
        <w:numPr>
          <w:ilvl w:val="5"/>
          <w:numId w:val="1"/>
        </w:numPr>
        <w:rPr/>
      </w:pPr>
      <w:bookmarkStart w:id="752" w:name="__RefHeading___Toc5082996_2314609296"/>
      <w:bookmarkStart w:id="753" w:name="_Toc289"/>
      <w:bookmarkEnd w:id="752"/>
      <w:r>
        <w:rPr>
          <w:rtl w:val="true"/>
        </w:rPr>
        <w:t>فالکلام یقع فی مسائل</w:t>
      </w:r>
      <w:r>
        <w:rPr>
          <w:rtl w:val="true"/>
        </w:rPr>
        <w:t>:</w:t>
      </w:r>
      <w:bookmarkEnd w:id="753"/>
    </w:p>
    <w:p>
      <w:pPr>
        <w:pStyle w:val="Heading6"/>
        <w:numPr>
          <w:ilvl w:val="5"/>
          <w:numId w:val="1"/>
        </w:numPr>
        <w:rPr/>
      </w:pPr>
      <w:bookmarkStart w:id="754" w:name="__RefHeading___Toc5082998_2314609296"/>
      <w:bookmarkStart w:id="755" w:name="_Toc290"/>
      <w:bookmarkEnd w:id="754"/>
      <w:r>
        <w:rPr>
          <w:rtl w:val="true"/>
        </w:rPr>
        <w:t>المسألة الاُولی أن یکون المالک حال العقد هو المالک حال الإجازة،</w:t>
      </w:r>
      <w:bookmarkEnd w:id="755"/>
    </w:p>
    <w:p>
      <w:pPr>
        <w:pStyle w:val="BookText"/>
        <w:rPr/>
      </w:pPr>
      <w:r>
        <w:rPr>
          <w:rFonts w:ascii="IRNazanin" w:hAnsi="IRNazanin" w:eastAsia="IRNazanin"/>
          <w:color w:val="111111"/>
          <w:sz w:val="28"/>
          <w:sz w:val="28"/>
          <w:szCs w:val="28"/>
          <w:rtl w:val="true"/>
          <w:lang w:bidi="fa-IR"/>
        </w:rPr>
        <w:t xml:space="preserve">لکن المجیز لم یکن حال العقد جائز التصرّف لحجر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w:t>
      </w:r>
      <w:r>
        <w:rPr>
          <w:rStyle w:val="FootnoteAnchor"/>
          <w:rtl w:val="true"/>
        </w:rPr>
        <w:footnoteReference w:id="2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الإجازة،بل عدم الحاجة إلیها إذا کان عدم جواز التصرّف لتعلّق حقّ الغیر،کما لو باع الراهن ففکّ الرهن قبل مراجعة المرتهن،فإنّه لا حاجة إلی الإجازة کما صرّح به فی التذکرة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bookmarkStart w:id="756" w:name="pg19763_248181"/>
    </w:p>
    <w:p>
      <w:pPr>
        <w:pStyle w:val="BookText"/>
        <w:rPr/>
      </w:pPr>
      <w:bookmarkEnd w:id="756"/>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7" w:name="__RefHeading___Toc5083000_2314609296"/>
      <w:bookmarkStart w:id="758" w:name="_Toc291"/>
      <w:bookmarkEnd w:id="757"/>
      <w:r>
        <w:rPr>
          <w:rtl w:val="true"/>
        </w:rPr>
        <w:t>المسألة</w:t>
      </w:r>
      <w:r>
        <w:rPr>
          <w:rtl w:val="true"/>
        </w:rPr>
        <w:t>]</w:t>
      </w:r>
      <w:r>
        <w:rPr>
          <w:rtl w:val="true"/>
        </w:rPr>
        <w:t>الثانیة أن یتجدّد الملک بعد العقد فیجیز المالک الجدید سواء کان هو البائع أو غیره</w:t>
      </w:r>
      <w:r>
        <w:rPr>
          <w:rtl w:val="true"/>
        </w:rPr>
        <w:t>.</w:t>
      </w:r>
      <w:bookmarkEnd w:id="758"/>
    </w:p>
    <w:p>
      <w:pPr>
        <w:pStyle w:val="BookText"/>
        <w:rPr/>
      </w:pPr>
      <w:r>
        <w:rPr>
          <w:rFonts w:ascii="IRNazanin" w:hAnsi="IRNazanin" w:eastAsia="IRNazanin"/>
          <w:color w:val="111111"/>
          <w:sz w:val="28"/>
          <w:sz w:val="28"/>
          <w:szCs w:val="28"/>
          <w:rtl w:val="true"/>
          <w:lang w:bidi="fa-IR"/>
        </w:rPr>
        <w:t xml:space="preserve">لکنّ عنوان المسألة فی کلمات </w:t>
      </w:r>
      <w:r>
        <w:rPr>
          <w:rStyle w:val="FootnoteAnchor"/>
          <w:rtl w:val="true"/>
        </w:rPr>
        <w:footnoteReference w:id="2284"/>
      </w:r>
      <w:r>
        <w:rPr>
          <w:rFonts w:ascii="IRNazanin" w:hAnsi="IRNazanin" w:eastAsia="IRNazanin"/>
          <w:color w:val="111111"/>
          <w:sz w:val="28"/>
          <w:sz w:val="28"/>
          <w:szCs w:val="28"/>
          <w:rtl w:val="true"/>
          <w:lang w:bidi="fa-IR"/>
        </w:rPr>
        <w:t xml:space="preserve">القوم هو الأوّل،و هو ما لو باع شیئاً ثمّ ملکه </w:t>
      </w:r>
      <w:r>
        <w:rPr>
          <w:rStyle w:val="FootnoteAnchor"/>
          <w:rtl w:val="true"/>
        </w:rPr>
        <w:footnoteReference w:id="2285"/>
      </w:r>
      <w:r>
        <w:rPr>
          <w:rFonts w:ascii="IRNazanin" w:hAnsi="IRNazanin" w:eastAsia="IRNazanin"/>
          <w:color w:val="111111"/>
          <w:sz w:val="28"/>
          <w:sz w:val="28"/>
          <w:szCs w:val="28"/>
          <w:rtl w:val="true"/>
          <w:lang w:bidi="fa-IR"/>
        </w:rPr>
        <w:t xml:space="preserve">،و هذه تتصوّر علی صور؛لأنّ غیر المالک إمّا أن یبیع لنفسه أو للمالک </w:t>
      </w:r>
      <w:r>
        <w:rPr>
          <w:rStyle w:val="FootnoteAnchor"/>
          <w:rtl w:val="true"/>
        </w:rPr>
        <w:footnoteReference w:id="2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إمّا أن ینتقل إلیه باختیاره کالشراء،أو بغیر اختیاره کالإرث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البائع الذی یشتری الملک إمّا أن یجیز العقد الأوّل و إمّا أن لا یجیزه،فیقع الکلام فی وقوعه للمشتری الأوّل بمجرّد شراء البائع له</w:t>
      </w:r>
      <w:r>
        <w:rPr>
          <w:rFonts w:eastAsia="IRNazanin" w:cs="IRNazanin"/>
          <w:color w:val="111111"/>
          <w:sz w:val="28"/>
          <w:szCs w:val="28"/>
          <w:rtl w:val="true"/>
          <w:lang w:bidi="fa-IR"/>
        </w:rPr>
        <w:t>.</w:t>
      </w:r>
    </w:p>
    <w:p>
      <w:pPr>
        <w:pStyle w:val="Heading6"/>
        <w:numPr>
          <w:ilvl w:val="5"/>
          <w:numId w:val="1"/>
        </w:numPr>
        <w:rPr/>
      </w:pPr>
      <w:bookmarkStart w:id="759" w:name="__RefHeading___Toc5083002_2314609296"/>
      <w:bookmarkStart w:id="760" w:name="_Toc292"/>
      <w:bookmarkEnd w:id="759"/>
      <w:r>
        <w:rPr>
          <w:rtl w:val="true"/>
        </w:rPr>
        <w:t>[</w:t>
      </w:r>
      <w:r>
        <w:rPr>
          <w:rtl w:val="true"/>
        </w:rPr>
        <w:t>لو باع لنفسه ثم اشتراه و أجاز</w:t>
      </w:r>
      <w:r>
        <w:rPr>
          <w:rtl w:val="true"/>
        </w:rPr>
        <w:t>]</w:t>
      </w:r>
      <w:bookmarkEnd w:id="760"/>
    </w:p>
    <w:p>
      <w:pPr>
        <w:pStyle w:val="BookText"/>
        <w:rPr/>
      </w:pPr>
      <w:r>
        <w:rPr>
          <w:rFonts w:ascii="IRNazanin" w:hAnsi="IRNazanin" w:eastAsia="IRNazanin"/>
          <w:color w:val="111111"/>
          <w:sz w:val="28"/>
          <w:sz w:val="28"/>
          <w:szCs w:val="28"/>
          <w:rtl w:val="true"/>
          <w:lang w:bidi="fa-IR"/>
        </w:rPr>
        <w:t xml:space="preserve">و المهمّ هنا التعرّض لبیان ما لو باع لنفسه ثمّ اشتراه من المالک و أجاز،و ما لو باع و اشتری و لم یجز؛إذ یعلم </w:t>
      </w:r>
      <w:r>
        <w:rPr>
          <w:rStyle w:val="FootnoteAnchor"/>
          <w:rtl w:val="true"/>
        </w:rPr>
        <w:footnoteReference w:id="2287"/>
      </w:r>
      <w:r>
        <w:rPr>
          <w:rFonts w:ascii="IRNazanin" w:hAnsi="IRNazanin" w:eastAsia="IRNazanin"/>
          <w:color w:val="111111"/>
          <w:sz w:val="28"/>
          <w:sz w:val="28"/>
          <w:szCs w:val="28"/>
          <w:rtl w:val="true"/>
          <w:lang w:bidi="fa-IR"/>
        </w:rPr>
        <w:t>حکم غیرهما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المسألة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اختلفوا فیها،فظاهر المحقّق فی باب الزکاة من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إذا باع المالک النصاب </w:t>
      </w:r>
      <w:r>
        <w:rPr>
          <w:rStyle w:val="FootnoteAnchor"/>
          <w:rtl w:val="true"/>
        </w:rPr>
        <w:footnoteReference w:id="2288"/>
      </w:r>
      <w:r>
        <w:rPr>
          <w:rFonts w:ascii="IRNazanin" w:hAnsi="IRNazanin" w:eastAsia="IRNazanin"/>
          <w:color w:val="111111"/>
          <w:sz w:val="28"/>
          <w:sz w:val="28"/>
          <w:szCs w:val="28"/>
          <w:rtl w:val="true"/>
          <w:lang w:bidi="fa-IR"/>
        </w:rPr>
        <w:t>قبل إخراج الزکاة أو رهنه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صحّ </w:t>
      </w:r>
      <w:r>
        <w:rPr>
          <w:rStyle w:val="FootnoteAnchor"/>
          <w:rtl w:val="true"/>
        </w:rPr>
        <w:footnoteReference w:id="2289"/>
      </w:r>
      <w:r>
        <w:rPr>
          <w:rFonts w:ascii="IRNazanin" w:hAnsi="IRNazanin" w:eastAsia="IRNazanin"/>
          <w:color w:val="111111"/>
          <w:sz w:val="28"/>
          <w:sz w:val="28"/>
          <w:szCs w:val="28"/>
          <w:rtl w:val="true"/>
          <w:lang w:bidi="fa-IR"/>
        </w:rPr>
        <w:t>البیع و الرهن فیما عدا الزکاة،فإن اغترم حصّة الفقراء قال</w:t>
      </w:r>
    </w:p>
    <w:p>
      <w:pPr>
        <w:pStyle w:val="BookText"/>
        <w:rPr/>
      </w:pPr>
      <w:r>
        <w:rPr>
          <w:rFonts w:ascii="IRNazanin" w:hAnsi="IRNazanin" w:eastAsia="IRNazanin"/>
          <w:color w:val="111111"/>
          <w:sz w:val="28"/>
          <w:sz w:val="28"/>
          <w:szCs w:val="28"/>
          <w:rtl w:val="true"/>
          <w:lang w:bidi="fa-IR"/>
        </w:rPr>
        <w:t>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البیع و الرهن </w:t>
      </w:r>
      <w:r>
        <w:rPr>
          <w:rStyle w:val="FootnoteAnchor"/>
          <w:rtl w:val="true"/>
        </w:rPr>
        <w:footnoteReference w:id="2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إشکال؛لأنّ العین مملوکة </w:t>
      </w:r>
      <w:r>
        <w:rPr>
          <w:rStyle w:val="FootnoteAnchor"/>
          <w:rtl w:val="true"/>
        </w:rPr>
        <w:footnoteReference w:id="2291"/>
      </w:r>
      <w:r>
        <w:rPr>
          <w:rFonts w:ascii="IRNazanin" w:hAnsi="IRNazanin" w:eastAsia="IRNazanin"/>
          <w:color w:val="111111"/>
          <w:sz w:val="28"/>
          <w:sz w:val="28"/>
          <w:szCs w:val="28"/>
          <w:rtl w:val="true"/>
          <w:lang w:bidi="fa-IR"/>
        </w:rPr>
        <w:t xml:space="preserve">، و إذا أدّی العوض مَلکها ملکاً مستأنفاً،فافتقر بیعها إلی إجازة مستأنفة، کما لو باع مال غیره ثمّ اشتراه </w:t>
      </w:r>
      <w:r>
        <w:rPr>
          <w:rStyle w:val="FootnoteAnchor"/>
          <w:rtl w:val="true"/>
        </w:rPr>
        <w:footnoteReference w:id="22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یظهر ممّا حکاه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الحاجة إلی الإجازة،إلّا أن یقول الشیخ بتعلّق الزکاة بالعین کتعلّق </w:t>
      </w:r>
      <w:r>
        <w:rPr>
          <w:rStyle w:val="FootnoteAnchor"/>
          <w:rtl w:val="true"/>
        </w:rPr>
        <w:footnoteReference w:id="2293"/>
      </w:r>
      <w:r>
        <w:rPr>
          <w:rFonts w:ascii="IRNazanin" w:hAnsi="IRNazanin" w:eastAsia="IRNazanin"/>
          <w:color w:val="111111"/>
          <w:sz w:val="28"/>
          <w:sz w:val="28"/>
          <w:szCs w:val="28"/>
          <w:rtl w:val="true"/>
          <w:lang w:bidi="fa-IR"/>
        </w:rPr>
        <w:t>الدین بالرهن،فإنّ الراهن إذا باع ففکّ الرهن قبل مراجعة المرتهن لزم و لم یحتج إلی إجازة مستأنفة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القول صرّح الشهید رحمه اللّه فی الدروس </w:t>
      </w:r>
      <w:r>
        <w:rPr>
          <w:rStyle w:val="FootnoteAnchor"/>
          <w:rtl w:val="true"/>
        </w:rPr>
        <w:footnoteReference w:id="2294"/>
      </w:r>
      <w:r>
        <w:rPr>
          <w:rFonts w:ascii="IRNazanin" w:hAnsi="IRNazanin" w:eastAsia="IRNazanin"/>
          <w:color w:val="111111"/>
          <w:sz w:val="28"/>
          <w:sz w:val="28"/>
          <w:szCs w:val="28"/>
          <w:rtl w:val="true"/>
          <w:lang w:bidi="fa-IR"/>
        </w:rPr>
        <w:t xml:space="preserve">،و هو ظاهر المحکیّ عن الصیمری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المحکیّ عن المحقّق الثانی فی تعلیق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البطلان </w:t>
      </w:r>
      <w:r>
        <w:rPr>
          <w:rStyle w:val="FootnoteAnchor"/>
          <w:rtl w:val="true"/>
        </w:rPr>
        <w:footnoteReference w:id="2296"/>
      </w:r>
      <w:r>
        <w:rPr>
          <w:rFonts w:ascii="IRNazanin" w:hAnsi="IRNazanin" w:eastAsia="IRNazanin"/>
          <w:color w:val="111111"/>
          <w:sz w:val="28"/>
          <w:sz w:val="28"/>
          <w:szCs w:val="28"/>
          <w:rtl w:val="true"/>
          <w:lang w:bidi="fa-IR"/>
        </w:rPr>
        <w:t xml:space="preserve">،و مال إلیه بعض المعاصرین </w:t>
      </w:r>
      <w:r>
        <w:rPr>
          <w:rStyle w:val="FootnoteAnchor"/>
          <w:rtl w:val="true"/>
        </w:rPr>
        <w:footnoteReference w:id="2297"/>
      </w:r>
      <w:r>
        <w:rPr>
          <w:rFonts w:ascii="IRNazanin" w:hAnsi="IRNazanin" w:eastAsia="IRNazanin"/>
          <w:color w:val="111111"/>
          <w:sz w:val="28"/>
          <w:sz w:val="28"/>
          <w:szCs w:val="28"/>
          <w:rtl w:val="true"/>
          <w:lang w:bidi="fa-IR"/>
        </w:rPr>
        <w:t xml:space="preserve">،تبعاً لبعض معاصریه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bookmarkStart w:id="761" w:name="pg19763_248183"/>
    </w:p>
    <w:p>
      <w:pPr>
        <w:pStyle w:val="Heading6"/>
        <w:numPr>
          <w:ilvl w:val="5"/>
          <w:numId w:val="1"/>
        </w:numPr>
        <w:rPr/>
      </w:pPr>
      <w:bookmarkStart w:id="762" w:name="__RefHeading___Toc5083004_2314609296"/>
      <w:bookmarkStart w:id="763" w:name="_Toc293"/>
      <w:bookmarkEnd w:id="761"/>
      <w:bookmarkEnd w:id="762"/>
      <w:r>
        <w:rPr>
          <w:rtl w:val="true"/>
        </w:rPr>
        <w:t>[</w:t>
      </w:r>
      <w:r>
        <w:rPr>
          <w:rtl w:val="true"/>
        </w:rPr>
        <w:t>الأقوی الصحة</w:t>
      </w:r>
      <w:r>
        <w:rPr>
          <w:rtl w:val="true"/>
        </w:rPr>
        <w:t>]</w:t>
      </w:r>
      <w:bookmarkEnd w:id="763"/>
    </w:p>
    <w:p>
      <w:pPr>
        <w:pStyle w:val="BookText"/>
        <w:rPr/>
      </w:pPr>
      <w:r>
        <w:rPr>
          <w:rFonts w:ascii="IRNazanin" w:hAnsi="IRNazanin" w:eastAsia="IRNazanin"/>
          <w:color w:val="111111"/>
          <w:sz w:val="28"/>
          <w:sz w:val="28"/>
          <w:szCs w:val="28"/>
          <w:rtl w:val="true"/>
          <w:lang w:bidi="fa-IR"/>
        </w:rPr>
        <w:t xml:space="preserve">و الأقوی هو الأوّل؛للأصل و العمومات السلیمة عمّا یرد علیه </w:t>
      </w:r>
      <w:r>
        <w:rPr>
          <w:rStyle w:val="FootnoteAnchor"/>
          <w:rtl w:val="true"/>
        </w:rPr>
        <w:footnoteReference w:id="2299"/>
      </w:r>
      <w:r>
        <w:rPr>
          <w:rFonts w:ascii="IRNazanin" w:hAnsi="IRNazanin" w:eastAsia="IRNazanin"/>
          <w:color w:val="111111"/>
          <w:sz w:val="28"/>
          <w:sz w:val="28"/>
          <w:szCs w:val="28"/>
          <w:rtl w:val="true"/>
          <w:lang w:bidi="fa-IR"/>
        </w:rPr>
        <w:t>،</w:t>
      </w:r>
    </w:p>
    <w:p>
      <w:pPr>
        <w:pStyle w:val="Heading6"/>
        <w:numPr>
          <w:ilvl w:val="5"/>
          <w:numId w:val="1"/>
        </w:numPr>
        <w:rPr/>
      </w:pPr>
      <w:bookmarkStart w:id="764" w:name="__RefHeading___Toc5083006_2314609296"/>
      <w:bookmarkStart w:id="765" w:name="_Toc294"/>
      <w:bookmarkEnd w:id="764"/>
      <w:r>
        <w:rPr>
          <w:rtl w:val="true"/>
        </w:rPr>
        <w:t>[</w:t>
      </w:r>
      <w:r>
        <w:rPr>
          <w:rtl w:val="true"/>
        </w:rPr>
        <w:t>ما أورده المحقق التستری علی الصحة و الجواب عنه</w:t>
      </w:r>
      <w:r>
        <w:rPr>
          <w:rtl w:val="true"/>
        </w:rPr>
        <w:t>]</w:t>
      </w:r>
      <w:bookmarkEnd w:id="765"/>
    </w:p>
    <w:p>
      <w:pPr>
        <w:pStyle w:val="BookText"/>
        <w:rPr/>
      </w:pPr>
      <w:r>
        <w:rPr>
          <w:rFonts w:ascii="IRNazanin" w:hAnsi="IRNazanin" w:eastAsia="IRNazanin"/>
          <w:color w:val="111111"/>
          <w:sz w:val="28"/>
          <w:sz w:val="28"/>
          <w:szCs w:val="28"/>
          <w:rtl w:val="true"/>
          <w:lang w:bidi="fa-IR"/>
        </w:rPr>
        <w:t xml:space="preserve">ما عدا أُمور لفّقها بعض من قارب عصرنا </w:t>
      </w:r>
      <w:r>
        <w:rPr>
          <w:rStyle w:val="FootnoteAnchor"/>
          <w:rtl w:val="true"/>
        </w:rPr>
        <w:footnoteReference w:id="2300"/>
      </w:r>
      <w:r>
        <w:rPr>
          <w:rFonts w:ascii="IRNazanin" w:hAnsi="IRNazanin" w:eastAsia="IRNazanin"/>
          <w:color w:val="111111"/>
          <w:sz w:val="28"/>
          <w:sz w:val="28"/>
          <w:szCs w:val="28"/>
          <w:rtl w:val="true"/>
          <w:lang w:bidi="fa-IR"/>
        </w:rPr>
        <w:t xml:space="preserve">ممّا یرجع أکثرها إلی ما ذکر فی الإیضاح </w:t>
      </w:r>
      <w:r>
        <w:rPr>
          <w:rStyle w:val="FootnoteAnchor"/>
          <w:rtl w:val="true"/>
        </w:rPr>
        <w:footnoteReference w:id="2301"/>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6" w:name="__RefHeading___Toc5083008_2314609296"/>
      <w:bookmarkStart w:id="767" w:name="_Toc295"/>
      <w:bookmarkEnd w:id="766"/>
      <w:r>
        <w:rPr>
          <w:rtl w:val="true"/>
        </w:rPr>
        <w:t>الأوّل</w:t>
      </w:r>
      <w:r>
        <w:rPr>
          <w:rtl w:val="true"/>
        </w:rPr>
        <w:t xml:space="preserve">: </w:t>
      </w:r>
      <w:r>
        <w:rPr>
          <w:rtl w:val="true"/>
        </w:rPr>
        <w:t>أنّه</w:t>
      </w:r>
      <w:bookmarkEnd w:id="76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2303"/>
      </w:r>
      <w:r>
        <w:rPr>
          <w:rFonts w:ascii="IRNazanin" w:hAnsi="IRNazanin" w:eastAsia="IRNazanin"/>
          <w:color w:val="111111"/>
          <w:sz w:val="28"/>
          <w:sz w:val="28"/>
          <w:szCs w:val="28"/>
          <w:rtl w:val="true"/>
          <w:lang w:bidi="fa-IR"/>
        </w:rPr>
        <w:t>باع مال الغیر لنفسه،</w:t>
      </w:r>
    </w:p>
    <w:p>
      <w:pPr>
        <w:pStyle w:val="BookText"/>
        <w:rPr/>
      </w:pPr>
      <w:r>
        <w:rPr>
          <w:rFonts w:ascii="IRNazanin" w:hAnsi="IRNazanin" w:eastAsia="IRNazanin"/>
          <w:color w:val="111111"/>
          <w:sz w:val="28"/>
          <w:sz w:val="28"/>
          <w:szCs w:val="28"/>
          <w:rtl w:val="true"/>
          <w:lang w:bidi="fa-IR"/>
        </w:rPr>
        <w:t>و قد مرّ الإشکال فیه،و ربما لا یجری فیه بعض ما ذکر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سبق أنّ الأقوی صحّته،و ربما یسلم هنا عن بعض الإشکالات الجاریة هناک مثل مخالفة الإجازة لما قصده المتعاقدان</w:t>
      </w:r>
      <w:r>
        <w:rPr>
          <w:rFonts w:eastAsia="IRNazanin" w:cs="IRNazanin"/>
          <w:color w:val="111111"/>
          <w:sz w:val="28"/>
          <w:szCs w:val="28"/>
          <w:rtl w:val="true"/>
          <w:lang w:bidi="fa-IR"/>
        </w:rPr>
        <w:t>.</w:t>
      </w:r>
    </w:p>
    <w:p>
      <w:pPr>
        <w:pStyle w:val="Heading6"/>
        <w:numPr>
          <w:ilvl w:val="5"/>
          <w:numId w:val="1"/>
        </w:numPr>
        <w:rPr/>
      </w:pPr>
      <w:bookmarkStart w:id="768" w:name="__RefHeading___Toc5083010_2314609296"/>
      <w:bookmarkStart w:id="769" w:name="_Toc296"/>
      <w:bookmarkEnd w:id="768"/>
      <w:r>
        <w:rPr>
          <w:rtl w:val="true"/>
        </w:rPr>
        <w:t>الثانی</w:t>
      </w:r>
      <w:r>
        <w:rPr>
          <w:rtl w:val="true"/>
        </w:rPr>
        <w:t xml:space="preserve">: </w:t>
      </w:r>
      <w:r>
        <w:rPr>
          <w:rtl w:val="true"/>
        </w:rPr>
        <w:t>إنّا حیث جوّزنا بیع غیر المملوک مع انتفاء الملک و رضا المالک و القدرة علی التسلیم اکتفینا بحصول ذلک للمالک المجیز؛</w:t>
      </w:r>
      <w:bookmarkEnd w:id="769"/>
    </w:p>
    <w:p>
      <w:pPr>
        <w:pStyle w:val="BookText"/>
        <w:rPr/>
      </w:pPr>
      <w:r>
        <w:rPr>
          <w:rFonts w:ascii="IRNazanin" w:hAnsi="IRNazanin" w:eastAsia="IRNazanin"/>
          <w:color w:val="111111"/>
          <w:sz w:val="28"/>
          <w:sz w:val="28"/>
          <w:szCs w:val="28"/>
          <w:rtl w:val="true"/>
          <w:lang w:bidi="fa-IR"/>
        </w:rPr>
        <w:t>لأنّه البائع حقیقة،و الفرض هنا عدم إجازته،و عدم وقوع البیع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الثابت هو اعتبار رضا من هو المالک حال الرضا، سواء ملک حال العقد أم لا؛لأنّ الداعی علی اعتبار الرضا سلطنة الناس علی أموالهم و عدم حلّها لغیر ملّاکها بغیر طیب أنفسهم و قبح التصرّف فیها بغیر رضاهم،و هذا المعنی لا یقتضی أزید ممّا ذکرنا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القدرة علی التسلیم فلا نضایق من اعتبارها فی المالک حین العقد،</w:t>
      </w:r>
      <w:bookmarkStart w:id="770" w:name="pg19763_248184"/>
    </w:p>
    <w:p>
      <w:pPr>
        <w:pStyle w:val="BookText"/>
        <w:rPr/>
      </w:pPr>
      <w:bookmarkEnd w:id="770"/>
      <w:r>
        <w:rPr>
          <w:rFonts w:ascii="IRNazanin" w:hAnsi="IRNazanin" w:eastAsia="IRNazanin"/>
          <w:color w:val="111111"/>
          <w:sz w:val="28"/>
          <w:sz w:val="28"/>
          <w:szCs w:val="28"/>
          <w:rtl w:val="true"/>
          <w:lang w:bidi="fa-IR"/>
        </w:rPr>
        <w:t xml:space="preserve">و لا یکتفیٰ بحصولها </w:t>
      </w:r>
      <w:r>
        <w:rPr>
          <w:rStyle w:val="FootnoteAnchor"/>
          <w:rtl w:val="true"/>
        </w:rPr>
        <w:footnoteReference w:id="2304"/>
      </w:r>
      <w:r>
        <w:rPr>
          <w:rFonts w:ascii="IRNazanin" w:hAnsi="IRNazanin" w:eastAsia="IRNazanin"/>
          <w:color w:val="111111"/>
          <w:sz w:val="28"/>
          <w:sz w:val="28"/>
          <w:szCs w:val="28"/>
          <w:rtl w:val="true"/>
          <w:lang w:bidi="fa-IR"/>
        </w:rPr>
        <w:t>فیمن هو مالک حین الإجازة،و هذا کلام آخر لا یقدح التزامه فی صحّة البیع المذکور؛لأنّ الکلام بعد استجماعه للشروط المفروغ عنها</w:t>
      </w:r>
      <w:r>
        <w:rPr>
          <w:rFonts w:eastAsia="IRNazanin" w:cs="IRNazanin"/>
          <w:color w:val="111111"/>
          <w:sz w:val="28"/>
          <w:szCs w:val="28"/>
          <w:rtl w:val="true"/>
          <w:lang w:bidi="fa-IR"/>
        </w:rPr>
        <w:t>.</w:t>
      </w:r>
    </w:p>
    <w:p>
      <w:pPr>
        <w:pStyle w:val="Heading6"/>
        <w:numPr>
          <w:ilvl w:val="5"/>
          <w:numId w:val="1"/>
        </w:numPr>
        <w:rPr/>
      </w:pPr>
      <w:bookmarkStart w:id="771" w:name="__RefHeading___Toc5083012_2314609296"/>
      <w:bookmarkStart w:id="772" w:name="_Toc297"/>
      <w:bookmarkEnd w:id="771"/>
      <w:r>
        <w:rPr>
          <w:rtl w:val="true"/>
        </w:rPr>
        <w:t>الثالث</w:t>
      </w:r>
      <w:r>
        <w:rPr>
          <w:rtl w:val="true"/>
        </w:rPr>
        <w:t xml:space="preserve">: </w:t>
      </w:r>
      <w:r>
        <w:rPr>
          <w:rtl w:val="true"/>
        </w:rPr>
        <w:t>أنّ الإجازة حیث صحّت کاشفة</w:t>
      </w:r>
      <w:r>
        <w:rPr>
          <w:rtl w:val="true"/>
        </w:rPr>
        <w:t>-</w:t>
      </w:r>
      <w:r>
        <w:rPr>
          <w:rtl w:val="true"/>
        </w:rPr>
        <w:t>علی الأصحّ</w:t>
      </w:r>
      <w:r>
        <w:rPr>
          <w:rtl w:val="true"/>
        </w:rPr>
        <w:t>-</w:t>
      </w:r>
      <w:r>
        <w:rPr>
          <w:rtl w:val="true"/>
        </w:rPr>
        <w:t>مطلقاً؛</w:t>
      </w:r>
      <w:bookmarkEnd w:id="772"/>
    </w:p>
    <w:p>
      <w:pPr>
        <w:pStyle w:val="BookText"/>
        <w:rPr/>
      </w:pPr>
      <w:r>
        <w:rPr>
          <w:rFonts w:ascii="IRNazanin" w:hAnsi="IRNazanin" w:eastAsia="IRNazanin"/>
          <w:color w:val="111111"/>
          <w:sz w:val="28"/>
          <w:sz w:val="28"/>
          <w:szCs w:val="28"/>
          <w:rtl w:val="true"/>
          <w:lang w:bidi="fa-IR"/>
        </w:rPr>
        <w:t xml:space="preserve">لعموم الدلیل الدالّ علیه،و یلزم حینئذٍ خروج المال عن ملک البائع قبل دخوله فیه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کون الإجازة کاشفة مطلقاً عن خروج الملک عن ملک المجیز من حین العقد حتّی فیما لو کان المجیز غیر مالک حین العقد،فإنّ مقدار کشف الإجازة تابع لصحّة البیع،فإذا ثبت بمقتضی العمومات أنّ العقد الذی أوقعه البائع لنفسه </w:t>
      </w:r>
      <w:r>
        <w:rPr>
          <w:rStyle w:val="FootnoteAnchor"/>
          <w:rtl w:val="true"/>
        </w:rPr>
        <w:footnoteReference w:id="2306"/>
      </w:r>
      <w:r>
        <w:rPr>
          <w:rFonts w:ascii="IRNazanin" w:hAnsi="IRNazanin" w:eastAsia="IRNazanin"/>
          <w:color w:val="111111"/>
          <w:sz w:val="28"/>
          <w:sz w:val="28"/>
          <w:szCs w:val="28"/>
          <w:rtl w:val="true"/>
          <w:lang w:bidi="fa-IR"/>
        </w:rPr>
        <w:t xml:space="preserve">عقد صدر من أهل العقد فی المحلّ القابل للعقد علیه،و لا مانع من وقوعه إلّا عدم رضا مالکه،فکما أنّ مالکه الأوّل إذا رضی یقع البیع له،فکذلک مالکه الثانی إذا رضی یقع البیع له </w:t>
      </w:r>
      <w:r>
        <w:rPr>
          <w:rStyle w:val="FootnoteAnchor"/>
          <w:rtl w:val="true"/>
        </w:rPr>
        <w:footnoteReference w:id="2307"/>
      </w:r>
      <w:r>
        <w:rPr>
          <w:rFonts w:ascii="IRNazanin" w:hAnsi="IRNazanin" w:eastAsia="IRNazanin"/>
          <w:color w:val="111111"/>
          <w:sz w:val="28"/>
          <w:sz w:val="28"/>
          <w:szCs w:val="28"/>
          <w:rtl w:val="true"/>
          <w:lang w:bidi="fa-IR"/>
        </w:rPr>
        <w:t>،و لا دلیل علی اعتبار کون الرضا المتأخّر ممّن هو مالک حال العقد،و حینئذٍ فإذا ثبت صحّته بالدلیل فلا محیص عن القول بأنّ الإجازة کاشفة عن خروج المال عن ملک المجیز فی أوّل أزمنة قابلیّته؛</w:t>
      </w:r>
      <w:bookmarkStart w:id="773" w:name="pg19763_248185"/>
    </w:p>
    <w:p>
      <w:pPr>
        <w:pStyle w:val="BookText"/>
        <w:rPr/>
      </w:pPr>
      <w:bookmarkEnd w:id="773"/>
      <w:r>
        <w:rPr>
          <w:rFonts w:ascii="IRNazanin" w:hAnsi="IRNazanin" w:eastAsia="IRNazanin"/>
          <w:color w:val="111111"/>
          <w:sz w:val="28"/>
          <w:sz w:val="28"/>
          <w:szCs w:val="28"/>
          <w:rtl w:val="true"/>
          <w:lang w:bidi="fa-IR"/>
        </w:rPr>
        <w:t xml:space="preserve">إذ لا یمکن الکشف فیه علی وجه آخر،و لا </w:t>
      </w:r>
      <w:r>
        <w:rPr>
          <w:rStyle w:val="FootnoteAnchor"/>
          <w:rtl w:val="true"/>
        </w:rPr>
        <w:footnoteReference w:id="2308"/>
      </w:r>
      <w:r>
        <w:rPr>
          <w:rFonts w:ascii="IRNazanin" w:hAnsi="IRNazanin" w:eastAsia="IRNazanin"/>
          <w:color w:val="111111"/>
          <w:sz w:val="28"/>
          <w:sz w:val="28"/>
          <w:szCs w:val="28"/>
          <w:rtl w:val="true"/>
          <w:lang w:bidi="fa-IR"/>
        </w:rPr>
        <w:t>یلزم من التزام هذا المعنی علی الکشف محال عقلی و لا شرعی حتّی یرفع الید من أجله عن العمومات المقتضیة للصحّة،فإن کان لا بدّ من الکلام فینبغی فی المقتضی للصحّة،أو فی القول بأنّ الواجب فی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أو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عن خروج المال عن ملک المجیز وقت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لا کلام فی مقتضی الصحّة؛و لذا لم یصدر من المستدلّ علی البطلان،و أنّه لا مانع عقلاً و لا شرعاً من کون الإجازة کاشفة من زمان قابلیّة تأثیرها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هذا نظیر ما لو خصّص المالک الإجازة بزمان متأخّر عن العقد؛إذ التخصیص إنّما یقدح مع القابلیة،کما أنّ تعمیم الإجازة لما قبل ملک المجیز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سبق فی دلیل الکشف من أنّ معنی الإجازة إمضاء العقد من حین الوقوع أو إمضاء العقد الذی مقتضاه النقل من حین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قادح مع عدم قابلیة تأثیرها إلّا من زمان ملک المجیز للمبیع</w:t>
      </w:r>
      <w:r>
        <w:rPr>
          <w:rFonts w:eastAsia="IRNazanin" w:cs="IRNazanin"/>
          <w:color w:val="111111"/>
          <w:sz w:val="28"/>
          <w:szCs w:val="28"/>
          <w:rtl w:val="true"/>
          <w:lang w:bidi="fa-IR"/>
        </w:rPr>
        <w:t>.</w:t>
      </w:r>
    </w:p>
    <w:p>
      <w:pPr>
        <w:pStyle w:val="Heading6"/>
        <w:numPr>
          <w:ilvl w:val="5"/>
          <w:numId w:val="1"/>
        </w:numPr>
        <w:rPr/>
      </w:pPr>
      <w:bookmarkStart w:id="774" w:name="__RefHeading___Toc5083014_2314609296"/>
      <w:bookmarkStart w:id="775" w:name="_Toc298"/>
      <w:bookmarkEnd w:id="774"/>
      <w:r>
        <w:rPr>
          <w:rtl w:val="true"/>
        </w:rPr>
        <w:t>الرابع</w:t>
      </w:r>
      <w:r>
        <w:rPr>
          <w:rtl w:val="true"/>
        </w:rPr>
        <w:t xml:space="preserve">: </w:t>
      </w:r>
      <w:r>
        <w:rPr>
          <w:rtl w:val="true"/>
        </w:rPr>
        <w:t>أنّ العقد الأوّل إنّما صحّ و ترتّب علیه أثره بإجازة الفضولی،</w:t>
      </w:r>
      <w:bookmarkEnd w:id="77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متوقّفة علی صحّة العقد الثانی المتوقّفة علی بقاء الملک علی ملک مالکه الأصلی،فیکون صحّة الأوّل مستلزماً </w:t>
      </w:r>
      <w:r>
        <w:rPr>
          <w:rStyle w:val="FootnoteAnchor"/>
          <w:rtl w:val="true"/>
        </w:rPr>
        <w:footnoteReference w:id="2309"/>
      </w:r>
      <w:r>
        <w:rPr>
          <w:rFonts w:ascii="IRNazanin" w:hAnsi="IRNazanin" w:eastAsia="IRNazanin"/>
          <w:color w:val="111111"/>
          <w:sz w:val="28"/>
          <w:sz w:val="28"/>
          <w:szCs w:val="28"/>
          <w:rtl w:val="true"/>
          <w:lang w:bidi="fa-IR"/>
        </w:rPr>
        <w:t xml:space="preserve">لکون المال المعیّن ملکاً للمالک و </w:t>
      </w:r>
      <w:r>
        <w:rPr>
          <w:rStyle w:val="FootnoteAnchor"/>
          <w:rtl w:val="true"/>
        </w:rPr>
        <w:footnoteReference w:id="2310"/>
      </w:r>
      <w:r>
        <w:rPr>
          <w:rFonts w:ascii="IRNazanin" w:hAnsi="IRNazanin" w:eastAsia="IRNazanin"/>
          <w:color w:val="111111"/>
          <w:sz w:val="28"/>
          <w:sz w:val="28"/>
          <w:szCs w:val="28"/>
          <w:rtl w:val="true"/>
          <w:lang w:bidi="fa-IR"/>
        </w:rPr>
        <w:t>المشتری معاً فی زمان واحد،و هو محال؛</w:t>
      </w:r>
    </w:p>
    <w:p>
      <w:pPr>
        <w:pStyle w:val="BookText"/>
        <w:rPr/>
      </w:pPr>
      <w:r>
        <w:rPr>
          <w:rFonts w:ascii="IRNazanin" w:hAnsi="IRNazanin" w:eastAsia="IRNazanin"/>
          <w:color w:val="111111"/>
          <w:sz w:val="28"/>
          <w:sz w:val="28"/>
          <w:szCs w:val="28"/>
          <w:rtl w:val="true"/>
          <w:lang w:bidi="fa-IR"/>
        </w:rPr>
        <w:t>لتضادّهما،فوجود الثانی یقتضی عدم الأوّل،و هو موجب لعدم الثانی أیضاً،فیلزم وجوده و عدمه فی آن واحد،و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Style w:val="FootnoteAnchor"/>
          <w:rtl w:val="true"/>
        </w:rPr>
        <w:footnoteReference w:id="2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هذا لازم فی کلّ عقدٍ فضولیّ،لأنّ صحّته موقوفة علی الإجازة المتأخّرة المتوقّفة علی بقاء ملک المالک و مستلزمة </w:t>
      </w:r>
      <w:r>
        <w:rPr>
          <w:rStyle w:val="FootnoteAnchor"/>
          <w:rtl w:val="true"/>
        </w:rPr>
        <w:footnoteReference w:id="2312"/>
      </w:r>
      <w:r>
        <w:rPr>
          <w:rFonts w:ascii="IRNazanin" w:hAnsi="IRNazanin" w:eastAsia="IRNazanin"/>
          <w:color w:val="111111"/>
          <w:sz w:val="28"/>
          <w:sz w:val="28"/>
          <w:szCs w:val="28"/>
          <w:rtl w:val="true"/>
          <w:lang w:bidi="fa-IR"/>
        </w:rPr>
        <w:t>لملک المشتری کذلک،فیلزم کونه بعد العقد ملک المالک و المشتری معاً فی آن واحد،فیلزم إمّا بطلان عقد الفضولی مطلقاً أو بطلان القول بالکشف،فلا اختصاص لهذا الإیراد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فی الإجازة ملک المالک ظاهراً،و هو الحاصل من استصحاب ملکه السابق؛لأنّها فی الحقیقة رفع الید </w:t>
      </w:r>
      <w:r>
        <w:rPr>
          <w:rStyle w:val="FootnoteAnchor"/>
          <w:rtl w:val="true"/>
        </w:rPr>
        <w:footnoteReference w:id="2313"/>
      </w:r>
      <w:r>
        <w:rPr>
          <w:rFonts w:ascii="IRNazanin" w:hAnsi="IRNazanin" w:eastAsia="IRNazanin"/>
          <w:color w:val="111111"/>
          <w:sz w:val="28"/>
          <w:sz w:val="28"/>
          <w:szCs w:val="28"/>
          <w:rtl w:val="true"/>
          <w:lang w:bidi="fa-IR"/>
        </w:rPr>
        <w:t xml:space="preserve">و إسقاط للحقّ، و لا یکفی الملک الصوری فی العقد الثانی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أنّ القائل بالصحّة ملتزم بکون الأثر المترتّب علی العقد الأوّل بعد إجازة العاقد له هو تملّک المشتری له من حین ملک العاقد،لا من حین العقد،و حینئذٍ فتوقّف إجازة العاقد </w:t>
      </w:r>
      <w:r>
        <w:rPr>
          <w:rStyle w:val="FootnoteAnchor"/>
          <w:rtl w:val="true"/>
        </w:rPr>
        <w:footnoteReference w:id="2315"/>
      </w:r>
      <w:r>
        <w:rPr>
          <w:rFonts w:ascii="IRNazanin" w:hAnsi="IRNazanin" w:eastAsia="IRNazanin"/>
          <w:color w:val="111111"/>
          <w:sz w:val="28"/>
          <w:sz w:val="28"/>
          <w:szCs w:val="28"/>
          <w:rtl w:val="true"/>
          <w:lang w:bidi="fa-IR"/>
        </w:rPr>
        <w:t>الأوّل علی صحّة العقد الثانی مسلّم،و توقّف صحّة العقد الثانی علی بقاء الملک علی ملک مالکه الأصلی إلی زمان العقد مسلّم أیضاً،فقوله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w:t>
      </w:r>
    </w:p>
    <w:p>
      <w:pPr>
        <w:pStyle w:val="BookText"/>
        <w:rPr/>
      </w:pPr>
      <w:r>
        <w:rPr>
          <w:rFonts w:ascii="IRNazanin" w:hAnsi="IRNazanin" w:eastAsia="IRNazanin"/>
          <w:color w:val="111111"/>
          <w:sz w:val="28"/>
          <w:sz w:val="28"/>
          <w:szCs w:val="28"/>
          <w:rtl w:val="true"/>
          <w:lang w:bidi="fa-IR"/>
        </w:rPr>
        <w:t>الأوّل تستلزم کون المال ملکاً للمالک و المشتری فی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ممنوع </w:t>
      </w:r>
      <w:r>
        <w:rPr>
          <w:rStyle w:val="FootnoteAnchor"/>
          <w:rtl w:val="true"/>
        </w:rPr>
        <w:footnoteReference w:id="2316"/>
      </w:r>
      <w:r>
        <w:rPr>
          <w:rFonts w:ascii="IRNazanin" w:hAnsi="IRNazanin" w:eastAsia="IRNazanin"/>
          <w:color w:val="111111"/>
          <w:sz w:val="28"/>
          <w:sz w:val="28"/>
          <w:szCs w:val="28"/>
          <w:rtl w:val="true"/>
          <w:lang w:bidi="fa-IR"/>
        </w:rPr>
        <w:t xml:space="preserve">،بل صحّته تستلزم خروج العین عن ملکیة المالک الأصلی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نعم،إنّما یلزم ما ذکره من المحال إذا ادّعی وجوب کون الإجازة کاشفة عن الملک حین العقد،و لکن هذا أمر تقدّم دعواه فی الوجه الثالث و قد تقدّم منعه </w:t>
      </w:r>
      <w:r>
        <w:rPr>
          <w:rStyle w:val="FootnoteAnchor"/>
          <w:rtl w:val="true"/>
        </w:rPr>
        <w:footnoteReference w:id="2318"/>
      </w:r>
      <w:r>
        <w:rPr>
          <w:rFonts w:ascii="IRNazanin" w:hAnsi="IRNazanin" w:eastAsia="IRNazanin"/>
          <w:color w:val="111111"/>
          <w:sz w:val="28"/>
          <w:sz w:val="28"/>
          <w:szCs w:val="28"/>
          <w:rtl w:val="true"/>
          <w:lang w:bidi="fa-IR"/>
        </w:rPr>
        <w:t>،فلا وجه لإعادته بتقریر آخر،کما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نعم،یبقی فی المقام الإشکال الوارد فی مطلق الفضولی علی القول بالکشف،و هو کون الملک حال الإجازة للمجیز و المشتری معاً،و هذا إشکال آخر تعرّض لاندفاعه </w:t>
      </w:r>
      <w:r>
        <w:rPr>
          <w:rStyle w:val="FootnoteAnchor"/>
          <w:rtl w:val="true"/>
        </w:rPr>
        <w:footnoteReference w:id="2319"/>
      </w:r>
      <w:r>
        <w:rPr>
          <w:rFonts w:ascii="IRNazanin" w:hAnsi="IRNazanin" w:eastAsia="IRNazanin"/>
          <w:color w:val="111111"/>
          <w:sz w:val="28"/>
          <w:sz w:val="28"/>
          <w:szCs w:val="28"/>
          <w:rtl w:val="true"/>
          <w:lang w:bidi="fa-IR"/>
        </w:rPr>
        <w:t xml:space="preserve">أخیراً،غیر الإشکال الذی استنتجه من المقدّمات المذکورة،و هو لزوم کون الملک للمالک الأصلی و للمشتری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نعم،یلزم من ضمّ هذا الإشکال العامّ إلی ما یلزم فی المسألة علی القول بالکشف من حین العقد اجتماع ملّاک ثلاثة علی ملک واحد قبل العقد الثانی؛لوجوب التزام مالکیّة المالک الأصلی حتّی یصحّ العقد الثانی،و مالکیة </w:t>
      </w:r>
      <w:r>
        <w:rPr>
          <w:rStyle w:val="FootnoteAnchor"/>
          <w:rtl w:val="true"/>
        </w:rPr>
        <w:footnoteReference w:id="2321"/>
      </w:r>
      <w:r>
        <w:rPr>
          <w:rFonts w:ascii="IRNazanin" w:hAnsi="IRNazanin" w:eastAsia="IRNazanin"/>
          <w:color w:val="111111"/>
          <w:sz w:val="28"/>
          <w:sz w:val="28"/>
          <w:szCs w:val="28"/>
          <w:rtl w:val="true"/>
          <w:lang w:bidi="fa-IR"/>
        </w:rPr>
        <w:t xml:space="preserve">المشتری له لأنّ الإجازة تکشف عن ذلک،و مالکیة </w:t>
      </w:r>
      <w:r>
        <w:rPr>
          <w:rStyle w:val="FootnoteAnchor"/>
          <w:rtl w:val="true"/>
        </w:rPr>
        <w:footnoteReference w:id="2322"/>
      </w:r>
      <w:r>
        <w:rPr>
          <w:rFonts w:ascii="IRNazanin" w:hAnsi="IRNazanin" w:eastAsia="IRNazanin"/>
          <w:color w:val="111111"/>
          <w:sz w:val="28"/>
          <w:sz w:val="28"/>
          <w:szCs w:val="28"/>
          <w:rtl w:val="true"/>
          <w:lang w:bidi="fa-IR"/>
        </w:rPr>
        <w:t>العاقد له لأنّ ملک المشتری لا بدّ أن یکون عن ملکه،و إلّا لم ینفع</w:t>
      </w:r>
    </w:p>
    <w:p>
      <w:pPr>
        <w:pStyle w:val="BookText"/>
        <w:rPr/>
      </w:pPr>
      <w:r>
        <w:rPr>
          <w:rFonts w:ascii="IRNazanin" w:hAnsi="IRNazanin" w:eastAsia="IRNazanin"/>
          <w:color w:val="111111"/>
          <w:sz w:val="28"/>
          <w:sz w:val="28"/>
          <w:szCs w:val="28"/>
          <w:rtl w:val="true"/>
          <w:lang w:bidi="fa-IR"/>
        </w:rPr>
        <w:t>إجازته فی ملکه من حین العقد؛لأنّ إجازة غیر المالک لا یخرج ملک الغیر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أجاب به عن الإشکال الوارد فی مطلق الفضولی لا یُسمن و لا یغنی؛لأنّ الإجازة إذا وقعت،فإن کشفت عن ملک </w:t>
      </w:r>
      <w:r>
        <w:rPr>
          <w:rStyle w:val="FootnoteAnchor"/>
          <w:rtl w:val="true"/>
        </w:rPr>
        <w:footnoteReference w:id="2323"/>
      </w:r>
      <w:r>
        <w:rPr>
          <w:rFonts w:ascii="IRNazanin" w:hAnsi="IRNazanin" w:eastAsia="IRNazanin"/>
          <w:color w:val="111111"/>
          <w:sz w:val="28"/>
          <w:sz w:val="28"/>
          <w:szCs w:val="28"/>
          <w:rtl w:val="true"/>
          <w:lang w:bidi="fa-IR"/>
        </w:rPr>
        <w:t xml:space="preserve">المشتری قبلها کشفت عمّا یبطلها؛لأنّ الإجازة لا تکون إلّا من المالک الواقعی، و المالک الظاهری إنّما یجدی إجازته إذا لم ینکشف کون غیره مالکاً حین الإجازة؛و لذا لو تبیّن فی مقام آخر کون المجیز غیر المالک لم تنفع إجازته </w:t>
      </w:r>
      <w:r>
        <w:rPr>
          <w:rStyle w:val="FootnoteAnchor"/>
          <w:rtl w:val="true"/>
        </w:rPr>
        <w:footnoteReference w:id="2324"/>
      </w:r>
      <w:r>
        <w:rPr>
          <w:rFonts w:ascii="IRNazanin" w:hAnsi="IRNazanin" w:eastAsia="IRNazanin"/>
          <w:color w:val="111111"/>
          <w:sz w:val="28"/>
          <w:sz w:val="28"/>
          <w:szCs w:val="28"/>
          <w:rtl w:val="true"/>
          <w:lang w:bidi="fa-IR"/>
        </w:rPr>
        <w:t>لأنّ المالکیة من الشرائط الواقعیّة دون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فی الفرق بین الإجازة و العقد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کفایة الملک الصوری </w:t>
      </w:r>
      <w:r>
        <w:rPr>
          <w:rStyle w:val="FootnoteAnchor"/>
          <w:rtl w:val="true"/>
        </w:rPr>
        <w:footnoteReference w:id="2325"/>
      </w:r>
      <w:r>
        <w:rPr>
          <w:rFonts w:ascii="IRNazanin" w:hAnsi="IRNazanin" w:eastAsia="IRNazanin"/>
          <w:color w:val="111111"/>
          <w:sz w:val="28"/>
          <w:sz w:val="28"/>
          <w:szCs w:val="28"/>
          <w:rtl w:val="true"/>
          <w:lang w:bidi="fa-IR"/>
        </w:rPr>
        <w:t>فی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 صِرف،خصوصاً مع تعلیله بأنّ الإجازة رفع للید و إسقاط للحقّ،فلیت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إسقاط الحقّ کیف </w:t>
      </w:r>
      <w:r>
        <w:rPr>
          <w:rStyle w:val="FootnoteAnchor"/>
          <w:rtl w:val="true"/>
        </w:rPr>
        <w:footnoteReference w:id="2326"/>
      </w:r>
      <w:r>
        <w:rPr>
          <w:rFonts w:ascii="IRNazanin" w:hAnsi="IRNazanin" w:eastAsia="IRNazanin"/>
          <w:color w:val="111111"/>
          <w:sz w:val="28"/>
          <w:sz w:val="28"/>
          <w:szCs w:val="28"/>
          <w:rtl w:val="true"/>
          <w:lang w:bidi="fa-IR"/>
        </w:rPr>
        <w:t>یجدی و ینفع مع عدم الحقّ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الإجازة رفع للید </w:t>
      </w:r>
      <w:r>
        <w:rPr>
          <w:rStyle w:val="FootnoteAnchor"/>
          <w:rtl w:val="true"/>
        </w:rPr>
        <w:footnoteReference w:id="2327"/>
      </w:r>
      <w:r>
        <w:rPr>
          <w:rFonts w:ascii="IRNazanin" w:hAnsi="IRNazanin" w:eastAsia="IRNazanin"/>
          <w:color w:val="111111"/>
          <w:sz w:val="28"/>
          <w:sz w:val="28"/>
          <w:szCs w:val="28"/>
          <w:rtl w:val="true"/>
          <w:lang w:bidi="fa-IR"/>
        </w:rPr>
        <w:t xml:space="preserve">عن </w:t>
      </w:r>
      <w:r>
        <w:rPr>
          <w:rStyle w:val="FootnoteAnchor"/>
          <w:rtl w:val="true"/>
        </w:rPr>
        <w:footnoteReference w:id="2328"/>
      </w:r>
      <w:r>
        <w:rPr>
          <w:rFonts w:ascii="IRNazanin" w:hAnsi="IRNazanin" w:eastAsia="IRNazanin"/>
          <w:color w:val="111111"/>
          <w:sz w:val="28"/>
          <w:sz w:val="28"/>
          <w:szCs w:val="28"/>
          <w:rtl w:val="true"/>
          <w:lang w:bidi="fa-IR"/>
        </w:rPr>
        <w:t>الملک أیضاً بالبدیهة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الإشکال إنّما نشأ من الإشکال الذی ذکرناه سابقاً فی کاشفیة الإجازة علی الوجه المشهور </w:t>
      </w:r>
      <w:r>
        <w:rPr>
          <w:rStyle w:val="FootnoteAnchor"/>
          <w:rtl w:val="true"/>
        </w:rPr>
        <w:footnoteReference w:id="2329"/>
      </w:r>
      <w:r>
        <w:rPr>
          <w:rFonts w:ascii="Amiri" w:hAnsi="Amiri" w:eastAsia="Amiri" w:cs="Amiri"/>
          <w:color w:val="111111"/>
          <w:sz w:val="28"/>
          <w:sz w:val="28"/>
          <w:szCs w:val="28"/>
          <w:rtl w:val="true"/>
          <w:lang w:bidi="ar-SA"/>
        </w:rPr>
        <w:t>من کونها شرطاً متأخّراً</w:t>
      </w:r>
      <w:bookmarkStart w:id="776" w:name="pg19763_248189"/>
    </w:p>
    <w:p>
      <w:pPr>
        <w:pStyle w:val="BookText"/>
        <w:rPr/>
      </w:pPr>
      <w:bookmarkEnd w:id="776"/>
      <w:r>
        <w:rPr>
          <w:rFonts w:ascii="IRNazanin" w:hAnsi="IRNazanin" w:eastAsia="IRNazanin"/>
          <w:color w:val="111111"/>
          <w:sz w:val="28"/>
          <w:sz w:val="28"/>
          <w:szCs w:val="28"/>
          <w:rtl w:val="true"/>
          <w:lang w:bidi="fa-IR"/>
        </w:rPr>
        <w:t>یوجب حدوثه تأثیر السبب المتقدّم من زمانه</w:t>
      </w:r>
      <w:r>
        <w:rPr>
          <w:rFonts w:eastAsia="IRNazanin" w:cs="IRNazanin"/>
          <w:color w:val="111111"/>
          <w:sz w:val="28"/>
          <w:szCs w:val="28"/>
          <w:rtl w:val="true"/>
          <w:lang w:bidi="fa-IR"/>
        </w:rPr>
        <w:t>.</w:t>
      </w:r>
    </w:p>
    <w:p>
      <w:pPr>
        <w:pStyle w:val="Heading6"/>
        <w:numPr>
          <w:ilvl w:val="5"/>
          <w:numId w:val="1"/>
        </w:numPr>
        <w:rPr/>
      </w:pPr>
      <w:bookmarkStart w:id="777" w:name="__RefHeading___Toc5083016_2314609296"/>
      <w:bookmarkStart w:id="778" w:name="_Toc299"/>
      <w:bookmarkEnd w:id="777"/>
      <w:r>
        <w:rPr>
          <w:rtl w:val="true"/>
        </w:rPr>
        <w:t>الخامس</w:t>
      </w:r>
      <w:bookmarkEnd w:id="778"/>
    </w:p>
    <w:p>
      <w:pPr>
        <w:pStyle w:val="BookText"/>
        <w:rPr/>
      </w:pPr>
      <w:r>
        <w:rPr>
          <w:rFonts w:ascii="IRNazanin" w:hAnsi="IRNazanin" w:eastAsia="IRNazanin"/>
          <w:color w:val="111111"/>
          <w:sz w:val="28"/>
          <w:sz w:val="28"/>
          <w:szCs w:val="28"/>
          <w:rtl w:val="true"/>
          <w:lang w:bidi="fa-IR"/>
        </w:rPr>
        <w:t xml:space="preserve">الخامس </w:t>
      </w:r>
      <w:r>
        <w:rPr>
          <w:rStyle w:val="FootnoteAnchor"/>
          <w:rtl w:val="true"/>
        </w:rPr>
        <w:footnoteReference w:id="2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الإجازة المتأخّرة لمّا کشفت عن صحّة العقد الأوّل و عن کون المال ملک المشتری الأوّل،فقد وقع العقد الثانی علی ماله،</w:t>
      </w:r>
    </w:p>
    <w:p>
      <w:pPr>
        <w:pStyle w:val="BookText"/>
        <w:rPr/>
      </w:pPr>
      <w:r>
        <w:rPr>
          <w:rFonts w:ascii="IRNazanin" w:hAnsi="IRNazanin" w:eastAsia="IRNazanin"/>
          <w:color w:val="111111"/>
          <w:sz w:val="28"/>
          <w:sz w:val="28"/>
          <w:szCs w:val="28"/>
          <w:rtl w:val="true"/>
          <w:lang w:bidi="fa-IR"/>
        </w:rPr>
        <w:t xml:space="preserve">فلا بدّ من إجازته له </w:t>
      </w:r>
      <w:r>
        <w:rPr>
          <w:rStyle w:val="FootnoteAnchor"/>
          <w:rtl w:val="true"/>
        </w:rPr>
        <w:footnoteReference w:id="2331"/>
      </w:r>
      <w:r>
        <w:rPr>
          <w:rFonts w:ascii="IRNazanin" w:hAnsi="IRNazanin" w:eastAsia="IRNazanin"/>
          <w:color w:val="111111"/>
          <w:sz w:val="28"/>
          <w:sz w:val="28"/>
          <w:szCs w:val="28"/>
          <w:rtl w:val="true"/>
          <w:lang w:bidi="fa-IR"/>
        </w:rPr>
        <w:t xml:space="preserve">کما لو بیع المبیع من شخصٍ آخر فأجاز المالک البیعَ الأوّل،فلا بدّ من إجازة المشتری البیع الثانی حتّی یصحّ و یلزم،فعلی هذا یلزم توقّف إجازة کلٍّ من الشخصین علی إجازة الآخر،و توقّف صحّة کلٍّ من العقدین </w:t>
      </w:r>
      <w:r>
        <w:rPr>
          <w:rStyle w:val="FootnoteAnchor"/>
          <w:rtl w:val="true"/>
        </w:rPr>
        <w:footnoteReference w:id="2332"/>
      </w:r>
      <w:r>
        <w:rPr>
          <w:rFonts w:ascii="IRNazanin" w:hAnsi="IRNazanin" w:eastAsia="IRNazanin"/>
          <w:color w:val="111111"/>
          <w:sz w:val="28"/>
          <w:sz w:val="28"/>
          <w:szCs w:val="28"/>
          <w:rtl w:val="true"/>
          <w:lang w:bidi="fa-IR"/>
        </w:rPr>
        <w:t>علی إجازة المشتری الغیر الفضولی،و هو من الأعاجیب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من المستحیل؛لاستلزام ذلک عدم تملّک المالک الأصلی </w:t>
      </w:r>
      <w:r>
        <w:rPr>
          <w:rStyle w:val="FootnoteAnchor"/>
          <w:rtl w:val="true"/>
        </w:rPr>
        <w:footnoteReference w:id="2333"/>
      </w:r>
      <w:r>
        <w:rPr>
          <w:rFonts w:ascii="IRNazanin" w:hAnsi="IRNazanin" w:eastAsia="IRNazanin"/>
          <w:color w:val="111111"/>
          <w:sz w:val="28"/>
          <w:sz w:val="28"/>
          <w:szCs w:val="28"/>
          <w:rtl w:val="true"/>
          <w:lang w:bidi="fa-IR"/>
        </w:rPr>
        <w:t xml:space="preserve">شیئاً من الثمن و المثمن،و تملّک المشتری الأوّل المبیع بلا عوض إن اتّحد الثمنان،و دون تمامه إن زاد الأوّل،و مع زیادة إن نقص </w:t>
      </w:r>
      <w:r>
        <w:rPr>
          <w:rStyle w:val="FootnoteAnchor"/>
          <w:rtl w:val="true"/>
        </w:rPr>
        <w:footnoteReference w:id="2334"/>
      </w:r>
      <w:r>
        <w:rPr>
          <w:rFonts w:ascii="IRNazanin" w:hAnsi="IRNazanin" w:eastAsia="IRNazanin"/>
          <w:color w:val="111111"/>
          <w:sz w:val="28"/>
          <w:sz w:val="28"/>
          <w:szCs w:val="28"/>
          <w:rtl w:val="true"/>
          <w:lang w:bidi="fa-IR"/>
        </w:rPr>
        <w:t xml:space="preserve">لانکشاف وقوعه فی ملکه </w:t>
      </w:r>
      <w:r>
        <w:rPr>
          <w:rStyle w:val="FootnoteAnchor"/>
          <w:rtl w:val="true"/>
        </w:rPr>
        <w:footnoteReference w:id="2335"/>
      </w:r>
      <w:r>
        <w:rPr>
          <w:rFonts w:ascii="IRNazanin" w:hAnsi="IRNazanin" w:eastAsia="IRNazanin"/>
          <w:color w:val="111111"/>
          <w:sz w:val="28"/>
          <w:sz w:val="28"/>
          <w:szCs w:val="28"/>
          <w:rtl w:val="true"/>
          <w:lang w:bidi="fa-IR"/>
        </w:rPr>
        <w:t>فالثمن له،و قد کان المبیع له أیضاً بما بذله من الثمن،و هو ظاهر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سابقه من ابتنائه علی وجوب</w:t>
      </w:r>
      <w:bookmarkStart w:id="779" w:name="pg19763_248190"/>
    </w:p>
    <w:p>
      <w:pPr>
        <w:pStyle w:val="BookText"/>
        <w:rPr/>
      </w:pPr>
      <w:bookmarkEnd w:id="779"/>
      <w:r>
        <w:rPr>
          <w:rFonts w:ascii="IRNazanin" w:hAnsi="IRNazanin" w:eastAsia="IRNazanin"/>
          <w:color w:val="111111"/>
          <w:sz w:val="28"/>
          <w:sz w:val="28"/>
          <w:szCs w:val="28"/>
          <w:rtl w:val="true"/>
          <w:lang w:bidi="fa-IR"/>
        </w:rPr>
        <w:t>کون الإجازة کاشفة عن الملک من حین العقد،و 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منشأ الوجوه الثلاثة </w:t>
      </w:r>
      <w:r>
        <w:rPr>
          <w:rStyle w:val="FootnoteAnchor"/>
          <w:rtl w:val="true"/>
        </w:rPr>
        <w:footnoteReference w:id="2336"/>
      </w:r>
      <w:r>
        <w:rPr>
          <w:rFonts w:ascii="IRNazanin" w:hAnsi="IRNazanin" w:eastAsia="IRNazanin"/>
          <w:color w:val="111111"/>
          <w:sz w:val="28"/>
          <w:sz w:val="28"/>
          <w:szCs w:val="28"/>
          <w:rtl w:val="true"/>
          <w:lang w:bidi="fa-IR"/>
        </w:rPr>
        <w:t xml:space="preserve">الأخیرة شیء واحد،و المحال علی تقدیره مسلّم بتقریرات مختلفة قد نبّه علیه فی الإیضاح </w:t>
      </w:r>
      <w:r>
        <w:rPr>
          <w:rStyle w:val="FootnoteAnchor"/>
          <w:rtl w:val="true"/>
        </w:rPr>
        <w:footnoteReference w:id="2337"/>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0" w:name="__RefHeading___Toc5083018_2314609296"/>
      <w:bookmarkStart w:id="781" w:name="_Toc300"/>
      <w:bookmarkEnd w:id="780"/>
      <w:r>
        <w:rPr>
          <w:rtl w:val="true"/>
        </w:rPr>
        <w:t>السادس</w:t>
      </w:r>
      <w:r>
        <w:rPr>
          <w:rtl w:val="true"/>
        </w:rPr>
        <w:t xml:space="preserve">: </w:t>
      </w:r>
      <w:r>
        <w:rPr>
          <w:rtl w:val="true"/>
        </w:rPr>
        <w:t>أنّ من المعلوم أنّه یکفی فی إجازة المالک و فسخه فعل</w:t>
      </w:r>
      <w:bookmarkEnd w:id="781"/>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المعلوم أنّه یکفی فی إجازة المالک و فسخه فعل </w:t>
      </w:r>
      <w:r>
        <w:rPr>
          <w:rStyle w:val="FootnoteAnchor"/>
          <w:rtl w:val="true"/>
        </w:rPr>
        <w:footnoteReference w:id="2339"/>
      </w:r>
      <w:r>
        <w:rPr>
          <w:rFonts w:ascii="IRNazanin" w:hAnsi="IRNazanin" w:eastAsia="IRNazanin"/>
          <w:color w:val="111111"/>
          <w:sz w:val="28"/>
          <w:sz w:val="28"/>
          <w:szCs w:val="28"/>
          <w:rtl w:val="true"/>
          <w:lang w:bidi="fa-IR"/>
        </w:rPr>
        <w:t>ما هو من لوازمهما</w:t>
      </w:r>
    </w:p>
    <w:p>
      <w:pPr>
        <w:pStyle w:val="BookText"/>
        <w:rPr/>
      </w:pPr>
      <w:r>
        <w:rPr>
          <w:rStyle w:val="FootnoteAnchor"/>
          <w:rtl w:val="true"/>
        </w:rPr>
        <w:footnoteReference w:id="2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w:t>
      </w:r>
      <w:r>
        <w:rPr>
          <w:rStyle w:val="FootnoteAnchor"/>
          <w:rtl w:val="true"/>
        </w:rPr>
        <w:footnoteReference w:id="2341"/>
      </w:r>
      <w:r>
        <w:rPr>
          <w:rFonts w:ascii="IRNazanin" w:hAnsi="IRNazanin" w:eastAsia="IRNazanin"/>
          <w:color w:val="111111"/>
          <w:sz w:val="28"/>
          <w:sz w:val="28"/>
          <w:szCs w:val="28"/>
          <w:rtl w:val="true"/>
          <w:lang w:bidi="fa-IR"/>
        </w:rPr>
        <w:t xml:space="preserve">باع المالک ماله من الفضولی بالعقد الثانی فقد نقل المال عن نفسه و تملّک الثمن،و هو لا یجامع صحّة العقد الأوّل،فإنّها تقتضی تملّک </w:t>
      </w:r>
      <w:r>
        <w:rPr>
          <w:rStyle w:val="FootnoteAnchor"/>
          <w:rtl w:val="true"/>
        </w:rPr>
        <w:footnoteReference w:id="2342"/>
      </w:r>
      <w:r>
        <w:rPr>
          <w:rFonts w:ascii="IRNazanin" w:hAnsi="IRNazanin" w:eastAsia="IRNazanin"/>
          <w:color w:val="111111"/>
          <w:sz w:val="28"/>
          <w:sz w:val="28"/>
          <w:szCs w:val="28"/>
          <w:rtl w:val="true"/>
          <w:lang w:bidi="fa-IR"/>
        </w:rPr>
        <w:t>المالک للثمن الأوّل،و حیث وقع الثانی یکون فسخاً له و إن لم یعلم بوقوعه،فلا یجدی الإجازة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بالجملة،حکم عقد الفضولی قبل الإجازة کسائر العقود الجائزة بل أولی منها،فکما أنّ التصرّف المنافی مبطل لها فکذلک </w:t>
      </w:r>
      <w:r>
        <w:rPr>
          <w:rStyle w:val="FootnoteAnchor"/>
          <w:rtl w:val="true"/>
        </w:rPr>
        <w:footnoteReference w:id="2343"/>
      </w:r>
      <w:r>
        <w:rPr>
          <w:rFonts w:ascii="IRNazanin" w:hAnsi="IRNazanin" w:eastAsia="IRNazanin"/>
          <w:color w:val="111111"/>
          <w:sz w:val="28"/>
          <w:sz w:val="28"/>
          <w:szCs w:val="28"/>
          <w:rtl w:val="true"/>
          <w:lang w:bidi="fa-IR"/>
        </w:rPr>
        <w:t>عقد الفضولی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فسخ عقد الفضولی هو إنشاء ردّه،و أمّا الفعل</w:t>
      </w:r>
    </w:p>
    <w:p>
      <w:pPr>
        <w:pStyle w:val="BookText"/>
        <w:rPr/>
      </w:pPr>
      <w:r>
        <w:rPr>
          <w:rFonts w:ascii="IRNazanin" w:hAnsi="IRNazanin" w:eastAsia="IRNazanin"/>
          <w:color w:val="111111"/>
          <w:sz w:val="28"/>
          <w:sz w:val="28"/>
          <w:szCs w:val="28"/>
          <w:rtl w:val="true"/>
          <w:lang w:bidi="fa-IR"/>
        </w:rPr>
        <w:t>المنافی لمضیّه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کتزویج المعقودة فضولاً نفسها من آخر و بیع المالک ماله </w:t>
      </w:r>
      <w:r>
        <w:rPr>
          <w:rStyle w:val="FootnoteAnchor"/>
          <w:rtl w:val="true"/>
        </w:rPr>
        <w:footnoteReference w:id="2344"/>
      </w:r>
      <w:r>
        <w:rPr>
          <w:rFonts w:ascii="IRNazanin" w:hAnsi="IRNazanin" w:eastAsia="IRNazanin"/>
          <w:color w:val="111111"/>
          <w:sz w:val="28"/>
          <w:sz w:val="28"/>
          <w:szCs w:val="28"/>
          <w:rtl w:val="true"/>
          <w:lang w:bidi="fa-IR"/>
        </w:rPr>
        <w:t>المبیع فضولاً من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فسخاً له،خصوصاً مع عدم التفاته إلی وقوع عقد الفضولی،غایة ما فی الباب أنّ الفعل المنافی لمضیّ العقد مفوِّت لمحلّ الإجازة،فإذا فرض وقوعه صحیحاً فات محلّ الإجازة و یخرج العقد عن قابلیّة الإجازة،إمّا مطلقاً کما فی مثال التزویج،أو بالنسبة إلی من فات محلّ الإجازة بالنسبة إلیه کما فی مثال البیع،فإنّ محلّ الإجازة إنّما فات بالنسبة إلی الأوّل،فللمالک الثانی أن یجیز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فسخ المالک الأوّل نفس العقد بإنشاء الفسخ بطل العقد من حینه إجماعاً،و لعموم تسلّط الناس علی أموالهم بقطع علاقة الغیر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أُرید من کون البیع الثانی فسخاً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إبطال لأثر العقد فی الجملة،فهو مسلّم،و لا یمنع ذلک من بقاء العقد متزلزلاً بالنسبة إلی المالک الثانی،فیکون له الإجازة،و إن أُرید أنّه إبطال للعقد رأساً،فهو ممنوع؛إذ لا دلیل علی کونه کذلک،و تسمیة مثل ذلک الفعل ردّاً فی بعض الأحیان؛من حیث إنّه مسقط للعقد عن التأثیر بالنسبة إلی فاعله بحیث یکون الإجازة منه بعده لغواً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فرضنا قصد المالک من ذلک الفعل </w:t>
      </w:r>
      <w:r>
        <w:rPr>
          <w:rStyle w:val="FootnoteAnchor"/>
          <w:rtl w:val="true"/>
        </w:rPr>
        <w:footnoteReference w:id="2345"/>
      </w:r>
      <w:r>
        <w:rPr>
          <w:rFonts w:ascii="IRNazanin" w:hAnsi="IRNazanin" w:eastAsia="IRNazanin"/>
          <w:color w:val="111111"/>
          <w:sz w:val="28"/>
          <w:sz w:val="28"/>
          <w:szCs w:val="28"/>
          <w:rtl w:val="true"/>
          <w:lang w:bidi="fa-IR"/>
        </w:rPr>
        <w:t>فسخَ العقد بحیث یعدّ فسخاً فعلیّاً،لم یبعد کونه کالإنشاء بالقول،لکنّ الالتزام بذلک لا یقدح فی المطلب؛إذ المقصود أنّ مجرّد بیع المالک لا یوجب بطلان</w:t>
      </w:r>
      <w:bookmarkStart w:id="782" w:name="pg19763_248192"/>
    </w:p>
    <w:p>
      <w:pPr>
        <w:pStyle w:val="BookText"/>
        <w:rPr/>
      </w:pPr>
      <w:bookmarkEnd w:id="782"/>
      <w:r>
        <w:rPr>
          <w:rFonts w:ascii="IRNazanin" w:hAnsi="IRNazanin" w:eastAsia="IRNazanin"/>
          <w:color w:val="111111"/>
          <w:sz w:val="28"/>
          <w:sz w:val="28"/>
          <w:szCs w:val="28"/>
          <w:rtl w:val="true"/>
          <w:lang w:bidi="fa-IR"/>
        </w:rPr>
        <w:t>العقد؛و لذا لو فرضنا انکشاف فساد هذا البیع بقی العقد علی حاله من قابلیّة لحوق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الالتزام فی مثل الهبة و البیع فی زمان الخیار بانفساخ العقد من ذی الخیار بمجرّد الفعل المنافی؛فلأنّ صحّة التصرّف المنافی یتوقّف علی فسخ العقد،و إلّا وقع فی ملک الغیر،بخلاف ما نحن فیه؛فإنّ تصرّف المالک فی ماله المبیع فضولاً صحیح فی نفسه لوقوعه فی ملکه، فلا یتوقّف علی فسخه،غایة الأمر أنّه إذا تصرّف فات محلّ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ما فی قوله رحمه اللّه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حکم عقد الفضولی حکم سائر العقود الجائزة،بل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قیاس العقد المتزلزل من حیث الحدوث،علی المتزلزل من حیث البقاء قیاس مع الفارق،فضلاً عن دعوی الأولویّة،و سیجیء </w:t>
      </w:r>
      <w:r>
        <w:rPr>
          <w:rStyle w:val="FootnoteAnchor"/>
          <w:rtl w:val="true"/>
        </w:rPr>
        <w:footnoteReference w:id="2346"/>
      </w:r>
      <w:r>
        <w:rPr>
          <w:rFonts w:ascii="IRNazanin" w:hAnsi="IRNazanin" w:eastAsia="IRNazanin"/>
          <w:color w:val="111111"/>
          <w:sz w:val="28"/>
          <w:sz w:val="28"/>
          <w:szCs w:val="28"/>
          <w:rtl w:val="true"/>
          <w:lang w:bidi="fa-IR"/>
        </w:rPr>
        <w:t>مزید بیان لذلک فی بیان ما یتحقّق به الردّ</w:t>
      </w:r>
      <w:r>
        <w:rPr>
          <w:rFonts w:eastAsia="IRNazanin" w:cs="IRNazanin"/>
          <w:color w:val="111111"/>
          <w:sz w:val="28"/>
          <w:szCs w:val="28"/>
          <w:rtl w:val="true"/>
          <w:lang w:bidi="fa-IR"/>
        </w:rPr>
        <w:t>.</w:t>
      </w:r>
    </w:p>
    <w:p>
      <w:pPr>
        <w:pStyle w:val="Heading6"/>
        <w:numPr>
          <w:ilvl w:val="5"/>
          <w:numId w:val="1"/>
        </w:numPr>
        <w:rPr/>
      </w:pPr>
      <w:bookmarkStart w:id="783" w:name="__RefHeading___Toc5083020_2314609296"/>
      <w:bookmarkStart w:id="784" w:name="_Toc301"/>
      <w:bookmarkEnd w:id="783"/>
      <w:r>
        <w:rPr>
          <w:rtl w:val="true"/>
        </w:rPr>
        <w:t>السابع</w:t>
      </w:r>
      <w:bookmarkEnd w:id="784"/>
    </w:p>
    <w:p>
      <w:pPr>
        <w:pStyle w:val="BookText"/>
        <w:rPr/>
      </w:pPr>
      <w:r>
        <w:rPr>
          <w:rFonts w:ascii="IRNazanin" w:hAnsi="IRNazanin" w:eastAsia="IRNazanin"/>
          <w:color w:val="111111"/>
          <w:sz w:val="28"/>
          <w:sz w:val="28"/>
          <w:szCs w:val="28"/>
          <w:rtl w:val="true"/>
          <w:lang w:bidi="fa-IR"/>
        </w:rPr>
        <w:t xml:space="preserve">السابع </w:t>
      </w:r>
      <w:r>
        <w:rPr>
          <w:rStyle w:val="FootnoteAnchor"/>
          <w:rtl w:val="true"/>
        </w:rPr>
        <w:footnoteReference w:id="2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المستفیضة الحاکیة لنهی النبیّ صلّی اللّه علیه و آله عن بیع ما لیس عندک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النهی فیها إمّا لفساد البیع المذکور مطلقاً</w:t>
      </w:r>
    </w:p>
    <w:p>
      <w:pPr>
        <w:pStyle w:val="BookText"/>
        <w:rPr/>
      </w:pPr>
      <w:r>
        <w:rPr>
          <w:rFonts w:ascii="IRNazanin" w:hAnsi="IRNazanin" w:eastAsia="IRNazanin"/>
          <w:color w:val="111111"/>
          <w:sz w:val="28"/>
          <w:sz w:val="28"/>
          <w:szCs w:val="28"/>
          <w:rtl w:val="true"/>
          <w:lang w:bidi="fa-IR"/>
        </w:rPr>
        <w:t>بالنسبة إلی المخاطب و إلی المالک،فیکون دلیلاً علی فساد العقد الفضولی، و إمّا لبیان فساده بالنسبة إلی المخاطب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استظهرناه سابقاً </w:t>
      </w:r>
      <w:r>
        <w:rPr>
          <w:rStyle w:val="FootnoteAnchor"/>
          <w:rtl w:val="true"/>
        </w:rPr>
        <w:footnoteReference w:id="2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دالاّ علی عدم وقوع بیع مال الغیر لبائعه مطلقاً و لو ملکه فأجاز،بل الظاهر إرادة حکم خصوص صورة تملّکه بعد البیع،و إلّا فعدم وقوعه له قبل تملّکه ممّا لا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خصوص روایة یحیی بن الحجّاج المصحّحة إلیه </w:t>
      </w:r>
      <w:r>
        <w:rPr>
          <w:rStyle w:val="FootnoteAnchor"/>
          <w:rtl w:val="true"/>
        </w:rPr>
        <w:footnoteReference w:id="23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هذا الثوب و هذه الدابّة و بعنیها،أُربحک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بذلک،اشترها و لا تواجبه البیع </w:t>
      </w:r>
      <w:r>
        <w:rPr>
          <w:rStyle w:val="FootnoteAnchor"/>
          <w:rtl w:val="true"/>
        </w:rPr>
        <w:footnoteReference w:id="2351"/>
      </w:r>
      <w:r>
        <w:rPr>
          <w:rFonts w:ascii="IRNazanin" w:hAnsi="IRNazanin" w:eastAsia="IRNazanin"/>
          <w:color w:val="111111"/>
          <w:sz w:val="28"/>
          <w:sz w:val="28"/>
          <w:szCs w:val="28"/>
          <w:rtl w:val="true"/>
          <w:lang w:bidi="fa-IR"/>
        </w:rPr>
        <w:t>قبل أن تستوجبها أو تشتریها</w:t>
      </w:r>
      <w:r>
        <w:rPr>
          <w:rFonts w:eastAsia="IRNazanin" w:cs="IRNazanin"/>
          <w:color w:val="111111"/>
          <w:sz w:val="28"/>
          <w:szCs w:val="28"/>
          <w:rtl w:val="true"/>
          <w:lang w:bidi="fa-IR"/>
        </w:rPr>
        <w:t xml:space="preserve">»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خالد بن الحجّاج،قال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یجیئنی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هذا الثوب و أُربحک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إن شاء أخذ و إن شاء ترک؟قلت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به،إنّما یحلّل</w:t>
      </w:r>
    </w:p>
    <w:p>
      <w:pPr>
        <w:pStyle w:val="BookText"/>
        <w:rPr/>
      </w:pPr>
      <w:r>
        <w:rPr>
          <w:rFonts w:ascii="IRNazanin" w:hAnsi="IRNazanin" w:eastAsia="IRNazanin"/>
          <w:color w:val="111111"/>
          <w:sz w:val="28"/>
          <w:sz w:val="28"/>
          <w:szCs w:val="28"/>
          <w:rtl w:val="true"/>
          <w:lang w:bidi="fa-IR"/>
        </w:rPr>
        <w:t>الکلام و یحرّم الکلام</w:t>
      </w:r>
      <w:r>
        <w:rPr>
          <w:rFonts w:eastAsia="IRNazanin" w:cs="IRNazanin"/>
          <w:color w:val="111111"/>
          <w:sz w:val="28"/>
          <w:szCs w:val="28"/>
          <w:rtl w:val="true"/>
          <w:lang w:bidi="fa-IR"/>
        </w:rPr>
        <w:t xml:space="preserve">» </w:t>
      </w:r>
      <w:r>
        <w:rPr>
          <w:rStyle w:val="FootnoteAnchor"/>
          <w:rtl w:val="true"/>
        </w:rPr>
        <w:footnoteReference w:id="2353"/>
      </w:r>
      <w:r>
        <w:rPr>
          <w:rFonts w:ascii="IRNazanin" w:hAnsi="IRNazanin" w:eastAsia="IRNazanin"/>
          <w:color w:val="111111"/>
          <w:sz w:val="28"/>
          <w:sz w:val="28"/>
          <w:szCs w:val="28"/>
          <w:rtl w:val="true"/>
          <w:lang w:bidi="fa-IR"/>
        </w:rPr>
        <w:t xml:space="preserve">بناءً علی أنّ المراد بالکلام عقد البیع،فیحلّل نفیاً و یحرّم إثباتاً،کما فهمه فی الوافی </w:t>
      </w:r>
      <w:r>
        <w:rPr>
          <w:rStyle w:val="FootnoteAnchor"/>
          <w:rtl w:val="true"/>
        </w:rPr>
        <w:footnoteReference w:id="2354"/>
      </w:r>
      <w:r>
        <w:rPr>
          <w:rFonts w:ascii="IRNazanin" w:hAnsi="IRNazanin" w:eastAsia="IRNazanin"/>
          <w:color w:val="111111"/>
          <w:sz w:val="28"/>
          <w:sz w:val="28"/>
          <w:szCs w:val="28"/>
          <w:rtl w:val="true"/>
          <w:lang w:bidi="fa-IR"/>
        </w:rPr>
        <w:t>،أو یحلّل إذا وقع بعد الاشتراء و یحرّم إذا وقع قبله،أو أنّ الکلام الواقع قبل الاشتراء یحرّم إذا کان بعنوان العقد الملزم و یحلّل إذا کان علی وجه المساومة و المراضاة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أتاه رجل،فقال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 لی متاعاً لعلی أشتریه منک بنقد أو نسیئة،فابتاعه الرجل من أجله،قال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 إنّما یشتریه منه بعد ما یملکه</w:t>
      </w:r>
      <w:r>
        <w:rPr>
          <w:rFonts w:eastAsia="IRNazanin" w:cs="IRNazanin"/>
          <w:color w:val="111111"/>
          <w:sz w:val="28"/>
          <w:szCs w:val="28"/>
          <w:rtl w:val="true"/>
          <w:lang w:bidi="fa-IR"/>
        </w:rPr>
        <w:t xml:space="preserve">»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منصور بن حازم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أمر رجلاً لیشتری له متاعاً فیشتریه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إنّما البیع بعد ما یشتریه</w:t>
      </w:r>
      <w:r>
        <w:rPr>
          <w:rFonts w:eastAsia="IRNazanin" w:cs="IRNazanin"/>
          <w:color w:val="111111"/>
          <w:sz w:val="28"/>
          <w:szCs w:val="28"/>
          <w:rtl w:val="true"/>
          <w:lang w:bidi="fa-IR"/>
        </w:rPr>
        <w:t xml:space="preserve">»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معاویة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یجیئنی الرجل فیطلب </w:t>
      </w:r>
      <w:r>
        <w:rPr>
          <w:rStyle w:val="FootnoteAnchor"/>
          <w:rtl w:val="true"/>
        </w:rPr>
        <w:footnoteReference w:id="2357"/>
      </w:r>
      <w:r>
        <w:rPr>
          <w:rFonts w:ascii="IRNazanin" w:hAnsi="IRNazanin" w:eastAsia="IRNazanin"/>
          <w:color w:val="111111"/>
          <w:sz w:val="28"/>
          <w:sz w:val="28"/>
          <w:szCs w:val="28"/>
          <w:rtl w:val="true"/>
          <w:lang w:bidi="fa-IR"/>
        </w:rPr>
        <w:t xml:space="preserve">بیع الحریر،و لیس عندی شیء فیقاولنی علیه و أُقاوله فی الربح و الأجل حتّی نجتمع </w:t>
      </w:r>
      <w:r>
        <w:rPr>
          <w:rStyle w:val="FootnoteAnchor"/>
          <w:rtl w:val="true"/>
        </w:rPr>
        <w:footnoteReference w:id="2358"/>
      </w:r>
      <w:r>
        <w:rPr>
          <w:rFonts w:ascii="IRNazanin" w:hAnsi="IRNazanin" w:eastAsia="IRNazanin"/>
          <w:color w:val="111111"/>
          <w:sz w:val="28"/>
          <w:sz w:val="28"/>
          <w:szCs w:val="28"/>
          <w:rtl w:val="true"/>
          <w:lang w:bidi="fa-IR"/>
        </w:rPr>
        <w:t>علی شیء،ثمّ أذهب لأشتری الحریر فأدعوه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رأیت إن وجد مبیعاً هو </w:t>
      </w:r>
      <w:r>
        <w:rPr>
          <w:rStyle w:val="FootnoteAnchor"/>
          <w:rtl w:val="true"/>
        </w:rPr>
        <w:footnoteReference w:id="2359"/>
      </w:r>
      <w:r>
        <w:rPr>
          <w:rFonts w:ascii="Amiri" w:hAnsi="Amiri" w:eastAsia="Amiri" w:cs="Amiri"/>
          <w:color w:val="111111"/>
          <w:sz w:val="28"/>
          <w:sz w:val="28"/>
          <w:szCs w:val="28"/>
          <w:rtl w:val="true"/>
          <w:lang w:bidi="ar-SA"/>
        </w:rPr>
        <w:t>أحبّ إلیه ممّا</w:t>
      </w:r>
    </w:p>
    <w:p>
      <w:pPr>
        <w:pStyle w:val="BookText"/>
        <w:rPr/>
      </w:pPr>
      <w:r>
        <w:rPr>
          <w:rFonts w:ascii="IRNazanin" w:hAnsi="IRNazanin" w:eastAsia="IRNazanin"/>
          <w:color w:val="111111"/>
          <w:sz w:val="28"/>
          <w:sz w:val="28"/>
          <w:szCs w:val="28"/>
          <w:rtl w:val="true"/>
          <w:lang w:bidi="fa-IR"/>
        </w:rPr>
        <w:t xml:space="preserve">عندک،أ یستطیع أن ینصرف إلیه و یدعک؟أو وجدت أنت ذلک أ تستطیع أن تنصرف عنه </w:t>
      </w:r>
      <w:r>
        <w:rPr>
          <w:rStyle w:val="FootnoteAnchor"/>
          <w:rtl w:val="true"/>
        </w:rPr>
        <w:footnoteReference w:id="2360"/>
      </w:r>
      <w:r>
        <w:rPr>
          <w:rFonts w:ascii="IRNazanin" w:hAnsi="IRNazanin" w:eastAsia="IRNazanin"/>
          <w:color w:val="111111"/>
          <w:sz w:val="28"/>
          <w:sz w:val="28"/>
          <w:szCs w:val="28"/>
          <w:rtl w:val="true"/>
          <w:lang w:bidi="fa-IR"/>
        </w:rPr>
        <w:t>و تدعه؟قلت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361"/>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ظهور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المورد فی بعضها و من حیث التعلیل فی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صحّة البیع قبل الاشتراء، و أنّه یشترط فی البیع الثانی تملّک البائع له و استقلاله فیه،و لا یکون قد سبق منه و من المشتری إلزام و التزام سابق بذلک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 العمومات </w:t>
      </w:r>
      <w:r>
        <w:rPr>
          <w:rStyle w:val="FootnoteAnchor"/>
          <w:rtl w:val="true"/>
        </w:rPr>
        <w:footnoteReference w:id="2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إنّما تدلّ علی عدم ترتّب الأثر المقصود من البیع،و هو النقل و الانتقال المنجّز علی بیع ما لیس عنده، فلا یجوز ترتّب الأثر علی هذا البیع،لا من طرف البائع بأن یتصرّف فی الثمن،و لا من طرف المشتری بأن یطالب البائع بتسلیم المبیع</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الجواب عن الأخبار؛فإنّها لا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بملاحظة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تواجبه البیع قبل أن تستوجبها</w:t>
      </w:r>
      <w:r>
        <w:rPr>
          <w:rFonts w:eastAsia="IRNazanin" w:cs="IRNazanin"/>
          <w:color w:val="111111"/>
          <w:sz w:val="28"/>
          <w:szCs w:val="28"/>
          <w:rtl w:val="true"/>
          <w:lang w:bidi="fa-IR"/>
        </w:rPr>
        <w:t xml:space="preserve">» </w:t>
      </w:r>
      <w:r>
        <w:rPr>
          <w:rStyle w:val="FootnoteAnchor"/>
          <w:rtl w:val="true"/>
        </w:rPr>
        <w:footnoteReference w:id="2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أنّ الممنوع منه هو الإلزام و الالتزام من المتبایعین بآثار البیع المذکور قبل الاشتراء،فکذا بعده من دون حاجة إلی إجازة،و هی المسألة الآتیة، أعنی لزوم البیع بنفس الاشتراء من البائع من دون حاجة إلی الإجازة،</w:t>
      </w:r>
    </w:p>
    <w:p>
      <w:pPr>
        <w:pStyle w:val="BookText"/>
        <w:rPr/>
      </w:pPr>
      <w:r>
        <w:rPr>
          <w:rFonts w:ascii="IRNazanin" w:hAnsi="IRNazanin" w:eastAsia="IRNazanin"/>
          <w:color w:val="111111"/>
          <w:sz w:val="28"/>
          <w:sz w:val="28"/>
          <w:szCs w:val="28"/>
          <w:rtl w:val="true"/>
          <w:lang w:bidi="fa-IR"/>
        </w:rPr>
        <w:t xml:space="preserve">و سیأتی أنّ الأقوی فیها البطلان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تسلیم البائع للمبیع بعد اشترائه إلی المشتری الأوّل مفروض فی مورد الروایات </w:t>
      </w:r>
      <w:r>
        <w:rPr>
          <w:rStyle w:val="FootnoteAnchor"/>
          <w:rtl w:val="true"/>
        </w:rPr>
        <w:footnoteReference w:id="2365"/>
      </w:r>
      <w:r>
        <w:rPr>
          <w:rFonts w:ascii="IRNazanin" w:hAnsi="IRNazanin" w:eastAsia="IRNazanin"/>
          <w:color w:val="111111"/>
          <w:sz w:val="28"/>
          <w:sz w:val="28"/>
          <w:szCs w:val="28"/>
          <w:rtl w:val="true"/>
          <w:lang w:bidi="fa-IR"/>
        </w:rPr>
        <w:t xml:space="preserve">و هی إجازة فعلیّة </w:t>
      </w:r>
      <w:r>
        <w:rPr>
          <w:rStyle w:val="FootnoteAnchor"/>
          <w:rtl w:val="true"/>
        </w:rPr>
        <w:footnoteReference w:id="2366"/>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التسلیم إذا وقع باعتقاد لزوم البیع السابق و کونه من مقتضیات لزوم العقد و أنّه ممّا لا اختیار للبائع فیه بل یجبَر علیه إذا امتنع،فهذا لا یعدّ إجازة </w:t>
      </w:r>
      <w:r>
        <w:rPr>
          <w:rStyle w:val="FootnoteAnchor"/>
          <w:rtl w:val="true"/>
        </w:rPr>
        <w:footnoteReference w:id="2367"/>
      </w:r>
      <w:r>
        <w:rPr>
          <w:rFonts w:ascii="IRNazanin" w:hAnsi="IRNazanin" w:eastAsia="IRNazanin"/>
          <w:color w:val="111111"/>
          <w:sz w:val="28"/>
          <w:sz w:val="28"/>
          <w:szCs w:val="28"/>
          <w:rtl w:val="true"/>
          <w:lang w:bidi="fa-IR"/>
        </w:rPr>
        <w:t>و لا یترتّب علیه أحکام الإجازة فی باب الفضولی؛لأنّ المعتبر فی الإجازة قولاً و فعلاً ما یکون عن سلطنة و استقلال؛لأنّ ما یدلّ علی اعتبار طیب النفس فی صیرورة مال الغیر حلالاً لغیره،یدلّ علی عدم کفایة ذلک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مقتضی تعلیل نفی البأس فی روایة خالد المتقدّمة بأنّ المشتری إن شاء أخذ و إن شاء ترک </w:t>
      </w:r>
      <w:r>
        <w:rPr>
          <w:rStyle w:val="FootnoteAnchor"/>
          <w:rtl w:val="true"/>
        </w:rPr>
        <w:footnoteReference w:id="2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البأس فی البیع السابق بمجرّد لزومه علی الأصیل،و هذا محقّق فیما نحن فیه؛بناءً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لیس للأصیل فی عقد الفضولی فسخ المعاملة قبل</w:t>
      </w:r>
    </w:p>
    <w:p>
      <w:pPr>
        <w:pStyle w:val="BookText"/>
        <w:rPr/>
      </w:pPr>
      <w:r>
        <w:rPr>
          <w:rFonts w:ascii="IRNazanin" w:hAnsi="IRNazanin" w:eastAsia="IRNazanin"/>
          <w:color w:val="111111"/>
          <w:sz w:val="28"/>
          <w:sz w:val="28"/>
          <w:szCs w:val="28"/>
          <w:rtl w:val="true"/>
          <w:lang w:bidi="fa-IR"/>
        </w:rPr>
        <w:t xml:space="preserve">إجازة المالک أو ردّه </w:t>
      </w:r>
      <w:r>
        <w:rPr>
          <w:rStyle w:val="FootnoteAnchor"/>
          <w:rtl w:val="true"/>
        </w:rPr>
        <w:footnoteReference w:id="2369"/>
      </w:r>
      <w:r>
        <w:rPr>
          <w:rFonts w:ascii="IRNazanin" w:hAnsi="IRNazanin" w:eastAsia="IRNazanin"/>
          <w:color w:val="111111"/>
          <w:sz w:val="28"/>
          <w:sz w:val="28"/>
          <w:szCs w:val="28"/>
          <w:rtl w:val="true"/>
          <w:lang w:bidi="fa-IR"/>
        </w:rPr>
        <w:t>،لکنّ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بقرینة النهی عن مواجبة البیع فی الخبر المتقدّم </w:t>
      </w:r>
      <w:r>
        <w:rPr>
          <w:rStyle w:val="FootnoteAnchor"/>
          <w:rtl w:val="true"/>
        </w:rPr>
        <w:footnoteReference w:id="2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اللزوم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الروایات عموماً و خصوصاً علی النهی عن البیع قبل الملک ممّا لا مساغ لإنکاره،و دلالة النهی علی الفساد أیضاً ممّا لم یقع فیها المناقشة فی هذه المسألة،إلّا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بفساد البیع عدم ترتّب ما یقصد منه عرفاً من الآثار،فی مقابل الصحّة التی هی إمضاء الشارع لما یقصد عرفاً من إنشاء البیع،مثلاً لو فرض حکم الشارع بصحّة بیع الشیء قبل تملّکه علی الوجه الذی یقصده أهل المعاملة،کأن یترتّب علیه بعد البیع النقلُ و الانتقال،و جواز تصرّف البائع فی الثمن،و جواز مطالبة المشتری البائعَ بتحصیل المبیع من مالکه و تسلیمه،و عدم جواز امتناع البائع بعد تحصیله عن تسلیمه،ففساد البیع بمعنی عدم ترتّب جمیع ذلک علیه،و هو لا ینافی قابلیة العقد للحوق الإجازة من مالکه حین العقد أو ممّن یملکه بعد العقد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یجب علی </w:t>
      </w:r>
      <w:r>
        <w:rPr>
          <w:rStyle w:val="FootnoteAnchor"/>
          <w:rtl w:val="true"/>
        </w:rPr>
        <w:footnoteReference w:id="2371"/>
      </w:r>
      <w:r>
        <w:rPr>
          <w:rFonts w:ascii="IRNazanin" w:hAnsi="IRNazanin" w:eastAsia="IRNazanin"/>
          <w:color w:val="111111"/>
          <w:sz w:val="28"/>
          <w:sz w:val="28"/>
          <w:szCs w:val="28"/>
          <w:rtl w:val="true"/>
          <w:lang w:bidi="fa-IR"/>
        </w:rPr>
        <w:t>القول بدلالة النهی علی الفساد وقوع المنهی عنه لغواً غیر مؤثّر أصلاً،کما یستفاد من وجه دلالة النهی علی الفساد، فإنّ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دلالة النهی علی إرشاد المخاطب و بیان أنّ مقصوده من الفعل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الملک و السلطنة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فهو غیر مؤثّر فی مقصود المتبایعین،لا أنّه لغوٌ من جمیع الجهات،فافهم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عدم ترتّب جمیع مقاصد المتعاقدین علی عقدٍ بمجرّد إنشائه مع وقوع </w:t>
      </w:r>
      <w:r>
        <w:rPr>
          <w:rStyle w:val="FootnoteAnchor"/>
          <w:rtl w:val="true"/>
        </w:rPr>
        <w:footnoteReference w:id="2372"/>
      </w:r>
      <w:r>
        <w:rPr>
          <w:rFonts w:ascii="IRNazanin" w:hAnsi="IRNazanin" w:eastAsia="IRNazanin"/>
          <w:color w:val="111111"/>
          <w:sz w:val="28"/>
          <w:sz w:val="28"/>
          <w:szCs w:val="28"/>
          <w:rtl w:val="true"/>
          <w:lang w:bidi="fa-IR"/>
        </w:rPr>
        <w:t>مدلول ذلک العقد فی نظر الشارع مقیّداً بانضمام بعض الأُمور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کالقبض فی الهبة و نحوها و الإجازة فی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النهی عنها بقولٍ مطلق؛إذ معنی صحّة المعاملة شرعاً أن یترتّب علیها شرعاً المدلول المقصود من إنشائه و لو مع شرط لاحق،و عدم بناء المتعاملین علی مراعاة ذلک الشرط لا یوجب النهی عنه إلّا مقیّداً بتجرّده عن لحوق ذلک الشرط،فقصدهم ترتّب الملک المنجّز علی البیع قبل التملّک بحیث یسلّمون الثمن و یطالبون المبیع لا یوجب الحکم علیه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النهی فی تلک الروایات هو عدم وقوع البیع قبل التملّک للبائع و عدم ترتّب أثر الإنشاء المقصود منه علیه مطلقاً حتّی مع الإجازة،و أمّا صحّته بالنسبة إلی المالک إذا أجاز؛فلأنّ النهی راجع إلی وقوع البیع المذکور للبائع،فلا تعرّض فیه لحال المالک إذا أجاز،فیرجع فیه إلی مسألة الفضولی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نعم،قد یخدش </w:t>
      </w:r>
      <w:r>
        <w:rPr>
          <w:rStyle w:val="FootnoteAnchor"/>
          <w:rtl w:val="true"/>
        </w:rPr>
        <w:footnoteReference w:id="2373"/>
      </w:r>
      <w:r>
        <w:rPr>
          <w:rFonts w:ascii="IRNazanin" w:hAnsi="IRNazanin" w:eastAsia="IRNazanin"/>
          <w:color w:val="111111"/>
          <w:sz w:val="28"/>
          <w:sz w:val="28"/>
          <w:szCs w:val="28"/>
          <w:rtl w:val="true"/>
          <w:lang w:bidi="fa-IR"/>
        </w:rPr>
        <w:t xml:space="preserve">فیها </w:t>
      </w:r>
      <w:r>
        <w:rPr>
          <w:rStyle w:val="FootnoteAnchor"/>
          <w:rtl w:val="true"/>
        </w:rPr>
        <w:footnoteReference w:id="2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کثیر من الأخبار المتقدّمة </w:t>
      </w:r>
      <w:r>
        <w:rPr>
          <w:rStyle w:val="FootnoteAnchor"/>
          <w:rtl w:val="true"/>
        </w:rPr>
        <w:footnoteReference w:id="2375"/>
      </w:r>
      <w:r>
        <w:rPr>
          <w:rFonts w:ascii="IRNazanin" w:hAnsi="IRNazanin" w:eastAsia="IRNazanin"/>
          <w:color w:val="111111"/>
          <w:sz w:val="28"/>
          <w:sz w:val="28"/>
          <w:szCs w:val="28"/>
          <w:rtl w:val="true"/>
          <w:lang w:bidi="fa-IR"/>
        </w:rPr>
        <w:t>، ورودها فی بیع الکلیّ،و أنّه لا یجوز بیع الکلیّ فی الذمّة ثمّ اشتراء</w:t>
      </w:r>
    </w:p>
    <w:p>
      <w:pPr>
        <w:pStyle w:val="BookText"/>
        <w:rPr/>
      </w:pPr>
      <w:r>
        <w:rPr>
          <w:rFonts w:ascii="IRNazanin" w:hAnsi="IRNazanin" w:eastAsia="IRNazanin"/>
          <w:color w:val="111111"/>
          <w:sz w:val="28"/>
          <w:sz w:val="28"/>
          <w:szCs w:val="28"/>
          <w:rtl w:val="true"/>
          <w:lang w:bidi="fa-IR"/>
        </w:rPr>
        <w:t xml:space="preserve">بعض أفراده و تسلیمه إلی المشتری الأوّل،و المذهب جواز ذلک و إن نسب الخلاف فیه إلی بعض العبائر </w:t>
      </w:r>
      <w:r>
        <w:rPr>
          <w:rStyle w:val="FootnoteAnchor"/>
          <w:rtl w:val="true"/>
        </w:rPr>
        <w:footnoteReference w:id="2376"/>
      </w:r>
      <w:r>
        <w:rPr>
          <w:rFonts w:ascii="IRNazanin" w:hAnsi="IRNazanin" w:eastAsia="IRNazanin"/>
          <w:color w:val="111111"/>
          <w:sz w:val="28"/>
          <w:sz w:val="28"/>
          <w:szCs w:val="28"/>
          <w:rtl w:val="true"/>
          <w:lang w:bidi="fa-IR"/>
        </w:rPr>
        <w:t>،فیقوی 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و ما ورد فی سیاقها </w:t>
      </w:r>
      <w:r>
        <w:rPr>
          <w:rStyle w:val="FootnoteAnchor"/>
          <w:rtl w:val="true"/>
        </w:rPr>
        <w:footnoteReference w:id="2377"/>
      </w:r>
      <w:r>
        <w:rPr>
          <w:rFonts w:ascii="IRNazanin" w:hAnsi="IRNazanin" w:eastAsia="IRNazanin"/>
          <w:color w:val="111111"/>
          <w:sz w:val="28"/>
          <w:sz w:val="28"/>
          <w:szCs w:val="28"/>
          <w:rtl w:val="true"/>
          <w:lang w:bidi="fa-IR"/>
        </w:rPr>
        <w:t>فی بیع الشخصی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کروایتی یحیی و خالد المتقدّمتین </w:t>
      </w:r>
      <w:r>
        <w:rPr>
          <w:rStyle w:val="FootnoteAnchor"/>
          <w:rtl w:val="true"/>
        </w:rPr>
        <w:footnoteReference w:id="2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بها الکراهة،أو وردت فی مقام التقیّة؛لأنّ المنع عن بیع الکلّی حالاّ مع عدم وجوده عند البائع </w:t>
      </w:r>
      <w:r>
        <w:rPr>
          <w:rStyle w:val="FootnoteAnchor"/>
          <w:rtl w:val="true"/>
        </w:rPr>
        <w:footnoteReference w:id="2379"/>
      </w:r>
      <w:r>
        <w:rPr>
          <w:rFonts w:ascii="IRNazanin" w:hAnsi="IRNazanin" w:eastAsia="IRNazanin"/>
          <w:color w:val="111111"/>
          <w:sz w:val="28"/>
          <w:sz w:val="28"/>
          <w:szCs w:val="28"/>
          <w:rtl w:val="true"/>
          <w:lang w:bidi="fa-IR"/>
        </w:rPr>
        <w:t xml:space="preserve">حال البیع مذهب جماعة من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فی بعض الأخبار </w:t>
      </w:r>
      <w:r>
        <w:rPr>
          <w:rStyle w:val="FootnoteAnchor"/>
          <w:rtl w:val="true"/>
        </w:rPr>
        <w:footnoteReference w:id="2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مستندِین فی ذلک إلی النهی النبوی عن بیع ما لیس عندک،لکنّ الاعتماد علی هذا التوهین فی رفع الید عن الروایتین المتقدّمتین الواردتین فی بیع الشخصی،و عموم مفهوم التعلیل فی الأخبار الواردة فی بیع الکلیّ </w:t>
      </w:r>
      <w:r>
        <w:rPr>
          <w:rStyle w:val="FootnoteAnchor"/>
          <w:rtl w:val="true"/>
        </w:rPr>
        <w:footnoteReference w:id="2381"/>
      </w:r>
      <w:r>
        <w:rPr>
          <w:rFonts w:ascii="IRNazanin" w:hAnsi="IRNazanin" w:eastAsia="IRNazanin"/>
          <w:color w:val="111111"/>
          <w:sz w:val="28"/>
          <w:sz w:val="28"/>
          <w:szCs w:val="28"/>
          <w:rtl w:val="true"/>
          <w:lang w:bidi="fa-IR"/>
        </w:rPr>
        <w:t>،خلاف الإنصاف؛إذ غایة الأمر حمل الحکم فی مورد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بیع الکلیّ قبل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التقیّة، و هو لا یوجب طرح مفهوم التعلیل رأساً،فتدبّر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بالروایات و الفتوی بالمنع عن البیع المذکور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سیأتی عن التذکرة و المختلف</w:t>
      </w:r>
      <w:bookmarkStart w:id="785" w:name="pg19763_248200"/>
    </w:p>
    <w:p>
      <w:pPr>
        <w:pStyle w:val="BookText"/>
        <w:rPr/>
      </w:pPr>
      <w:bookmarkEnd w:id="785"/>
      <w:r>
        <w:rPr>
          <w:rFonts w:ascii="IRNazanin" w:hAnsi="IRNazanin" w:eastAsia="IRNazanin"/>
          <w:color w:val="111111"/>
          <w:sz w:val="28"/>
          <w:sz w:val="28"/>
          <w:szCs w:val="28"/>
          <w:rtl w:val="true"/>
          <w:lang w:bidi="fa-IR"/>
        </w:rPr>
        <w:t>من دعوی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الحسن بن زیاد الطائی الواردة فی نکاح العبد بغیر إذن مولاه،قال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کنت رجلاً مملوکاً فتزوّجت بغیر إذن مولای ثمّ أعتقنی </w:t>
      </w:r>
      <w:r>
        <w:rPr>
          <w:rStyle w:val="FootnoteAnchor"/>
          <w:rtl w:val="true"/>
        </w:rPr>
        <w:footnoteReference w:id="2382"/>
      </w:r>
      <w:r>
        <w:rPr>
          <w:rFonts w:ascii="IRNazanin" w:hAnsi="IRNazanin" w:eastAsia="IRNazanin"/>
          <w:color w:val="111111"/>
          <w:sz w:val="28"/>
          <w:sz w:val="28"/>
          <w:szCs w:val="28"/>
          <w:rtl w:val="true"/>
          <w:lang w:bidi="fa-IR"/>
        </w:rPr>
        <w:t>بعد،فأُجدّد النکاح؟فقال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أنّک تزوّجت؟قلت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علموا فسکتوا و لم یقولوا لی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إقرار منهم،أنت علی نکاحک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383"/>
      </w:r>
      <w:r>
        <w:rPr>
          <w:rFonts w:ascii="IRNazanin" w:hAnsi="IRNazanin" w:eastAsia="IRNazanin"/>
          <w:color w:val="111111"/>
          <w:sz w:val="28"/>
          <w:sz w:val="28"/>
          <w:szCs w:val="28"/>
          <w:rtl w:val="true"/>
          <w:lang w:bidi="fa-IR"/>
        </w:rPr>
        <w:t xml:space="preserve">فإنّها ظاهرة بل صریحة فی أنّ علّة البقاء بعد العتق علی ما فعله بغیر إذن مولاه هو إقراره المستفاد من سکوته،فلو کان صیرورته حرّا مالکاً لنفسه مسوّغةً للبقاء مع إجازته أو بدونها لم یحتج إلی الاستفصال عن أنّ المولی سکت أم لا؛للزوم العقد حینئذٍ </w:t>
      </w:r>
      <w:r>
        <w:rPr>
          <w:rStyle w:val="FootnoteAnchor"/>
          <w:rtl w:val="true"/>
        </w:rPr>
        <w:footnoteReference w:id="2384"/>
      </w:r>
      <w:r>
        <w:rPr>
          <w:rFonts w:ascii="IRNazanin" w:hAnsi="IRNazanin" w:eastAsia="IRNazanin"/>
          <w:color w:val="111111"/>
          <w:sz w:val="28"/>
          <w:sz w:val="28"/>
          <w:szCs w:val="28"/>
          <w:rtl w:val="true"/>
          <w:lang w:bidi="fa-IR"/>
        </w:rPr>
        <w:t>علی کلّ تقدیر</w:t>
      </w:r>
      <w:r>
        <w:rPr>
          <w:rFonts w:eastAsia="IRNazanin" w:cs="IRNazanin"/>
          <w:color w:val="111111"/>
          <w:sz w:val="28"/>
          <w:szCs w:val="28"/>
          <w:rtl w:val="true"/>
          <w:lang w:bidi="fa-IR"/>
        </w:rPr>
        <w:t>.</w:t>
      </w:r>
    </w:p>
    <w:p>
      <w:pPr>
        <w:pStyle w:val="Heading6"/>
        <w:numPr>
          <w:ilvl w:val="5"/>
          <w:numId w:val="1"/>
        </w:numPr>
        <w:rPr/>
      </w:pPr>
      <w:bookmarkStart w:id="786" w:name="__RefHeading___Toc5083022_2314609296"/>
      <w:bookmarkStart w:id="787" w:name="_Toc302"/>
      <w:bookmarkEnd w:id="786"/>
      <w:r>
        <w:rPr>
          <w:rtl w:val="true"/>
        </w:rPr>
        <w:t>[</w:t>
      </w:r>
      <w:r>
        <w:rPr>
          <w:rtl w:val="true"/>
        </w:rPr>
        <w:t>مورد الروایات ما لو باع لنفسه غیر مترقب للإجازة</w:t>
      </w:r>
      <w:r>
        <w:rPr>
          <w:rtl w:val="true"/>
        </w:rPr>
        <w:t>]</w:t>
      </w:r>
      <w:bookmarkEnd w:id="78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الواجب علی کلّ تقدیر هو الاقتصار علی مورد الروایات، و هو ما لو باع البائع لنفسه و اشتری المشتری غیر مترقّب لإجازة المالک و لا لإجازة البائع إذا صار مالکاً،و هذا هو الذی ذکره العلّامة رحمه اللّه فی التذکرة نافیاً للخلاف فی فساده،قال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یبیع عیناً لا یملکها و یمضی لیشتریها و یسلّمها،و به قال الشافعی و أحمد، و لا نعلم فیه خلافاً؛لقول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لاشتمالها علی الغرر،فإنّ صاحبها قد لا یبیعها،و هو غیر مالک لها و لا قادر علی تسلیمها،أمّا لو اشتری موصوفاً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w:t>
      </w:r>
    </w:p>
    <w:p>
      <w:pPr>
        <w:pStyle w:val="BookText"/>
        <w:rPr/>
      </w:pPr>
      <w:r>
        <w:rPr>
          <w:rFonts w:ascii="Amiri" w:hAnsi="Amiri" w:eastAsia="Amiri" w:cs="Amiri"/>
          <w:color w:val="111111"/>
          <w:sz w:val="28"/>
          <w:sz w:val="28"/>
          <w:szCs w:val="28"/>
          <w:rtl w:val="true"/>
          <w:lang w:bidi="ar-SA"/>
        </w:rPr>
        <w:t>حالاّ أو مؤجلاً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جائز إجماعاً </w:t>
      </w:r>
      <w:r>
        <w:rPr>
          <w:rStyle w:val="FootnoteAnchor"/>
          <w:rtl w:val="true"/>
        </w:rPr>
        <w:footnoteReference w:id="2385"/>
      </w:r>
      <w:r>
        <w:rPr>
          <w:rFonts w:ascii="IRNazanin" w:hAnsi="IRNazanin" w:eastAsia="IRNazanin"/>
          <w:color w:val="111111"/>
          <w:sz w:val="28"/>
          <w:sz w:val="28"/>
          <w:szCs w:val="28"/>
          <w:rtl w:val="true"/>
          <w:lang w:bidi="fa-IR"/>
        </w:rPr>
        <w:t xml:space="preserve">،انتهی،و حکی عن المختلف أیضاً الإجماع علی المنع </w:t>
      </w:r>
      <w:r>
        <w:rPr>
          <w:rStyle w:val="FootnoteAnchor"/>
          <w:rtl w:val="true"/>
        </w:rPr>
        <w:footnoteReference w:id="2386"/>
      </w:r>
      <w:r>
        <w:rPr>
          <w:rFonts w:ascii="Amiri" w:hAnsi="Amiri" w:eastAsia="Amiri" w:cs="Amiri"/>
          <w:color w:val="111111"/>
          <w:sz w:val="28"/>
          <w:sz w:val="28"/>
          <w:szCs w:val="28"/>
          <w:rtl w:val="true"/>
          <w:lang w:bidi="ar-SA"/>
        </w:rPr>
        <w:t xml:space="preserve">أیضاً </w:t>
      </w:r>
      <w:r>
        <w:rPr>
          <w:rStyle w:val="FootnoteAnchor"/>
          <w:rtl w:val="true"/>
        </w:rPr>
        <w:footnoteReference w:id="2387"/>
      </w:r>
      <w:r>
        <w:rPr>
          <w:rFonts w:ascii="IRNazanin" w:hAnsi="IRNazanin" w:eastAsia="IRNazanin"/>
          <w:color w:val="111111"/>
          <w:sz w:val="28"/>
          <w:sz w:val="28"/>
          <w:szCs w:val="28"/>
          <w:rtl w:val="true"/>
          <w:lang w:bidi="fa-IR"/>
        </w:rPr>
        <w:t>،و استدلاله بالغرر و عدم القدرة علی التسلیم ظاهر،بل صریح فی وقوع الاشتراء غیر مترقّب لإجازة مجیز،بل وقع علی وجهٍ یلزم علی البائع بعد البیع تحصیل المبیع و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لو تبایعا علی أن یکون العقد موقوفاً علی الإجازة، فاتّفقت الإجازة من المالک أو من البائع بعد تملّکه،لم یدخل فی مورد الأخبار و لا فی معقد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تبایعا علی أن یکون اللزوم موقوفاً علی تملّک البائع دون إجازته،فظاهر عبارة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البیع المنهیّ عنه فی الأخبار المذکورة؛حیث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باع ملک غیره ثمّ انتقل إلیه فأجاز،و لو أراد </w:t>
      </w:r>
      <w:r>
        <w:rPr>
          <w:rStyle w:val="FootnoteAnchor"/>
          <w:rtl w:val="true"/>
        </w:rPr>
        <w:footnoteReference w:id="2388"/>
      </w:r>
      <w:r>
        <w:rPr>
          <w:rFonts w:ascii="IRNazanin" w:hAnsi="IRNazanin" w:eastAsia="IRNazanin"/>
          <w:color w:val="111111"/>
          <w:sz w:val="28"/>
          <w:sz w:val="28"/>
          <w:szCs w:val="28"/>
          <w:rtl w:val="true"/>
          <w:lang w:bidi="fa-IR"/>
        </w:rPr>
        <w:t xml:space="preserve">لزوم البیع بالانتقال فهو بیع ما لیس عنده،و قد نهی عنه </w:t>
      </w:r>
      <w:r>
        <w:rPr>
          <w:rStyle w:val="FootnoteAnchor"/>
          <w:rtl w:val="true"/>
        </w:rPr>
        <w:footnoteReference w:id="238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ظهورها فی الصورة الأُولی،و هی ما لو تبایعا</w:t>
      </w:r>
    </w:p>
    <w:p>
      <w:pPr>
        <w:pStyle w:val="BookText"/>
        <w:rPr/>
      </w:pPr>
      <w:r>
        <w:rPr>
          <w:rFonts w:ascii="IRNazanin" w:hAnsi="IRNazanin" w:eastAsia="IRNazanin"/>
          <w:color w:val="111111"/>
          <w:sz w:val="28"/>
          <w:sz w:val="28"/>
          <w:szCs w:val="28"/>
          <w:rtl w:val="true"/>
          <w:lang w:bidi="fa-IR"/>
        </w:rPr>
        <w:t>قاصدین لتنجّز النقل و الانتقال و عدم الوقوف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فی التذکرة کالصریح فی ذلک؛حیث علّل المنع بالغرر و عدم القدرة علی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أصرح منه کلامه المحکیّ عن المختلف فی فصل النقد و النسیة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باع عن </w:t>
      </w:r>
      <w:r>
        <w:rPr>
          <w:rStyle w:val="FootnoteAnchor"/>
          <w:rtl w:val="true"/>
        </w:rPr>
        <w:footnoteReference w:id="2391"/>
      </w:r>
      <w:r>
        <w:rPr>
          <w:rFonts w:ascii="IRNazanin" w:hAnsi="IRNazanin" w:eastAsia="IRNazanin"/>
          <w:color w:val="111111"/>
          <w:sz w:val="28"/>
          <w:sz w:val="28"/>
          <w:szCs w:val="28"/>
          <w:rtl w:val="true"/>
          <w:lang w:bidi="fa-IR"/>
        </w:rPr>
        <w:t xml:space="preserve">المالک فاتّفق انتقاله إلی البائع فأجازه </w:t>
      </w:r>
      <w:r>
        <w:rPr>
          <w:rStyle w:val="FootnoteAnchor"/>
          <w:rtl w:val="true"/>
        </w:rPr>
        <w:footnoteReference w:id="2392"/>
      </w:r>
      <w:r>
        <w:rPr>
          <w:rFonts w:ascii="IRNazanin" w:hAnsi="IRNazanin" w:eastAsia="IRNazanin"/>
          <w:color w:val="111111"/>
          <w:sz w:val="28"/>
          <w:sz w:val="28"/>
          <w:szCs w:val="28"/>
          <w:rtl w:val="true"/>
          <w:lang w:bidi="fa-IR"/>
        </w:rPr>
        <w:t>فالظاهر أیضاً الصحّة؛لخروجه عن مورد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نعم،قد یشکل فیه من حیث إنّ الإجازة لا متعلّق لها </w:t>
      </w:r>
      <w:r>
        <w:rPr>
          <w:rStyle w:val="FootnoteAnchor"/>
          <w:rtl w:val="true"/>
        </w:rPr>
        <w:footnoteReference w:id="2393"/>
      </w:r>
      <w:r>
        <w:rPr>
          <w:rFonts w:ascii="IRNazanin" w:hAnsi="IRNazanin" w:eastAsia="IRNazanin"/>
          <w:color w:val="111111"/>
          <w:sz w:val="28"/>
          <w:sz w:val="28"/>
          <w:szCs w:val="28"/>
          <w:rtl w:val="true"/>
          <w:lang w:bidi="fa-IR"/>
        </w:rPr>
        <w:t xml:space="preserve">لأنّ العقد السابق کان إنشاءً للبیع عن </w:t>
      </w:r>
      <w:r>
        <w:rPr>
          <w:rStyle w:val="FootnoteAnchor"/>
          <w:rtl w:val="true"/>
        </w:rPr>
        <w:footnoteReference w:id="2394"/>
      </w:r>
      <w:r>
        <w:rPr>
          <w:rFonts w:ascii="IRNazanin" w:hAnsi="IRNazanin" w:eastAsia="IRNazanin"/>
          <w:color w:val="111111"/>
          <w:sz w:val="28"/>
          <w:sz w:val="28"/>
          <w:szCs w:val="28"/>
          <w:rtl w:val="true"/>
          <w:lang w:bidi="fa-IR"/>
        </w:rPr>
        <w:t>المالک الأصلی،و لا معنی لإجازة هذا بعد خروجه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دفعه بما اندفع به سابقاً الإشکال فی عکس المسألة و هی ما لو باعه الفضولی لنفسه فأجازه المالک لنفسه </w:t>
      </w:r>
      <w:r>
        <w:rPr>
          <w:rStyle w:val="FootnoteAnchor"/>
          <w:rtl w:val="true"/>
        </w:rPr>
        <w:footnoteReference w:id="239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باع لثالثٍ معتقداً لتملّکه أو بانیاً علیه عدواناً،فإن أجاز المالک فلا کلام فی الصحّة؛بناءً علی المشهور من عدم اعتبار وقوع البیع عن المالک،و إن ملکه الثالث و أجازه،أو ملکه البائع فأجازه، فالظاهر أنّه داخل فی المسألة السابقة</w:t>
      </w:r>
      <w:r>
        <w:rPr>
          <w:rFonts w:eastAsia="IRNazanin" w:cs="IRNazanin"/>
          <w:color w:val="111111"/>
          <w:sz w:val="28"/>
          <w:szCs w:val="28"/>
          <w:rtl w:val="true"/>
          <w:lang w:bidi="fa-IR"/>
        </w:rPr>
        <w:t>.</w:t>
      </w:r>
      <w:bookmarkStart w:id="788" w:name="pg19763_248203"/>
    </w:p>
    <w:p>
      <w:pPr>
        <w:pStyle w:val="Heading6"/>
        <w:numPr>
          <w:ilvl w:val="5"/>
          <w:numId w:val="1"/>
        </w:numPr>
        <w:rPr/>
      </w:pPr>
      <w:bookmarkStart w:id="789" w:name="__RefHeading___Toc5083024_2314609296"/>
      <w:bookmarkStart w:id="790" w:name="_Toc303"/>
      <w:bookmarkEnd w:id="788"/>
      <w:bookmarkEnd w:id="789"/>
      <w:r>
        <w:rPr>
          <w:rtl w:val="true"/>
        </w:rPr>
        <w:t>[</w:t>
      </w:r>
      <w:r>
        <w:rPr>
          <w:rtl w:val="true"/>
        </w:rPr>
        <w:t>لو باع لنفسه ثم تملکه و لم یجز</w:t>
      </w:r>
      <w:r>
        <w:rPr>
          <w:rtl w:val="true"/>
        </w:rPr>
        <w:t>]</w:t>
      </w:r>
      <w:bookmarkEnd w:id="790"/>
    </w:p>
    <w:p>
      <w:pPr>
        <w:pStyle w:val="BookText"/>
        <w:rPr/>
      </w:pPr>
      <w:r>
        <w:rPr>
          <w:rFonts w:ascii="IRNazanin" w:hAnsi="IRNazanin" w:eastAsia="IRNazanin"/>
          <w:color w:val="111111"/>
          <w:sz w:val="28"/>
          <w:sz w:val="28"/>
          <w:szCs w:val="28"/>
          <w:rtl w:val="true"/>
          <w:lang w:bidi="fa-IR"/>
        </w:rPr>
        <w:t>ثمّ إنّه قد ظهر ممّا ذکرنا فی المسألة المذکورة حال المسألة الأُخری،و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 لم یجز البائع </w:t>
      </w:r>
      <w:r>
        <w:rPr>
          <w:rStyle w:val="FootnoteAnchor"/>
          <w:rtl w:val="true"/>
        </w:rPr>
        <w:footnoteReference w:id="2396"/>
      </w:r>
      <w:r>
        <w:rPr>
          <w:rFonts w:ascii="IRNazanin" w:hAnsi="IRNazanin" w:eastAsia="IRNazanin"/>
          <w:color w:val="111111"/>
          <w:sz w:val="28"/>
          <w:sz w:val="28"/>
          <w:szCs w:val="28"/>
          <w:rtl w:val="true"/>
          <w:lang w:bidi="fa-IR"/>
        </w:rPr>
        <w:t xml:space="preserve">بعد تملّکه؛فإنّ الظاهر بطلان البیع الأوّل لدخوله تحت الأخبار المذکورة یقیناً،مضافاً إلی قاعدة تسلّط الناس علی أموالهم،و عدم صیرورتها حلالاً من دون طیب النفس؛فإنّ المفروض أنّ البائع بعد ما صار مالکاً لم تَطِب نفسه بکون ماله </w:t>
      </w:r>
      <w:r>
        <w:rPr>
          <w:rStyle w:val="FootnoteAnchor"/>
          <w:rtl w:val="true"/>
        </w:rPr>
        <w:footnoteReference w:id="2397"/>
      </w:r>
      <w:r>
        <w:rPr>
          <w:rFonts w:ascii="IRNazanin" w:hAnsi="IRNazanin" w:eastAsia="IRNazanin"/>
          <w:color w:val="111111"/>
          <w:sz w:val="28"/>
          <w:sz w:val="28"/>
          <w:szCs w:val="28"/>
          <w:rtl w:val="true"/>
          <w:lang w:bidi="fa-IR"/>
        </w:rPr>
        <w:t>للمشتری الأوّل،و التزامه قبل تملّکه بکون هذا المال المعیّن للمشتری لیس التزاماً إلّا بکون مال غیره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عموم وجوب الوفاء بالعقود و الشروط علی کلّ عاقد و شارط هو اللزوم علی البائع بمجرّد انتقال المال إلیه و إن کان قبل ذلک أجنبیّا لا حکم لوفائه و نقضه،و لعلّه لأجل ما ذکرنا رجّح فخر الدین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صحّة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العقد المذکور بمجرّد الانتقال من دون توقّف علی الإجازة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2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یلوح هذا من الشهید الثانی فی هبة المسالک </w:t>
      </w:r>
      <w:r>
        <w:rPr>
          <w:rStyle w:val="FootnoteAnchor"/>
          <w:rtl w:val="true"/>
        </w:rPr>
        <w:footnoteReference w:id="2400"/>
      </w:r>
      <w:r>
        <w:rPr>
          <w:rFonts w:ascii="IRNazanin" w:hAnsi="IRNazanin" w:eastAsia="IRNazanin"/>
          <w:color w:val="111111"/>
          <w:sz w:val="28"/>
          <w:sz w:val="28"/>
          <w:szCs w:val="28"/>
          <w:rtl w:val="true"/>
          <w:lang w:bidi="fa-IR"/>
        </w:rPr>
        <w:t xml:space="preserve">،و قد سبق استظهاره من عبارة الشیخ المحکیّة فی المعتبر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bookmarkStart w:id="791" w:name="pg19763_248204"/>
    </w:p>
    <w:p>
      <w:pPr>
        <w:pStyle w:val="BookText"/>
        <w:rPr/>
      </w:pPr>
      <w:bookmarkEnd w:id="791"/>
      <w:r>
        <w:rPr>
          <w:rFonts w:ascii="IRNazanin" w:hAnsi="IRNazanin" w:eastAsia="IRNazanin"/>
          <w:color w:val="111111"/>
          <w:sz w:val="28"/>
          <w:sz w:val="28"/>
          <w:szCs w:val="28"/>
          <w:rtl w:val="true"/>
          <w:lang w:bidi="fa-IR"/>
        </w:rPr>
        <w:t>لکن یضعّفه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البائع غیر مأمور بالوفاء قبل الملک فیستصحب، و المقام مقام استصحاب حکم الخاصّ،لا مقام الرجوع إلی حکم العامّ،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معارضة العموم المذکور بعموم سلطنة الناس علی أموالهم و عدم حلّها لغیرهم إلّا عن طیب النفس،و فحوی الحکم المذکور فی روایة الحسن بن زیاد المتقدّمة </w:t>
      </w:r>
      <w:r>
        <w:rPr>
          <w:rStyle w:val="FootnoteAnchor"/>
          <w:rtl w:val="true"/>
        </w:rPr>
        <w:footnoteReference w:id="2402"/>
      </w:r>
      <w:r>
        <w:rPr>
          <w:rFonts w:ascii="IRNazanin" w:hAnsi="IRNazanin" w:eastAsia="IRNazanin"/>
          <w:color w:val="111111"/>
          <w:sz w:val="28"/>
          <w:sz w:val="28"/>
          <w:szCs w:val="28"/>
          <w:rtl w:val="true"/>
          <w:lang w:bidi="fa-IR"/>
        </w:rPr>
        <w:t xml:space="preserve">فی نکاح العبد بدون إذن مولاه </w:t>
      </w:r>
      <w:r>
        <w:rPr>
          <w:rStyle w:val="FootnoteAnchor"/>
          <w:rtl w:val="true"/>
        </w:rPr>
        <w:footnoteReference w:id="2403"/>
      </w:r>
      <w:r>
        <w:rPr>
          <w:rFonts w:ascii="IRNazanin" w:hAnsi="IRNazanin" w:eastAsia="IRNazanin"/>
          <w:color w:val="111111"/>
          <w:sz w:val="28"/>
          <w:sz w:val="28"/>
          <w:szCs w:val="28"/>
          <w:rtl w:val="true"/>
          <w:lang w:bidi="fa-IR"/>
        </w:rPr>
        <w:t>و أنّ عتقه لا یجدی فی لزوم النکاح لو لا سکوت المولی الذی هو بمنزلة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عدم التوقّف علی الإجازة فإنّما هو فیما إذا باع الفضولی لنفسه،أمّا لو باع فضولاً للمالک أو لثالثٍ ثمّ ملک هو، فجریان عموم الوفاء بالعقود و الشروط بالنسبة إلی البائع 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باع وکالةً عن المالک </w:t>
      </w:r>
      <w:r>
        <w:rPr>
          <w:rStyle w:val="FootnoteAnchor"/>
          <w:rtl w:val="true"/>
        </w:rPr>
        <w:footnoteReference w:id="2404"/>
      </w:r>
      <w:r>
        <w:rPr>
          <w:rFonts w:ascii="IRNazanin" w:hAnsi="IRNazanin" w:eastAsia="IRNazanin"/>
          <w:color w:val="111111"/>
          <w:sz w:val="28"/>
          <w:sz w:val="28"/>
          <w:szCs w:val="28"/>
          <w:rtl w:val="true"/>
          <w:lang w:bidi="fa-IR"/>
        </w:rPr>
        <w:t>فبان انعزاله بموت الموکِّل،فلا إشکال فی عدم وقوع البیع له بدون الإجازة و لا معها،نعم یقع للوارث مع إجازته</w:t>
      </w:r>
      <w:r>
        <w:rPr>
          <w:rFonts w:eastAsia="IRNazanin" w:cs="IRNazanin"/>
          <w:color w:val="111111"/>
          <w:sz w:val="28"/>
          <w:szCs w:val="28"/>
          <w:rtl w:val="true"/>
          <w:lang w:bidi="fa-IR"/>
        </w:rPr>
        <w:t>.</w:t>
      </w:r>
    </w:p>
    <w:p>
      <w:pPr>
        <w:pStyle w:val="Heading6"/>
        <w:numPr>
          <w:ilvl w:val="5"/>
          <w:numId w:val="1"/>
        </w:numPr>
        <w:rPr/>
      </w:pPr>
      <w:bookmarkStart w:id="792" w:name="__RefHeading___Toc5083026_2314609296"/>
      <w:bookmarkStart w:id="793" w:name="_Toc304"/>
      <w:bookmarkEnd w:id="792"/>
      <w:r>
        <w:rPr>
          <w:rtl w:val="true"/>
        </w:rPr>
        <w:t>المسألة الثالثة ما لو باع معتقداً لکونه غیر جائز التصرّف فبان کونه جائز التصرّف</w:t>
      </w:r>
      <w:r>
        <w:rPr>
          <w:rtl w:val="true"/>
        </w:rPr>
        <w:t>.</w:t>
      </w:r>
      <w:bookmarkEnd w:id="79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جواز التصرّف المُنکشَف خلافه،إمّا لعدم الولایة فانکشف</w:t>
      </w:r>
      <w:bookmarkStart w:id="794" w:name="pg19763_248205"/>
    </w:p>
    <w:p>
      <w:pPr>
        <w:pStyle w:val="BookText"/>
        <w:rPr/>
      </w:pPr>
      <w:bookmarkEnd w:id="794"/>
      <w:r>
        <w:rPr>
          <w:rFonts w:ascii="IRNazanin" w:hAnsi="IRNazanin" w:eastAsia="IRNazanin"/>
          <w:color w:val="111111"/>
          <w:sz w:val="28"/>
          <w:sz w:val="28"/>
          <w:szCs w:val="28"/>
          <w:rtl w:val="true"/>
          <w:lang w:bidi="fa-IR"/>
        </w:rPr>
        <w:t>کونه ولیّاً،و إمّا لعدم الملک فانکشف کونه مالکاً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منهما،فإمّا أن یبیع عن المالک،و إمّا أن یبیع لنفسه، فالصور أربع</w:t>
      </w:r>
      <w:r>
        <w:rPr>
          <w:rFonts w:eastAsia="IRNazanin" w:cs="IRNazanin"/>
          <w:color w:val="111111"/>
          <w:sz w:val="28"/>
          <w:szCs w:val="28"/>
          <w:rtl w:val="true"/>
          <w:lang w:bidi="fa-IR"/>
        </w:rPr>
        <w:t>:</w:t>
      </w:r>
    </w:p>
    <w:p>
      <w:pPr>
        <w:pStyle w:val="Heading6"/>
        <w:numPr>
          <w:ilvl w:val="5"/>
          <w:numId w:val="1"/>
        </w:numPr>
        <w:rPr/>
      </w:pPr>
      <w:bookmarkStart w:id="795" w:name="__RefHeading___Toc5083028_2314609296"/>
      <w:bookmarkStart w:id="796" w:name="_Toc305"/>
      <w:bookmarkEnd w:id="795"/>
      <w:r>
        <w:rPr>
          <w:rtl w:val="true"/>
        </w:rPr>
        <w:t>الاُولی</w:t>
      </w:r>
      <w:r>
        <w:rPr>
          <w:rtl w:val="true"/>
        </w:rPr>
        <w:t xml:space="preserve">: </w:t>
      </w:r>
      <w:r>
        <w:rPr>
          <w:rtl w:val="true"/>
        </w:rPr>
        <w:t>أن یبیع عن المالک فانکشف</w:t>
      </w:r>
      <w:bookmarkEnd w:id="79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یبیع عن المالک فانکشف </w:t>
      </w:r>
      <w:r>
        <w:rPr>
          <w:rStyle w:val="FootnoteAnchor"/>
          <w:rtl w:val="true"/>
        </w:rPr>
        <w:footnoteReference w:id="2405"/>
      </w:r>
      <w:r>
        <w:rPr>
          <w:rFonts w:ascii="Amiri" w:hAnsi="Amiri" w:eastAsia="Amiri" w:cs="Amiri"/>
          <w:color w:val="111111"/>
          <w:sz w:val="28"/>
          <w:sz w:val="28"/>
          <w:szCs w:val="28"/>
          <w:rtl w:val="true"/>
          <w:lang w:bidi="ar-SA"/>
        </w:rPr>
        <w:t>کونه ولیّاً علی البیع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ینبغی الإشکال فی اللّزوم حتّی علی القول ببطلان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من المحکی عن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أذن السیّد لعبده فی التجارة فباع و اشتری و هو لا یعلم بإذن سیّده و لا علم به أحد،لم یکن مأذوناً فی التجارة،و لا یجوز شیء ممّا فعله،فإن علم بعد ذلک و اشتری و باع جاز ما فعله بعد الإذن،و لم یجز ما فعله قبل ذلک،فإن أمر السیّد قوماً أن یبایعوا العبد و العبد لا یعلم بإذنه له کان بیعه و شراؤه منهم جائزاً،و جری ذلک مجری الإذن الظاهر،فإن اشتری العبد بعد ذلک من غیرهم و باع جاز </w:t>
      </w:r>
      <w:r>
        <w:rPr>
          <w:rStyle w:val="FootnoteAnchor"/>
          <w:rtl w:val="true"/>
        </w:rPr>
        <w:footnoteReference w:id="24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المختلف الإیراد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 أذن المولی </w:t>
      </w:r>
      <w:r>
        <w:rPr>
          <w:rStyle w:val="FootnoteAnchor"/>
          <w:rtl w:val="true"/>
        </w:rPr>
        <w:footnoteReference w:id="2407"/>
      </w:r>
      <w:r>
        <w:rPr>
          <w:rFonts w:ascii="IRNazanin" w:hAnsi="IRNazanin" w:eastAsia="IRNazanin"/>
          <w:color w:val="111111"/>
          <w:sz w:val="28"/>
          <w:sz w:val="28"/>
          <w:szCs w:val="28"/>
          <w:rtl w:val="true"/>
          <w:lang w:bidi="fa-IR"/>
        </w:rPr>
        <w:t xml:space="preserve">و لا یعلم العبد، ثمّ باع العبد صحّ؛لأنّه صادف الإذن،و لا یؤثّر فیه إعلام المولی بعض المعاملین </w:t>
      </w:r>
      <w:r>
        <w:rPr>
          <w:rStyle w:val="FootnoteAnchor"/>
          <w:rtl w:val="true"/>
        </w:rPr>
        <w:footnoteReference w:id="24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bookmarkStart w:id="797" w:name="pg19763_248206"/>
    </w:p>
    <w:p>
      <w:pPr>
        <w:pStyle w:val="Heading6"/>
        <w:numPr>
          <w:ilvl w:val="5"/>
          <w:numId w:val="1"/>
        </w:numPr>
        <w:rPr/>
      </w:pPr>
      <w:bookmarkStart w:id="798" w:name="__RefHeading___Toc5083030_2314609296"/>
      <w:bookmarkStart w:id="799" w:name="_Toc306"/>
      <w:bookmarkEnd w:id="797"/>
      <w:bookmarkEnd w:id="798"/>
      <w:r>
        <w:rPr>
          <w:rtl w:val="true"/>
        </w:rPr>
        <w:t>الثانیة</w:t>
      </w:r>
      <w:r>
        <w:rPr>
          <w:rtl w:val="true"/>
        </w:rPr>
        <w:t xml:space="preserve">: </w:t>
      </w:r>
      <w:r>
        <w:rPr>
          <w:rtl w:val="true"/>
        </w:rPr>
        <w:t>أن یبیع لنفسه فانکشف کونه ولیّاً</w:t>
      </w:r>
      <w:r>
        <w:rPr>
          <w:rtl w:val="true"/>
        </w:rPr>
        <w:t>.</w:t>
      </w:r>
      <w:bookmarkEnd w:id="799"/>
    </w:p>
    <w:p>
      <w:pPr>
        <w:pStyle w:val="BookText"/>
        <w:rPr/>
      </w:pPr>
      <w:r>
        <w:rPr>
          <w:rFonts w:ascii="IRNazanin" w:hAnsi="IRNazanin" w:eastAsia="IRNazanin"/>
          <w:color w:val="111111"/>
          <w:sz w:val="28"/>
          <w:sz w:val="28"/>
          <w:szCs w:val="28"/>
          <w:rtl w:val="true"/>
          <w:lang w:bidi="fa-IR"/>
        </w:rPr>
        <w:t xml:space="preserve">فالظاهر أیضاً صحّة العقد،لما عرفت من أنّ قصد بیع مال الغیر لنفسه لا ینفع و لا یقدح </w:t>
      </w:r>
      <w:r>
        <w:rPr>
          <w:rStyle w:val="FootnoteAnchor"/>
          <w:rtl w:val="true"/>
        </w:rPr>
        <w:footnoteReference w:id="2409"/>
      </w:r>
      <w:r>
        <w:rPr>
          <w:rFonts w:ascii="IRNazanin" w:hAnsi="IRNazanin" w:eastAsia="IRNazanin"/>
          <w:color w:val="111111"/>
          <w:sz w:val="28"/>
          <w:sz w:val="28"/>
          <w:szCs w:val="28"/>
          <w:rtl w:val="true"/>
          <w:lang w:bidi="fa-IR"/>
        </w:rPr>
        <w:t>،و فی توقّفه علی إجازته للمولّی علیه وجه؛ لأنّ قصد کونه لنفسه یوجب عدم وقوع البیع علی الوجه المأذون،فتأمّل</w:t>
      </w:r>
      <w:r>
        <w:rPr>
          <w:rFonts w:eastAsia="IRNazanin" w:cs="IRNazanin"/>
          <w:color w:val="111111"/>
          <w:sz w:val="28"/>
          <w:szCs w:val="28"/>
          <w:rtl w:val="true"/>
          <w:lang w:bidi="fa-IR"/>
        </w:rPr>
        <w:t>.</w:t>
      </w:r>
    </w:p>
    <w:p>
      <w:pPr>
        <w:pStyle w:val="Heading6"/>
        <w:numPr>
          <w:ilvl w:val="5"/>
          <w:numId w:val="1"/>
        </w:numPr>
        <w:rPr/>
      </w:pPr>
      <w:bookmarkStart w:id="800" w:name="__RefHeading___Toc5083032_2314609296"/>
      <w:bookmarkStart w:id="801" w:name="_Toc307"/>
      <w:bookmarkEnd w:id="800"/>
      <w:r>
        <w:rPr>
          <w:rtl w:val="true"/>
        </w:rPr>
        <w:t>الثالثة</w:t>
      </w:r>
      <w:r>
        <w:rPr>
          <w:rtl w:val="true"/>
        </w:rPr>
        <w:t xml:space="preserve">: </w:t>
      </w:r>
      <w:r>
        <w:rPr>
          <w:rtl w:val="true"/>
        </w:rPr>
        <w:t>أن یبیع عن المالک ثمّ ینکشف کونه مالکاً</w:t>
      </w:r>
      <w:r>
        <w:rPr>
          <w:rtl w:val="true"/>
        </w:rPr>
        <w:t>.</w:t>
      </w:r>
      <w:bookmarkEnd w:id="801"/>
    </w:p>
    <w:p>
      <w:pPr>
        <w:pStyle w:val="BookText"/>
        <w:rPr/>
      </w:pPr>
      <w:r>
        <w:rPr>
          <w:rFonts w:ascii="IRNazanin" w:hAnsi="IRNazanin" w:eastAsia="IRNazanin"/>
          <w:color w:val="111111"/>
          <w:sz w:val="28"/>
          <w:sz w:val="28"/>
          <w:szCs w:val="28"/>
          <w:rtl w:val="true"/>
          <w:lang w:bidi="fa-IR"/>
        </w:rPr>
        <w:t xml:space="preserve">و قد مثّله الأکثر بما لو باع مال أبیه بظنّ حیاته فبان میّتاً، و المشهور الصحّة،بل ربما استفید من کلام العلّامة فی القواعد </w:t>
      </w:r>
      <w:r>
        <w:rPr>
          <w:rStyle w:val="FootnoteAnchor"/>
          <w:rtl w:val="true"/>
        </w:rPr>
        <w:footnoteReference w:id="2410"/>
      </w:r>
      <w:r>
        <w:rPr>
          <w:rFonts w:ascii="IRNazanin" w:hAnsi="IRNazanin" w:eastAsia="IRNazanin"/>
          <w:color w:val="111111"/>
          <w:sz w:val="28"/>
          <w:sz w:val="28"/>
          <w:szCs w:val="28"/>
          <w:rtl w:val="true"/>
          <w:lang w:bidi="fa-IR"/>
        </w:rPr>
        <w:t xml:space="preserve">و الإرشاد </w:t>
      </w:r>
      <w:r>
        <w:rPr>
          <w:rStyle w:val="FootnoteAnchor"/>
          <w:rtl w:val="true"/>
        </w:rPr>
        <w:footnoteReference w:id="2411"/>
      </w:r>
      <w:r>
        <w:rPr>
          <w:rFonts w:ascii="IRNazanin" w:hAnsi="IRNazanin" w:eastAsia="IRNazanin"/>
          <w:color w:val="111111"/>
          <w:sz w:val="28"/>
          <w:sz w:val="28"/>
          <w:szCs w:val="28"/>
          <w:rtl w:val="true"/>
          <w:lang w:bidi="fa-IR"/>
        </w:rPr>
        <w:t>فی باب الهبة الإجماع،و لم نعثر علی مخالف صریح،إلّا أنّ الشهید رحمه اللّه ذکر فی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قیل بالبطلان أمکن </w:t>
      </w:r>
      <w:r>
        <w:rPr>
          <w:rStyle w:val="FootnoteAnchor"/>
          <w:rtl w:val="true"/>
        </w:rPr>
        <w:footnoteReference w:id="2412"/>
      </w:r>
      <w:r>
        <w:rPr>
          <w:rFonts w:ascii="IRNazanin" w:hAnsi="IRNazanin" w:eastAsia="IRNazanin"/>
          <w:color w:val="111111"/>
          <w:sz w:val="28"/>
          <w:sz w:val="28"/>
          <w:szCs w:val="28"/>
          <w:rtl w:val="true"/>
          <w:lang w:bidi="fa-IR"/>
        </w:rPr>
        <w:t xml:space="preserve">،و قد سبقه فی احتمال ذلک العلّامة و ولده فی النهایة </w:t>
      </w:r>
      <w:r>
        <w:rPr>
          <w:rStyle w:val="FootnoteAnchor"/>
          <w:rtl w:val="true"/>
        </w:rPr>
        <w:footnoteReference w:id="2413"/>
      </w:r>
      <w:r>
        <w:rPr>
          <w:rFonts w:ascii="IRNazanin" w:hAnsi="IRNazanin" w:eastAsia="IRNazanin"/>
          <w:color w:val="111111"/>
          <w:sz w:val="28"/>
          <w:sz w:val="28"/>
          <w:szCs w:val="28"/>
          <w:rtl w:val="true"/>
          <w:lang w:bidi="fa-IR"/>
        </w:rPr>
        <w:t>و الإیضاح؛لأنّه إنّما قصد نقل المال عن الأب،لا عنه،و لأنه و إن کان منجّزاً فی الصورة إلّا أنّه معلّق،و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مات مورّثی فقد بعتک،و لأنه کالعابث عند مباشرة العقد؛لاعتقاده أنّ المبیع لغیره </w:t>
      </w:r>
      <w:r>
        <w:rPr>
          <w:rStyle w:val="FootnoteAnchor"/>
          <w:rtl w:val="true"/>
        </w:rPr>
        <w:footnoteReference w:id="241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قصد نقل الملک عن الأب فلا یقدح فی وقوعه؛لأنّه إنّما قصد نقل الملک عن الأب من حیث إنّه مالک باعتقاده،ففی الحقیقة</w:t>
      </w:r>
    </w:p>
    <w:p>
      <w:pPr>
        <w:pStyle w:val="BookText"/>
        <w:rPr/>
      </w:pPr>
      <w:r>
        <w:rPr>
          <w:rFonts w:ascii="IRNazanin" w:hAnsi="IRNazanin" w:eastAsia="IRNazanin"/>
          <w:color w:val="111111"/>
          <w:sz w:val="28"/>
          <w:sz w:val="28"/>
          <w:szCs w:val="28"/>
          <w:rtl w:val="true"/>
          <w:lang w:bidi="fa-IR"/>
        </w:rPr>
        <w:t>إنّما قصد النقل عن المالک لکن أخطأ فی اعتقاده أنّ المالک أبوه،و قد تقدّم توضیح ذلک فی عکس المسألة،أی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 باع ملک غیره باعتقاد أنّه ملکه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نعم،من أبطل عقد الفضولی لأجل اعتبار مقارنة طیب نفس المالک للعقد قوی البطلان عنده هنا؛لعدم طیب نفس المالک بخروج ماله عن ملکه؛و لذا نقول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w:t>
      </w:r>
      <w:r>
        <w:rPr>
          <w:rStyle w:val="FootnoteAnchor"/>
          <w:rtl w:val="true"/>
        </w:rPr>
        <w:footnoteReference w:id="2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 الإجازة من المالک بعد العقد؛لعدم حصول طیب النفس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فی معنی التعلیق،ففیه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 لمقتضی الدلیل الأوّل،کما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کونه فی معنی التعلیق؛لأنّه إذا فرض أنّه یبیع مال أبیه لنفسه،کما هو ظاهر هذا الدلیل،فهو إنّما یبیعه مع وصف کونه لأبیه فی علمه،فبیعه کبیع الغاصب مبنیّ علی دعوی السلطنة و الاستقلال علی المال،لا علی تعلیق للنقل </w:t>
      </w:r>
      <w:r>
        <w:rPr>
          <w:rStyle w:val="FootnoteAnchor"/>
          <w:rtl w:val="true"/>
        </w:rPr>
        <w:footnoteReference w:id="2417"/>
      </w:r>
      <w:r>
        <w:rPr>
          <w:rFonts w:ascii="IRNazanin" w:hAnsi="IRNazanin" w:eastAsia="IRNazanin"/>
          <w:color w:val="111111"/>
          <w:sz w:val="28"/>
          <w:sz w:val="28"/>
          <w:szCs w:val="28"/>
          <w:rtl w:val="true"/>
          <w:lang w:bidi="fa-IR"/>
        </w:rPr>
        <w:t xml:space="preserve">بکونه منتقلاً إلیه بالإرث عن </w:t>
      </w:r>
      <w:r>
        <w:rPr>
          <w:rStyle w:val="FootnoteAnchor"/>
          <w:rtl w:val="true"/>
        </w:rPr>
        <w:footnoteReference w:id="2418"/>
      </w:r>
      <w:r>
        <w:rPr>
          <w:rFonts w:ascii="IRNazanin" w:hAnsi="IRNazanin" w:eastAsia="IRNazanin"/>
          <w:color w:val="111111"/>
          <w:sz w:val="28"/>
          <w:sz w:val="28"/>
          <w:szCs w:val="28"/>
          <w:rtl w:val="true"/>
          <w:lang w:bidi="fa-IR"/>
        </w:rPr>
        <w:t>مورّثه؛لأنّ ذلک لا یجامع مع ظنّ الحیاة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یراد أنّ القصد الحقیقی إلی النقل معلّق علی تملّک الناقل،و بدونه فالقصد صوری،علی ما تقدّم من المسالک من أنّ الفضولی و المکره قاصدان إلی اللفظ دون مدلوله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القصد الصوری کافٍ؛و لذا قلنا بصحّة عقد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ضعف ما ذکره أخیراً من کونه کالعابث عند مباشرة العقد،معلّلاً بعلمه بکون المبیع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کان،فلا ینبغی الإشکال فی صحّة العقد،إلّا أنّ ظاهر المحکیّ من غیر واحد </w:t>
      </w:r>
      <w:r>
        <w:rPr>
          <w:rStyle w:val="FootnoteAnchor"/>
          <w:rtl w:val="true"/>
        </w:rPr>
        <w:footnoteReference w:id="2420"/>
      </w:r>
      <w:r>
        <w:rPr>
          <w:rFonts w:ascii="IRNazanin" w:hAnsi="IRNazanin" w:eastAsia="IRNazanin"/>
          <w:color w:val="111111"/>
          <w:sz w:val="28"/>
          <w:sz w:val="28"/>
          <w:szCs w:val="28"/>
          <w:rtl w:val="true"/>
          <w:lang w:bidi="fa-IR"/>
        </w:rPr>
        <w:t>لزوم العقد و عدم الحاجة إلی إجازة مستأنفة؛ لأنّ المالک هو المباشر للعقد فلا وجه لإجازة فعل نفسه،و لأنّ قصده إلی نقل مال نفسه إن حصل هنا بمجرّد القصد إلی نقل المال المعین الذی هو فی الواقع ملک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یشعر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أولی من الإذن فی ذلک فضلاً عن إجازته،و إلّا توجّه عدم وقوع العقد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وفاقاً للمحقّق و الشهید الثانیین </w:t>
      </w:r>
      <w:r>
        <w:rPr>
          <w:rStyle w:val="FootnoteAnchor"/>
          <w:rtl w:val="true"/>
        </w:rPr>
        <w:footnoteReference w:id="2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وقوفه علی الإجازة،لا لما ذکره فی جامع المقاصد من أنّه لم یقصد إلی البیع الناقل للملک الآن،بل مع إجازة المالک؛لاندفاعه بما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قصده إلی أصل البیع کافٍ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انتقال المبیع شرعاً بمجرّد العقد أو بعد إجازة المالک لیس من مدلول لفظ العقد حتّی یعتبر قصده أو یقدح قصد خلافه،و إنّما هو من الأحکام الشرعیّة العارضة للعقود بحسب اختلافها فی التوقّف علی الأُمور المتأخّرة و عدمه،مع أنّ عدم </w:t>
      </w:r>
      <w:r>
        <w:rPr>
          <w:rStyle w:val="FootnoteAnchor"/>
          <w:rtl w:val="true"/>
        </w:rPr>
        <w:footnoteReference w:id="2423"/>
      </w:r>
      <w:r>
        <w:rPr>
          <w:rFonts w:ascii="IRNazanin" w:hAnsi="IRNazanin" w:eastAsia="IRNazanin"/>
          <w:color w:val="111111"/>
          <w:sz w:val="28"/>
          <w:sz w:val="28"/>
          <w:szCs w:val="28"/>
          <w:rtl w:val="true"/>
          <w:lang w:bidi="fa-IR"/>
        </w:rPr>
        <w:t>القصد المذکور</w:t>
      </w:r>
    </w:p>
    <w:p>
      <w:pPr>
        <w:pStyle w:val="BookText"/>
        <w:rPr/>
      </w:pPr>
      <w:r>
        <w:rPr>
          <w:rFonts w:ascii="IRNazanin" w:hAnsi="IRNazanin" w:eastAsia="IRNazanin"/>
          <w:color w:val="111111"/>
          <w:sz w:val="28"/>
          <w:sz w:val="28"/>
          <w:szCs w:val="28"/>
          <w:rtl w:val="true"/>
          <w:lang w:bidi="fa-IR"/>
        </w:rPr>
        <w:t>لا یقدح بناءً علی الکشف،بل قصد النقل بعد الإجازة ربما یحتمل قدحه،فالدلیل علی اشتراط تعقّب الإجازة فی اللزوم هو عموم تسلّط الناس علی أموالهم،و عدم حلّها لغیرهم إلّا بطیب أنفسهم،و حرمة أکل المال إلّا بالتجارة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بالجملة،فأکثر أدلّة اشتراط الإجازة فی الفضولی جاریة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ذکرناه من أنّ قصد نقل ملک نفسه إن حصل أغنی عن الإجازة،و إلّا فسد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یکفی فی تحقّق صورة العقد القابلة للحوق اللزوم </w:t>
      </w:r>
      <w:r>
        <w:rPr>
          <w:rStyle w:val="FootnoteAnchor"/>
          <w:rtl w:val="true"/>
        </w:rPr>
        <w:footnoteReference w:id="2424"/>
      </w:r>
      <w:r>
        <w:rPr>
          <w:rFonts w:ascii="IRNazanin" w:hAnsi="IRNazanin" w:eastAsia="IRNazanin"/>
          <w:color w:val="111111"/>
          <w:sz w:val="28"/>
          <w:sz w:val="28"/>
          <w:szCs w:val="28"/>
          <w:rtl w:val="true"/>
          <w:lang w:bidi="fa-IR"/>
        </w:rPr>
        <w:t>القصد إلی نقل المال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قصد کونه ماله </w:t>
      </w:r>
      <w:r>
        <w:rPr>
          <w:rStyle w:val="FootnoteAnchor"/>
          <w:rtl w:val="true"/>
        </w:rPr>
        <w:footnoteReference w:id="2425"/>
      </w:r>
      <w:r>
        <w:rPr>
          <w:rFonts w:ascii="IRNazanin" w:hAnsi="IRNazanin" w:eastAsia="IRNazanin"/>
          <w:color w:val="111111"/>
          <w:sz w:val="28"/>
          <w:sz w:val="28"/>
          <w:szCs w:val="28"/>
          <w:rtl w:val="true"/>
          <w:lang w:bidi="fa-IR"/>
        </w:rPr>
        <w:t xml:space="preserve">أو مال غیره مع خطائه </w:t>
      </w:r>
      <w:r>
        <w:rPr>
          <w:rStyle w:val="FootnoteAnchor"/>
          <w:rtl w:val="true"/>
        </w:rPr>
        <w:footnoteReference w:id="2426"/>
      </w:r>
      <w:r>
        <w:rPr>
          <w:rFonts w:ascii="IRNazanin" w:hAnsi="IRNazanin" w:eastAsia="IRNazanin"/>
          <w:color w:val="111111"/>
          <w:sz w:val="28"/>
          <w:sz w:val="28"/>
          <w:szCs w:val="28"/>
          <w:rtl w:val="true"/>
          <w:lang w:bidi="fa-IR"/>
        </w:rPr>
        <w:t xml:space="preserve">فی قصده أو صوابه </w:t>
      </w:r>
      <w:r>
        <w:rPr>
          <w:rStyle w:val="FootnoteAnchor"/>
          <w:rtl w:val="true"/>
        </w:rPr>
        <w:footnoteReference w:id="2427"/>
      </w:r>
      <w:r>
        <w:rPr>
          <w:rFonts w:ascii="IRNazanin" w:hAnsi="IRNazanin" w:eastAsia="IRNazanin"/>
          <w:color w:val="111111"/>
          <w:sz w:val="28"/>
          <w:sz w:val="28"/>
          <w:szCs w:val="28"/>
          <w:rtl w:val="true"/>
          <w:lang w:bidi="fa-IR"/>
        </w:rPr>
        <w:t xml:space="preserve">فی الواقع لا یقدح و لا ینفع؛و لذا بنینا علی صحّة العقد بقصد </w:t>
      </w:r>
      <w:r>
        <w:rPr>
          <w:rStyle w:val="FootnoteAnchor"/>
          <w:rtl w:val="true"/>
        </w:rPr>
        <w:footnoteReference w:id="2428"/>
      </w:r>
      <w:r>
        <w:rPr>
          <w:rFonts w:ascii="IRNazanin" w:hAnsi="IRNazanin" w:eastAsia="IRNazanin"/>
          <w:color w:val="111111"/>
          <w:sz w:val="28"/>
          <w:sz w:val="28"/>
          <w:szCs w:val="28"/>
          <w:rtl w:val="true"/>
          <w:lang w:bidi="fa-IR"/>
        </w:rPr>
        <w:t>مال نفسه مع کونه مالاً لغیره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أدلّة اعتبار التراضی و طیب النفس،فهی دالّة علی اعتبار رضا المالک بنقل خصوص ماله بعنوان أنّه ماله،لا بنقل مالٍ معیّنٍ یتّفق کونه ملکاً له فی الواقع،فإنّ حکم طیب النفس و الرضا لا یترتّب علی ذلک،فلو أذن فی التصرّف فی مالٍ معتقداً أنّه لغیره،و المأذون یعلم أنّه له،لم یجز له التصرّف بذلک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فرضنا أنّه أعتق</w:t>
      </w:r>
    </w:p>
    <w:p>
      <w:pPr>
        <w:pStyle w:val="BookText"/>
        <w:rPr/>
      </w:pPr>
      <w:r>
        <w:rPr>
          <w:rFonts w:ascii="IRNazanin" w:hAnsi="IRNazanin" w:eastAsia="IRNazanin"/>
          <w:color w:val="111111"/>
          <w:sz w:val="28"/>
          <w:sz w:val="28"/>
          <w:szCs w:val="28"/>
          <w:rtl w:val="true"/>
          <w:lang w:bidi="fa-IR"/>
        </w:rPr>
        <w:t>عبداً عن غیره فبان أنّه له لم ینعتق،و کذا لو طلّق امرأةً وکالةً عن غیره فبانت زوجته؛لأنّ القصد المقارن إلی طلاق زوجته و عتق مملوکه معتبر فیهما،فلا تنفع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غرّه الغاصب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عبدی أعتقه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فأعتقه عن نفسه،فبان کونه له،فالأقوی أیضاً عدم النفوذ،وفاقاً للمحکیّ عن التحریر </w:t>
      </w:r>
      <w:r>
        <w:rPr>
          <w:rStyle w:val="FootnoteAnchor"/>
          <w:rtl w:val="true"/>
        </w:rPr>
        <w:footnoteReference w:id="2429"/>
      </w:r>
      <w:r>
        <w:rPr>
          <w:rFonts w:ascii="IRNazanin" w:hAnsi="IRNazanin" w:eastAsia="IRNazanin"/>
          <w:color w:val="111111"/>
          <w:sz w:val="28"/>
          <w:sz w:val="28"/>
          <w:szCs w:val="28"/>
          <w:rtl w:val="true"/>
          <w:lang w:bidi="fa-IR"/>
        </w:rPr>
        <w:t xml:space="preserve">و حواشی الشهید </w:t>
      </w:r>
      <w:r>
        <w:rPr>
          <w:rStyle w:val="FootnoteAnchor"/>
          <w:rtl w:val="true"/>
        </w:rPr>
        <w:footnoteReference w:id="2430"/>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431"/>
      </w:r>
      <w:r>
        <w:rPr>
          <w:rFonts w:ascii="IRNazanin" w:hAnsi="IRNazanin" w:eastAsia="IRNazanin"/>
          <w:color w:val="111111"/>
          <w:sz w:val="28"/>
          <w:sz w:val="28"/>
          <w:szCs w:val="28"/>
          <w:rtl w:val="true"/>
          <w:lang w:bidi="fa-IR"/>
        </w:rPr>
        <w:t xml:space="preserve">مع حکمه بصحّة البیع هنا و وقوفه علی الإجازة </w:t>
      </w:r>
      <w:r>
        <w:rPr>
          <w:rStyle w:val="FootnoteAnchor"/>
          <w:rtl w:val="true"/>
        </w:rPr>
        <w:footnoteReference w:id="2432"/>
      </w:r>
      <w:r>
        <w:rPr>
          <w:rFonts w:ascii="IRNazanin" w:hAnsi="IRNazanin" w:eastAsia="IRNazanin"/>
          <w:color w:val="111111"/>
          <w:sz w:val="28"/>
          <w:sz w:val="28"/>
          <w:szCs w:val="28"/>
          <w:rtl w:val="true"/>
          <w:lang w:bidi="fa-IR"/>
        </w:rPr>
        <w:t>لأنّ العتق لا یقبل الوقوف،فإذا لم یحصل القصد إلی فکّ ماله مقارناً للصیغة وقعت باطلة،بخلاف البیع؛فلا تناقض بین حکمه ببطلان العتق و صحّة البیع مع الإجازة،کما یتوهّم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نعم،ینبغی إیراد التناقض علی من حکم هناک بعدم النفوذ، و حکم فی البیع باللزوم و عدم الحاجة إلی الإجازة؛فإنّ القصد إلی إنشاء یتعلّق بمعیّن هو مال المنشئ فی الواقع من غیر علمه به،إن کان یکفی فی طیب النفس و الرضا المعتبر فی جمیع إنشاءات الناس المتعلّقة بأموالهم وجب الحکم بوقوع العتق،و إن اعتبر فی طیب النفس المتعلّق بإخراج الأموال عن الملک،العلم بکونه مالاً له و لم یکف مجرّد مصادفة الواقع،وجب الحکم بعدم لزوم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القصد إلی الإنشاء المتعلّق،بمال معیّن مصحّح للعقد، بمعنی قابلیته للتأثیر،و لا یحتاج إلی العلم بکونه مالاً له،لکن لا یکفی ذلک فی تحقّق الخروج عن ماله بمجرّد الإنشاء،ثمّ إن کان ذلک الإنشاء ممّا یقبل اللزوم بلحوق الرضا کفت الإجازة کما فی العقود،و إلّا وقع الإنشاء باطلاً کما فی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ظهر ممّا ذکرنا فی وجه الوقوف علی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الحقّ للمالک من باب الإجازة لا من باب خیار الفسخ،فعقده متزلزل من حیث الحدوث،لا البقاء کما قوّاه بعض من قارب عصرنا </w:t>
      </w:r>
      <w:r>
        <w:rPr>
          <w:rStyle w:val="FootnoteAnchor"/>
          <w:rtl w:val="true"/>
        </w:rPr>
        <w:footnoteReference w:id="2433"/>
      </w:r>
      <w:r>
        <w:rPr>
          <w:rFonts w:ascii="IRNazanin" w:hAnsi="IRNazanin" w:eastAsia="IRNazanin"/>
          <w:color w:val="111111"/>
          <w:sz w:val="28"/>
          <w:sz w:val="28"/>
          <w:szCs w:val="28"/>
          <w:rtl w:val="true"/>
          <w:lang w:bidi="fa-IR"/>
        </w:rPr>
        <w:t xml:space="preserve">،و تبعه بعض من عاصرناه </w:t>
      </w:r>
      <w:r>
        <w:rPr>
          <w:rStyle w:val="FootnoteAnchor"/>
          <w:rtl w:val="true"/>
        </w:rPr>
        <w:footnoteReference w:id="2434"/>
      </w:r>
      <w:r>
        <w:rPr>
          <w:rFonts w:ascii="IRNazanin" w:hAnsi="IRNazanin" w:eastAsia="IRNazanin"/>
          <w:color w:val="111111"/>
          <w:sz w:val="28"/>
          <w:sz w:val="28"/>
          <w:szCs w:val="28"/>
          <w:rtl w:val="true"/>
          <w:lang w:bidi="fa-IR"/>
        </w:rPr>
        <w:t>معلّلاً بقاعدة نفی الضرر؛إذ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الخیار فرع الانتقال،و قد تقدّم توقّفه علی طیب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ذکراه من الضرر المترتّب علی لزوم البیع،لیس لأمرٍ راجع إلی العوض و المعوّض،و إنّما هو لانتقال الملک عن مالکه من دون علمه و رضاه؛إذ لا فرق فی الجهل بانتقال ماله بین أن یجهل أصل الانتقال کما یتّفق فی الفضولی،أو یعلمه و یجهل تعلّقه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الضرر هو المثبت لتوقّف عقد الفضولی علی الإجازة؛إذ لا یلزم من لزومه بدونها سوی هذا الضرر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ثمّ،إنّ الحکم بالصحّة </w:t>
      </w:r>
      <w:r>
        <w:rPr>
          <w:rStyle w:val="FootnoteAnchor"/>
          <w:rtl w:val="true"/>
        </w:rPr>
        <w:footnoteReference w:id="2435"/>
      </w:r>
      <w:r>
        <w:rPr>
          <w:rFonts w:ascii="IRNazanin" w:hAnsi="IRNazanin" w:eastAsia="IRNazanin"/>
          <w:color w:val="111111"/>
          <w:sz w:val="28"/>
          <w:sz w:val="28"/>
          <w:szCs w:val="28"/>
          <w:rtl w:val="true"/>
          <w:lang w:bidi="fa-IR"/>
        </w:rPr>
        <w:t xml:space="preserve">فی هذه الصورة غیر متوقّفة </w:t>
      </w:r>
      <w:r>
        <w:rPr>
          <w:rStyle w:val="FootnoteAnchor"/>
          <w:rtl w:val="true"/>
        </w:rPr>
        <w:footnoteReference w:id="2436"/>
      </w:r>
      <w:r>
        <w:rPr>
          <w:rFonts w:ascii="IRNazanin" w:hAnsi="IRNazanin" w:eastAsia="IRNazanin"/>
          <w:color w:val="111111"/>
          <w:sz w:val="28"/>
          <w:sz w:val="28"/>
          <w:szCs w:val="28"/>
          <w:rtl w:val="true"/>
          <w:lang w:bidi="fa-IR"/>
        </w:rPr>
        <w:t>علی القول</w:t>
      </w:r>
      <w:bookmarkStart w:id="802" w:name="pg19763_248212"/>
    </w:p>
    <w:p>
      <w:pPr>
        <w:pStyle w:val="BookText"/>
        <w:rPr/>
      </w:pPr>
      <w:bookmarkEnd w:id="802"/>
      <w:r>
        <w:rPr>
          <w:rFonts w:ascii="IRNazanin" w:hAnsi="IRNazanin" w:eastAsia="IRNazanin"/>
          <w:color w:val="111111"/>
          <w:sz w:val="28"/>
          <w:sz w:val="28"/>
          <w:szCs w:val="28"/>
          <w:rtl w:val="true"/>
          <w:lang w:bidi="fa-IR"/>
        </w:rPr>
        <w:t xml:space="preserve">بصحّة عقد الفضولی،بل یجیء علی القول بالبطلان،إلّا أن یستند فی بطلانه بما تقدّم من قبح التصرّف فی مال الغیر </w:t>
      </w:r>
      <w:r>
        <w:rPr>
          <w:rStyle w:val="FootnoteAnchor"/>
          <w:rtl w:val="true"/>
        </w:rPr>
        <w:footnoteReference w:id="2437"/>
      </w:r>
      <w:r>
        <w:rPr>
          <w:rFonts w:ascii="IRNazanin" w:hAnsi="IRNazanin" w:eastAsia="IRNazanin"/>
          <w:color w:val="111111"/>
          <w:sz w:val="28"/>
          <w:sz w:val="28"/>
          <w:szCs w:val="28"/>
          <w:rtl w:val="true"/>
          <w:lang w:bidi="fa-IR"/>
        </w:rPr>
        <w:t xml:space="preserve">،فیتّجه عنده حینئذٍ البطلان،ثمّ یغرم المثمن و إن کان جاهلاً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3" w:name="__RefHeading___Toc5083034_2314609296"/>
      <w:bookmarkStart w:id="804" w:name="_Toc308"/>
      <w:bookmarkEnd w:id="803"/>
      <w:r>
        <w:rPr>
          <w:rtl w:val="true"/>
        </w:rPr>
        <w:t xml:space="preserve">الرابعة </w:t>
      </w:r>
      <w:r>
        <w:rPr>
          <w:rtl w:val="true"/>
        </w:rPr>
        <w:t>:</w:t>
      </w:r>
      <w:r>
        <w:rPr>
          <w:rtl w:val="true"/>
        </w:rPr>
        <w:t>أن یبیع لنفسه باعتقاد أنّه لغیره فانکشف أنّه له،</w:t>
      </w:r>
      <w:bookmarkEnd w:id="80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هنا أیضاً الصحّة و لو علی القول ببطلان الفضولی و الوقوف علی الإجازة؛بمثل ما مرّ فی الثالثة،و فی عدم الوقوف هنا وجه لا یجری فی الثالثة؛و لذا قوّی اللزوم هنا بعض من قال بالخیار فی الثالثة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bookmarkStart w:id="805" w:name="pg19763_248213"/>
    </w:p>
    <w:p>
      <w:pPr>
        <w:pStyle w:val="Heading6"/>
        <w:numPr>
          <w:ilvl w:val="5"/>
          <w:numId w:val="1"/>
        </w:numPr>
        <w:rPr/>
      </w:pPr>
      <w:bookmarkStart w:id="806" w:name="__RefHeading___Toc5083036_2314609296"/>
      <w:bookmarkStart w:id="807" w:name="_Toc309"/>
      <w:bookmarkEnd w:id="805"/>
      <w:bookmarkEnd w:id="806"/>
      <w:r>
        <w:rPr>
          <w:rtl w:val="true"/>
        </w:rPr>
        <w:t>و أمّا القول فی المجاز</w:t>
      </w:r>
      <w:r>
        <w:rPr>
          <w:rtl w:val="true"/>
        </w:rPr>
        <w:t>:</w:t>
      </w:r>
      <w:bookmarkEnd w:id="807"/>
    </w:p>
    <w:p>
      <w:pPr>
        <w:pStyle w:val="BookText"/>
        <w:rPr/>
      </w:pPr>
      <w:r>
        <w:rPr>
          <w:rFonts w:ascii="IRNazanin" w:hAnsi="IRNazanin" w:eastAsia="IRNazanin"/>
          <w:color w:val="111111"/>
          <w:sz w:val="28"/>
          <w:sz w:val="28"/>
          <w:szCs w:val="28"/>
          <w:rtl w:val="true"/>
          <w:lang w:bidi="fa-IR"/>
        </w:rPr>
        <w:t>فاستقصاؤه یکون ببیان أُمور</w:t>
      </w:r>
      <w:r>
        <w:rPr>
          <w:rFonts w:eastAsia="IRNazanin" w:cs="IRNazanin"/>
          <w:color w:val="111111"/>
          <w:sz w:val="28"/>
          <w:szCs w:val="28"/>
          <w:rtl w:val="true"/>
          <w:lang w:bidi="fa-IR"/>
        </w:rPr>
        <w:t>:</w:t>
      </w:r>
    </w:p>
    <w:p>
      <w:pPr>
        <w:pStyle w:val="Heading6"/>
        <w:numPr>
          <w:ilvl w:val="5"/>
          <w:numId w:val="1"/>
        </w:numPr>
        <w:rPr/>
      </w:pPr>
      <w:bookmarkStart w:id="808" w:name="__RefHeading___Toc5083038_2314609296"/>
      <w:bookmarkStart w:id="809" w:name="_Toc310"/>
      <w:bookmarkEnd w:id="808"/>
      <w:r>
        <w:rPr>
          <w:rtl w:val="true"/>
        </w:rPr>
        <w:t>الأوّل</w:t>
      </w:r>
      <w:r>
        <w:rPr>
          <w:rtl w:val="true"/>
        </w:rPr>
        <w:t xml:space="preserve">: </w:t>
      </w:r>
      <w:r>
        <w:rPr>
          <w:rtl w:val="true"/>
        </w:rPr>
        <w:t>یشترط فیه کونه جامعاً لجمیع الشروط المعتبرة فی تأثیره عدا رضا المالک،</w:t>
      </w:r>
      <w:bookmarkEnd w:id="809"/>
    </w:p>
    <w:p>
      <w:pPr>
        <w:pStyle w:val="BookText"/>
        <w:rPr/>
      </w:pPr>
      <w:r>
        <w:rPr>
          <w:rFonts w:ascii="IRNazanin" w:hAnsi="IRNazanin" w:eastAsia="IRNazanin"/>
          <w:color w:val="111111"/>
          <w:sz w:val="28"/>
          <w:sz w:val="28"/>
          <w:szCs w:val="28"/>
          <w:rtl w:val="true"/>
          <w:lang w:bidi="fa-IR"/>
        </w:rPr>
        <w:t xml:space="preserve">فلا یکفی اتّصاف المتعاقدین بصحّة الإنشاء،و لا إحراز سائر الشروط بالنسبة إلی الأصیل فقط علی الکشف؛للزومه علیه حینئذٍ </w:t>
      </w:r>
      <w:r>
        <w:rPr>
          <w:rStyle w:val="FootnoteAnchor"/>
          <w:rtl w:val="true"/>
        </w:rPr>
        <w:footnoteReference w:id="2440"/>
      </w:r>
      <w:r>
        <w:rPr>
          <w:rFonts w:ascii="IRNazanin" w:hAnsi="IRNazanin" w:eastAsia="IRNazanin"/>
          <w:color w:val="111111"/>
          <w:sz w:val="28"/>
          <w:sz w:val="28"/>
          <w:szCs w:val="28"/>
          <w:rtl w:val="true"/>
          <w:lang w:bidi="fa-IR"/>
        </w:rPr>
        <w:t>،بل مطلقاً؛لتوقّف تأثیره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القول بالنقل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علیها؛و ذلک لأنّ العقد إمّا تمام السبب أو جزؤه،و علی أیّ حال فیعتبر اجتماع الشروط عنده؛و لهذا لا یجوز الإیجاب فی حال جهل القابل بالعوضین،بل لو قلنا بجواز ذلک لم یلزم منه الجواز هنا؛لأنّ الإجازة علی القول بالنقل أشبه بالشرط،و لو سلّم کونها جزءاً فهو جزءٌ للمؤثِّر لا للعقد،فیکون جمیع ما دلّ من النصّ و الإجماع علی اعتبار الشروط فی البیع ظاهرة فی اعتبارها فی إنشاء النقل و الانتقال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دلّ دلیل علی اعتبار شرطٍ فی ترتّب الأثر الشرعی علی العقد من غیر ظهور فی اعتباره فی أصل الإنشاء،أمکن القول بکفایة وجوده حین الإجازة،و لعلّ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القدرة علی التسلیم، و إسلام مشتری المُصحَفِ و العبدِ </w:t>
      </w:r>
      <w:r>
        <w:rPr>
          <w:rStyle w:val="FootnoteAnchor"/>
          <w:rtl w:val="true"/>
        </w:rPr>
        <w:footnoteReference w:id="2441"/>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هل یشترط بقاء الشرائط المعتبرة حین العقد إلی زمان الإجازة،أم لا؟لا ینبغی الإشکال فی عدم اشتراط بقاء المتعاقدین</w:t>
      </w:r>
      <w:bookmarkStart w:id="810" w:name="pg19763_248214"/>
    </w:p>
    <w:p>
      <w:pPr>
        <w:pStyle w:val="BookText"/>
        <w:rPr/>
      </w:pPr>
      <w:bookmarkEnd w:id="810"/>
      <w:r>
        <w:rPr>
          <w:rFonts w:ascii="IRNazanin" w:hAnsi="IRNazanin" w:eastAsia="IRNazanin"/>
          <w:color w:val="111111"/>
          <w:sz w:val="28"/>
          <w:sz w:val="28"/>
          <w:szCs w:val="28"/>
          <w:rtl w:val="true"/>
          <w:lang w:bidi="fa-IR"/>
        </w:rPr>
        <w:t xml:space="preserve">علی شروطهما </w:t>
      </w:r>
      <w:r>
        <w:rPr>
          <w:rStyle w:val="FootnoteAnchor"/>
          <w:rtl w:val="true"/>
        </w:rPr>
        <w:footnoteReference w:id="2442"/>
      </w:r>
      <w:r>
        <w:rPr>
          <w:rFonts w:ascii="IRNazanin" w:hAnsi="IRNazanin" w:eastAsia="IRNazanin"/>
          <w:color w:val="111111"/>
          <w:sz w:val="28"/>
          <w:sz w:val="28"/>
          <w:szCs w:val="28"/>
          <w:rtl w:val="true"/>
          <w:lang w:bidi="fa-IR"/>
        </w:rPr>
        <w:t>حتّی علی القول بالنقل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نعم،علی القول بکونها بیعاً مستأنفاً یقوی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شروط العوضین،فالظاهر اعتبارها بناءً علی النقل،و أمّا بناءً علی الکشف فوجهان،و اعتبارها علیه أیضاً غیر بعید</w:t>
      </w:r>
      <w:r>
        <w:rPr>
          <w:rFonts w:eastAsia="IRNazanin" w:cs="IRNazanin"/>
          <w:color w:val="111111"/>
          <w:sz w:val="28"/>
          <w:szCs w:val="28"/>
          <w:rtl w:val="true"/>
          <w:lang w:bidi="fa-IR"/>
        </w:rPr>
        <w:t>.</w:t>
      </w:r>
    </w:p>
    <w:p>
      <w:pPr>
        <w:pStyle w:val="Heading6"/>
        <w:numPr>
          <w:ilvl w:val="5"/>
          <w:numId w:val="1"/>
        </w:numPr>
        <w:rPr/>
      </w:pPr>
      <w:bookmarkStart w:id="811" w:name="__RefHeading___Toc5083040_2314609296"/>
      <w:bookmarkStart w:id="812" w:name="_Toc311"/>
      <w:bookmarkEnd w:id="811"/>
      <w:r>
        <w:rPr>
          <w:rtl w:val="true"/>
        </w:rPr>
        <w:t>الثانی</w:t>
      </w:r>
      <w:r>
        <w:rPr>
          <w:rtl w:val="true"/>
        </w:rPr>
        <w:t xml:space="preserve">: </w:t>
      </w:r>
      <w:r>
        <w:rPr>
          <w:rtl w:val="true"/>
        </w:rPr>
        <w:t>هل یشترط فی المجاز کونه معلوماً للمجیز بالتفصیل</w:t>
      </w:r>
      <w:bookmarkEnd w:id="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تعیین العوضین،و تعیین نوع العقد من کونه بیعاً أو صلحاً،فضلاً عن جنسه من کونه نکاحاً لجاریته أو بیعاً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یکفی العلم الإجمالی بوقوع عقد قابل للإجازة؟وجهان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 الإجازة کالإذن السابق فیجوز تعلّقه بغیر المعیّن إلّا إذا بلغ حدّا لا یجوز معه التوکیل،و من أنّ الإجازة بحسب الحقیقة أحد رکنی العقد؛لأنّ المعاهدة الحقیقیة إنّما تحصل بین المالکین </w:t>
      </w:r>
      <w:r>
        <w:rPr>
          <w:rStyle w:val="FootnoteAnchor"/>
          <w:rtl w:val="true"/>
        </w:rPr>
        <w:footnoteReference w:id="2443"/>
      </w:r>
      <w:r>
        <w:rPr>
          <w:rFonts w:ascii="IRNazanin" w:hAnsi="IRNazanin" w:eastAsia="IRNazanin"/>
          <w:color w:val="111111"/>
          <w:sz w:val="28"/>
          <w:sz w:val="28"/>
          <w:szCs w:val="28"/>
          <w:rtl w:val="true"/>
          <w:lang w:bidi="fa-IR"/>
        </w:rPr>
        <w:t>بعد الإجازة،فیشبه القبول مع عدم تعیین الإیجاب عند القابل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قوّة احتمال اعتبار العلم بوقوع العقد،و لا یکفی مجرّد احتماله فیجیزه علی تقدیر وقوعه إذا انکشف وقوعه؛لأنّ الإجازة و إن لم تکن من العقود حتّی یشملها معاقد إجماعهم </w:t>
      </w:r>
      <w:r>
        <w:rPr>
          <w:rStyle w:val="FootnoteAnchor"/>
          <w:rtl w:val="true"/>
        </w:rPr>
        <w:footnoteReference w:id="2444"/>
      </w:r>
      <w:r>
        <w:rPr>
          <w:rFonts w:ascii="IRNazanin" w:hAnsi="IRNazanin" w:eastAsia="IRNazanin"/>
          <w:color w:val="111111"/>
          <w:sz w:val="28"/>
          <w:sz w:val="28"/>
          <w:szCs w:val="28"/>
          <w:rtl w:val="true"/>
          <w:lang w:bidi="fa-IR"/>
        </w:rPr>
        <w:t xml:space="preserve">علی عدم جواز التعلیق فیها </w:t>
      </w:r>
      <w:r>
        <w:rPr>
          <w:rStyle w:val="FootnoteAnchor"/>
          <w:rtl w:val="true"/>
        </w:rPr>
        <w:footnoteReference w:id="2445"/>
      </w:r>
      <w:r>
        <w:rPr>
          <w:rFonts w:ascii="Amiri" w:hAnsi="Amiri" w:eastAsia="Amiri" w:cs="Amiri"/>
          <w:color w:val="111111"/>
          <w:sz w:val="28"/>
          <w:sz w:val="28"/>
          <w:szCs w:val="28"/>
          <w:rtl w:val="true"/>
          <w:lang w:bidi="ar-SA"/>
        </w:rPr>
        <w:t xml:space="preserve">،إلّا أنّها فی معناها </w:t>
      </w:r>
      <w:r>
        <w:rPr>
          <w:rStyle w:val="FootnoteAnchor"/>
          <w:rtl w:val="true"/>
        </w:rPr>
        <w:footnoteReference w:id="2446"/>
      </w:r>
      <w:r>
        <w:rPr>
          <w:rFonts w:ascii="IRNazanin" w:hAnsi="IRNazanin" w:eastAsia="IRNazanin"/>
          <w:color w:val="111111"/>
          <w:sz w:val="28"/>
          <w:sz w:val="28"/>
          <w:szCs w:val="28"/>
          <w:rtl w:val="true"/>
          <w:lang w:bidi="fa-IR"/>
        </w:rPr>
        <w:t>و لذا یخاطب المجیز بعدها بالوفاء</w:t>
      </w:r>
      <w:bookmarkStart w:id="813" w:name="pg19763_248215"/>
    </w:p>
    <w:p>
      <w:pPr>
        <w:pStyle w:val="BookText"/>
        <w:rPr/>
      </w:pPr>
      <w:bookmarkEnd w:id="813"/>
      <w:r>
        <w:rPr>
          <w:rFonts w:ascii="IRNazanin" w:hAnsi="IRNazanin" w:eastAsia="IRNazanin"/>
          <w:color w:val="111111"/>
          <w:sz w:val="28"/>
          <w:sz w:val="28"/>
          <w:szCs w:val="28"/>
          <w:rtl w:val="true"/>
          <w:lang w:bidi="fa-IR"/>
        </w:rPr>
        <w:t xml:space="preserve">بالعقد السابق،مع أنّ الوفاء بالعقد السابق </w:t>
      </w:r>
      <w:r>
        <w:rPr>
          <w:rStyle w:val="FootnoteAnchor"/>
          <w:rtl w:val="true"/>
        </w:rPr>
        <w:footnoteReference w:id="2447"/>
      </w:r>
      <w:r>
        <w:rPr>
          <w:rFonts w:ascii="Amiri" w:hAnsi="Amiri" w:eastAsia="Amiri" w:cs="Amiri"/>
          <w:color w:val="111111"/>
          <w:sz w:val="28"/>
          <w:sz w:val="28"/>
          <w:szCs w:val="28"/>
          <w:rtl w:val="true"/>
          <w:lang w:bidi="ar-SA"/>
        </w:rPr>
        <w:t>لا یکون إلّا فی حقّ العاقد،فتأمّل</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5083042_2314609296"/>
      <w:bookmarkStart w:id="815" w:name="_Toc312"/>
      <w:bookmarkEnd w:id="814"/>
      <w:r>
        <w:rPr>
          <w:rtl w:val="true"/>
        </w:rPr>
        <w:t>الثالث</w:t>
      </w:r>
      <w:r>
        <w:rPr>
          <w:rtl w:val="true"/>
        </w:rPr>
        <w:t xml:space="preserve">: </w:t>
      </w:r>
      <w:r>
        <w:rPr>
          <w:rtl w:val="true"/>
        </w:rPr>
        <w:t>المجاز،إمّا العقد الواقع علی نفس مال الغیر،و إمّا العقد الواقع علی عوضه،</w:t>
      </w:r>
      <w:bookmarkEnd w:id="815"/>
    </w:p>
    <w:p>
      <w:pPr>
        <w:pStyle w:val="BookText"/>
        <w:rPr/>
      </w:pPr>
      <w:r>
        <w:rPr>
          <w:rFonts w:ascii="IRNazanin" w:hAnsi="IRNazanin" w:eastAsia="IRNazanin"/>
          <w:color w:val="111111"/>
          <w:sz w:val="28"/>
          <w:sz w:val="28"/>
          <w:szCs w:val="28"/>
          <w:rtl w:val="true"/>
          <w:lang w:bidi="fa-IR"/>
        </w:rPr>
        <w:t>و علی کلّ منهما إمّا أن یکون المجاز أوّل عقد وقع علی المال أو عوضه،أو آخره،أو عقداً بین سابق و لاحق واقعین علی مورده،أو بدله،أو بالاختلاف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یجمع </w:t>
      </w:r>
      <w:r>
        <w:rPr>
          <w:rStyle w:val="FootnoteAnchor"/>
          <w:rtl w:val="true"/>
        </w:rPr>
        <w:footnoteReference w:id="2448"/>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باع عبداً لمالکٍ بفرس،ثمّ باعه المشتری بکتاب،ثمّ باعه الثالث بدینار،و باع البائع الفرس بدرهم،و باع الثالث الدینار بجاریة،و باع بائع الفرس الدرهم برغیف،ثمّ بیع الدرهم بحمار، و بیع الرغیف بعسل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إجازة العقد الواقع علی مال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العبد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ملزمة له و لما بعده ممّا وقع علی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العبد بالدینار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الکشف،و أمّا بناءً علی النقل،فیبنی علی ما تقدّم من اعتبار ملک المجیز حین العقد و عدمه،و هی فسخ بالنسبة إلی ما قبله ممّا ورد علی مورده،أعنی بیع العبد بفرس بالنسبة إلی المجیز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من ملک بالإجازة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المشتری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فقابلیّته للإجازة مبنیّة علی مسألة اشتراط ملک المجیز حین العقد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حال العقود السابقة و اللاحقة علی مورده،أعنی مال المجیز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العقود الواقعة علی عوض مال المجیز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فالسابقة علی هذا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بیع الفرس بالدرهم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یتوقّف لزومها علی إجازة المالک الأصلی للعوض و هو الفرس </w:t>
      </w:r>
      <w:r>
        <w:rPr>
          <w:rStyle w:val="FootnoteAnchor"/>
          <w:rtl w:val="true"/>
        </w:rPr>
        <w:footnoteReference w:id="2449"/>
      </w:r>
      <w:r>
        <w:rPr>
          <w:rFonts w:ascii="IRNazanin" w:hAnsi="IRNazanin" w:eastAsia="IRNazanin"/>
          <w:color w:val="111111"/>
          <w:sz w:val="28"/>
          <w:sz w:val="28"/>
          <w:szCs w:val="28"/>
          <w:rtl w:val="true"/>
          <w:lang w:bidi="fa-IR"/>
        </w:rPr>
        <w:t>،و اللاحقة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بیع الدینار بجاریة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 بلزوم هذا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إجازة العقد الواقع علی العوض </w:t>
      </w:r>
      <w:r>
        <w:rPr>
          <w:rStyle w:val="FootnoteAnchor"/>
          <w:rtl w:val="true"/>
        </w:rPr>
        <w:footnoteReference w:id="2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بیع الدرهم برغیف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ملزمة للعقود السابقة علیه،سواء وقعت علی نفس مال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بیع العبد بالفرس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علی </w:t>
      </w:r>
      <w:r>
        <w:rPr>
          <w:rStyle w:val="FootnoteAnchor"/>
          <w:rtl w:val="true"/>
        </w:rPr>
        <w:footnoteReference w:id="2451"/>
      </w:r>
      <w:r>
        <w:rPr>
          <w:rFonts w:ascii="IRNazanin" w:hAnsi="IRNazanin" w:eastAsia="IRNazanin"/>
          <w:color w:val="111111"/>
          <w:sz w:val="28"/>
          <w:sz w:val="28"/>
          <w:szCs w:val="28"/>
          <w:rtl w:val="true"/>
          <w:lang w:bidi="fa-IR"/>
        </w:rPr>
        <w:t xml:space="preserve">عوضه و هو بیع الفرس بالدرهم، و للعقود اللاحقة له إذا وقعت علی المعوّض </w:t>
      </w:r>
      <w:r>
        <w:rPr>
          <w:rStyle w:val="FootnoteAnchor"/>
          <w:rtl w:val="true"/>
        </w:rPr>
        <w:footnoteReference w:id="2452"/>
      </w:r>
      <w:r>
        <w:rPr>
          <w:rFonts w:ascii="IRNazanin" w:hAnsi="IRNazanin" w:eastAsia="IRNazanin"/>
          <w:color w:val="111111"/>
          <w:sz w:val="28"/>
          <w:sz w:val="28"/>
          <w:szCs w:val="28"/>
          <w:rtl w:val="true"/>
          <w:lang w:bidi="fa-IR"/>
        </w:rPr>
        <w:t>،و هو بیع الدرهم بالحمار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الواقعة علی هذا البدل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بیع الرغیف بالعسل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فحکمها حکم العقود الواقعة علی المعوّض ابتداءً</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ما ذکرنا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ترتّبت عقود متعدّدة </w:t>
      </w:r>
      <w:r>
        <w:rPr>
          <w:rStyle w:val="FootnoteAnchor"/>
          <w:rtl w:val="true"/>
        </w:rPr>
        <w:footnoteReference w:id="2453"/>
      </w:r>
      <w:r>
        <w:rPr>
          <w:rFonts w:ascii="Amiri" w:hAnsi="Amiri" w:eastAsia="Amiri" w:cs="Amiri"/>
          <w:color w:val="111111"/>
          <w:sz w:val="28"/>
          <w:sz w:val="28"/>
          <w:szCs w:val="28"/>
          <w:rtl w:val="true"/>
          <w:lang w:bidi="ar-SA"/>
        </w:rPr>
        <w:t xml:space="preserve">مترتّبة </w:t>
      </w:r>
      <w:r>
        <w:rPr>
          <w:rStyle w:val="FootnoteAnchor"/>
          <w:rtl w:val="true"/>
        </w:rPr>
        <w:footnoteReference w:id="2454"/>
      </w:r>
      <w:r>
        <w:rPr>
          <w:rFonts w:ascii="IRNazanin" w:hAnsi="IRNazanin" w:eastAsia="IRNazanin"/>
          <w:color w:val="111111"/>
          <w:sz w:val="28"/>
          <w:sz w:val="28"/>
          <w:szCs w:val="28"/>
          <w:rtl w:val="true"/>
          <w:lang w:bidi="fa-IR"/>
        </w:rPr>
        <w:t>علی مال المجیز،فإن وقعت من أشخاص متعدّدة کان إجازة وسط منها فسخاً لما قبله و إجازة لما بعده علی الکشف،و إن وقعت من شخص واحد انعکس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هذا هو المراد من المحکی عن الإیضاح </w:t>
      </w:r>
      <w:r>
        <w:rPr>
          <w:rStyle w:val="FootnoteAnchor"/>
          <w:rtl w:val="true"/>
        </w:rPr>
        <w:footnoteReference w:id="2455"/>
      </w:r>
      <w:r>
        <w:rPr>
          <w:rFonts w:ascii="IRNazanin" w:hAnsi="IRNazanin" w:eastAsia="IRNazanin"/>
          <w:color w:val="111111"/>
          <w:sz w:val="28"/>
          <w:sz w:val="28"/>
          <w:szCs w:val="28"/>
          <w:rtl w:val="true"/>
          <w:lang w:bidi="fa-IR"/>
        </w:rPr>
        <w:t xml:space="preserve">و الدروس </w:t>
      </w:r>
      <w:r>
        <w:rPr>
          <w:rStyle w:val="FootnoteAnchor"/>
          <w:rtl w:val="true"/>
        </w:rPr>
        <w:footnoteReference w:id="2456"/>
      </w:r>
      <w:r>
        <w:rPr>
          <w:rFonts w:ascii="IRNazanin" w:hAnsi="IRNazanin" w:eastAsia="IRNazanin"/>
          <w:color w:val="111111"/>
          <w:sz w:val="28"/>
          <w:sz w:val="28"/>
          <w:szCs w:val="28"/>
          <w:rtl w:val="true"/>
          <w:lang w:bidi="fa-IR"/>
        </w:rPr>
        <w:t>فی حکم ترتّب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إذا أجاز عقداً علی المبیع صحّ و ما بعده، و فی الثمن ینعکس؛فإنّ العقود المترتّبة علی المبیع لا یکون إلّا من أشخاص متعدّدة،و أمّا العقود المترتّبة علی الثمن،فلیس مرادهما أن یعقد علی الثمن الشخصی مراراً؛لأنّ حکم ذلک حکم العقود المترتّبة علی المبیع،علی ما سمعت سابقاً من </w:t>
      </w:r>
      <w:r>
        <w:rPr>
          <w:rStyle w:val="FootnoteAnchor"/>
          <w:rtl w:val="true"/>
        </w:rPr>
        <w:footnoteReference w:id="2457"/>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الواقعة علی هذا البدل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إلخ،بل مرادهما ترامی الأثمان فی العقود المتعدّدة،کما صرّح بذلک المحقّق و الشهید الثانیان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علم من ذلک أنّ مرادنا بما ذکرنا فی المقسم من العقد المجاز علی عوض مال الغیر،لیس العوض الشخصی الأوّل له،بل العوض و لو بواسطة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 </w:t>
      </w:r>
      <w:r>
        <w:rPr>
          <w:rStyle w:val="FootnoteAnchor"/>
          <w:rtl w:val="true"/>
        </w:rPr>
        <w:footnoteReference w:id="2459"/>
      </w:r>
      <w:r>
        <w:rPr>
          <w:rFonts w:ascii="IRNazanin" w:hAnsi="IRNazanin" w:eastAsia="IRNazanin"/>
          <w:color w:val="111111"/>
          <w:sz w:val="28"/>
          <w:sz w:val="28"/>
          <w:szCs w:val="28"/>
          <w:rtl w:val="true"/>
          <w:lang w:bidi="fa-IR"/>
        </w:rPr>
        <w:t xml:space="preserve">إشکالاً فی شمول الحکم بجواز تتبّع العقود لصورة علم المشتری بالغصب،أشار إلیه العلّامة رحمه اللّه فی القواعد </w:t>
      </w:r>
      <w:r>
        <w:rPr>
          <w:rStyle w:val="FootnoteAnchor"/>
          <w:rtl w:val="true"/>
        </w:rPr>
        <w:footnoteReference w:id="2460"/>
      </w:r>
      <w:r>
        <w:rPr>
          <w:rFonts w:ascii="IRNazanin" w:hAnsi="IRNazanin" w:eastAsia="IRNazanin"/>
          <w:color w:val="111111"/>
          <w:sz w:val="28"/>
          <w:sz w:val="28"/>
          <w:szCs w:val="28"/>
          <w:rtl w:val="true"/>
          <w:lang w:bidi="fa-IR"/>
        </w:rPr>
        <w:t>،و أوضحه قطب الدین و الشهید فی الحواشی المنسوبة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الأوّل فیما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وجه الإشکال أنّ المشتری مع العلم یکون مسلِّطاً للبائع الغاصب علی الثمن؛و لذا لو تلف لم یکن له الرجوع،و لو بقی ففیه الوجهان،فلا ینفذ فیه إجازة الغیر بعد تلفه بفعل المسلط بدفعه ثمناً عن مبیع اشتراه،و من أنّ الثمن عوض عن العین المملوکة و لم یمنع من نفوذ الملک فیه إلّا عدم صدوره عن المالک، فإذا أجاز جری مجری الصادر عنه </w:t>
      </w:r>
      <w:r>
        <w:rPr>
          <w:rStyle w:val="FootnoteAnchor"/>
          <w:rtl w:val="true"/>
        </w:rPr>
        <w:footnoteReference w:id="246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محکیّ الحواشی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المشتری مع علمه بالغصب یکون مسلِّطاً للبائع الغاصب علی الثمن،فلا یدخل فی ملک ربّ العین،فحینئذٍ إذا اشتری به البائع متاعاً فقد اشتراه لنفسه و أتلفه عند الدفع إلی البائع فیتحقّق ملکیّته للمبیع،فلا یتصوّر نفوذ الإجازة هنا </w:t>
      </w:r>
      <w:r>
        <w:rPr>
          <w:rStyle w:val="FootnoteAnchor"/>
          <w:rtl w:val="true"/>
        </w:rPr>
        <w:footnoteReference w:id="2462"/>
      </w:r>
      <w:r>
        <w:rPr>
          <w:rFonts w:ascii="IRNazanin" w:hAnsi="IRNazanin" w:eastAsia="IRNazanin"/>
          <w:color w:val="111111"/>
          <w:sz w:val="28"/>
          <w:sz w:val="28"/>
          <w:szCs w:val="28"/>
          <w:rtl w:val="true"/>
          <w:lang w:bidi="fa-IR"/>
        </w:rPr>
        <w:t xml:space="preserve">لصیرورته ملکاً للبائع و إن أمکن إجازة البیع </w:t>
      </w:r>
      <w:r>
        <w:rPr>
          <w:rStyle w:val="FootnoteAnchor"/>
          <w:rtl w:val="true"/>
        </w:rPr>
        <w:footnoteReference w:id="2463"/>
      </w:r>
      <w:r>
        <w:rPr>
          <w:rFonts w:ascii="IRNazanin" w:hAnsi="IRNazanin" w:eastAsia="IRNazanin"/>
          <w:color w:val="111111"/>
          <w:sz w:val="28"/>
          <w:sz w:val="28"/>
          <w:szCs w:val="28"/>
          <w:rtl w:val="true"/>
          <w:lang w:bidi="fa-IR"/>
        </w:rPr>
        <w:t>،مع احتمال عدم نفوذها أیضاً؛ لأنّ ما دفعه إلی الغاصب کالمأذون له فی إتلافه فلا یکون ثمناً، فلا تؤثّر الإجازة فی جعله ثمناً،فصار الإشکال فی صحّة البیع و فی التتبّع،ثمّ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یلزم من القول ببطلان التتبّع </w:t>
      </w:r>
      <w:r>
        <w:rPr>
          <w:rStyle w:val="FootnoteAnchor"/>
          <w:rtl w:val="true"/>
        </w:rPr>
        <w:footnoteReference w:id="2464"/>
      </w:r>
      <w:r>
        <w:rPr>
          <w:rFonts w:ascii="IRNazanin" w:hAnsi="IRNazanin" w:eastAsia="IRNazanin"/>
          <w:color w:val="111111"/>
          <w:sz w:val="28"/>
          <w:sz w:val="28"/>
          <w:szCs w:val="28"/>
          <w:rtl w:val="true"/>
          <w:lang w:bidi="fa-IR"/>
        </w:rPr>
        <w:t>بطلان إجازة البیع فی المبیع؛لاستحالة کون المبیع بلا ثمن،فإذا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الإشکال فی صحّة</w:t>
      </w:r>
    </w:p>
    <w:p>
      <w:pPr>
        <w:pStyle w:val="BookText"/>
        <w:rPr/>
      </w:pPr>
      <w:r>
        <w:rPr>
          <w:rFonts w:ascii="Amiri" w:hAnsi="Amiri" w:eastAsia="Amiri" w:cs="Amiri"/>
          <w:color w:val="111111"/>
          <w:sz w:val="28"/>
          <w:sz w:val="28"/>
          <w:szCs w:val="28"/>
          <w:rtl w:val="true"/>
          <w:lang w:bidi="ar-SA"/>
        </w:rPr>
        <w:t xml:space="preserve">العقد کان صحیحاً أیضاً </w:t>
      </w:r>
      <w:r>
        <w:rPr>
          <w:rStyle w:val="FootnoteAnchor"/>
          <w:rtl w:val="true"/>
        </w:rPr>
        <w:footnoteReference w:id="24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اقتصر فی جامع المقاصد </w:t>
      </w:r>
      <w:r>
        <w:rPr>
          <w:rStyle w:val="FootnoteAnchor"/>
          <w:rtl w:val="true"/>
        </w:rPr>
        <w:footnoteReference w:id="2466"/>
      </w:r>
      <w:r>
        <w:rPr>
          <w:rFonts w:ascii="IRNazanin" w:hAnsi="IRNazanin" w:eastAsia="IRNazanin"/>
          <w:color w:val="111111"/>
          <w:sz w:val="28"/>
          <w:sz w:val="28"/>
          <w:szCs w:val="28"/>
          <w:rtl w:val="true"/>
          <w:lang w:bidi="fa-IR"/>
        </w:rPr>
        <w:t>علی ما ذکره الشهید أخیراً فی وجه سرایة هذا الإشکال إلی صحّة عقد الفضولی مع علم المشتری بالغصب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المحکیّ عن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ابتناء وجه بطلان جواز تتبّع العقود للمالک مع علم المشتری علی کون الإجازة ناقلة،فیکون منشأ الإشکال فی الجواز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فی الکشف و النقل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محکیّ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المشتری جاهلاً فللمالک تتبّع العقود و رعایة مصلحته و الربح فی سلسلتی الثمن و المثمن،و أمّا إذا کان عالماً بالغصب فعلی قول الأصحاب من أنّ المشتری إذا رجع علیه بالسلعة لا یرجع علی الغاصب بالثمن مع وجود عینه،فیکون قد ملّک الغاصب مجّاناً؛لأنّه بالتسلیم إلی الغاصب لیس للمشتری استعادته من الغاصب بنصّ الأصحاب،و المالک قبل الإجازة لم یملک الثمن؛لأنّ الحقّ أنّ الإجازة شرط أو سبب،فلو لم یکن للغاصب فیکون </w:t>
      </w:r>
      <w:r>
        <w:rPr>
          <w:rStyle w:val="FootnoteAnchor"/>
          <w:rtl w:val="true"/>
        </w:rPr>
        <w:footnoteReference w:id="2467"/>
      </w:r>
      <w:r>
        <w:rPr>
          <w:rFonts w:ascii="IRNazanin" w:hAnsi="IRNazanin" w:eastAsia="IRNazanin"/>
          <w:color w:val="111111"/>
          <w:sz w:val="28"/>
          <w:sz w:val="28"/>
          <w:szCs w:val="28"/>
          <w:rtl w:val="true"/>
          <w:lang w:bidi="fa-IR"/>
        </w:rPr>
        <w:t>الملک بغیر مالک،و هو محال،فیکون قد سبق ملک الغاصب للثمن علی سبب ملک المالک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نقل الغاصب الثمن عن ملکه لم یکن للمالک إبطاله،و یکون ما یشتری الغاصب بالثمن و ربحه له،و لیس للمالک أخذه لأنّه ملک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بأنّ إجازة المالک کاشفة،فإذا أجاز العقد کان له،و یحتمل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لمالک العین حقٌّ تعلّق بالثمن،فإنّ</w:t>
      </w:r>
    </w:p>
    <w:p>
      <w:pPr>
        <w:pStyle w:val="BookText"/>
        <w:rPr/>
      </w:pPr>
      <w:r>
        <w:rPr>
          <w:rFonts w:ascii="IRNazanin" w:hAnsi="IRNazanin" w:eastAsia="IRNazanin"/>
          <w:color w:val="111111"/>
          <w:sz w:val="28"/>
          <w:sz w:val="28"/>
          <w:szCs w:val="28"/>
          <w:rtl w:val="true"/>
          <w:lang w:bidi="fa-IR"/>
        </w:rPr>
        <w:t xml:space="preserve">له إجازة البیع و أخذ الثمن،و حقّه مقدّم علی حقّ الغاصب،لأنّ الغاصب یؤخذ بأخسّ أحواله و أشقّها علیه </w:t>
      </w:r>
      <w:r>
        <w:rPr>
          <w:rStyle w:val="FootnoteAnchor"/>
          <w:rtl w:val="true"/>
        </w:rPr>
        <w:footnoteReference w:id="2468"/>
      </w:r>
      <w:r>
        <w:rPr>
          <w:rFonts w:ascii="IRNazanin" w:hAnsi="IRNazanin" w:eastAsia="IRNazanin"/>
          <w:color w:val="111111"/>
          <w:sz w:val="28"/>
          <w:sz w:val="28"/>
          <w:szCs w:val="28"/>
          <w:rtl w:val="true"/>
          <w:lang w:bidi="fa-IR"/>
        </w:rPr>
        <w:t xml:space="preserve">،و المالک بأجود </w:t>
      </w:r>
      <w:r>
        <w:rPr>
          <w:rStyle w:val="FootnoteAnchor"/>
          <w:rtl w:val="true"/>
        </w:rPr>
        <w:footnoteReference w:id="2469"/>
      </w:r>
      <w:r>
        <w:rPr>
          <w:rFonts w:ascii="Amiri" w:hAnsi="Amiri" w:eastAsia="Amiri" w:cs="Amiri"/>
          <w:color w:val="111111"/>
          <w:sz w:val="28"/>
          <w:sz w:val="28"/>
          <w:szCs w:val="28"/>
          <w:rtl w:val="true"/>
          <w:lang w:bidi="ar-SA"/>
        </w:rPr>
        <w:t>الأحوال،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عندی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Style w:val="FootnoteAnchor"/>
          <w:rtl w:val="true"/>
        </w:rPr>
        <w:footnoteReference w:id="2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وجود عین الثمن،للمشتری العالم أخذه،و مع التلف لیس له الرجوع به </w:t>
      </w:r>
      <w:r>
        <w:rPr>
          <w:rStyle w:val="FootnoteAnchor"/>
          <w:rtl w:val="true"/>
        </w:rPr>
        <w:footnoteReference w:id="2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وقع للإشکال علی تقدیر الکشف، و هذا هو المتّجه؛إذ حینئذٍ یندفع ما استشکله القطب و الشهید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تسلیط المشتری للبائع علی الثمن علی تقدیر الکشف تسلیطٌ علی ما ملکه </w:t>
      </w:r>
      <w:r>
        <w:rPr>
          <w:rStyle w:val="FootnoteAnchor"/>
          <w:rtl w:val="true"/>
        </w:rPr>
        <w:footnoteReference w:id="2472"/>
      </w:r>
      <w:r>
        <w:rPr>
          <w:rFonts w:ascii="IRNazanin" w:hAnsi="IRNazanin" w:eastAsia="IRNazanin"/>
          <w:color w:val="111111"/>
          <w:sz w:val="28"/>
          <w:sz w:val="28"/>
          <w:szCs w:val="28"/>
          <w:rtl w:val="true"/>
          <w:lang w:bidi="fa-IR"/>
        </w:rPr>
        <w:t xml:space="preserve">الغیر بالعقد السابق علی التسلیط الحاصل بالإقباض،فإذا انکشف ذلک بالإجازة عمل مقتضاه </w:t>
      </w:r>
      <w:r>
        <w:rPr>
          <w:rStyle w:val="FootnoteAnchor"/>
          <w:rtl w:val="true"/>
        </w:rPr>
        <w:footnoteReference w:id="2473"/>
      </w:r>
      <w:r>
        <w:rPr>
          <w:rFonts w:ascii="IRNazanin" w:hAnsi="IRNazanin" w:eastAsia="IRNazanin"/>
          <w:color w:val="111111"/>
          <w:sz w:val="28"/>
          <w:sz w:val="28"/>
          <w:szCs w:val="28"/>
          <w:rtl w:val="true"/>
          <w:lang w:bidi="fa-IR"/>
        </w:rPr>
        <w:t>،و إذا تحقّق الردّ انکشف کون ذلک تسلیطاً من المشتری علی ماله،فلیس له أن یستردّه؛بناءً علی ما نقل من الأصحاب</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نعم،علی القول بالنقل یقع الإشکال فی جواز إجازة العقد الواقع علی الثمن؛لأنّ إجازة مالک </w:t>
      </w:r>
      <w:r>
        <w:rPr>
          <w:rStyle w:val="FootnoteAnchor"/>
          <w:rtl w:val="true"/>
        </w:rPr>
        <w:footnoteReference w:id="2474"/>
      </w:r>
      <w:r>
        <w:rPr>
          <w:rFonts w:ascii="IRNazanin" w:hAnsi="IRNazanin" w:eastAsia="IRNazanin"/>
          <w:color w:val="111111"/>
          <w:sz w:val="28"/>
          <w:sz w:val="28"/>
          <w:szCs w:val="28"/>
          <w:rtl w:val="true"/>
          <w:lang w:bidi="fa-IR"/>
        </w:rPr>
        <w:t>المبیع له موقوفة علی تملّکه للثمن؛لأنّه</w:t>
      </w:r>
    </w:p>
    <w:p>
      <w:pPr>
        <w:pStyle w:val="BookText"/>
        <w:rPr/>
      </w:pPr>
      <w:r>
        <w:rPr>
          <w:rFonts w:ascii="IRNazanin" w:hAnsi="IRNazanin" w:eastAsia="IRNazanin"/>
          <w:color w:val="111111"/>
          <w:sz w:val="28"/>
          <w:sz w:val="28"/>
          <w:szCs w:val="28"/>
          <w:rtl w:val="true"/>
          <w:lang w:bidi="fa-IR"/>
        </w:rPr>
        <w:t>قبلها أجنبیّ عنه،و المفروض أنّ تملّکه الثمن موقوف علی الإجازة علی القول بالنقل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الإشکال فی إجازة العقد الواقع علی المبیع بعد قبض البائع الثمن أو بعد إتلافه إیّاه علی الخلاف فی اختصاص عدم رجوع المشتری علی </w:t>
      </w:r>
      <w:r>
        <w:rPr>
          <w:rStyle w:val="FootnoteAnchor"/>
          <w:rtl w:val="true"/>
        </w:rPr>
        <w:footnoteReference w:id="2475"/>
      </w:r>
      <w:r>
        <w:rPr>
          <w:rFonts w:ascii="IRNazanin" w:hAnsi="IRNazanin" w:eastAsia="IRNazanin"/>
          <w:color w:val="111111"/>
          <w:sz w:val="28"/>
          <w:sz w:val="28"/>
          <w:szCs w:val="28"/>
          <w:rtl w:val="true"/>
          <w:lang w:bidi="fa-IR"/>
        </w:rPr>
        <w:t xml:space="preserve">الثمن بصورة التلف و عدمه؛لأنّ تسلیط المشتری للبائع علی الثمن قبل انتقاله إلی </w:t>
      </w:r>
      <w:r>
        <w:rPr>
          <w:rStyle w:val="FootnoteAnchor"/>
          <w:rtl w:val="true"/>
        </w:rPr>
        <w:footnoteReference w:id="2476"/>
      </w:r>
      <w:r>
        <w:rPr>
          <w:rFonts w:ascii="IRNazanin" w:hAnsi="IRNazanin" w:eastAsia="IRNazanin"/>
          <w:color w:val="111111"/>
          <w:sz w:val="28"/>
          <w:sz w:val="28"/>
          <w:szCs w:val="28"/>
          <w:rtl w:val="true"/>
          <w:lang w:bidi="fa-IR"/>
        </w:rPr>
        <w:t>مالک المبیع بالإجازة،فلا یبقی مورد للإجازة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احتمال تقدیم حقّ المجیز لأنّه أسبق و أنّه أولی من الغاصب المأخوذ بأشقّ الأحوال </w:t>
      </w:r>
      <w:r>
        <w:rPr>
          <w:rStyle w:val="FootnoteAnchor"/>
          <w:rtl w:val="true"/>
        </w:rPr>
        <w:footnoteReference w:id="2477"/>
      </w:r>
      <w:r>
        <w:rPr>
          <w:rFonts w:ascii="IRNazanin" w:hAnsi="IRNazanin" w:eastAsia="IRNazanin"/>
          <w:color w:val="111111"/>
          <w:sz w:val="28"/>
          <w:sz w:val="28"/>
          <w:szCs w:val="28"/>
          <w:rtl w:val="true"/>
          <w:lang w:bidi="fa-IR"/>
        </w:rPr>
        <w:t xml:space="preserve">،فلم یعلم له </w:t>
      </w:r>
      <w:r>
        <w:rPr>
          <w:rStyle w:val="FootnoteAnchor"/>
          <w:rtl w:val="true"/>
        </w:rPr>
        <w:footnoteReference w:id="2478"/>
      </w:r>
      <w:r>
        <w:rPr>
          <w:rFonts w:ascii="IRNazanin" w:hAnsi="IRNazanin" w:eastAsia="IRNazanin"/>
          <w:color w:val="111111"/>
          <w:sz w:val="28"/>
          <w:sz w:val="28"/>
          <w:szCs w:val="28"/>
          <w:rtl w:val="true"/>
          <w:lang w:bidi="fa-IR"/>
        </w:rPr>
        <w:t xml:space="preserve">وجه بناءً علی النقل؛لأنّ العقد جزء سبب لتملّک المجیز،و التسلیط </w:t>
      </w:r>
      <w:r>
        <w:rPr>
          <w:rStyle w:val="FootnoteAnchor"/>
          <w:rtl w:val="true"/>
        </w:rPr>
        <w:footnoteReference w:id="2479"/>
      </w:r>
      <w:r>
        <w:rPr>
          <w:rFonts w:ascii="IRNazanin" w:hAnsi="IRNazanin" w:eastAsia="IRNazanin"/>
          <w:color w:val="111111"/>
          <w:sz w:val="28"/>
          <w:sz w:val="28"/>
          <w:szCs w:val="28"/>
          <w:rtl w:val="true"/>
          <w:lang w:bidi="fa-IR"/>
        </w:rPr>
        <w:t>المتأخّر عنه علّة تامّة لتملّک الغاصب،فکیف یکون حقّ المجیز أسبق؟ 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حکم الأصحاب بعدم استرداد الثمن،لعلّه لأجل التسلیط </w:t>
      </w:r>
      <w:r>
        <w:rPr>
          <w:rStyle w:val="FootnoteAnchor"/>
          <w:rtl w:val="true"/>
        </w:rPr>
        <w:footnoteReference w:id="2480"/>
      </w:r>
      <w:r>
        <w:rPr>
          <w:rFonts w:ascii="IRNazanin" w:hAnsi="IRNazanin" w:eastAsia="IRNazanin"/>
          <w:color w:val="111111"/>
          <w:sz w:val="28"/>
          <w:sz w:val="28"/>
          <w:szCs w:val="28"/>
          <w:rtl w:val="true"/>
          <w:lang w:bidi="fa-IR"/>
        </w:rPr>
        <w:t xml:space="preserve">المراعی بعدم إجازة مالک المبیع،لا لأنّ نفس التسلیط </w:t>
      </w:r>
      <w:r>
        <w:rPr>
          <w:rStyle w:val="FootnoteAnchor"/>
          <w:rtl w:val="true"/>
        </w:rPr>
        <w:footnoteReference w:id="2481"/>
      </w:r>
      <w:r>
        <w:rPr>
          <w:rFonts w:ascii="IRNazanin" w:hAnsi="IRNazanin" w:eastAsia="IRNazanin"/>
          <w:color w:val="111111"/>
          <w:sz w:val="28"/>
          <w:sz w:val="28"/>
          <w:szCs w:val="28"/>
          <w:rtl w:val="true"/>
          <w:lang w:bidi="fa-IR"/>
        </w:rPr>
        <w:t>علّة تامّة لاستحقاق الغاصب علی تقدیری الردّ و الإجازة، و حیث إنّ حکمهم هذا مخالف للقواعد الدالّة علی عدم حصول الانتقال</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بمجرّد التسلیط المتفرّع علی عقد فاسد،وجب الاقتصار فیه علی المتیقّن،و هو التسلیط علی تقدیر عدم الإجازة،فافهم</w:t>
      </w:r>
      <w:r>
        <w:rPr>
          <w:rFonts w:eastAsia="IRNazanin" w:cs="IRNazanin"/>
          <w:color w:val="111111"/>
          <w:sz w:val="28"/>
          <w:szCs w:val="28"/>
          <w:rtl w:val="true"/>
          <w:lang w:bidi="fa-IR"/>
        </w:rPr>
        <w:t>.</w:t>
      </w:r>
      <w:bookmarkStart w:id="816" w:name="pg19763_248223"/>
    </w:p>
    <w:p>
      <w:pPr>
        <w:pStyle w:val="Heading6"/>
        <w:numPr>
          <w:ilvl w:val="5"/>
          <w:numId w:val="1"/>
        </w:numPr>
        <w:rPr/>
      </w:pPr>
      <w:bookmarkStart w:id="817" w:name="__RefHeading___Toc5083044_2314609296"/>
      <w:bookmarkStart w:id="818" w:name="_Toc313"/>
      <w:bookmarkEnd w:id="816"/>
      <w:bookmarkEnd w:id="817"/>
      <w:r>
        <w:rPr>
          <w:rtl w:val="true"/>
        </w:rPr>
        <w:t>مسألة فی أحکام الردّ</w:t>
      </w:r>
      <w:bookmarkEnd w:id="818"/>
    </w:p>
    <w:p>
      <w:pPr>
        <w:pStyle w:val="Heading6"/>
        <w:numPr>
          <w:ilvl w:val="5"/>
          <w:numId w:val="1"/>
        </w:numPr>
        <w:rPr/>
      </w:pPr>
      <w:bookmarkStart w:id="819" w:name="__RefHeading___Toc5083046_2314609296"/>
      <w:bookmarkStart w:id="820" w:name="_Toc314"/>
      <w:bookmarkEnd w:id="819"/>
      <w:r>
        <w:rPr>
          <w:rtl w:val="true"/>
        </w:rPr>
        <w:t>[</w:t>
      </w:r>
      <w:r>
        <w:rPr>
          <w:rtl w:val="true"/>
        </w:rPr>
        <w:t>ما یتحقق به الرد</w:t>
      </w:r>
      <w:r>
        <w:rPr>
          <w:rtl w:val="true"/>
        </w:rPr>
        <w:t>]</w:t>
      </w:r>
      <w:bookmarkEnd w:id="820"/>
    </w:p>
    <w:p>
      <w:pPr>
        <w:pStyle w:val="BookText"/>
        <w:rPr/>
      </w:pPr>
      <w:r>
        <w:rPr>
          <w:rFonts w:ascii="IRNazanin" w:hAnsi="IRNazanin" w:eastAsia="IRNazanin"/>
          <w:color w:val="111111"/>
          <w:sz w:val="28"/>
          <w:sz w:val="28"/>
          <w:szCs w:val="28"/>
          <w:rtl w:val="true"/>
          <w:lang w:bidi="fa-IR"/>
        </w:rPr>
        <w:t>لا یتحقّق الردّ قولاً إلّا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شبه ذلک ممّا هو صریح فی الردّ؛لأصالة بقاء اللزوم من طرف الأصیل و قابلیّته من طرف المجیز،و کذا یحصل بکلّ فعل مخرجٍ </w:t>
      </w:r>
      <w:r>
        <w:rPr>
          <w:rStyle w:val="FootnoteAnchor"/>
          <w:rtl w:val="true"/>
        </w:rPr>
        <w:footnoteReference w:id="2482"/>
      </w:r>
      <w:r>
        <w:rPr>
          <w:rFonts w:ascii="IRNazanin" w:hAnsi="IRNazanin" w:eastAsia="IRNazanin"/>
          <w:color w:val="111111"/>
          <w:sz w:val="28"/>
          <w:sz w:val="28"/>
          <w:szCs w:val="28"/>
          <w:rtl w:val="true"/>
          <w:lang w:bidi="fa-IR"/>
        </w:rPr>
        <w:t>له عن ملکه بالنقل أو بالإتلاف و شبههما،کالعتق و البیع و الهبة و التزویج و نحو ذلک،و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تصرّفه بعد فرض صحّته مفوّت لمحلّ الإجازة؛لفرض خروجه عن ملکه</w:t>
      </w:r>
      <w:r>
        <w:rPr>
          <w:rFonts w:eastAsia="IRNazanin" w:cs="IRNazanin"/>
          <w:color w:val="111111"/>
          <w:sz w:val="28"/>
          <w:szCs w:val="28"/>
          <w:rtl w:val="true"/>
          <w:lang w:bidi="fa-IR"/>
        </w:rPr>
        <w:t>.</w:t>
      </w:r>
    </w:p>
    <w:p>
      <w:pPr>
        <w:pStyle w:val="Heading6"/>
        <w:numPr>
          <w:ilvl w:val="5"/>
          <w:numId w:val="1"/>
        </w:numPr>
        <w:rPr/>
      </w:pPr>
      <w:bookmarkStart w:id="821" w:name="__RefHeading___Toc5083048_2314609296"/>
      <w:bookmarkStart w:id="822" w:name="_Toc315"/>
      <w:bookmarkEnd w:id="821"/>
      <w:r>
        <w:rPr>
          <w:rtl w:val="true"/>
        </w:rPr>
        <w:t>[</w:t>
      </w:r>
      <w:r>
        <w:rPr>
          <w:rtl w:val="true"/>
        </w:rPr>
        <w:t>هل یتحقق الرد بالتصرف غیر المخرج عن الملک؟</w:t>
      </w:r>
      <w:r>
        <w:rPr>
          <w:rtl w:val="true"/>
        </w:rPr>
        <w:t>]</w:t>
      </w:r>
      <w:bookmarkEnd w:id="822"/>
    </w:p>
    <w:p>
      <w:pPr>
        <w:pStyle w:val="BookText"/>
        <w:rPr/>
      </w:pPr>
      <w:r>
        <w:rPr>
          <w:rFonts w:ascii="IRNazanin" w:hAnsi="IRNazanin" w:eastAsia="IRNazanin"/>
          <w:color w:val="111111"/>
          <w:sz w:val="28"/>
          <w:sz w:val="28"/>
          <w:szCs w:val="28"/>
          <w:rtl w:val="true"/>
          <w:lang w:bidi="fa-IR"/>
        </w:rPr>
        <w:t>و أمّا التصرّف الغیر المخرج عن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کاستیلاد الجاریة و إجارة الدار </w:t>
      </w:r>
      <w:r>
        <w:rPr>
          <w:rStyle w:val="FootnoteAnchor"/>
          <w:rtl w:val="true"/>
        </w:rPr>
        <w:footnoteReference w:id="2483"/>
      </w:r>
      <w:r>
        <w:rPr>
          <w:rFonts w:ascii="IRNazanin" w:hAnsi="IRNazanin" w:eastAsia="IRNazanin"/>
          <w:color w:val="111111"/>
          <w:sz w:val="28"/>
          <w:sz w:val="28"/>
          <w:szCs w:val="28"/>
          <w:rtl w:val="true"/>
          <w:lang w:bidi="fa-IR"/>
        </w:rPr>
        <w:t>و تزویج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لم یخرج الملک عن قابلیّة وقوع الإجازة علیه،إلّا أنّه مخرج له عن قابلیّة وقوع الإجازة من زمان العقد؛لأنّ صحّة الإجازة علی هذا النحو توجب وقوعها باطلة،و إذا فرض وقوعها صحیحة منعت عن وقوع الإجازة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وقوع هذه الأُمور صحیحة،مناقض </w:t>
      </w:r>
      <w:r>
        <w:rPr>
          <w:rStyle w:val="FootnoteAnchor"/>
          <w:rtl w:val="true"/>
        </w:rPr>
        <w:footnoteReference w:id="2484"/>
      </w:r>
      <w:r>
        <w:rPr>
          <w:rFonts w:ascii="IRNazanin" w:hAnsi="IRNazanin" w:eastAsia="IRNazanin"/>
          <w:color w:val="111111"/>
          <w:sz w:val="28"/>
          <w:sz w:val="28"/>
          <w:szCs w:val="28"/>
          <w:rtl w:val="true"/>
          <w:lang w:bidi="fa-IR"/>
        </w:rPr>
        <w:t>لوقوع</w:t>
      </w:r>
    </w:p>
    <w:p>
      <w:pPr>
        <w:pStyle w:val="BookText"/>
        <w:rPr/>
      </w:pPr>
      <w:r>
        <w:rPr>
          <w:rFonts w:ascii="IRNazanin" w:hAnsi="IRNazanin" w:eastAsia="IRNazanin"/>
          <w:color w:val="111111"/>
          <w:sz w:val="28"/>
          <w:sz w:val="28"/>
          <w:szCs w:val="28"/>
          <w:rtl w:val="true"/>
          <w:lang w:bidi="fa-IR"/>
        </w:rPr>
        <w:t xml:space="preserve">الإجازة لأصل العقد،فإذا وقع أحد المتنافیین صحیحاً فلا بدّ من امتناع وقوع الآخر </w:t>
      </w:r>
      <w:r>
        <w:rPr>
          <w:rStyle w:val="FootnoteAnchor"/>
          <w:rtl w:val="true"/>
        </w:rPr>
        <w:footnoteReference w:id="2485"/>
      </w:r>
      <w:r>
        <w:rPr>
          <w:rFonts w:ascii="IRNazanin" w:hAnsi="IRNazanin" w:eastAsia="IRNazanin"/>
          <w:color w:val="111111"/>
          <w:sz w:val="28"/>
          <w:sz w:val="28"/>
          <w:szCs w:val="28"/>
          <w:rtl w:val="true"/>
          <w:lang w:bidi="fa-IR"/>
        </w:rPr>
        <w:t xml:space="preserve">،أو إبطال صاحبه،أو إیقاعه علی غیر وجهه </w:t>
      </w:r>
      <w:r>
        <w:rPr>
          <w:rStyle w:val="FootnoteAnchor"/>
          <w:rtl w:val="true"/>
        </w:rPr>
        <w:footnoteReference w:id="2486"/>
      </w:r>
      <w:r>
        <w:rPr>
          <w:rFonts w:ascii="IRNazanin" w:hAnsi="IRNazanin" w:eastAsia="IRNazanin"/>
          <w:color w:val="111111"/>
          <w:sz w:val="28"/>
          <w:sz w:val="28"/>
          <w:szCs w:val="28"/>
          <w:rtl w:val="true"/>
          <w:lang w:bidi="fa-IR"/>
        </w:rPr>
        <w:t>، و حیث لا سبیل إلی الأخیرین 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بالجملة،کلّ ما یکون باطلاً علی تقدیر لحوق الإجازة المؤثّر </w:t>
      </w:r>
      <w:r>
        <w:rPr>
          <w:rStyle w:val="FootnoteAnchor"/>
          <w:rtl w:val="true"/>
        </w:rPr>
        <w:footnoteReference w:id="2487"/>
      </w:r>
      <w:r>
        <w:rPr>
          <w:rFonts w:ascii="IRNazanin" w:hAnsi="IRNazanin" w:eastAsia="IRNazanin"/>
          <w:color w:val="111111"/>
          <w:sz w:val="28"/>
          <w:sz w:val="28"/>
          <w:szCs w:val="28"/>
          <w:rtl w:val="true"/>
          <w:lang w:bidi="fa-IR"/>
        </w:rPr>
        <w:t>من حین العقد،فوقوعه صحیحاً مانع من لحوق الإجازة؛لامتناع اجتماع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انتفع المالک بها قبل الإجازة بالسکنی و اللبس،کان علیه اجرة المثل إذا أجاز،فتأمّل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فرق بین وقوع هذه مع الاطّلاع علی وقوع العقد،و وقوعها </w:t>
      </w:r>
      <w:r>
        <w:rPr>
          <w:rStyle w:val="FootnoteAnchor"/>
          <w:rtl w:val="true"/>
        </w:rPr>
        <w:footnoteReference w:id="2488"/>
      </w:r>
      <w:r>
        <w:rPr>
          <w:rFonts w:ascii="IRNazanin" w:hAnsi="IRNazanin" w:eastAsia="IRNazanin"/>
          <w:color w:val="111111"/>
          <w:sz w:val="28"/>
          <w:sz w:val="28"/>
          <w:szCs w:val="28"/>
          <w:rtl w:val="true"/>
          <w:lang w:bidi="fa-IR"/>
        </w:rPr>
        <w:t xml:space="preserve">بدونه؛لأنّ التنافی بینهما واقعی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دلیل علی اشتراط قابلیّة التأثیر من حین العقد فی </w:t>
      </w:r>
      <w:r>
        <w:rPr>
          <w:rStyle w:val="FootnoteAnchor"/>
          <w:rtl w:val="true"/>
        </w:rPr>
        <w:footnoteReference w:id="2490"/>
      </w:r>
      <w:r>
        <w:rPr>
          <w:rFonts w:ascii="IRNazanin" w:hAnsi="IRNazanin" w:eastAsia="IRNazanin"/>
          <w:color w:val="111111"/>
          <w:sz w:val="28"/>
          <w:sz w:val="28"/>
          <w:szCs w:val="28"/>
          <w:rtl w:val="true"/>
          <w:lang w:bidi="fa-IR"/>
        </w:rPr>
        <w:t xml:space="preserve">الإجازة؛و لذا صحّح جماعة کما تقدّم </w:t>
      </w:r>
      <w:r>
        <w:rPr>
          <w:rStyle w:val="FootnoteAnchor"/>
          <w:rtl w:val="true"/>
        </w:rPr>
        <w:footnoteReference w:id="2491"/>
      </w:r>
      <w:r>
        <w:rPr>
          <w:rFonts w:ascii="IRNazanin" w:hAnsi="IRNazanin" w:eastAsia="IRNazanin"/>
          <w:color w:val="111111"/>
          <w:sz w:val="28"/>
          <w:sz w:val="28"/>
          <w:szCs w:val="28"/>
          <w:rtl w:val="true"/>
          <w:lang w:bidi="fa-IR"/>
        </w:rPr>
        <w:t>إجازة المالک الجدید فی من باع شیئاً ثمّ ملکه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بإجماع أهل الکشف علی کون إجازة المالک حین العقد</w:t>
      </w:r>
      <w:bookmarkStart w:id="823" w:name="pg19763_248225"/>
    </w:p>
    <w:p>
      <w:pPr>
        <w:pStyle w:val="BookText"/>
        <w:rPr/>
      </w:pPr>
      <w:bookmarkEnd w:id="823"/>
      <w:r>
        <w:rPr>
          <w:rFonts w:ascii="IRNazanin" w:hAnsi="IRNazanin" w:eastAsia="IRNazanin"/>
          <w:color w:val="111111"/>
          <w:sz w:val="28"/>
          <w:sz w:val="28"/>
          <w:szCs w:val="28"/>
          <w:rtl w:val="true"/>
          <w:lang w:bidi="fa-IR"/>
        </w:rPr>
        <w:t>مؤثّرة من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بأنّ الإجازة کاشفة بالکشف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 إلی کون المؤثّر التامّ هو العقد الملحوق بالإجازة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التصرّفات مبنیّة علی الظاهر،و بالإجازة ینکشف عدم مصادفتها للملک،فتبطل هی و تصحّ الإجازة</w:t>
      </w:r>
      <w:r>
        <w:rPr>
          <w:rFonts w:eastAsia="IRNazanin" w:cs="IRNazanin"/>
          <w:color w:val="111111"/>
          <w:sz w:val="28"/>
          <w:szCs w:val="28"/>
          <w:rtl w:val="true"/>
          <w:lang w:bidi="fa-IR"/>
        </w:rPr>
        <w:t>.</w:t>
      </w:r>
    </w:p>
    <w:p>
      <w:pPr>
        <w:pStyle w:val="Heading6"/>
        <w:numPr>
          <w:ilvl w:val="5"/>
          <w:numId w:val="1"/>
        </w:numPr>
        <w:rPr/>
      </w:pPr>
      <w:bookmarkStart w:id="824" w:name="__RefHeading___Toc5083050_2314609296"/>
      <w:bookmarkStart w:id="825" w:name="_Toc316"/>
      <w:bookmarkEnd w:id="824"/>
      <w:r>
        <w:rPr>
          <w:rtl w:val="true"/>
        </w:rPr>
        <w:t>[</w:t>
      </w:r>
      <w:r>
        <w:rPr>
          <w:rtl w:val="true"/>
        </w:rPr>
        <w:t>التصرفات الغیر المنافیة لملک المشتری</w:t>
      </w:r>
      <w:r>
        <w:rPr>
          <w:rtl w:val="true"/>
        </w:rPr>
        <w:t>]</w:t>
      </w:r>
      <w:bookmarkEnd w:id="825"/>
    </w:p>
    <w:p>
      <w:pPr>
        <w:pStyle w:val="BookText"/>
        <w:rPr/>
      </w:pPr>
      <w:r>
        <w:rPr>
          <w:rFonts w:ascii="IRNazanin" w:hAnsi="IRNazanin" w:eastAsia="IRNazanin"/>
          <w:color w:val="111111"/>
          <w:sz w:val="28"/>
          <w:sz w:val="28"/>
          <w:szCs w:val="28"/>
          <w:rtl w:val="true"/>
          <w:lang w:bidi="fa-IR"/>
        </w:rPr>
        <w:t xml:space="preserve">بقی الکلام فی التصرّفات الغیر المنافیة لملک المشتری من حین العقد،کتعریض المبیع للبیع،و البیع الفاسد </w:t>
      </w:r>
      <w:r>
        <w:rPr>
          <w:rStyle w:val="FootnoteAnchor"/>
          <w:rtl w:val="true"/>
        </w:rPr>
        <w:footnoteReference w:id="2492"/>
      </w:r>
      <w:r>
        <w:rPr>
          <w:rFonts w:ascii="IRNazanin" w:hAnsi="IRNazanin" w:eastAsia="IRNazanin"/>
          <w:color w:val="111111"/>
          <w:sz w:val="28"/>
          <w:sz w:val="28"/>
          <w:szCs w:val="28"/>
          <w:rtl w:val="true"/>
          <w:lang w:bidi="fa-IR"/>
        </w:rPr>
        <w:t>،و هذا أیضاً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إمّا أن یقع حال التفات المالک إلی وقوع العقد من الفضولی علی ماله </w:t>
      </w:r>
      <w:r>
        <w:rPr>
          <w:rStyle w:val="FootnoteAnchor"/>
          <w:rtl w:val="true"/>
        </w:rPr>
        <w:footnoteReference w:id="2493"/>
      </w:r>
      <w:r>
        <w:rPr>
          <w:rFonts w:ascii="IRNazanin" w:hAnsi="IRNazanin" w:eastAsia="IRNazanin"/>
          <w:color w:val="111111"/>
          <w:sz w:val="28"/>
          <w:sz w:val="28"/>
          <w:szCs w:val="28"/>
          <w:rtl w:val="true"/>
          <w:lang w:bidi="fa-IR"/>
        </w:rPr>
        <w:t>،و إمّا أن یقع فی حال عدم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الأوّل،فهو ردّ فعلی للعقد،و الدلیل علی إلحاقه بالردّ القولی مضافاً إلی صدق الردّ علیه،فیعمّه ما دلّ علی أنّ للمالک الردّ،مثل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وقع فی نکاح العبد و الأمة بغیر إذن مولاه </w:t>
      </w:r>
      <w:r>
        <w:rPr>
          <w:rStyle w:val="FootnoteAnchor"/>
          <w:rtl w:val="true"/>
        </w:rPr>
        <w:footnoteReference w:id="2494"/>
      </w:r>
      <w:r>
        <w:rPr>
          <w:rFonts w:ascii="IRNazanin" w:hAnsi="IRNazanin" w:eastAsia="IRNazanin"/>
          <w:color w:val="111111"/>
          <w:sz w:val="28"/>
          <w:sz w:val="28"/>
          <w:szCs w:val="28"/>
          <w:rtl w:val="true"/>
          <w:lang w:bidi="fa-IR"/>
        </w:rPr>
        <w:t>،و ما ورد فی من زوَّجَته امّه و هو غائب،من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قبل </w:t>
      </w:r>
      <w:r>
        <w:rPr>
          <w:rStyle w:val="FootnoteAnchor"/>
          <w:rtl w:val="true"/>
        </w:rPr>
        <w:footnoteReference w:id="2495"/>
      </w:r>
      <w:r>
        <w:rPr>
          <w:rFonts w:ascii="IRNazanin" w:hAnsi="IRNazanin" w:eastAsia="IRNazanin"/>
          <w:color w:val="111111"/>
          <w:sz w:val="28"/>
          <w:sz w:val="28"/>
          <w:szCs w:val="28"/>
          <w:rtl w:val="true"/>
          <w:lang w:bidi="fa-IR"/>
        </w:rPr>
        <w:t>و إن شاء ترک</w:t>
      </w:r>
      <w:r>
        <w:rPr>
          <w:rFonts w:eastAsia="IRNazanin" w:cs="IRNazanin"/>
          <w:color w:val="111111"/>
          <w:sz w:val="28"/>
          <w:szCs w:val="28"/>
          <w:rtl w:val="true"/>
          <w:lang w:bidi="fa-IR"/>
        </w:rPr>
        <w:t xml:space="preserve">» </w:t>
      </w:r>
      <w:r>
        <w:rPr>
          <w:rStyle w:val="FootnoteAnchor"/>
          <w:rtl w:val="true"/>
        </w:rPr>
        <w:footnoteReference w:id="2496"/>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الإطلاق مسوق لبیان أنّ له الترک،فلا</w:t>
      </w:r>
    </w:p>
    <w:p>
      <w:pPr>
        <w:pStyle w:val="BookText"/>
        <w:rPr/>
      </w:pPr>
      <w:r>
        <w:rPr>
          <w:rFonts w:ascii="Amiri" w:hAnsi="Amiri" w:eastAsia="Amiri" w:cs="Amiri"/>
          <w:color w:val="111111"/>
          <w:sz w:val="28"/>
          <w:sz w:val="28"/>
          <w:szCs w:val="28"/>
          <w:rtl w:val="true"/>
          <w:lang w:bidi="ar-SA"/>
        </w:rPr>
        <w:t xml:space="preserve">تعرّض فیه لکیفیّته </w:t>
      </w:r>
      <w:r>
        <w:rPr>
          <w:rStyle w:val="FootnoteAnchor"/>
          <w:rtl w:val="true"/>
        </w:rPr>
        <w:footnoteReference w:id="2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المانع من صحّة الإجازة بعد الردّ القولی موجود فی الردّ الفعلی،و هو خروج المجیز بعد الردّ عن کونه بمنزلة أحد طرفی العقد،مضافاً إلی فحوی الإجماع المدّعی </w:t>
      </w:r>
      <w:r>
        <w:rPr>
          <w:rStyle w:val="FootnoteAnchor"/>
          <w:rtl w:val="true"/>
        </w:rPr>
        <w:footnoteReference w:id="2498"/>
      </w:r>
      <w:r>
        <w:rPr>
          <w:rFonts w:ascii="IRNazanin" w:hAnsi="IRNazanin" w:eastAsia="IRNazanin"/>
          <w:color w:val="111111"/>
          <w:sz w:val="28"/>
          <w:sz w:val="28"/>
          <w:szCs w:val="28"/>
          <w:rtl w:val="true"/>
          <w:lang w:bidi="fa-IR"/>
        </w:rPr>
        <w:t xml:space="preserve">علی حصول فسخ ذی الخیار بالفعل،کالوطء و البیع و العتق؛فإنّ الوجه فی حصول الفسخ هی دلالتها علی قصد فسخ البیع،و إلّا فتوقّفها </w:t>
      </w:r>
      <w:r>
        <w:rPr>
          <w:rStyle w:val="FootnoteAnchor"/>
          <w:rtl w:val="true"/>
        </w:rPr>
        <w:footnoteReference w:id="2499"/>
      </w:r>
      <w:r>
        <w:rPr>
          <w:rFonts w:ascii="IRNazanin" w:hAnsi="IRNazanin" w:eastAsia="IRNazanin"/>
          <w:color w:val="111111"/>
          <w:sz w:val="28"/>
          <w:sz w:val="28"/>
          <w:szCs w:val="28"/>
          <w:rtl w:val="true"/>
          <w:lang w:bidi="fa-IR"/>
        </w:rPr>
        <w:t xml:space="preserve">علی الملک لا یوجب حصول الفسخ بها،بل یوجب بطلانها؛لعدم حصول الملک المتوقّف علی الفسخ قبلها </w:t>
      </w:r>
      <w:r>
        <w:rPr>
          <w:rStyle w:val="FootnoteAnchor"/>
          <w:rtl w:val="true"/>
        </w:rPr>
        <w:footnoteReference w:id="2500"/>
      </w:r>
      <w:r>
        <w:rPr>
          <w:rFonts w:ascii="IRNazanin" w:hAnsi="IRNazanin" w:eastAsia="IRNazanin"/>
          <w:color w:val="111111"/>
          <w:sz w:val="28"/>
          <w:sz w:val="28"/>
          <w:szCs w:val="28"/>
          <w:rtl w:val="true"/>
          <w:lang w:bidi="fa-IR"/>
        </w:rPr>
        <w:t>حتّی تصادف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کان،فإذا صلح الفسخ الفعلی لرفع أثر العقد الثابت المؤثّر فعلاً،صلح لرفع أثر العقد المتزلزل من حیث الحدوث القابل للتأثیر، بطریق أولی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یقع فی حال عدم 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عدم تحقّق الفسخ به؛لعدم دلالته علی إنشاء الردّ،و المفروض عدم منافاته أیضاً للإجازة اللاحقة،و لا یکفی مجرّد رفع الید عن الفعل </w:t>
      </w:r>
      <w:r>
        <w:rPr>
          <w:rStyle w:val="FootnoteAnchor"/>
          <w:rtl w:val="true"/>
        </w:rPr>
        <w:footnoteReference w:id="2501"/>
      </w:r>
      <w:r>
        <w:rPr>
          <w:rFonts w:ascii="IRNazanin" w:hAnsi="IRNazanin" w:eastAsia="IRNazanin"/>
          <w:color w:val="111111"/>
          <w:sz w:val="28"/>
          <w:sz w:val="28"/>
          <w:szCs w:val="28"/>
          <w:rtl w:val="true"/>
          <w:lang w:bidi="fa-IR"/>
        </w:rPr>
        <w:t xml:space="preserve">بإنشاء ضدّه مع عدم صدق عنوان الردّ </w:t>
      </w:r>
      <w:r>
        <w:rPr>
          <w:rStyle w:val="FootnoteAnchor"/>
          <w:rtl w:val="true"/>
        </w:rPr>
        <w:footnoteReference w:id="2502"/>
      </w:r>
      <w:r>
        <w:rPr>
          <w:rFonts w:ascii="IRNazanin" w:hAnsi="IRNazanin" w:eastAsia="IRNazanin"/>
          <w:color w:val="111111"/>
          <w:sz w:val="28"/>
          <w:sz w:val="28"/>
          <w:szCs w:val="28"/>
          <w:rtl w:val="true"/>
          <w:lang w:bidi="fa-IR"/>
        </w:rPr>
        <w:t>الموقوف علی القصد و الالتفات إلی</w:t>
      </w:r>
    </w:p>
    <w:p>
      <w:pPr>
        <w:pStyle w:val="BookText"/>
        <w:rPr/>
      </w:pPr>
      <w:r>
        <w:rPr>
          <w:rFonts w:ascii="IRNazanin" w:hAnsi="IRNazanin" w:eastAsia="IRNazanin"/>
          <w:color w:val="111111"/>
          <w:sz w:val="28"/>
          <w:sz w:val="28"/>
          <w:szCs w:val="28"/>
          <w:rtl w:val="true"/>
          <w:lang w:bidi="fa-IR"/>
        </w:rPr>
        <w:t xml:space="preserve">وقوع المردود،نظیر إنکار الطلاق </w:t>
      </w:r>
      <w:r>
        <w:rPr>
          <w:rStyle w:val="FootnoteAnchor"/>
          <w:rtl w:val="true"/>
        </w:rPr>
        <w:footnoteReference w:id="2503"/>
      </w:r>
      <w:r>
        <w:rPr>
          <w:rFonts w:ascii="IRNazanin" w:hAnsi="IRNazanin" w:eastAsia="IRNazanin"/>
          <w:color w:val="111111"/>
          <w:sz w:val="28"/>
          <w:sz w:val="28"/>
          <w:szCs w:val="28"/>
          <w:rtl w:val="true"/>
          <w:lang w:bidi="fa-IR"/>
        </w:rPr>
        <w:t>الذی جعلوه رجوعاً و لو مع عدم الالتفات إلی وقوع الطلاق،علی ما یقتضیه إطلاق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ثبت کفایة ذلک فی العقود الجائزة کفی هنا بطریق أولی، کما عرفت </w:t>
      </w:r>
      <w:r>
        <w:rPr>
          <w:rStyle w:val="FootnoteAnchor"/>
          <w:rtl w:val="true"/>
        </w:rPr>
        <w:footnoteReference w:id="2504"/>
      </w:r>
      <w:r>
        <w:rPr>
          <w:rFonts w:ascii="IRNazanin" w:hAnsi="IRNazanin" w:eastAsia="IRNazanin"/>
          <w:color w:val="111111"/>
          <w:sz w:val="28"/>
          <w:sz w:val="28"/>
          <w:szCs w:val="28"/>
          <w:rtl w:val="true"/>
          <w:lang w:bidi="fa-IR"/>
        </w:rPr>
        <w:t xml:space="preserve">،لکن لم یثبت ذلک هناک </w:t>
      </w:r>
      <w:r>
        <w:rPr>
          <w:rStyle w:val="FootnoteAnchor"/>
          <w:rtl w:val="true"/>
        </w:rPr>
        <w:footnoteReference w:id="2505"/>
      </w:r>
      <w:r>
        <w:rPr>
          <w:rFonts w:ascii="IRNazanin" w:hAnsi="IRNazanin" w:eastAsia="IRNazanin"/>
          <w:color w:val="111111"/>
          <w:sz w:val="28"/>
          <w:sz w:val="28"/>
          <w:szCs w:val="28"/>
          <w:rtl w:val="true"/>
          <w:lang w:bidi="fa-IR"/>
        </w:rPr>
        <w:t xml:space="preserve">،فالمسألة محلّ إشکال،بل الإشکال فی کفایة سابقه أیضاً؛فإنّ بعض المعاصرین یظهر منهم دعوی الاتّفاق علی اعتبار اللفظ فی الفسخ کالإجازة </w:t>
      </w:r>
      <w:r>
        <w:rPr>
          <w:rStyle w:val="FootnoteAnchor"/>
          <w:rtl w:val="true"/>
        </w:rPr>
        <w:footnoteReference w:id="2506"/>
      </w:r>
      <w:r>
        <w:rPr>
          <w:rFonts w:ascii="IRNazanin" w:hAnsi="IRNazanin" w:eastAsia="IRNazanin"/>
          <w:color w:val="111111"/>
          <w:sz w:val="28"/>
          <w:sz w:val="28"/>
          <w:szCs w:val="28"/>
          <w:rtl w:val="true"/>
          <w:lang w:bidi="fa-IR"/>
        </w:rPr>
        <w:t xml:space="preserve">و لذا استشکل فی القواعد فی بطلان الوکالة بإیقاع العقد الفاسد علی متعلّقها جاهلاً بفساده </w:t>
      </w:r>
      <w:r>
        <w:rPr>
          <w:rStyle w:val="FootnoteAnchor"/>
          <w:rtl w:val="true"/>
        </w:rPr>
        <w:footnoteReference w:id="2507"/>
      </w:r>
      <w:r>
        <w:rPr>
          <w:rFonts w:ascii="IRNazanin" w:hAnsi="IRNazanin" w:eastAsia="IRNazanin"/>
          <w:color w:val="111111"/>
          <w:sz w:val="28"/>
          <w:sz w:val="28"/>
          <w:szCs w:val="28"/>
          <w:rtl w:val="true"/>
          <w:lang w:bidi="fa-IR"/>
        </w:rPr>
        <w:t xml:space="preserve">،و قرّره فی الإیضاح </w:t>
      </w:r>
      <w:r>
        <w:rPr>
          <w:rStyle w:val="FootnoteAnchor"/>
          <w:rtl w:val="true"/>
        </w:rPr>
        <w:footnoteReference w:id="2508"/>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509"/>
      </w:r>
      <w:r>
        <w:rPr>
          <w:rFonts w:ascii="IRNazanin" w:hAnsi="IRNazanin" w:eastAsia="IRNazanin"/>
          <w:color w:val="111111"/>
          <w:sz w:val="28"/>
          <w:sz w:val="28"/>
          <w:szCs w:val="28"/>
          <w:rtl w:val="true"/>
          <w:lang w:bidi="fa-IR"/>
        </w:rPr>
        <w:t>علی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المتیقّن من الردّ هو الفسخ القولی،و فی حکمه تفویت محلّ الإجازة بحیث لا یصحّ وقوعها علی وجه یؤثّر من حین العقد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الردّ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الفعل المنشأ به مفهوم </w:t>
      </w:r>
      <w:r>
        <w:rPr>
          <w:rStyle w:val="FootnoteAnchor"/>
          <w:rtl w:val="true"/>
        </w:rPr>
        <w:footnoteReference w:id="2510"/>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نفی البعد عن حصول الفسخ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مجرّد إیقاع ما ینافی مفهومه قصدَ بقاء العقد من غیر تحقّق مفهوم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الالتفات إلی وقوع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فالاکتفاء به 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 و الوصایة،و لکنّ الاکتفاء فیهما بالردّ الفعلی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الفسخ فی العقود الجائزة بالذات أو الخیار،فهو منحصر باللفظ أو الردّ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فعل ما لا یجامع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کالوطء و العتق و البیع </w:t>
      </w:r>
      <w:r>
        <w:rPr>
          <w:rStyle w:val="FootnoteAnchor"/>
          <w:rtl w:val="true"/>
        </w:rPr>
        <w:footnoteReference w:id="2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الفسخ بها من باب تحقّق القصد قبلها،لا لمنافاتها لبقاء العقد؛لأنّ مقتضی المنافاة بطلانها،لا انفساخ العقد،عکس ما نحن فیه،و تمام الکلام فی محلّه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الردّ إنّما یثمر فی عدم صحّة الإجازة بعده،و أمّا انتزاع المال من المشتری لو أقبضه الفضولی فلا یتوقّف علی الردّ،بل یکفی فیه عدم الإجازة،و الظاهر أنّ الانتزاع بنفسه ردّ مع القرائن الدالّة علی إرادته منه،لا مطلق الأخذ؛لأنّه أعمّ،و لذا ذکروا أنّ الرجوع فی الهبة لا یتحقّق به</w:t>
      </w:r>
      <w:r>
        <w:rPr>
          <w:rFonts w:eastAsia="IRNazanin" w:cs="IRNazanin"/>
          <w:color w:val="111111"/>
          <w:sz w:val="28"/>
          <w:szCs w:val="28"/>
          <w:rtl w:val="true"/>
          <w:lang w:bidi="fa-IR"/>
        </w:rPr>
        <w:t>.</w:t>
      </w:r>
      <w:bookmarkStart w:id="826" w:name="pg19763_248229"/>
    </w:p>
    <w:p>
      <w:pPr>
        <w:pStyle w:val="Heading6"/>
        <w:numPr>
          <w:ilvl w:val="5"/>
          <w:numId w:val="1"/>
        </w:numPr>
        <w:rPr/>
      </w:pPr>
      <w:bookmarkStart w:id="827" w:name="__RefHeading___Toc5083052_2314609296"/>
      <w:bookmarkStart w:id="828" w:name="_Toc317"/>
      <w:bookmarkEnd w:id="826"/>
      <w:bookmarkEnd w:id="827"/>
      <w:r>
        <w:rPr>
          <w:rtl w:val="true"/>
        </w:rPr>
        <w:t>[</w:t>
      </w:r>
      <w:r>
        <w:rPr>
          <w:rtl w:val="true"/>
        </w:rPr>
        <w:t>مسائل متفرقة</w:t>
      </w:r>
      <w:r>
        <w:rPr>
          <w:rtl w:val="true"/>
        </w:rPr>
        <w:t>]</w:t>
      </w:r>
      <w:bookmarkEnd w:id="828"/>
    </w:p>
    <w:p>
      <w:pPr>
        <w:pStyle w:val="Heading6"/>
        <w:numPr>
          <w:ilvl w:val="5"/>
          <w:numId w:val="1"/>
        </w:numPr>
        <w:rPr/>
      </w:pPr>
      <w:bookmarkStart w:id="829" w:name="__RefHeading___Toc5083054_2314609296"/>
      <w:bookmarkStart w:id="830" w:name="_Toc318"/>
      <w:bookmarkEnd w:id="829"/>
      <w:r>
        <w:rPr>
          <w:rtl w:val="true"/>
        </w:rPr>
        <w:t>مسألة لو لم یجز المالک،فإن کان المبیع فی یده فهو،و إلّا فله انتزاعه</w:t>
      </w:r>
      <w:bookmarkEnd w:id="830"/>
    </w:p>
    <w:p>
      <w:pPr>
        <w:pStyle w:val="BookText"/>
        <w:rPr/>
      </w:pPr>
      <w:r>
        <w:rPr>
          <w:rFonts w:ascii="IRNazanin" w:hAnsi="IRNazanin" w:eastAsia="IRNazanin"/>
          <w:color w:val="111111"/>
          <w:sz w:val="28"/>
          <w:sz w:val="28"/>
          <w:szCs w:val="28"/>
          <w:rtl w:val="true"/>
          <w:lang w:bidi="fa-IR"/>
        </w:rPr>
        <w:t>ممّن وجده فی یده مع بقائه،و یرجع بمنافعه المستوفاة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الخلاف المتقدّم </w:t>
      </w:r>
      <w:r>
        <w:rPr>
          <w:rStyle w:val="FootnoteAnchor"/>
          <w:rtl w:val="true"/>
        </w:rPr>
        <w:footnoteReference w:id="2512"/>
      </w:r>
      <w:r>
        <w:rPr>
          <w:rFonts w:ascii="IRNazanin" w:hAnsi="IRNazanin" w:eastAsia="IRNazanin"/>
          <w:color w:val="111111"/>
          <w:sz w:val="28"/>
          <w:sz w:val="28"/>
          <w:szCs w:val="28"/>
          <w:rtl w:val="true"/>
          <w:lang w:bidi="fa-IR"/>
        </w:rPr>
        <w:t xml:space="preserve">فی البیع الفاسد </w:t>
      </w:r>
      <w:r>
        <w:rPr>
          <w:rStyle w:val="FootnoteAnchor"/>
          <w:rtl w:val="true"/>
        </w:rPr>
        <w:footnoteReference w:id="2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التلف یرجع إلی من تلف عنده بقیمته یوم التلف أو بأعلی القیم من زمانٍ وقع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قبل ذلک فی ضمان آخر،و فُرض زیادة القیمة عنده،ثمّ نقصت عند الأخیر،اختصّ السابق بالرجوع بالزیادة علیه،کما صرّح به جماعة فی الأیدی المتعاقبة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حکم المالک مع المشتری،و أمّا حکم المشتری مع الفضولی،فیقع الکلام فیه </w:t>
      </w:r>
      <w:r>
        <w:rPr>
          <w:rStyle w:val="FootnoteAnchor"/>
          <w:rtl w:val="true"/>
        </w:rPr>
        <w:footnoteReference w:id="2515"/>
      </w:r>
      <w:r>
        <w:rPr>
          <w:rFonts w:ascii="IRNazanin" w:hAnsi="IRNazanin" w:eastAsia="IRNazanin"/>
          <w:color w:val="111111"/>
          <w:sz w:val="28"/>
          <w:sz w:val="28"/>
          <w:szCs w:val="28"/>
          <w:rtl w:val="true"/>
          <w:lang w:bidi="fa-IR"/>
        </w:rPr>
        <w:t>تارة فی الثمن،و أُخری فی ما یغرمه للمالک</w:t>
      </w:r>
      <w:bookmarkStart w:id="831" w:name="pg19763_248230"/>
    </w:p>
    <w:p>
      <w:pPr>
        <w:pStyle w:val="BookText"/>
        <w:rPr/>
      </w:pPr>
      <w:bookmarkEnd w:id="831"/>
      <w:r>
        <w:rPr>
          <w:rFonts w:ascii="IRNazanin" w:hAnsi="IRNazanin" w:eastAsia="IRNazanin"/>
          <w:color w:val="111111"/>
          <w:sz w:val="28"/>
          <w:sz w:val="28"/>
          <w:szCs w:val="28"/>
          <w:rtl w:val="true"/>
          <w:lang w:bidi="fa-IR"/>
        </w:rPr>
        <w:t>زائداً علی الثمن،</w:t>
      </w:r>
    </w:p>
    <w:p>
      <w:pPr>
        <w:pStyle w:val="Heading6"/>
        <w:numPr>
          <w:ilvl w:val="5"/>
          <w:numId w:val="1"/>
        </w:numPr>
        <w:rPr/>
      </w:pPr>
      <w:bookmarkStart w:id="832" w:name="__RefHeading___Toc5083056_2314609296"/>
      <w:bookmarkStart w:id="833" w:name="_Toc319"/>
      <w:bookmarkEnd w:id="832"/>
      <w:r>
        <w:rPr>
          <w:rtl w:val="true"/>
        </w:rPr>
        <w:t>فهنا مسألتان</w:t>
      </w:r>
      <w:r>
        <w:rPr>
          <w:rtl w:val="true"/>
        </w:rPr>
        <w:t>:</w:t>
      </w:r>
      <w:bookmarkEnd w:id="833"/>
    </w:p>
    <w:p>
      <w:pPr>
        <w:pStyle w:val="Heading6"/>
        <w:numPr>
          <w:ilvl w:val="5"/>
          <w:numId w:val="1"/>
        </w:numPr>
        <w:rPr/>
      </w:pPr>
      <w:bookmarkStart w:id="834" w:name="__RefHeading___Toc5083058_2314609296"/>
      <w:bookmarkStart w:id="835" w:name="_Toc320"/>
      <w:bookmarkEnd w:id="834"/>
      <w:r>
        <w:rPr>
          <w:rtl w:val="true"/>
        </w:rPr>
        <w:t>الاُولی أنّه یرجع علیه بالثمن إن کان جاهلاً بکونه فضولیّاً،</w:t>
      </w:r>
      <w:bookmarkEnd w:id="835"/>
    </w:p>
    <w:p>
      <w:pPr>
        <w:pStyle w:val="BookText"/>
        <w:rPr/>
      </w:pPr>
      <w:r>
        <w:rPr>
          <w:rFonts w:ascii="IRNazanin" w:hAnsi="IRNazanin" w:eastAsia="IRNazanin"/>
          <w:color w:val="111111"/>
          <w:sz w:val="28"/>
          <w:sz w:val="28"/>
          <w:szCs w:val="28"/>
          <w:rtl w:val="true"/>
          <w:lang w:bidi="fa-IR"/>
        </w:rPr>
        <w:t>سواء کان باقیاً أو تالفاً،و لا یقدح فی ذلک اعترافه بکون البائع مالکاً؛لأنّ اعترافه مبنیّ علی ظاهر یده،نعم لو اعترف به علی وجهٍ یعلم عدم استناده إلی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یکون اعترافه </w:t>
      </w:r>
      <w:r>
        <w:rPr>
          <w:rStyle w:val="FootnoteAnchor"/>
          <w:rtl w:val="true"/>
        </w:rPr>
        <w:footnoteReference w:id="2516"/>
      </w:r>
      <w:r>
        <w:rPr>
          <w:rFonts w:ascii="IRNazanin" w:hAnsi="IRNazanin" w:eastAsia="IRNazanin"/>
          <w:color w:val="111111"/>
          <w:sz w:val="28"/>
          <w:sz w:val="28"/>
          <w:szCs w:val="28"/>
          <w:rtl w:val="true"/>
          <w:lang w:bidi="fa-IR"/>
        </w:rPr>
        <w:t>بذلک بعد قیام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یرجع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یعلم استناد الاعتراف إلی الید أو إلی غیره،ففی الأخذ بظاهر الحال من استناده إلی الید أو بظاهر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دلالته علی الواقع وجهان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عالماً بالفضولیّة،فإن کان الثمن باقیاً استردّه وفاقاً للعلّامة </w:t>
      </w:r>
      <w:r>
        <w:rPr>
          <w:rStyle w:val="FootnoteAnchor"/>
          <w:rtl w:val="true"/>
        </w:rPr>
        <w:footnoteReference w:id="2517"/>
      </w:r>
      <w:r>
        <w:rPr>
          <w:rFonts w:ascii="IRNazanin" w:hAnsi="IRNazanin" w:eastAsia="IRNazanin"/>
          <w:color w:val="111111"/>
          <w:sz w:val="28"/>
          <w:sz w:val="28"/>
          <w:szCs w:val="28"/>
          <w:rtl w:val="true"/>
          <w:lang w:bidi="fa-IR"/>
        </w:rPr>
        <w:t xml:space="preserve">و ولده </w:t>
      </w:r>
      <w:r>
        <w:rPr>
          <w:rStyle w:val="FootnoteAnchor"/>
          <w:rtl w:val="true"/>
        </w:rPr>
        <w:footnoteReference w:id="2518"/>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519"/>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520"/>
      </w:r>
      <w:r>
        <w:rPr>
          <w:rFonts w:ascii="IRNazanin" w:hAnsi="IRNazanin" w:eastAsia="IRNazanin"/>
          <w:color w:val="111111"/>
          <w:sz w:val="28"/>
          <w:sz w:val="28"/>
          <w:szCs w:val="28"/>
          <w:rtl w:val="true"/>
          <w:lang w:bidi="fa-IR"/>
        </w:rPr>
        <w:t>رحمهم اللّه؛إذ لم یحصل منه ما یوجب انتقاله عنه شرعاً،و مجرّد تسلیطه علیه لو کان موجباً لانتقاله لزم الانتقال فی البیع الفاسد؛لتسلیط کلٍّ من المتبایعین صاحبَه علی ماله،و لأنّ الحکم بصحّة البیع لو أجاز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یستلزم تملّک المالک للثمن،فإنّ تملّکه البائع قبله یلزم فوات محلّ الإجازة؛لأنّ الثمن إنّما ملکه الغیر،فیمتنع تحقّق الإجازة،فتأمّل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للبائع التصرّف فیه؟ وجهان،بل قولان،أقواهما العدم؛لأنّه أکل مالٍ بالباطل</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إذا کان باقیاً،و أمّا لو کان تالفاً،فالمعروف عدم رجوع المشتری،بل المحکی </w:t>
      </w:r>
      <w:r>
        <w:rPr>
          <w:rStyle w:val="FootnoteAnchor"/>
          <w:rtl w:val="true"/>
        </w:rPr>
        <w:footnoteReference w:id="2521"/>
      </w:r>
      <w:r>
        <w:rPr>
          <w:rFonts w:ascii="Amiri" w:hAnsi="Amiri" w:eastAsia="Amiri" w:cs="Amiri"/>
          <w:color w:val="111111"/>
          <w:sz w:val="28"/>
          <w:sz w:val="28"/>
          <w:szCs w:val="28"/>
          <w:rtl w:val="true"/>
          <w:lang w:bidi="ar-SA"/>
        </w:rPr>
        <w:t xml:space="preserve">عن العلّامة </w:t>
      </w:r>
      <w:r>
        <w:rPr>
          <w:rStyle w:val="FootnoteAnchor"/>
          <w:rtl w:val="true"/>
        </w:rPr>
        <w:footnoteReference w:id="2522"/>
      </w:r>
      <w:r>
        <w:rPr>
          <w:rFonts w:ascii="IRNazanin" w:hAnsi="IRNazanin" w:eastAsia="IRNazanin"/>
          <w:color w:val="111111"/>
          <w:sz w:val="28"/>
          <w:sz w:val="28"/>
          <w:szCs w:val="28"/>
          <w:rtl w:val="true"/>
          <w:lang w:bidi="fa-IR"/>
        </w:rPr>
        <w:t xml:space="preserve">و ولده </w:t>
      </w:r>
      <w:r>
        <w:rPr>
          <w:rStyle w:val="FootnoteAnchor"/>
          <w:rtl w:val="true"/>
        </w:rPr>
        <w:footnoteReference w:id="2523"/>
      </w:r>
      <w:r>
        <w:rPr>
          <w:rFonts w:ascii="Amiri" w:hAnsi="Amiri" w:eastAsia="Amiri" w:cs="Amiri"/>
          <w:color w:val="111111"/>
          <w:sz w:val="28"/>
          <w:sz w:val="28"/>
          <w:szCs w:val="28"/>
          <w:rtl w:val="true"/>
          <w:lang w:bidi="ar-SA"/>
        </w:rPr>
        <w:t xml:space="preserve">و المحقّق </w:t>
      </w:r>
      <w:r>
        <w:rPr>
          <w:rStyle w:val="FootnoteAnchor"/>
          <w:rtl w:val="true"/>
        </w:rPr>
        <w:footnoteReference w:id="2524"/>
      </w:r>
      <w:r>
        <w:rPr>
          <w:rFonts w:ascii="IRNazanin" w:hAnsi="IRNazanin" w:eastAsia="IRNazanin"/>
          <w:color w:val="111111"/>
          <w:sz w:val="28"/>
          <w:sz w:val="28"/>
          <w:szCs w:val="28"/>
          <w:rtl w:val="true"/>
          <w:lang w:bidi="fa-IR"/>
        </w:rPr>
        <w:t xml:space="preserve">و الشهید </w:t>
      </w:r>
      <w:r>
        <w:rPr>
          <w:rStyle w:val="FootnoteAnchor"/>
          <w:rtl w:val="true"/>
        </w:rPr>
        <w:footnoteReference w:id="2525"/>
      </w:r>
      <w:r>
        <w:rPr>
          <w:rFonts w:ascii="IRNazanin" w:hAnsi="IRNazanin" w:eastAsia="IRNazanin"/>
          <w:color w:val="111111"/>
          <w:sz w:val="28"/>
          <w:sz w:val="28"/>
          <w:szCs w:val="28"/>
          <w:rtl w:val="true"/>
          <w:lang w:bidi="fa-IR"/>
        </w:rPr>
        <w:t xml:space="preserve">الثانیین و غیرهم </w:t>
      </w:r>
      <w:r>
        <w:rPr>
          <w:rStyle w:val="FootnoteAnchor"/>
          <w:rtl w:val="true"/>
        </w:rPr>
        <w:footnoteReference w:id="2526"/>
      </w:r>
      <w:r>
        <w:rPr>
          <w:rFonts w:ascii="IRNazanin" w:hAnsi="IRNazanin" w:eastAsia="IRNazanin"/>
          <w:color w:val="111111"/>
          <w:sz w:val="28"/>
          <w:sz w:val="28"/>
          <w:szCs w:val="28"/>
          <w:rtl w:val="true"/>
          <w:lang w:bidi="fa-IR"/>
        </w:rPr>
        <w:t>الاتّفاق علیه،و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بعضهم کالحلی </w:t>
      </w:r>
      <w:r>
        <w:rPr>
          <w:rStyle w:val="FootnoteAnchor"/>
          <w:rtl w:val="true"/>
        </w:rPr>
        <w:footnoteReference w:id="2527"/>
      </w:r>
      <w:r>
        <w:rPr>
          <w:rFonts w:ascii="Amiri" w:hAnsi="Amiri" w:eastAsia="Amiri" w:cs="Amiri"/>
          <w:color w:val="111111"/>
          <w:sz w:val="28"/>
          <w:sz w:val="28"/>
          <w:szCs w:val="28"/>
          <w:rtl w:val="true"/>
          <w:lang w:bidi="ar-SA"/>
        </w:rPr>
        <w:t xml:space="preserve">و العلّامة </w:t>
      </w:r>
      <w:r>
        <w:rPr>
          <w:rStyle w:val="FootnoteAnchor"/>
          <w:rtl w:val="true"/>
        </w:rPr>
        <w:footnoteReference w:id="2528"/>
      </w:r>
      <w:r>
        <w:rPr>
          <w:rFonts w:ascii="IRNazanin" w:hAnsi="IRNazanin" w:eastAsia="IRNazanin"/>
          <w:color w:val="111111"/>
          <w:sz w:val="28"/>
          <w:sz w:val="28"/>
          <w:szCs w:val="28"/>
          <w:rtl w:val="true"/>
          <w:lang w:bidi="fa-IR"/>
        </w:rPr>
        <w:t xml:space="preserve">و غیرهما </w:t>
      </w:r>
      <w:r>
        <w:rPr>
          <w:rStyle w:val="FootnoteAnchor"/>
          <w:rtl w:val="true"/>
        </w:rPr>
        <w:footnoteReference w:id="2529"/>
      </w:r>
      <w:r>
        <w:rPr>
          <w:rFonts w:ascii="IRNazanin" w:hAnsi="IRNazanin" w:eastAsia="IRNazanin"/>
          <w:color w:val="111111"/>
          <w:sz w:val="28"/>
          <w:sz w:val="28"/>
          <w:szCs w:val="28"/>
          <w:rtl w:val="true"/>
          <w:lang w:bidi="fa-IR"/>
        </w:rPr>
        <w:t xml:space="preserve">و یظهر من آخرین </w:t>
      </w:r>
      <w:r>
        <w:rPr>
          <w:rStyle w:val="FootnoteAnchor"/>
          <w:rtl w:val="true"/>
        </w:rPr>
        <w:footnoteReference w:id="2530"/>
      </w:r>
      <w:r>
        <w:rPr>
          <w:rFonts w:ascii="Amiri" w:hAnsi="Amiri" w:eastAsia="Amiri" w:cs="Amiri"/>
          <w:color w:val="111111"/>
          <w:sz w:val="28"/>
          <w:sz w:val="28"/>
          <w:szCs w:val="28"/>
          <w:rtl w:val="true"/>
          <w:lang w:bidi="ar-SA"/>
        </w:rPr>
        <w:t xml:space="preserve">أیضاً </w:t>
      </w:r>
      <w:r>
        <w:rPr>
          <w:rStyle w:val="FootnoteAnchor"/>
          <w:rtl w:val="true"/>
        </w:rPr>
        <w:footnoteReference w:id="2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سلّطه علی ماله</w:t>
      </w:r>
    </w:p>
    <w:p>
      <w:pPr>
        <w:pStyle w:val="BookText"/>
        <w:rPr/>
      </w:pPr>
      <w:r>
        <w:rPr>
          <w:rFonts w:ascii="IRNazanin" w:hAnsi="IRNazanin" w:eastAsia="IRNazanin"/>
          <w:color w:val="111111"/>
          <w:sz w:val="28"/>
          <w:sz w:val="28"/>
          <w:szCs w:val="28"/>
          <w:rtl w:val="true"/>
          <w:lang w:bidi="fa-IR"/>
        </w:rPr>
        <w:t>بلا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الضمان إمّا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Style w:val="FootnoteAnchor"/>
          <w:rtl w:val="true"/>
        </w:rPr>
        <w:footnoteReference w:id="2532"/>
      </w:r>
      <w:r>
        <w:rPr>
          <w:rFonts w:ascii="IRNazanin" w:hAnsi="IRNazanin" w:eastAsia="IRNazanin"/>
          <w:color w:val="111111"/>
          <w:sz w:val="28"/>
          <w:sz w:val="28"/>
          <w:szCs w:val="28"/>
          <w:rtl w:val="true"/>
          <w:lang w:bidi="fa-IR"/>
        </w:rPr>
        <w:t xml:space="preserve">، و إمّا لقاعدة الإقدام علی الضمان الذی استدلّ به الشیخ </w:t>
      </w:r>
      <w:r>
        <w:rPr>
          <w:rStyle w:val="FootnoteAnchor"/>
          <w:rtl w:val="true"/>
        </w:rPr>
        <w:footnoteReference w:id="2533"/>
      </w:r>
      <w:r>
        <w:rPr>
          <w:rFonts w:ascii="IRNazanin" w:hAnsi="IRNazanin" w:eastAsia="IRNazanin"/>
          <w:color w:val="111111"/>
          <w:sz w:val="28"/>
          <w:sz w:val="28"/>
          <w:szCs w:val="28"/>
          <w:rtl w:val="true"/>
          <w:lang w:bidi="fa-IR"/>
        </w:rPr>
        <w:t xml:space="preserve">و غیره </w:t>
      </w:r>
      <w:r>
        <w:rPr>
          <w:rStyle w:val="FootnoteAnchor"/>
          <w:rtl w:val="true"/>
        </w:rPr>
        <w:footnoteReference w:id="2534"/>
      </w:r>
      <w:r>
        <w:rPr>
          <w:rFonts w:ascii="IRNazanin" w:hAnsi="IRNazanin" w:eastAsia="IRNazanin"/>
          <w:color w:val="111111"/>
          <w:sz w:val="28"/>
          <w:sz w:val="28"/>
          <w:szCs w:val="28"/>
          <w:rtl w:val="true"/>
          <w:lang w:bidi="fa-IR"/>
        </w:rPr>
        <w:t>علی الضمان فی فاسد ما یضمن بصحیحه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 مخصَّص بفحوی ما دلّ علی عدم ضمان من استأمنه المالک و دفعه إلیه لحفظه کما فی الودیعة </w:t>
      </w:r>
      <w:r>
        <w:rPr>
          <w:rStyle w:val="FootnoteAnchor"/>
          <w:rtl w:val="true"/>
        </w:rPr>
        <w:footnoteReference w:id="2535"/>
      </w:r>
      <w:r>
        <w:rPr>
          <w:rFonts w:ascii="IRNazanin" w:hAnsi="IRNazanin" w:eastAsia="IRNazanin"/>
          <w:color w:val="111111"/>
          <w:sz w:val="28"/>
          <w:sz w:val="28"/>
          <w:szCs w:val="28"/>
          <w:rtl w:val="true"/>
          <w:lang w:bidi="fa-IR"/>
        </w:rPr>
        <w:t xml:space="preserve">،أو الانتفاع به کما فی العاریة </w:t>
      </w:r>
      <w:r>
        <w:rPr>
          <w:rStyle w:val="FootnoteAnchor"/>
          <w:rtl w:val="true"/>
        </w:rPr>
        <w:footnoteReference w:id="2536"/>
      </w:r>
      <w:r>
        <w:rPr>
          <w:rStyle w:val="FootnoteAnchor"/>
          <w:rtl w:val="true"/>
        </w:rPr>
        <w:footnoteReference w:id="2537"/>
      </w:r>
      <w:r>
        <w:rPr>
          <w:rFonts w:ascii="IRNazanin" w:hAnsi="IRNazanin" w:eastAsia="IRNazanin"/>
          <w:color w:val="111111"/>
          <w:sz w:val="28"/>
          <w:sz w:val="28"/>
          <w:szCs w:val="28"/>
          <w:rtl w:val="true"/>
          <w:lang w:bidi="fa-IR"/>
        </w:rPr>
        <w:t xml:space="preserve">،أو استیفاء المنفعة منه کما فی العین المستأجرة </w:t>
      </w:r>
      <w:r>
        <w:rPr>
          <w:rStyle w:val="FootnoteAnchor"/>
          <w:rtl w:val="true"/>
        </w:rPr>
        <w:footnoteReference w:id="2538"/>
      </w:r>
      <w:r>
        <w:rPr>
          <w:rFonts w:ascii="IRNazanin" w:hAnsi="IRNazanin" w:eastAsia="IRNazanin"/>
          <w:color w:val="111111"/>
          <w:sz w:val="28"/>
          <w:sz w:val="28"/>
          <w:szCs w:val="28"/>
          <w:rtl w:val="true"/>
          <w:lang w:bidi="fa-IR"/>
        </w:rPr>
        <w:t>،فإنّ الدفع علی هذا الوجه إذا لم یوجب الضمان،فالتسلیط علی التصرّف فیه و إتلافه له ممّا لا یوجب ذلک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سلّطه فی مقابل العوض،لا مجّاناً حتّی یشبه الهبة الفاسدة التی تقدّم عدم الضمان فیها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إنّما سلّطه فی مقابل ملک غیره،فلم یُضمّنه فی الحقیقة شیئاً من کیسه،فهو یشبه الهبة الفاسدة و البیع بلا ثمن</w:t>
      </w:r>
    </w:p>
    <w:p>
      <w:pPr>
        <w:pStyle w:val="BookText"/>
        <w:rPr/>
      </w:pPr>
      <w:r>
        <w:rPr>
          <w:rFonts w:ascii="IRNazanin" w:hAnsi="IRNazanin" w:eastAsia="IRNazanin"/>
          <w:color w:val="111111"/>
          <w:sz w:val="28"/>
          <w:sz w:val="28"/>
          <w:szCs w:val="28"/>
          <w:rtl w:val="true"/>
          <w:lang w:bidi="fa-IR"/>
        </w:rPr>
        <w:t xml:space="preserve">و الإجارة بلا أُجرة،التی قد حکم الشهید و غیر واحد </w:t>
      </w:r>
      <w:r>
        <w:rPr>
          <w:rStyle w:val="FootnoteAnchor"/>
          <w:rtl w:val="true"/>
        </w:rPr>
        <w:footnoteReference w:id="2539"/>
      </w:r>
      <w:r>
        <w:rPr>
          <w:rFonts w:ascii="IRNazanin" w:hAnsi="IRNazanin" w:eastAsia="IRNazanin"/>
          <w:color w:val="111111"/>
          <w:sz w:val="28"/>
          <w:sz w:val="28"/>
          <w:szCs w:val="28"/>
          <w:rtl w:val="true"/>
          <w:lang w:bidi="fa-IR"/>
        </w:rPr>
        <w:t>بعدم الضمان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عدم جریان الوجه الثانی للضمان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الإقدام علی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هنا؛لأنّ البائع لم یُقدم علی ضمان الثمن إلّا بما علم المشتری أنّه لیس ملکاً له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تسلّطه </w:t>
      </w:r>
      <w:r>
        <w:rPr>
          <w:rStyle w:val="FootnoteAnchor"/>
          <w:rtl w:val="true"/>
        </w:rPr>
        <w:footnoteReference w:id="2540"/>
      </w:r>
      <w:r>
        <w:rPr>
          <w:rFonts w:ascii="IRNazanin" w:hAnsi="IRNazanin" w:eastAsia="IRNazanin"/>
          <w:color w:val="111111"/>
          <w:sz w:val="28"/>
          <w:sz w:val="28"/>
          <w:szCs w:val="28"/>
          <w:rtl w:val="true"/>
          <w:lang w:bidi="fa-IR"/>
        </w:rPr>
        <w:t xml:space="preserve">علی الثمن بإزاء مال الغیر لبنائه و لو عدواناً علی کونه ملکاً له،و لو لا هذا البناء لم یتحقّق مفهوم المعاوضة </w:t>
      </w:r>
      <w:r>
        <w:rPr>
          <w:rStyle w:val="FootnoteAnchor"/>
          <w:rtl w:val="true"/>
        </w:rPr>
        <w:footnoteReference w:id="2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فی تصحیح بیع الغاصب لنفسه </w:t>
      </w:r>
      <w:r>
        <w:rPr>
          <w:rStyle w:val="FootnoteAnchor"/>
          <w:rtl w:val="true"/>
        </w:rPr>
        <w:footnoteReference w:id="2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إنّما سلّطه علی وجه یضمّنه بماله،إلّا أنّ کلاّ منهما لمّا قطع النظر عن حکم الشارع بعدم ملکیّة البائع للمثمن </w:t>
      </w:r>
      <w:r>
        <w:rPr>
          <w:rStyle w:val="FootnoteAnchor"/>
          <w:rtl w:val="true"/>
        </w:rPr>
        <w:footnoteReference w:id="2543"/>
      </w:r>
      <w:r>
        <w:rPr>
          <w:rFonts w:ascii="IRNazanin" w:hAnsi="IRNazanin" w:eastAsia="IRNazanin"/>
          <w:color w:val="111111"/>
          <w:sz w:val="28"/>
          <w:sz w:val="28"/>
          <w:szCs w:val="28"/>
          <w:rtl w:val="true"/>
          <w:lang w:bidi="fa-IR"/>
        </w:rPr>
        <w:t>،و تعاقدا مُعرِضَین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الشأن فی المعاوضات الواردة علی أموال الناس بین السرّاق و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بنی المشتری علی کون المثمن ملکاً للبائع،فالتسلیط لیس مجّاناً،و تضمینه البائع بمقابل الثمن من ماله حقیقیّ،إلّا أنّ کون المثمن مالاً له ادّعائیّ،</w:t>
      </w:r>
    </w:p>
    <w:p>
      <w:pPr>
        <w:pStyle w:val="BookText"/>
        <w:rPr/>
      </w:pPr>
      <w:r>
        <w:rPr>
          <w:rFonts w:ascii="IRNazanin" w:hAnsi="IRNazanin" w:eastAsia="IRNazanin"/>
          <w:color w:val="111111"/>
          <w:sz w:val="28"/>
          <w:sz w:val="28"/>
          <w:szCs w:val="28"/>
          <w:rtl w:val="true"/>
          <w:lang w:bidi="fa-IR"/>
        </w:rPr>
        <w:t>فهو کما لو ظهر المثمن المعیّن ملکاً للغیر،فإنّ المشتری یرجع إلی البائع بالثمن مع التلف اتّفاقاً،مع أنّه إنّما ضمّنه الثمن بإزاء هذا الشیء الذی هو مال الغیر،فکما أنّ التضمین هنا حقیقی،و کون المثمن مالاً له اعتقادیّ لا یقدح تخلّفه فی التضمین،فکذلک بناء المشتری فی ما نحن فیه علی ملک المثمن عدواناً لا یقدح فی التضمین الحقیقی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کون الشیء فی عهدة الضامن و خسارته علیه،و إذا کان المضمون به ملکاً لغیر الضامن واقعاً فلا یتحقّق الضمان الحقیقی مع علمهما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بناء المتعاقدین فی هذا العقد علی کون المثمن ملکاً للبائع الغاصب مع کونه مال الغیر،فهو إنّما یُصحّح وقوع عقد التملیک و التملّک منهما ادّعاءً مع عدم کون البائع أهلاً لذلک فی الواقع،و إلّا فأصل المعاوضة حقیقة بین المالکین و الضمان و التضمین الحقیقی بالنسبة إلیهما؛و لذا ینتقل الثمن إلی مالک المبیع و یدخل فی ضمانه بمجرّد الإجازة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تضمین حقیقة فی تسلیط المشتری البائع علی الثمن،و أمّا رجوع المشتری مع اعتقاد المتبایعین لمالکیّة </w:t>
      </w:r>
      <w:r>
        <w:rPr>
          <w:rStyle w:val="FootnoteAnchor"/>
          <w:rtl w:val="true"/>
        </w:rPr>
        <w:footnoteReference w:id="2544"/>
      </w:r>
      <w:r>
        <w:rPr>
          <w:rFonts w:ascii="IRNazanin" w:hAnsi="IRNazanin" w:eastAsia="IRNazanin"/>
          <w:color w:val="111111"/>
          <w:sz w:val="28"/>
          <w:sz w:val="28"/>
          <w:szCs w:val="28"/>
          <w:rtl w:val="true"/>
          <w:lang w:bidi="fa-IR"/>
        </w:rPr>
        <w:t>البائع للمثمن عند انکشاف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إنّما ضمّنه بمال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طیب نفسه علی تصرّف البائع فیه من دون ضمان،و إن کان ما ضمنه به غیر ملک له و لا یتحقّق به التضمین؛لأنّه إنّما طاب نفسه بتصرّف البائع لاعتقاد کون المثمن ملکاً له و صیرورته مباحاً له بتسلیطه علیه،و هذا مفقود فیما</w:t>
      </w:r>
    </w:p>
    <w:p>
      <w:pPr>
        <w:pStyle w:val="BookText"/>
        <w:rPr/>
      </w:pPr>
      <w:r>
        <w:rPr>
          <w:rFonts w:ascii="IRNazanin" w:hAnsi="IRNazanin" w:eastAsia="IRNazanin"/>
          <w:color w:val="111111"/>
          <w:sz w:val="28"/>
          <w:sz w:val="28"/>
          <w:szCs w:val="28"/>
          <w:rtl w:val="true"/>
          <w:lang w:bidi="fa-IR"/>
        </w:rPr>
        <w:t>نحن فیه؛لأنّ طیب النفس بالتصرّف و الإتلاف من دون ضمان له بماله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نقض ما ذکرنا بالبیع مع علم المشتری بالفساد،حیث إنّه ضمّن البائع بما یعلم أنّه لا یضمن الثمن به، و کذا البائع مع علمه بالفساد ضمّن المشتری بما یعلم أنّ </w:t>
      </w:r>
      <w:r>
        <w:rPr>
          <w:rStyle w:val="FootnoteAnchor"/>
          <w:rtl w:val="true"/>
        </w:rPr>
        <w:footnoteReference w:id="2545"/>
      </w:r>
      <w:r>
        <w:rPr>
          <w:rFonts w:ascii="IRNazanin" w:hAnsi="IRNazanin" w:eastAsia="IRNazanin"/>
          <w:color w:val="111111"/>
          <w:sz w:val="28"/>
          <w:sz w:val="28"/>
          <w:szCs w:val="28"/>
          <w:rtl w:val="true"/>
          <w:lang w:bidi="fa-IR"/>
        </w:rPr>
        <w:t>المشتری لا یضمن به،فکأنه لم یضمّنه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التضمین الحقیقی حاصل هنا؛لأنّ المضمون به مال الضامن،غایة الأمر أنّ فساد العقد مانع عن مضیّ هذا الضمان و التضمین فی نظر الشارع؛لأنّ المفروض فساده،فإذا لم یمضِ الشارع الضمان الخاصّ صار أصل إقدام الشخص علی الضمان الحقیقی،أو قاعدة إثبات الید علی مال من دون تسلیط مجانی أو استئمان عن مالکه، موجباً لضمانه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الخلاف فی مدرک الضمان فی فاسد ما یضمن بصحیحه </w:t>
      </w:r>
      <w:r>
        <w:rPr>
          <w:rStyle w:val="FootnoteAnchor"/>
          <w:rtl w:val="true"/>
        </w:rPr>
        <w:footnoteReference w:id="2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شیء منهما غیر موجود فیما نحن فیه،کما أوضحناه بما لا مزید علیه </w:t>
      </w:r>
      <w:r>
        <w:rPr>
          <w:rStyle w:val="FootnoteAnchor"/>
          <w:rtl w:val="true"/>
        </w:rPr>
        <w:footnoteReference w:id="2547"/>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دفع المال إلی الغاصب لیس إلّا کدفعه إلیٰ ثالث یعلم عدم کونه مالکاً للمبیع و تسلیطه علی إتلافه،فی أنّ ردّ المالک لا یوجب الرجوع إلی هذا الثالث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 فساد العقد لعدم قبول العوض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w:t>
      </w:r>
    </w:p>
    <w:p>
      <w:pPr>
        <w:pStyle w:val="BookText"/>
        <w:rPr/>
      </w:pPr>
      <w:r>
        <w:rPr>
          <w:rFonts w:ascii="IRNazanin" w:hAnsi="IRNazanin" w:eastAsia="IRNazanin"/>
          <w:color w:val="111111"/>
          <w:sz w:val="28"/>
          <w:sz w:val="28"/>
          <w:szCs w:val="28"/>
          <w:rtl w:val="true"/>
          <w:lang w:bidi="fa-IR"/>
        </w:rPr>
        <w:t>و الخنزیر و الحرّ قوی اطّراد ما ذکرنا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ضمان عوضها المملوک مع علم المالک بالحال،کما صرّح به شیخ مشایخنا فی شرحه علی القواعد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هذا،و لکن </w:t>
      </w:r>
      <w:r>
        <w:rPr>
          <w:rStyle w:val="FootnoteAnchor"/>
          <w:rtl w:val="true"/>
        </w:rPr>
        <w:footnoteReference w:id="2550"/>
      </w:r>
      <w:r>
        <w:rPr>
          <w:rFonts w:ascii="IRNazanin" w:hAnsi="IRNazanin" w:eastAsia="IRNazanin"/>
          <w:color w:val="111111"/>
          <w:sz w:val="28"/>
          <w:sz w:val="28"/>
          <w:szCs w:val="28"/>
          <w:rtl w:val="true"/>
          <w:lang w:bidi="fa-IR"/>
        </w:rPr>
        <w:t>إطلاق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عقد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الضمان فیما نحن فیه و شبهه؛نظراً إلی أنّ البیع الصحیح یقتضی الضمان ففاسده کذلک،إلّا أن یفسّر بما أبطلناه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کلّ عقد یضمن علی فرض صحّته یضمن علی فرض فساده </w:t>
      </w:r>
      <w:r>
        <w:rPr>
          <w:rStyle w:val="FootnoteAnchor"/>
          <w:rtl w:val="true"/>
        </w:rPr>
        <w:footnoteReference w:id="2551"/>
      </w:r>
      <w:r>
        <w:rPr>
          <w:rFonts w:ascii="IRNazanin" w:hAnsi="IRNazanin" w:eastAsia="IRNazanin"/>
          <w:color w:val="111111"/>
          <w:sz w:val="28"/>
          <w:sz w:val="28"/>
          <w:szCs w:val="28"/>
          <w:rtl w:val="true"/>
          <w:lang w:bidi="fa-IR"/>
        </w:rPr>
        <w:t>، و لا ریب أنّ العقد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مثل المبیع </w:t>
      </w:r>
      <w:r>
        <w:rPr>
          <w:rStyle w:val="FootnoteAnchor"/>
          <w:rtl w:val="true"/>
        </w:rPr>
        <w:footnoteReference w:id="2552"/>
      </w:r>
      <w:r>
        <w:rPr>
          <w:rFonts w:ascii="IRNazanin" w:hAnsi="IRNazanin" w:eastAsia="IRNazanin"/>
          <w:color w:val="111111"/>
          <w:sz w:val="28"/>
          <w:sz w:val="28"/>
          <w:szCs w:val="28"/>
          <w:rtl w:val="true"/>
          <w:lang w:bidi="fa-IR"/>
        </w:rPr>
        <w:t>بلا ثمن و الإجارة بلا 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فرض صحیحاً لا یکون فیه </w:t>
      </w:r>
      <w:r>
        <w:rPr>
          <w:rStyle w:val="FootnoteAnchor"/>
          <w:rtl w:val="true"/>
        </w:rPr>
        <w:footnoteReference w:id="2553"/>
      </w:r>
      <w:r>
        <w:rPr>
          <w:rFonts w:ascii="IRNazanin" w:hAnsi="IRNazanin" w:eastAsia="IRNazanin"/>
          <w:color w:val="111111"/>
          <w:sz w:val="28"/>
          <w:sz w:val="28"/>
          <w:szCs w:val="28"/>
          <w:rtl w:val="true"/>
          <w:lang w:bidi="fa-IR"/>
        </w:rPr>
        <w:t>ضمان،فکذلک مع الحکم بالفساد،لکنّک عرفت ضعف هذا المعنی فیما ذکرناه سابقاً فی توضیح هذه القضیّة؛فإنّ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عقد تحقّق الضمان فی الفرد الصحیح منه یثبت الضمان فی الفرد الفاسد منه،فیختصّ موردها بما إذا کان للعقد فردان فعلیّان،لا الفرد الواحد المفروض تارة صحیحاً و أُخری فاسداً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تطبیق المعنی المختار فیما نحن فیه و شبهه،بأن لا یکون المراد من العقد فی موضوع القضیّة خصوص النوع المتعارف من أنواع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یراد مطلق المعاملة المالیّة التی یوجد لها</w:t>
      </w:r>
    </w:p>
    <w:p>
      <w:pPr>
        <w:pStyle w:val="BookText"/>
        <w:rPr/>
      </w:pPr>
      <w:r>
        <w:rPr>
          <w:rFonts w:ascii="IRNazanin" w:hAnsi="IRNazanin" w:eastAsia="IRNazanin"/>
          <w:color w:val="111111"/>
          <w:sz w:val="28"/>
          <w:sz w:val="28"/>
          <w:szCs w:val="28"/>
          <w:rtl w:val="true"/>
          <w:lang w:bidi="fa-IR"/>
        </w:rPr>
        <w:t>فردان صحیح و فاسد،فیقال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نحن فیه و البیع بلا ثمن و الإجارة بلا اجرة،تملیک بلا عوض من مال الآخر،و الفرد الصحیح من هذه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الهبة الغیر المعوّضة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فیها،ففاسدها کذلک،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بالجملة،فمستند المشهور فی مسألتنا لا یخلو من غموض؛و لذا لم یصرّح أحد بعدم الضمان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بلا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اتّفاقهم علیه هنا </w:t>
      </w:r>
      <w:r>
        <w:rPr>
          <w:rStyle w:val="FootnoteAnchor"/>
          <w:rtl w:val="true"/>
        </w:rPr>
        <w:footnoteReference w:id="2554"/>
      </w:r>
      <w:r>
        <w:rPr>
          <w:rFonts w:ascii="IRNazanin" w:hAnsi="IRNazanin" w:eastAsia="IRNazanin"/>
          <w:color w:val="111111"/>
          <w:sz w:val="28"/>
          <w:sz w:val="28"/>
          <w:szCs w:val="28"/>
          <w:rtl w:val="true"/>
          <w:lang w:bidi="fa-IR"/>
        </w:rPr>
        <w:t xml:space="preserve">، و صرّح بعضهم </w:t>
      </w:r>
      <w:r>
        <w:rPr>
          <w:rStyle w:val="FootnoteAnchor"/>
          <w:rtl w:val="true"/>
        </w:rPr>
        <w:footnoteReference w:id="2555"/>
      </w:r>
      <w:r>
        <w:rPr>
          <w:rFonts w:ascii="IRNazanin" w:hAnsi="IRNazanin" w:eastAsia="IRNazanin"/>
          <w:color w:val="111111"/>
          <w:sz w:val="28"/>
          <w:sz w:val="28"/>
          <w:szCs w:val="28"/>
          <w:rtl w:val="true"/>
          <w:lang w:bidi="fa-IR"/>
        </w:rPr>
        <w:t>بضمان المرتشی مع تلف الرشوة التی هی من قبیل الثمن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نعم،ذکر الشهید رحمه اللّه و غیره عدم الضمان فی الإجارة بلا اجرة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من الأخبار علی کون ثمن الکلب أو الخمر سحتاً </w:t>
      </w:r>
      <w:r>
        <w:rPr>
          <w:rStyle w:val="FootnoteAnchor"/>
          <w:rtl w:val="true"/>
        </w:rPr>
        <w:footnoteReference w:id="2557"/>
      </w:r>
      <w:r>
        <w:rPr>
          <w:rFonts w:ascii="IRNazanin" w:hAnsi="IRNazanin" w:eastAsia="IRNazanin"/>
          <w:color w:val="111111"/>
          <w:sz w:val="28"/>
          <w:sz w:val="28"/>
          <w:szCs w:val="28"/>
          <w:rtl w:val="true"/>
          <w:lang w:bidi="fa-IR"/>
        </w:rPr>
        <w:t>،و إن أمکن الذبّ عنه بأنّ المراد التشبیه فی التحریم، فلا ینافی عدم الضمان مع التلف کأصل السحت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مقتضی ما ذکرناه فی وجه عدم الرجوع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p>
    <w:p>
      <w:pPr>
        <w:pStyle w:val="BookText"/>
        <w:rPr/>
      </w:pPr>
      <w:r>
        <w:rPr>
          <w:rFonts w:ascii="IRNazanin" w:hAnsi="IRNazanin" w:eastAsia="IRNazanin"/>
          <w:color w:val="111111"/>
          <w:sz w:val="28"/>
          <w:sz w:val="28"/>
          <w:szCs w:val="28"/>
          <w:rtl w:val="true"/>
          <w:lang w:bidi="fa-IR"/>
        </w:rPr>
        <w:t>الرجوع إذا باع البائع الفضولی غیر بائعٍ لنفسه،بل باع عن المالک و دفع المشتری الثمن إلیه لکونه واسطة فی إیصاله إلی المالک فتلف فی یده؛إذ لم یسلّطه علیه و لا أذن له فی التصرّف فیه،فضلاً عن إتلافه، و لعلّ کلماتهم و معاقد اتّفاقهم تختصّ بالغاصب البائع لنفسه،و إن کان ظاهر بعضهم ثبوت الحکم فی مطلق الفضولی مع علم المشتری بالفضولیّة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یقوی الرجوع لو أخذ البائع الثمن من دون إذن المشتری، بل أخذه بناءً علی العقد الواقع بینهما؛فإنّه لم یحصل هنا من المشتری تسلیط </w:t>
      </w:r>
      <w:r>
        <w:rPr>
          <w:rStyle w:val="FootnoteAnchor"/>
          <w:rtl w:val="true"/>
        </w:rPr>
        <w:footnoteReference w:id="2558"/>
      </w:r>
      <w:r>
        <w:rPr>
          <w:rFonts w:ascii="IRNazanin" w:hAnsi="IRNazanin" w:eastAsia="IRNazanin"/>
          <w:color w:val="111111"/>
          <w:sz w:val="28"/>
          <w:sz w:val="28"/>
          <w:szCs w:val="28"/>
          <w:rtl w:val="true"/>
          <w:lang w:bidi="fa-IR"/>
        </w:rPr>
        <w:t xml:space="preserve">إلّا بالعقد،و التسلیط العقدی مع فساده غیر مؤثّر فی دفع </w:t>
      </w:r>
      <w:r>
        <w:rPr>
          <w:rStyle w:val="FootnoteAnchor"/>
          <w:rtl w:val="true"/>
        </w:rPr>
        <w:footnoteReference w:id="2559"/>
      </w:r>
      <w:r>
        <w:rPr>
          <w:rFonts w:ascii="IRNazanin" w:hAnsi="IRNazanin" w:eastAsia="IRNazanin"/>
          <w:color w:val="111111"/>
          <w:sz w:val="28"/>
          <w:sz w:val="28"/>
          <w:szCs w:val="28"/>
          <w:rtl w:val="true"/>
          <w:lang w:bidi="fa-IR"/>
        </w:rPr>
        <w:t xml:space="preserve">الضمان،و یکشف عن ذلک تصریح غیر واحد منهم </w:t>
      </w:r>
      <w:r>
        <w:rPr>
          <w:rStyle w:val="FootnoteAnchor"/>
          <w:rtl w:val="true"/>
        </w:rPr>
        <w:footnoteReference w:id="2560"/>
      </w:r>
      <w:r>
        <w:rPr>
          <w:rFonts w:ascii="Amiri" w:hAnsi="Amiri" w:eastAsia="Amiri" w:cs="Amiri"/>
          <w:color w:val="111111"/>
          <w:sz w:val="28"/>
          <w:sz w:val="28"/>
          <w:szCs w:val="28"/>
          <w:rtl w:val="true"/>
          <w:lang w:bidi="ar-SA"/>
        </w:rPr>
        <w:t xml:space="preserve">بإباحة تصرّف البائع الغاصب </w:t>
      </w:r>
      <w:r>
        <w:rPr>
          <w:rStyle w:val="FootnoteAnchor"/>
          <w:rtl w:val="true"/>
        </w:rPr>
        <w:footnoteReference w:id="2561"/>
      </w:r>
      <w:r>
        <w:rPr>
          <w:rFonts w:ascii="IRNazanin" w:hAnsi="IRNazanin" w:eastAsia="IRNazanin"/>
          <w:color w:val="111111"/>
          <w:sz w:val="28"/>
          <w:sz w:val="28"/>
          <w:szCs w:val="28"/>
          <w:rtl w:val="true"/>
          <w:lang w:bidi="fa-IR"/>
        </w:rPr>
        <w:t>فیه مع اتّفاقهم ظاهراً علی عدم تأثیر العقد الفاسد فی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یقوی الضمان لو اشترط علی البائع الرجوع بالثمن لو أخذ العینَ صاحبها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الثمن کلیّاً فدفع إلیه المشتری بعض أفراده،فالظاهر عدم الرجوع؛لأنّه کالثمن المعیّن فی تسلیطه علیه مجّاناً</w:t>
      </w:r>
      <w:r>
        <w:rPr>
          <w:rFonts w:eastAsia="IRNazanin" w:cs="IRNazanin"/>
          <w:color w:val="111111"/>
          <w:sz w:val="28"/>
          <w:szCs w:val="28"/>
          <w:rtl w:val="true"/>
          <w:lang w:bidi="fa-IR"/>
        </w:rPr>
        <w:t>.</w:t>
      </w:r>
      <w:bookmarkStart w:id="836" w:name="pg19763_248239"/>
    </w:p>
    <w:p>
      <w:pPr>
        <w:pStyle w:val="Heading6"/>
        <w:numPr>
          <w:ilvl w:val="5"/>
          <w:numId w:val="1"/>
        </w:numPr>
        <w:rPr/>
      </w:pPr>
      <w:bookmarkStart w:id="837" w:name="__RefHeading___Toc5083060_2314609296"/>
      <w:bookmarkStart w:id="838" w:name="_Toc321"/>
      <w:bookmarkEnd w:id="836"/>
      <w:bookmarkEnd w:id="837"/>
      <w:r>
        <w:rPr>
          <w:rtl w:val="true"/>
        </w:rPr>
        <w:t>المسألة الثانیة أنّ المشتری إذا اغترم للمالک غیر الثمن</w:t>
      </w:r>
      <w:r>
        <w:rPr>
          <w:rtl w:val="true"/>
        </w:rPr>
        <w:t>:</w:t>
      </w:r>
      <w:bookmarkEnd w:id="838"/>
    </w:p>
    <w:p>
      <w:pPr>
        <w:pStyle w:val="BookText"/>
        <w:rPr/>
      </w:pPr>
      <w:r>
        <w:rPr>
          <w:rFonts w:ascii="IRNazanin" w:hAnsi="IRNazanin" w:eastAsia="IRNazanin"/>
          <w:color w:val="111111"/>
          <w:sz w:val="28"/>
          <w:sz w:val="28"/>
          <w:szCs w:val="28"/>
          <w:rtl w:val="true"/>
          <w:lang w:bidi="fa-IR"/>
        </w:rPr>
        <w:t xml:space="preserve">فإمّا أن یکون فی </w:t>
      </w:r>
      <w:r>
        <w:rPr>
          <w:rStyle w:val="FootnoteAnchor"/>
          <w:rtl w:val="true"/>
        </w:rPr>
        <w:footnoteReference w:id="2562"/>
      </w:r>
      <w:r>
        <w:rPr>
          <w:rFonts w:ascii="IRNazanin" w:hAnsi="IRNazanin" w:eastAsia="IRNazanin"/>
          <w:color w:val="111111"/>
          <w:sz w:val="28"/>
          <w:sz w:val="28"/>
          <w:szCs w:val="28"/>
          <w:rtl w:val="true"/>
          <w:lang w:bidi="fa-IR"/>
        </w:rPr>
        <w:t>مقابل العین،کزیادة القیمة علی الثمن إذا رجع المالک بها علی المشتری،کأن کانت القیمة المأخوذة منه عشرین و الثمن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فی مقابل ما استوفاه المشتری،کسکنی الدار و وطء الجاریة و اللبن و الصوف و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غرامة لم یحصل له فی مقابلها نفع،کالنفقة و ما صرفه فی العمارة،و ما تلف منه أو ضاع من الغرس و الحفر،أو إعطائه قیمةً للولد المنعقد حرّا و نحو ذلک،أو نَقَص من الصفات و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المشتری،إن کان عالماً فلا رجوع فی شیءٍ من هذه الموارد؛ لعدم الدلیل علیه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جاهلاً،فأمّا الثالث فالمعروف من مذهب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الریاض </w:t>
      </w:r>
      <w:r>
        <w:rPr>
          <w:rStyle w:val="FootnoteAnchor"/>
          <w:rtl w:val="true"/>
        </w:rPr>
        <w:footnoteReference w:id="2563"/>
      </w:r>
      <w:r>
        <w:rPr>
          <w:rFonts w:ascii="IRNazanin" w:hAnsi="IRNazanin" w:eastAsia="IRNazanin"/>
          <w:color w:val="111111"/>
          <w:sz w:val="28"/>
          <w:sz w:val="28"/>
          <w:szCs w:val="28"/>
          <w:rtl w:val="true"/>
          <w:lang w:bidi="fa-IR"/>
        </w:rPr>
        <w:t xml:space="preserve">و عن الکفایة </w:t>
      </w:r>
      <w:r>
        <w:rPr>
          <w:rStyle w:val="FootnoteAnchor"/>
          <w:rtl w:val="true"/>
        </w:rPr>
        <w:footnoteReference w:id="2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المشتری الجاهل بها علی البائع،بل فی کلام بعض </w:t>
      </w:r>
      <w:r>
        <w:rPr>
          <w:rStyle w:val="FootnoteAnchor"/>
          <w:rtl w:val="true"/>
        </w:rPr>
        <w:footnoteReference w:id="2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للمحکی عن فخر الإسلام فی</w:t>
      </w:r>
    </w:p>
    <w:p>
      <w:pPr>
        <w:pStyle w:val="BookText"/>
        <w:rPr/>
      </w:pPr>
      <w:r>
        <w:rPr>
          <w:rFonts w:ascii="IRNazanin" w:hAnsi="IRNazanin" w:eastAsia="IRNazanin"/>
          <w:color w:val="111111"/>
          <w:sz w:val="28"/>
          <w:sz w:val="28"/>
          <w:szCs w:val="28"/>
          <w:rtl w:val="true"/>
          <w:lang w:bidi="fa-IR"/>
        </w:rPr>
        <w:t xml:space="preserve">شرح الإرشاد </w:t>
      </w:r>
      <w:r>
        <w:rPr>
          <w:rStyle w:val="FootnoteAnchor"/>
          <w:rtl w:val="true"/>
        </w:rPr>
        <w:footnoteReference w:id="2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الإجماع علی الرجوع بما </w:t>
      </w:r>
      <w:r>
        <w:rPr>
          <w:rStyle w:val="FootnoteAnchor"/>
          <w:rtl w:val="true"/>
        </w:rPr>
        <w:footnoteReference w:id="2567"/>
      </w:r>
      <w:r>
        <w:rPr>
          <w:rFonts w:ascii="IRNazanin" w:hAnsi="IRNazanin" w:eastAsia="IRNazanin"/>
          <w:color w:val="111111"/>
          <w:sz w:val="28"/>
          <w:sz w:val="28"/>
          <w:szCs w:val="28"/>
          <w:rtl w:val="true"/>
          <w:lang w:bidi="fa-IR"/>
        </w:rPr>
        <w:t>لم یحصل فی مقابله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السرائر </w:t>
      </w:r>
      <w:r>
        <w:rPr>
          <w:rStyle w:val="FootnoteAnchor"/>
          <w:rtl w:val="true"/>
        </w:rPr>
        <w:footnoteReference w:id="2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یرجع قولاً واحداً </w:t>
      </w:r>
      <w:r>
        <w:rPr>
          <w:rStyle w:val="FootnoteAnchor"/>
          <w:rtl w:val="true"/>
        </w:rPr>
        <w:footnoteReference w:id="2569"/>
      </w:r>
      <w:r>
        <w:rPr>
          <w:rFonts w:ascii="IRNazanin" w:hAnsi="IRNazanin" w:eastAsia="IRNazanin"/>
          <w:color w:val="111111"/>
          <w:sz w:val="28"/>
          <w:sz w:val="28"/>
          <w:szCs w:val="28"/>
          <w:rtl w:val="true"/>
          <w:lang w:bidi="fa-IR"/>
        </w:rPr>
        <w:t xml:space="preserve">،و </w:t>
      </w:r>
      <w:r>
        <w:rPr>
          <w:rStyle w:val="FootnoteAnchor"/>
          <w:rtl w:val="true"/>
        </w:rPr>
        <w:footnoteReference w:id="2570"/>
      </w:r>
      <w:r>
        <w:rPr>
          <w:rFonts w:ascii="IRNazanin" w:hAnsi="IRNazanin" w:eastAsia="IRNazanin"/>
          <w:color w:val="111111"/>
          <w:sz w:val="28"/>
          <w:sz w:val="28"/>
          <w:szCs w:val="28"/>
          <w:rtl w:val="true"/>
          <w:lang w:bidi="fa-IR"/>
        </w:rPr>
        <w:t xml:space="preserve">فی کلام المحقّق </w:t>
      </w:r>
      <w:r>
        <w:rPr>
          <w:rStyle w:val="FootnoteAnchor"/>
          <w:rtl w:val="true"/>
        </w:rPr>
        <w:footnoteReference w:id="2571"/>
      </w:r>
      <w:r>
        <w:rPr>
          <w:rFonts w:ascii="IRNazanin" w:hAnsi="IRNazanin" w:eastAsia="IRNazanin"/>
          <w:color w:val="111111"/>
          <w:sz w:val="28"/>
          <w:sz w:val="28"/>
          <w:szCs w:val="28"/>
          <w:rtl w:val="true"/>
          <w:lang w:bidi="fa-IR"/>
        </w:rPr>
        <w:t xml:space="preserve">و الشهید </w:t>
      </w:r>
      <w:r>
        <w:rPr>
          <w:rStyle w:val="FootnoteAnchor"/>
          <w:rtl w:val="true"/>
        </w:rPr>
        <w:footnoteReference w:id="2572"/>
      </w:r>
      <w:r>
        <w:rPr>
          <w:rFonts w:ascii="IRNazanin" w:hAnsi="IRNazanin" w:eastAsia="IRNazanin"/>
          <w:color w:val="111111"/>
          <w:sz w:val="28"/>
          <w:sz w:val="28"/>
          <w:szCs w:val="28"/>
          <w:rtl w:val="true"/>
          <w:lang w:bidi="fa-IR"/>
        </w:rPr>
        <w:t>الثانیین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الإشکال عن ضمان البائع لدرک ما یُحدثه المشتری إذا قلعه </w:t>
      </w:r>
      <w:r>
        <w:rPr>
          <w:rStyle w:val="FootnoteAnchor"/>
          <w:rtl w:val="true"/>
        </w:rPr>
        <w:footnoteReference w:id="2573"/>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بالجملة،فالظاهر عدم الخلاف فی المسألة؛للغرور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البائع مغرِّر للمشتری و موقِع إیّاه فی خطرات الضمان و متلِف علیه ما یغرمه، فهو کشاهد الزور الذی یُرجع إلیه إذا رجع عن </w:t>
      </w:r>
      <w:r>
        <w:rPr>
          <w:rStyle w:val="FootnoteAnchor"/>
          <w:rtl w:val="true"/>
        </w:rPr>
        <w:footnoteReference w:id="2574"/>
      </w: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لقاعدة نفی الضرر،مضافاً إلی ظاهر روایة جمیل أو فحواها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الجاریة من السوق فیولدها،ثمّ یجیء مستحقّ الجاریة،قال</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یأخذ الجاریة المستحقّ،و یدفع إلیه المبتاع قیمة الولد و یرجع علی من باعه بثمن الجاریة و قیمة الولد التی أُخذت منه</w:t>
      </w:r>
      <w:r>
        <w:rPr>
          <w:rFonts w:eastAsia="IRNazanin" w:cs="IRNazanin"/>
          <w:color w:val="111111"/>
          <w:sz w:val="28"/>
          <w:szCs w:val="28"/>
          <w:rtl w:val="true"/>
          <w:lang w:bidi="fa-IR"/>
        </w:rPr>
        <w:t xml:space="preserve">» </w:t>
      </w:r>
      <w:r>
        <w:rPr>
          <w:rStyle w:val="FootnoteAnchor"/>
          <w:rtl w:val="true"/>
        </w:rPr>
        <w:footnoteReference w:id="2575"/>
      </w:r>
      <w:r>
        <w:rPr>
          <w:rFonts w:ascii="Amiri" w:hAnsi="Amiri" w:eastAsia="Amiri" w:cs="Amiri"/>
          <w:color w:val="111111"/>
          <w:sz w:val="28"/>
          <w:sz w:val="28"/>
          <w:szCs w:val="28"/>
          <w:rtl w:val="true"/>
          <w:lang w:bidi="ar-SA"/>
        </w:rPr>
        <w:t>فإنّ حریّة ولد</w:t>
      </w:r>
    </w:p>
    <w:p>
      <w:pPr>
        <w:pStyle w:val="BookText"/>
        <w:rPr/>
      </w:pPr>
      <w:r>
        <w:rPr>
          <w:rFonts w:ascii="IRNazanin" w:hAnsi="IRNazanin" w:eastAsia="IRNazanin"/>
          <w:color w:val="111111"/>
          <w:sz w:val="28"/>
          <w:sz w:val="28"/>
          <w:szCs w:val="28"/>
          <w:rtl w:val="true"/>
          <w:lang w:bidi="fa-IR"/>
        </w:rPr>
        <w:t>المشتری إمّا أن یعدّ نفعاً عائداً إلیه أو لا،و علی التقدیرین یثبت المطلوب،مع أنّ فی توصیف قیمة الولد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إشعار بعلیّة </w:t>
      </w:r>
      <w:r>
        <w:rPr>
          <w:rStyle w:val="FootnoteAnchor"/>
          <w:rtl w:val="true"/>
        </w:rPr>
        <w:footnoteReference w:id="2576"/>
      </w:r>
      <w:r>
        <w:rPr>
          <w:rFonts w:ascii="IRNazanin" w:hAnsi="IRNazanin" w:eastAsia="IRNazanin"/>
          <w:color w:val="111111"/>
          <w:sz w:val="28"/>
          <w:sz w:val="28"/>
          <w:szCs w:val="28"/>
          <w:rtl w:val="true"/>
          <w:lang w:bidi="fa-IR"/>
        </w:rPr>
        <w:t xml:space="preserve">الحکم،فیطّرد فی سائر ما أُخذت </w:t>
      </w:r>
      <w:r>
        <w:rPr>
          <w:rStyle w:val="FootnoteAnchor"/>
          <w:rtl w:val="true"/>
        </w:rPr>
        <w:footnoteReference w:id="2577"/>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السکوت عن رجوع المشتری إلی البائع فی بعض الأخبار، فهو لعدم کونه مسوقاً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کروایة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اشتری من سوق المسلمین جاریة فخرج بها إلی أرضه فولدت منه </w:t>
      </w:r>
      <w:r>
        <w:rPr>
          <w:rStyle w:val="FootnoteAnchor"/>
          <w:rtl w:val="true"/>
        </w:rPr>
        <w:footnoteReference w:id="2578"/>
      </w:r>
      <w:r>
        <w:rPr>
          <w:rFonts w:ascii="IRNazanin" w:hAnsi="IRNazanin" w:eastAsia="IRNazanin"/>
          <w:color w:val="111111"/>
          <w:sz w:val="28"/>
          <w:sz w:val="28"/>
          <w:szCs w:val="28"/>
          <w:rtl w:val="true"/>
          <w:lang w:bidi="fa-IR"/>
        </w:rPr>
        <w:t>أولاداً،ثمّ أتاها من یزعم أنّها له و أقام علی ذلک البیّنة،قال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 ولده و یدفع إلیه الجاریة،و یعوّضه من قیمة ما أصاب من لبنها و خدمتها</w:t>
      </w:r>
      <w:r>
        <w:rPr>
          <w:rFonts w:eastAsia="IRNazanin" w:cs="IRNazanin"/>
          <w:color w:val="111111"/>
          <w:sz w:val="28"/>
          <w:szCs w:val="28"/>
          <w:rtl w:val="true"/>
          <w:lang w:bidi="fa-IR"/>
        </w:rPr>
        <w:t xml:space="preserve">»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زریق،قال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یوماً إذ دخل علیه رجلان،فقال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علیّ مالٌ لرجل من بنی عمّار،و له بذلک ذکر حقٍّ </w:t>
      </w:r>
      <w:r>
        <w:rPr>
          <w:rStyle w:val="FootnoteAnchor"/>
          <w:rtl w:val="true"/>
        </w:rPr>
        <w:footnoteReference w:id="2580"/>
      </w:r>
      <w:r>
        <w:rPr>
          <w:rFonts w:ascii="IRNazanin" w:hAnsi="IRNazanin" w:eastAsia="IRNazanin"/>
          <w:color w:val="111111"/>
          <w:sz w:val="28"/>
          <w:sz w:val="28"/>
          <w:szCs w:val="28"/>
          <w:rtl w:val="true"/>
          <w:lang w:bidi="fa-IR"/>
        </w:rPr>
        <w:t xml:space="preserve">و شهود،فأخذ المال و لم أسترجع عنه </w:t>
      </w:r>
      <w:r>
        <w:rPr>
          <w:rStyle w:val="FootnoteAnchor"/>
          <w:rtl w:val="true"/>
        </w:rPr>
        <w:footnoteReference w:id="2581"/>
      </w:r>
      <w:r>
        <w:rPr>
          <w:rFonts w:ascii="IRNazanin" w:hAnsi="IRNazanin" w:eastAsia="IRNazanin"/>
          <w:color w:val="111111"/>
          <w:sz w:val="28"/>
          <w:sz w:val="28"/>
          <w:szCs w:val="28"/>
          <w:rtl w:val="true"/>
          <w:lang w:bidi="fa-IR"/>
        </w:rPr>
        <w:t>الذکر بالحقّ،و لا کتبت علیه کتاباً،و لا أخذت منه براءة بذلک؛و ذلک لأنی وثقت به،و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 الذکر بالحقّ الذی عندک،فمات و تهاون</w:t>
      </w:r>
    </w:p>
    <w:p>
      <w:pPr>
        <w:pStyle w:val="BookText"/>
        <w:rPr/>
      </w:pPr>
      <w:r>
        <w:rPr>
          <w:rFonts w:ascii="IRNazanin" w:hAnsi="IRNazanin" w:eastAsia="IRNazanin"/>
          <w:color w:val="111111"/>
          <w:sz w:val="28"/>
          <w:sz w:val="28"/>
          <w:szCs w:val="28"/>
          <w:rtl w:val="true"/>
          <w:lang w:bidi="fa-IR"/>
        </w:rPr>
        <w:t xml:space="preserve">بذلک و لم یمزّقه،و عقیب هذا طالبنی بالمال ورّاثُه و حاکمونی و أخرجوا بذلک ذکر الحقّ </w:t>
      </w:r>
      <w:r>
        <w:rPr>
          <w:rStyle w:val="FootnoteAnchor"/>
          <w:rtl w:val="true"/>
        </w:rPr>
        <w:footnoteReference w:id="2582"/>
      </w:r>
      <w:r>
        <w:rPr>
          <w:rFonts w:ascii="IRNazanin" w:hAnsi="IRNazanin" w:eastAsia="IRNazanin"/>
          <w:color w:val="111111"/>
          <w:sz w:val="28"/>
          <w:sz w:val="28"/>
          <w:szCs w:val="28"/>
          <w:rtl w:val="true"/>
          <w:lang w:bidi="fa-IR"/>
        </w:rPr>
        <w:t>،و أقاموا العدول فشهدوا عند الحاکم،فأُخذت بالمال، و کان المال کثیراً،فتواریت عن الحاکم،فباع علیّ قاضی الکوفة معیشةً لی و قبض القوم المال،و هذا رجل من إخواننا ابتُلی بشراء معیشتی من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ورثة المیّت أقرّوا أنّ أباهم قد قبض المال،و قد سألوه أن یردّ علیّ معیشتی و یعطونه الثمن فی أنجم معلومة،فقال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 أن أسأل أبا عبد اللّه علیه السلام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أصنع جعلت فداک؟قال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تصنع أن ترجع بمالک علی الورثة،و تردّ المعیشة إلی صاحبها و تخرج یدک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فعلت ذلک،له أن یطالبنی بغیر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نعم،له أن یأخذ منک ما أخذت من الغلّة من ثمن الثمار،و کلّ ما کان مرسوماً فی المعیشة یوم اشتریتها یجب أن تردّ ذلک،إلّا ما کان من زرعٍ زرعته أنت،فإنّ للزارع إمّا قیمة الزرع،و إمّا أن یصبر علیک إلی وقت حصاد الزرع،فإن لم یفعل ذلک </w:t>
      </w:r>
      <w:r>
        <w:rPr>
          <w:rStyle w:val="FootnoteAnchor"/>
          <w:rtl w:val="true"/>
        </w:rPr>
        <w:footnoteReference w:id="2583"/>
      </w:r>
      <w:r>
        <w:rPr>
          <w:rFonts w:ascii="IRNazanin" w:hAnsi="IRNazanin" w:eastAsia="IRNazanin"/>
          <w:color w:val="111111"/>
          <w:sz w:val="28"/>
          <w:sz w:val="28"/>
          <w:szCs w:val="28"/>
          <w:rtl w:val="true"/>
          <w:lang w:bidi="fa-IR"/>
        </w:rPr>
        <w:t>کان ذلک له،و ردّ علیک القیمة و کان الزرع له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هذا قد أحدث فیها بناءً أو غرساً </w:t>
      </w:r>
      <w:r>
        <w:rPr>
          <w:rStyle w:val="FootnoteAnchor"/>
          <w:rtl w:val="true"/>
        </w:rPr>
        <w:footnoteReference w:id="25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قیمة ذلک،أو یکون ذلک المحدث بعینه </w:t>
      </w:r>
      <w:r>
        <w:rPr>
          <w:rStyle w:val="FootnoteAnchor"/>
          <w:rtl w:val="true"/>
        </w:rPr>
        <w:footnoteReference w:id="2585"/>
      </w:r>
      <w:r>
        <w:rPr>
          <w:rFonts w:ascii="IRNazanin" w:hAnsi="IRNazanin" w:eastAsia="IRNazanin"/>
          <w:color w:val="111111"/>
          <w:sz w:val="28"/>
          <w:sz w:val="28"/>
          <w:szCs w:val="28"/>
          <w:rtl w:val="true"/>
          <w:lang w:bidi="fa-IR"/>
        </w:rPr>
        <w:t>یقلعه و یأخذه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کان فیها غرس أو بناء فقُلع الغرس و هُدم البناء؟فقال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w:t>
      </w:r>
      <w:r>
        <w:rPr>
          <w:rStyle w:val="FootnoteAnchor"/>
          <w:rtl w:val="true"/>
        </w:rPr>
        <w:footnoteReference w:id="2586"/>
      </w:r>
      <w:r>
        <w:rPr>
          <w:rFonts w:ascii="IRNazanin" w:hAnsi="IRNazanin" w:eastAsia="IRNazanin"/>
          <w:color w:val="111111"/>
          <w:sz w:val="28"/>
          <w:sz w:val="28"/>
          <w:szCs w:val="28"/>
          <w:rtl w:val="true"/>
          <w:lang w:bidi="fa-IR"/>
        </w:rPr>
        <w:t xml:space="preserve">ذلک إلی ما کان أو یغرم القیمة لصاحب الأرض، فإذا ردّ جمیع ما أخذ من غلّاتها علی </w:t>
      </w:r>
      <w:r>
        <w:rPr>
          <w:rStyle w:val="FootnoteAnchor"/>
          <w:rtl w:val="true"/>
        </w:rPr>
        <w:footnoteReference w:id="2587"/>
      </w:r>
      <w:r>
        <w:rPr>
          <w:rFonts w:ascii="IRNazanin" w:hAnsi="IRNazanin" w:eastAsia="IRNazanin"/>
          <w:color w:val="111111"/>
          <w:sz w:val="28"/>
          <w:sz w:val="28"/>
          <w:szCs w:val="28"/>
          <w:rtl w:val="true"/>
          <w:lang w:bidi="fa-IR"/>
        </w:rPr>
        <w:t xml:space="preserve">صاحبها و ردّ البناء و الغرس و کلَّ محدث إلی ما کان،أو ردّ القیمة کذلک،یجب علی صاحب الأرض أن یردّ علیه </w:t>
      </w:r>
      <w:r>
        <w:rPr>
          <w:rStyle w:val="FootnoteAnchor"/>
          <w:rtl w:val="true"/>
        </w:rPr>
        <w:footnoteReference w:id="2588"/>
      </w:r>
      <w:r>
        <w:rPr>
          <w:rFonts w:ascii="IRNazanin" w:hAnsi="IRNazanin" w:eastAsia="IRNazanin"/>
          <w:color w:val="111111"/>
          <w:sz w:val="28"/>
          <w:sz w:val="28"/>
          <w:szCs w:val="28"/>
          <w:rtl w:val="true"/>
          <w:lang w:bidi="fa-IR"/>
        </w:rPr>
        <w:t xml:space="preserve">کلّ ما خرج عنه </w:t>
      </w:r>
      <w:r>
        <w:rPr>
          <w:rStyle w:val="FootnoteAnchor"/>
          <w:rtl w:val="true"/>
        </w:rPr>
        <w:footnoteReference w:id="2589"/>
      </w:r>
      <w:r>
        <w:rPr>
          <w:rFonts w:ascii="IRNazanin" w:hAnsi="IRNazanin" w:eastAsia="IRNazanin"/>
          <w:color w:val="111111"/>
          <w:sz w:val="28"/>
          <w:sz w:val="28"/>
          <w:szCs w:val="28"/>
          <w:rtl w:val="true"/>
          <w:lang w:bidi="fa-IR"/>
        </w:rPr>
        <w:t xml:space="preserve">فی إصلاح المعیشة،من قیمة غرسٍ أو بناءٍ أو نفقةٍ فی مصلحة المعیشة،و دفع النوائب عنها </w:t>
      </w:r>
      <w:r>
        <w:rPr>
          <w:rStyle w:val="FootnoteAnchor"/>
          <w:rtl w:val="true"/>
        </w:rPr>
        <w:footnoteReference w:id="2590"/>
      </w:r>
      <w:r>
        <w:rPr>
          <w:rFonts w:ascii="Amiri" w:hAnsi="Amiri" w:eastAsia="Amiri" w:cs="Amiri"/>
          <w:color w:val="111111"/>
          <w:sz w:val="28"/>
          <w:sz w:val="28"/>
          <w:szCs w:val="28"/>
          <w:rtl w:val="true"/>
          <w:lang w:bidi="ar-SA"/>
        </w:rPr>
        <w:t xml:space="preserve">،کلّ ذلک فهو </w:t>
      </w:r>
      <w:r>
        <w:rPr>
          <w:rStyle w:val="FootnoteAnchor"/>
          <w:rtl w:val="true"/>
        </w:rPr>
        <w:footnoteReference w:id="2591"/>
      </w:r>
      <w:r>
        <w:rPr>
          <w:rFonts w:ascii="IRNazanin" w:hAnsi="IRNazanin" w:eastAsia="IRNazanin"/>
          <w:color w:val="111111"/>
          <w:sz w:val="28"/>
          <w:sz w:val="28"/>
          <w:szCs w:val="28"/>
          <w:rtl w:val="true"/>
          <w:lang w:bidi="fa-IR"/>
        </w:rPr>
        <w:t>مردود إلیه</w:t>
      </w:r>
      <w:r>
        <w:rPr>
          <w:rFonts w:eastAsia="IRNazanin" w:cs="IRNazanin"/>
          <w:color w:val="111111"/>
          <w:sz w:val="28"/>
          <w:szCs w:val="28"/>
          <w:rtl w:val="true"/>
          <w:lang w:bidi="fa-IR"/>
        </w:rPr>
        <w:t xml:space="preserve">»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أنّا نمنع ورودها </w:t>
      </w:r>
      <w:r>
        <w:rPr>
          <w:rStyle w:val="FootnoteAnchor"/>
          <w:rtl w:val="true"/>
        </w:rPr>
        <w:footnoteReference w:id="2593"/>
      </w:r>
      <w:r>
        <w:rPr>
          <w:rFonts w:ascii="IRNazanin" w:hAnsi="IRNazanin" w:eastAsia="IRNazanin"/>
          <w:color w:val="111111"/>
          <w:sz w:val="28"/>
          <w:sz w:val="28"/>
          <w:szCs w:val="28"/>
          <w:rtl w:val="true"/>
          <w:lang w:bidi="fa-IR"/>
        </w:rPr>
        <w:t>إلّا فی مقام حکم المشتری مع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السکوت فی مقام البیان لا یعارض الدلیل،مع أنّ </w:t>
      </w:r>
      <w:r>
        <w:rPr>
          <w:rStyle w:val="FootnoteAnchor"/>
          <w:rtl w:val="true"/>
        </w:rPr>
        <w:footnoteReference w:id="2594"/>
      </w:r>
    </w:p>
    <w:p>
      <w:pPr>
        <w:pStyle w:val="BookText"/>
        <w:rPr/>
      </w:pPr>
      <w:r>
        <w:rPr>
          <w:rFonts w:ascii="IRNazanin" w:hAnsi="IRNazanin" w:eastAsia="IRNazanin"/>
          <w:color w:val="111111"/>
          <w:sz w:val="28"/>
          <w:sz w:val="28"/>
          <w:szCs w:val="28"/>
          <w:rtl w:val="true"/>
          <w:lang w:bidi="fa-IR"/>
        </w:rPr>
        <w:t xml:space="preserve">روایة زرارة ظاهرها عدم التمکّن من الرجوع إلی البائع،مع أنّ البائع فی قضیّة زریق هو القاضی،فإن کان قضاؤه صحیحاً لم یتوجّه إلیه غرم؛لأنّ الحاکم من قبل الشارع لیس غارّاً </w:t>
      </w:r>
      <w:r>
        <w:rPr>
          <w:rStyle w:val="FootnoteAnchor"/>
          <w:rtl w:val="true"/>
        </w:rPr>
        <w:footnoteReference w:id="2595"/>
      </w:r>
      <w:r>
        <w:rPr>
          <w:rFonts w:ascii="IRNazanin" w:hAnsi="IRNazanin" w:eastAsia="IRNazanin"/>
          <w:color w:val="111111"/>
          <w:sz w:val="28"/>
          <w:sz w:val="28"/>
          <w:szCs w:val="28"/>
          <w:rtl w:val="true"/>
          <w:lang w:bidi="fa-IR"/>
        </w:rPr>
        <w:t>من جهة حکمه علی طبق البیّنة المأمور بالعمل بها،و إن کان قضاؤه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علم المشتری ببطلان قضاء المخالف و تصرّفه فی أُمور المسلمین، فهو عالم بفساد البیع فلا رجوع له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الثانی،و هو ما غرمه فی مقابل النفع الواصل إلیه من المنافع و النماء،ففی الرجوع بها خلاف،أقواها </w:t>
      </w:r>
      <w:r>
        <w:rPr>
          <w:rStyle w:val="FootnoteAnchor"/>
          <w:rtl w:val="true"/>
        </w:rPr>
        <w:footnoteReference w:id="2596"/>
      </w:r>
      <w:r>
        <w:rPr>
          <w:rFonts w:ascii="IRNazanin" w:hAnsi="IRNazanin" w:eastAsia="IRNazanin"/>
          <w:color w:val="111111"/>
          <w:sz w:val="28"/>
          <w:sz w:val="28"/>
          <w:szCs w:val="28"/>
          <w:rtl w:val="true"/>
          <w:lang w:bidi="fa-IR"/>
        </w:rPr>
        <w:t xml:space="preserve">الرجوع؛وفاقاً للمحکیّ عن المبسوط </w:t>
      </w:r>
      <w:r>
        <w:rPr>
          <w:rStyle w:val="FootnoteAnchor"/>
          <w:rtl w:val="true"/>
        </w:rPr>
        <w:footnoteReference w:id="2597"/>
      </w:r>
      <w:r>
        <w:rPr>
          <w:rFonts w:ascii="Amiri" w:hAnsi="Amiri" w:eastAsia="Amiri" w:cs="Amiri"/>
          <w:color w:val="111111"/>
          <w:sz w:val="28"/>
          <w:sz w:val="28"/>
          <w:szCs w:val="28"/>
          <w:rtl w:val="true"/>
          <w:lang w:bidi="ar-SA"/>
        </w:rPr>
        <w:t xml:space="preserve">و المحقّق </w:t>
      </w:r>
      <w:r>
        <w:rPr>
          <w:rStyle w:val="FootnoteAnchor"/>
          <w:rtl w:val="true"/>
        </w:rPr>
        <w:footnoteReference w:id="2598"/>
      </w:r>
      <w:r>
        <w:rPr>
          <w:rFonts w:ascii="IRNazanin" w:hAnsi="IRNazanin" w:eastAsia="IRNazanin"/>
          <w:color w:val="111111"/>
          <w:sz w:val="28"/>
          <w:sz w:val="28"/>
          <w:szCs w:val="28"/>
          <w:rtl w:val="true"/>
          <w:lang w:bidi="fa-IR"/>
        </w:rPr>
        <w:t xml:space="preserve">و العلّامة فی التجارة </w:t>
      </w:r>
      <w:r>
        <w:rPr>
          <w:rStyle w:val="FootnoteAnchor"/>
          <w:rtl w:val="true"/>
        </w:rPr>
        <w:footnoteReference w:id="2599"/>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600"/>
      </w:r>
      <w:r>
        <w:rPr>
          <w:rFonts w:ascii="Amiri" w:hAnsi="Amiri" w:eastAsia="Amiri" w:cs="Amiri"/>
          <w:color w:val="111111"/>
          <w:sz w:val="28"/>
          <w:sz w:val="28"/>
          <w:szCs w:val="28"/>
          <w:rtl w:val="true"/>
          <w:lang w:bidi="ar-SA"/>
        </w:rPr>
        <w:t>و المحقّق</w:t>
      </w:r>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2601"/>
      </w:r>
      <w:r>
        <w:rPr>
          <w:rFonts w:ascii="IRNazanin" w:hAnsi="IRNazanin" w:eastAsia="IRNazanin"/>
          <w:color w:val="111111"/>
          <w:sz w:val="28"/>
          <w:sz w:val="28"/>
          <w:szCs w:val="28"/>
          <w:rtl w:val="true"/>
          <w:lang w:bidi="fa-IR"/>
        </w:rPr>
        <w:t xml:space="preserve">و غیرهم </w:t>
      </w:r>
      <w:r>
        <w:rPr>
          <w:rStyle w:val="FootnoteAnchor"/>
          <w:rtl w:val="true"/>
        </w:rPr>
        <w:footnoteReference w:id="2602"/>
      </w:r>
      <w:r>
        <w:rPr>
          <w:rFonts w:ascii="IRNazanin" w:hAnsi="IRNazanin" w:eastAsia="IRNazanin"/>
          <w:color w:val="111111"/>
          <w:sz w:val="28"/>
          <w:sz w:val="28"/>
          <w:szCs w:val="28"/>
          <w:rtl w:val="true"/>
          <w:lang w:bidi="fa-IR"/>
        </w:rPr>
        <w:t>،و عن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علیه الفتوی </w:t>
      </w:r>
      <w:r>
        <w:rPr>
          <w:rStyle w:val="FootnoteAnchor"/>
          <w:rtl w:val="true"/>
        </w:rPr>
        <w:footnoteReference w:id="2603"/>
      </w:r>
      <w:r>
        <w:rPr>
          <w:rFonts w:ascii="IRNazanin" w:hAnsi="IRNazanin" w:eastAsia="IRNazanin"/>
          <w:color w:val="111111"/>
          <w:sz w:val="28"/>
          <w:sz w:val="28"/>
          <w:szCs w:val="28"/>
          <w:rtl w:val="true"/>
          <w:lang w:bidi="fa-IR"/>
        </w:rPr>
        <w:t>لقاعدة الغرور المتّفق علیها ظاهراً فی من قدّم مال الغیر إلی غیره الجاهل فأکله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نفی الضرر؛فإنّ تغریم من أقدم علی إتلاف شیء من دون عوض مغروراً من آخر بأنّ له ذلک مجّاناً،من دون الحکم برجوعه إلی من غرّه،فی ذلک ضرر عظیم،و مجرّد رجوع عوضه إلیه لا یدفع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کان،فصدق الضرر و إضرار الغارّ به ممّا لا یخفی، خصوصاً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لا دلیل علی قاعدة الغرور إذا لم ینطبق مع قاعدة نفی الضرر المفقود فی المقام؛لوصول العوض إلی المشتری </w:t>
      </w:r>
      <w:r>
        <w:rPr>
          <w:rStyle w:val="FootnoteAnchor"/>
          <w:rtl w:val="true"/>
        </w:rPr>
        <w:footnoteReference w:id="2604"/>
      </w:r>
      <w:r>
        <w:rPr>
          <w:rFonts w:ascii="IRNazanin" w:hAnsi="IRNazanin" w:eastAsia="IRNazanin"/>
          <w:color w:val="111111"/>
          <w:sz w:val="28"/>
          <w:sz w:val="28"/>
          <w:szCs w:val="28"/>
          <w:rtl w:val="true"/>
          <w:lang w:bidi="fa-IR"/>
        </w:rPr>
        <w:t>، لا یخلو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قیل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منع مدخلیّة الضرر فی قاعدة الغرور،بل هی مبنیّة علی قوّة السبب علی المباشر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لا یخلو من نظر؛لأنّه إنّما یدّعی اختصاص دلیل الغرور من النصوص الخاصّة و الإجماع بصورة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قوّة السبب علی المباشر،فلیست بنفسها دلیلاً علی رجوع المغرور،إلّا إذا کان السبب بحیث استند التلف عرفاً إلیه،کما فی المُکْرَه و کما فی الریح العاصف الموجب للإحراق،و الشمس الموجبة لإذابة الدهن و إراقتها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المتّجه فی مثل ذلک عدم الرجوع إلی المباشر أصلاً،کما نُسب إلی ظاهر الأصحاب فی المکره </w:t>
      </w:r>
      <w:r>
        <w:rPr>
          <w:rStyle w:val="FootnoteAnchor"/>
          <w:rtl w:val="true"/>
        </w:rPr>
        <w:footnoteReference w:id="2606"/>
      </w:r>
      <w:r>
        <w:rPr>
          <w:rFonts w:ascii="IRNazanin" w:hAnsi="IRNazanin" w:eastAsia="IRNazanin"/>
          <w:color w:val="111111"/>
          <w:sz w:val="28"/>
          <w:sz w:val="28"/>
          <w:szCs w:val="28"/>
          <w:rtl w:val="true"/>
          <w:lang w:bidi="fa-IR"/>
        </w:rPr>
        <w:t xml:space="preserve">لکون المباشر بمنزلة الآلة،و أمّا فی غیر ذلک فالضمان أو قرار الضمان فیه یحتاج إلی دلیل مفقود،فلا بدّ من الرجوع بالأخرة إلی قاعدة الضرر،أو الإجماع المدّعی فی الإیضاح علی تقدیم السبب إذا کان أقوی </w:t>
      </w:r>
      <w:r>
        <w:rPr>
          <w:rStyle w:val="FootnoteAnchor"/>
          <w:rtl w:val="true"/>
        </w:rPr>
        <w:footnoteReference w:id="2607"/>
      </w:r>
      <w:r>
        <w:rPr>
          <w:rFonts w:ascii="IRNazanin" w:hAnsi="IRNazanin" w:eastAsia="IRNazanin"/>
          <w:color w:val="111111"/>
          <w:sz w:val="28"/>
          <w:sz w:val="28"/>
          <w:szCs w:val="28"/>
          <w:rtl w:val="true"/>
          <w:lang w:bidi="fa-IR"/>
        </w:rPr>
        <w:t xml:space="preserve">،أو بالأخبار الواردة فی الموارد المتفرّقة </w:t>
      </w:r>
      <w:r>
        <w:rPr>
          <w:rStyle w:val="FootnoteAnchor"/>
          <w:rtl w:val="true"/>
        </w:rPr>
        <w:footnoteReference w:id="2608"/>
      </w:r>
      <w:r>
        <w:rPr>
          <w:rFonts w:ascii="IRNazanin" w:hAnsi="IRNazanin" w:eastAsia="IRNazanin"/>
          <w:color w:val="111111"/>
          <w:sz w:val="28"/>
          <w:sz w:val="28"/>
          <w:szCs w:val="28"/>
          <w:rtl w:val="true"/>
          <w:lang w:bidi="fa-IR"/>
        </w:rPr>
        <w:t xml:space="preserve">،أو کون الغارّ سبباً فی تغریم المغرور،فکان کشاهد الزور فی ضمان ما یؤخذ بشهادته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فی ثبوت هذه الوجوه فیما نحن فیه،أمّا الأخیر فواضح،و أمّا الأوّل فقد </w:t>
      </w:r>
      <w:r>
        <w:rPr>
          <w:rStyle w:val="FootnoteAnchor"/>
          <w:rtl w:val="true"/>
        </w:rPr>
        <w:footnoteReference w:id="2610"/>
      </w:r>
      <w:r>
        <w:rPr>
          <w:rFonts w:ascii="IRNazanin" w:hAnsi="IRNazanin" w:eastAsia="IRNazanin"/>
          <w:color w:val="111111"/>
          <w:sz w:val="28"/>
          <w:sz w:val="28"/>
          <w:szCs w:val="28"/>
          <w:rtl w:val="true"/>
          <w:lang w:bidi="fa-IR"/>
        </w:rPr>
        <w:t xml:space="preserve">عرفته،و أمّا الإجماع و الأخبار فهما و إن لم یردا فی خصوص المسألة،إلّا أنّ تحقّقهما </w:t>
      </w:r>
      <w:r>
        <w:rPr>
          <w:rStyle w:val="FootnoteAnchor"/>
          <w:rtl w:val="true"/>
        </w:rPr>
        <w:footnoteReference w:id="2611"/>
      </w:r>
      <w:r>
        <w:rPr>
          <w:rFonts w:ascii="IRNazanin" w:hAnsi="IRNazanin" w:eastAsia="IRNazanin"/>
          <w:color w:val="111111"/>
          <w:sz w:val="28"/>
          <w:sz w:val="28"/>
          <w:szCs w:val="28"/>
          <w:rtl w:val="true"/>
          <w:lang w:bidi="fa-IR"/>
        </w:rPr>
        <w:t>فی نظائر المسألة کافٍ،فإنّ</w:t>
      </w:r>
    </w:p>
    <w:p>
      <w:pPr>
        <w:pStyle w:val="BookText"/>
        <w:rPr/>
      </w:pPr>
      <w:r>
        <w:rPr>
          <w:rFonts w:ascii="IRNazanin" w:hAnsi="IRNazanin" w:eastAsia="IRNazanin"/>
          <w:color w:val="111111"/>
          <w:sz w:val="28"/>
          <w:sz w:val="28"/>
          <w:szCs w:val="28"/>
          <w:rtl w:val="true"/>
          <w:lang w:bidi="fa-IR"/>
        </w:rPr>
        <w:t>رجوع آکل طعام الغیر إلی من غرّه بدعوی تملّکه و إباحته له مورد الإجماع ظاهراً،و رجوع المحکوم علیه إلی شاهدی الزور مورد الأخبار، و لا یوجد فرق بینهما و بین ما نحن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ظهر ممّا ذکرنا فساد منع الغرور فیما نحن فیه،کما فی کلام بعض </w:t>
      </w:r>
      <w:r>
        <w:rPr>
          <w:rStyle w:val="FootnoteAnchor"/>
          <w:rtl w:val="true"/>
        </w:rPr>
        <w:footnoteReference w:id="2612"/>
      </w:r>
      <w:r>
        <w:rPr>
          <w:rFonts w:ascii="IRNazanin" w:hAnsi="IRNazanin" w:eastAsia="IRNazanin"/>
          <w:color w:val="111111"/>
          <w:sz w:val="28"/>
          <w:sz w:val="28"/>
          <w:szCs w:val="28"/>
          <w:rtl w:val="true"/>
          <w:lang w:bidi="fa-IR"/>
        </w:rPr>
        <w:t xml:space="preserve">،حیث عدل فی ردّ مستند المشهور عمّا فی الریاض </w:t>
      </w:r>
      <w:r>
        <w:rPr>
          <w:rStyle w:val="FootnoteAnchor"/>
          <w:rtl w:val="true"/>
        </w:rPr>
        <w:footnoteReference w:id="2613"/>
      </w:r>
      <w:r>
        <w:rPr>
          <w:rFonts w:ascii="IRNazanin" w:hAnsi="IRNazanin" w:eastAsia="IRNazanin"/>
          <w:color w:val="111111"/>
          <w:sz w:val="28"/>
          <w:sz w:val="28"/>
          <w:szCs w:val="28"/>
          <w:rtl w:val="true"/>
          <w:lang w:bidi="fa-IR"/>
        </w:rPr>
        <w:t xml:space="preserve">من منع الکبری،إلی منع الصغری،فإنّ الإنصاف أنّ مفهوم الغرور الموجب للرجوع فی باب الإتلاف و إن کان غیر منقّح،إلّا أنّ المتیقّن منه ما کان إتلاف المغرور لمال الغیر و إثبات یده علیه لا بعنوان أنّه مال الغیر،بل قصده إلی إتلافه </w:t>
      </w:r>
      <w:r>
        <w:rPr>
          <w:rStyle w:val="FootnoteAnchor"/>
          <w:rtl w:val="true"/>
        </w:rPr>
        <w:footnoteReference w:id="2614"/>
      </w:r>
      <w:r>
        <w:rPr>
          <w:rFonts w:ascii="IRNazanin" w:hAnsi="IRNazanin" w:eastAsia="IRNazanin"/>
          <w:color w:val="111111"/>
          <w:sz w:val="28"/>
          <w:sz w:val="28"/>
          <w:szCs w:val="28"/>
          <w:rtl w:val="true"/>
          <w:lang w:bidi="fa-IR"/>
        </w:rPr>
        <w:t>مال نفسه أو مال من أباح له الإتلاف،فیکون غیر قاصد لإتلاف مال الغیر،فیشبه المُکرَه فی عدم القصد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کلّه،مضافاً إلی ما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دلالة روایة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المتقدّمة </w:t>
      </w:r>
      <w:r>
        <w:rPr>
          <w:rStyle w:val="FootnoteAnchor"/>
          <w:rtl w:val="true"/>
        </w:rPr>
        <w:footnoteReference w:id="2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أنّ حریّة الولد منفعة راجعة إلی المشتری،و هو الذی ذکره المحقّق احتمالاً فی الشرائع فی باب الغصب </w:t>
      </w:r>
      <w:r>
        <w:rPr>
          <w:rStyle w:val="FootnoteAnchor"/>
          <w:rtl w:val="true"/>
        </w:rPr>
        <w:footnoteReference w:id="2616"/>
      </w:r>
      <w:r>
        <w:rPr>
          <w:rFonts w:ascii="IRNazanin" w:hAnsi="IRNazanin" w:eastAsia="IRNazanin"/>
          <w:color w:val="111111"/>
          <w:sz w:val="28"/>
          <w:sz w:val="28"/>
          <w:szCs w:val="28"/>
          <w:rtl w:val="true"/>
          <w:lang w:bidi="fa-IR"/>
        </w:rPr>
        <w:t xml:space="preserve">،بناءً علی تفسیر المسالک </w:t>
      </w:r>
      <w:r>
        <w:rPr>
          <w:rStyle w:val="FootnoteAnchor"/>
          <w:rtl w:val="true"/>
        </w:rPr>
        <w:footnoteReference w:id="2617"/>
      </w:r>
      <w:r>
        <w:rPr>
          <w:rFonts w:ascii="Amiri" w:hAnsi="Amiri" w:eastAsia="Amiri" w:cs="Amiri"/>
          <w:color w:val="111111"/>
          <w:sz w:val="28"/>
          <w:sz w:val="28"/>
          <w:szCs w:val="28"/>
          <w:rtl w:val="true"/>
          <w:lang w:bidi="ar-SA"/>
        </w:rPr>
        <w:t>،و فیه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ممّا ذکرنا فی حکم هذا القسم یظهر حکم ما یغرمه فی مقابل العین من زیادة القیمة علی الثمن الحاصلة وقت العقد،کما لو باع ما یسوی </w:t>
      </w:r>
      <w:r>
        <w:rPr>
          <w:rStyle w:val="FootnoteAnchor"/>
          <w:rtl w:val="true"/>
        </w:rPr>
        <w:footnoteReference w:id="2618"/>
      </w:r>
      <w:r>
        <w:rPr>
          <w:rFonts w:ascii="IRNazanin" w:hAnsi="IRNazanin" w:eastAsia="IRNazanin"/>
          <w:color w:val="111111"/>
          <w:sz w:val="28"/>
          <w:sz w:val="28"/>
          <w:szCs w:val="28"/>
          <w:rtl w:val="true"/>
          <w:lang w:bidi="fa-IR"/>
        </w:rPr>
        <w:t xml:space="preserve">عشرین بعشرة،فتلف فأخذ منه المالک عشرین </w:t>
      </w:r>
      <w:r>
        <w:rPr>
          <w:rStyle w:val="FootnoteAnchor"/>
          <w:rtl w:val="true"/>
        </w:rPr>
        <w:footnoteReference w:id="2619"/>
      </w:r>
      <w:r>
        <w:rPr>
          <w:rFonts w:ascii="IRNazanin" w:hAnsi="IRNazanin" w:eastAsia="IRNazanin"/>
          <w:color w:val="111111"/>
          <w:sz w:val="28"/>
          <w:sz w:val="28"/>
          <w:szCs w:val="28"/>
          <w:rtl w:val="true"/>
          <w:lang w:bidi="fa-IR"/>
        </w:rPr>
        <w:t xml:space="preserve">،فإنّه لا یرجع بعشرة الثمن،و إلّا لزم تلفه من کیس البائع من دون أن یغرّه </w:t>
      </w:r>
      <w:r>
        <w:rPr>
          <w:rStyle w:val="FootnoteAnchor"/>
          <w:rtl w:val="true"/>
        </w:rPr>
        <w:footnoteReference w:id="2620"/>
      </w:r>
      <w:r>
        <w:rPr>
          <w:rFonts w:ascii="IRNazanin" w:hAnsi="IRNazanin" w:eastAsia="IRNazanin"/>
          <w:color w:val="111111"/>
          <w:sz w:val="28"/>
          <w:sz w:val="28"/>
          <w:szCs w:val="28"/>
          <w:rtl w:val="true"/>
          <w:lang w:bidi="fa-IR"/>
        </w:rPr>
        <w:t xml:space="preserve">فی ذلک؛لأنّه لو فرض صدق البائع فی دعوی الملکیّة لم یزل غرامة المشتری </w:t>
      </w:r>
      <w:r>
        <w:rPr>
          <w:rStyle w:val="FootnoteAnchor"/>
          <w:rtl w:val="true"/>
        </w:rPr>
        <w:footnoteReference w:id="2621"/>
      </w:r>
      <w:r>
        <w:rPr>
          <w:rFonts w:ascii="IRNazanin" w:hAnsi="IRNazanin" w:eastAsia="IRNazanin"/>
          <w:color w:val="111111"/>
          <w:sz w:val="28"/>
          <w:sz w:val="28"/>
          <w:szCs w:val="28"/>
          <w:rtl w:val="true"/>
          <w:lang w:bidi="fa-IR"/>
        </w:rPr>
        <w:t xml:space="preserve">للثمن بإزاء المبیع التالف،فهذه الغرامة للثمن </w:t>
      </w:r>
      <w:r>
        <w:rPr>
          <w:rStyle w:val="FootnoteAnchor"/>
          <w:rtl w:val="true"/>
        </w:rPr>
        <w:footnoteReference w:id="2622"/>
      </w:r>
      <w:r>
        <w:rPr>
          <w:rFonts w:ascii="IRNazanin" w:hAnsi="IRNazanin" w:eastAsia="IRNazanin"/>
          <w:color w:val="111111"/>
          <w:sz w:val="28"/>
          <w:sz w:val="28"/>
          <w:szCs w:val="28"/>
          <w:rtl w:val="true"/>
          <w:lang w:bidi="fa-IR"/>
        </w:rPr>
        <w:t>لم تنشأ عن کذب البائع،و أمّا العشرة الزائدة فإنّما جاء غرامتها من کذب البائع فی دعواه،فحصل الغرور فوجب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اندفاع ما ذکر </w:t>
      </w:r>
      <w:r>
        <w:rPr>
          <w:rStyle w:val="FootnoteAnchor"/>
          <w:rtl w:val="true"/>
        </w:rPr>
        <w:footnoteReference w:id="2623"/>
      </w:r>
      <w:r>
        <w:rPr>
          <w:rFonts w:ascii="IRNazanin" w:hAnsi="IRNazanin" w:eastAsia="IRNazanin"/>
          <w:color w:val="111111"/>
          <w:sz w:val="28"/>
          <w:sz w:val="28"/>
          <w:szCs w:val="28"/>
          <w:rtl w:val="true"/>
          <w:lang w:bidi="fa-IR"/>
        </w:rPr>
        <w:t>فی وجه عدم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المشتری إنّما أقدم علی ضمان العین و کون تلفه منه،کما هو شأن فاسد کلّ عقد یُضمن بصحیحه،و مع الإقدام لا غرور؛و لذا لم یقل به فی العشرة المقابلة للثمن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Style w:val="FootnoteAnchor"/>
          <w:rtl w:val="true"/>
        </w:rPr>
        <w:footnoteReference w:id="2624"/>
      </w:r>
      <w:r>
        <w:rPr>
          <w:rFonts w:ascii="IRNazanin" w:hAnsi="IRNazanin" w:eastAsia="IRNazanin"/>
          <w:color w:val="111111"/>
          <w:sz w:val="28"/>
          <w:sz w:val="28"/>
          <w:szCs w:val="28"/>
          <w:rtl w:val="true"/>
          <w:lang w:bidi="fa-IR"/>
        </w:rPr>
        <w:t>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الإقدام إنّما کان علی ضمانه بالثمن،إلّا أنّ</w:t>
      </w:r>
    </w:p>
    <w:p>
      <w:pPr>
        <w:pStyle w:val="BookText"/>
        <w:rPr/>
      </w:pPr>
      <w:r>
        <w:rPr>
          <w:rFonts w:ascii="IRNazanin" w:hAnsi="IRNazanin" w:eastAsia="IRNazanin"/>
          <w:color w:val="111111"/>
          <w:sz w:val="28"/>
          <w:sz w:val="28"/>
          <w:szCs w:val="28"/>
          <w:rtl w:val="true"/>
          <w:lang w:bidi="fa-IR"/>
        </w:rPr>
        <w:t>الشارع جعل القبض علی هذا النحو من الإقدام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فساد العقد و عدم إمضاء الشارع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لضمان المبیع بقیمته الواقعیّة،فالمانع من تحقّق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إلّا فی مقابل الثمن،و الضمان المسبّب عن هذا الإقدام لمّا کان لأجل فساد العقد المسبّب عن تغریر البائع کان المرتّب علیه من ضمان العشرة الزائدة مستقرّاً علی الغارّ، فغرامة العشرة الزائدة و إن کانت مسبّبة عن الإقدام،إلّا أنّها لیست مقدماً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کلّه،مع أنّ التحقیق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ما تقدّم سابقاً </w:t>
      </w:r>
      <w:r>
        <w:rPr>
          <w:rStyle w:val="FootnoteAnchor"/>
          <w:rtl w:val="true"/>
        </w:rPr>
        <w:footnoteReference w:id="2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سبب الضمان فی العقد الفاسد هو القبض الواقع لا علی وجه الائتمان،و أن لیس الإقدام علی الضمان علّة له مع عدم إمضاء الشارع لذلک الضمان و إن استدلّ به الشیخ </w:t>
      </w:r>
      <w:r>
        <w:rPr>
          <w:rStyle w:val="FootnoteAnchor"/>
          <w:rtl w:val="true"/>
        </w:rPr>
        <w:footnoteReference w:id="2626"/>
      </w:r>
      <w:r>
        <w:rPr>
          <w:rFonts w:ascii="IRNazanin" w:hAnsi="IRNazanin" w:eastAsia="IRNazanin"/>
          <w:color w:val="111111"/>
          <w:sz w:val="28"/>
          <w:sz w:val="28"/>
          <w:szCs w:val="28"/>
          <w:rtl w:val="true"/>
          <w:lang w:bidi="fa-IR"/>
        </w:rPr>
        <w:t xml:space="preserve">و أکثر من تأخّر عنه </w:t>
      </w:r>
      <w:r>
        <w:rPr>
          <w:rStyle w:val="FootnoteAnchor"/>
          <w:rtl w:val="true"/>
        </w:rPr>
        <w:footnoteReference w:id="2627"/>
      </w:r>
      <w:r>
        <w:rPr>
          <w:rFonts w:ascii="IRNazanin" w:hAnsi="IRNazanin" w:eastAsia="IRNazanin"/>
          <w:color w:val="111111"/>
          <w:sz w:val="28"/>
          <w:sz w:val="28"/>
          <w:szCs w:val="28"/>
          <w:rtl w:val="true"/>
          <w:lang w:bidi="fa-IR"/>
        </w:rPr>
        <w:t xml:space="preserve">،و قد ذکرنا فی محلّه توجیه ذلک بما یرجع إلی الاستدلال بالید،فراجع </w:t>
      </w:r>
      <w:r>
        <w:rPr>
          <w:rStyle w:val="FootnoteAnchor"/>
          <w:rtl w:val="true"/>
        </w:rPr>
        <w:footnoteReference w:id="2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فجریان قاعدة الغرور فیما نحن فیه أولی منه فیما حصل فی مقابلته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الزیادة موجودة وقت العقد،و لو تجدّدت بعده فالحکم بالرجوع فیه أولی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یغرمه المشتری بإزاء نفس العین التالفة،و أمّا ما یغرمه بإزاء أجزائه التالفة،فالظاهر أنّ حکمه حکم المجموع فی</w:t>
      </w:r>
    </w:p>
    <w:p>
      <w:pPr>
        <w:pStyle w:val="BookText"/>
        <w:rPr/>
      </w:pPr>
      <w:r>
        <w:rPr>
          <w:rFonts w:ascii="IRNazanin" w:hAnsi="IRNazanin" w:eastAsia="IRNazanin"/>
          <w:color w:val="111111"/>
          <w:sz w:val="28"/>
          <w:sz w:val="28"/>
          <w:szCs w:val="28"/>
          <w:rtl w:val="true"/>
          <w:lang w:bidi="fa-IR"/>
        </w:rPr>
        <w:t xml:space="preserve">أنّه یرجع فی الزائد علی ما یقابل ذلک الجزء لا فیما یقابله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یجیء علی القول الآخر عدم الرجوع فی تمام ما یغرمه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یغرمه بإزاء أوصافه،فإن کان ممّا لا یقسّط علیه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کماعدا وصف الصحّة من الأوصاف التی یتفاوت بها القیمة،کما لو کان عبداً کاتباً فنسی الکتابة عند المشتری فرجع المالک علیه بالتفاوت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رجوع المشتری علی البائع؛لأنّه لم یُقدم علی ضمان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رجوع المشتری علی البائع بما یغرمه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إذا کان البیع المذکور صحیحاً من غیر جهة کون البائع غیر مالک،أمّا لو کان فاسداً من جهةٍ أُخری فلا رجوع علی البائع؛لأنّ الغرامة لم تجیء من تغریر البائع فی دعوی الملکیّة،و إنّما جاءت من جهة فساد البیع،فلو فرضنا البائع صادقاً فی دعواه لم تزل الغرامة، غایة الأمر کون المغروم له هو البائع علی تقدیر الصدق،و المالک علی تقدیر کذبه،فحکمه حکم نفس الثمن فی التزام المشتری به علی تقدیری صدق البائع و کذبه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ظهر </w:t>
      </w:r>
      <w:r>
        <w:rPr>
          <w:rStyle w:val="FootnoteAnchor"/>
          <w:rtl w:val="true"/>
        </w:rPr>
        <w:footnoteReference w:id="2629"/>
      </w:r>
      <w:r>
        <w:rPr>
          <w:rFonts w:ascii="IRNazanin" w:hAnsi="IRNazanin" w:eastAsia="IRNazanin"/>
          <w:color w:val="111111"/>
          <w:sz w:val="28"/>
          <w:sz w:val="28"/>
          <w:szCs w:val="28"/>
          <w:rtl w:val="true"/>
          <w:lang w:bidi="fa-IR"/>
        </w:rPr>
        <w:t>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ما یرجع المشتری به علی البائع إذا رُجع علیه </w:t>
      </w:r>
      <w:r>
        <w:rPr>
          <w:rStyle w:val="FootnoteAnchor"/>
          <w:rtl w:val="true"/>
        </w:rPr>
        <w:footnoteReference w:id="2630"/>
      </w:r>
      <w:r>
        <w:rPr>
          <w:rFonts w:ascii="IRNazanin" w:hAnsi="IRNazanin" w:eastAsia="IRNazanin"/>
          <w:color w:val="111111"/>
          <w:sz w:val="28"/>
          <w:sz w:val="28"/>
          <w:szCs w:val="28"/>
          <w:rtl w:val="true"/>
          <w:lang w:bidi="fa-IR"/>
        </w:rPr>
        <w:t>،فلا یرجع البائع به علی المشتری إذا رُجع علیه؛لأنّ المفروض قرار الضمان علی البائع،و أمّا ما لا یرجع المشتری</w:t>
      </w:r>
    </w:p>
    <w:p>
      <w:pPr>
        <w:pStyle w:val="BookText"/>
        <w:rPr/>
      </w:pPr>
      <w:r>
        <w:rPr>
          <w:rFonts w:ascii="IRNazanin" w:hAnsi="IRNazanin" w:eastAsia="IRNazanin"/>
          <w:color w:val="111111"/>
          <w:sz w:val="28"/>
          <w:sz w:val="28"/>
          <w:szCs w:val="28"/>
          <w:rtl w:val="true"/>
          <w:lang w:bidi="fa-IR"/>
        </w:rPr>
        <w:t>به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کمساوی الثمن من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البائع به علی المشتری إذا غرمه للمالک،و الوجه فی ذلک حصول التلف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کلاّ من البائع و المشتری یتساویان فی حصول العین فی یدهما العادیة التی هی سبب للضمان </w:t>
      </w:r>
      <w:r>
        <w:rPr>
          <w:rStyle w:val="FootnoteAnchor"/>
          <w:rtl w:val="true"/>
        </w:rPr>
        <w:footnoteReference w:id="2631"/>
      </w:r>
      <w:r>
        <w:rPr>
          <w:rFonts w:ascii="IRNazanin" w:hAnsi="IRNazanin" w:eastAsia="IRNazanin"/>
          <w:color w:val="111111"/>
          <w:sz w:val="28"/>
          <w:sz w:val="28"/>
          <w:szCs w:val="28"/>
          <w:rtl w:val="true"/>
          <w:lang w:bidi="fa-IR"/>
        </w:rPr>
        <w:t xml:space="preserve">،و حصول التلف فی ید المشتری </w:t>
      </w:r>
      <w:r>
        <w:rPr>
          <w:rStyle w:val="FootnoteAnchor"/>
          <w:rtl w:val="true"/>
        </w:rPr>
        <w:footnoteReference w:id="2632"/>
      </w:r>
      <w:r>
        <w:rPr>
          <w:rFonts w:ascii="IRNazanin" w:hAnsi="IRNazanin" w:eastAsia="IRNazanin"/>
          <w:color w:val="111111"/>
          <w:sz w:val="28"/>
          <w:sz w:val="28"/>
          <w:szCs w:val="28"/>
          <w:rtl w:val="true"/>
          <w:lang w:bidi="fa-IR"/>
        </w:rPr>
        <w:t>لا دلیل علی کونه سبباً لرجوع البائع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أتلف بفعله رجع؛لکونه سبباً لتنجّز الضمان علی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ذلک یحتاج إلی الکشف عن کیفیّة اشتغال ذمّة کلٍّ من الیدین ببدل التالف و صیرورته فی عهدة کلٍّ منهما،مع أنّ الشیء الواحد لا یقبل الاستقرار </w:t>
      </w:r>
      <w:r>
        <w:rPr>
          <w:rStyle w:val="FootnoteAnchor"/>
          <w:rtl w:val="true"/>
        </w:rPr>
        <w:footnoteReference w:id="2633"/>
      </w:r>
      <w:r>
        <w:rPr>
          <w:rFonts w:ascii="IRNazanin" w:hAnsi="IRNazanin" w:eastAsia="IRNazanin"/>
          <w:color w:val="111111"/>
          <w:sz w:val="28"/>
          <w:sz w:val="28"/>
          <w:szCs w:val="28"/>
          <w:rtl w:val="true"/>
          <w:lang w:bidi="fa-IR"/>
        </w:rPr>
        <w:t>إلّا فی ذمّة واحدة،و أنّ الموصول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Style w:val="FootnoteAnchor"/>
          <w:rtl w:val="true"/>
        </w:rPr>
        <w:footnoteReference w:id="2634"/>
      </w:r>
      <w:r>
        <w:rPr>
          <w:rFonts w:ascii="IRNazanin" w:hAnsi="IRNazanin" w:eastAsia="IRNazanin"/>
          <w:color w:val="111111"/>
          <w:sz w:val="28"/>
          <w:sz w:val="28"/>
          <w:szCs w:val="28"/>
          <w:rtl w:val="true"/>
          <w:lang w:bidi="fa-IR"/>
        </w:rPr>
        <w:t>شیء واحد،کیف یکون علی کلّ واحدة من الأیادی المتعدّدة؟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کون العین المأخوذة 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عهدتها و درکها بعد التلف علیه،فإذا فرض أیدٍ متعدّدة یکون العین الواحدة فی عهدة کلٍّ من الأیادی،لکن ثبوت الشیء الواحد فی العهدات المتعدّدة معناه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خروج کلٍّ منها عن العهدة عند تلفه،و حیث إنّ الواجب هو</w:t>
      </w:r>
    </w:p>
    <w:p>
      <w:pPr>
        <w:pStyle w:val="BookText"/>
        <w:rPr/>
      </w:pPr>
      <w:r>
        <w:rPr>
          <w:rFonts w:ascii="IRNazanin" w:hAnsi="IRNazanin" w:eastAsia="IRNazanin"/>
          <w:color w:val="111111"/>
          <w:sz w:val="28"/>
          <w:sz w:val="28"/>
          <w:szCs w:val="28"/>
          <w:rtl w:val="true"/>
          <w:lang w:bidi="fa-IR"/>
        </w:rPr>
        <w:t>تدارک التالف الذی یحصل ببدل واحد لا أزید،کان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المالک علی مطالبة کلٍّ منهم بالخروج </w:t>
      </w:r>
      <w:r>
        <w:rPr>
          <w:rStyle w:val="FootnoteAnchor"/>
          <w:rtl w:val="true"/>
        </w:rPr>
        <w:footnoteReference w:id="2635"/>
      </w:r>
      <w:r>
        <w:rPr>
          <w:rFonts w:ascii="Amiri" w:hAnsi="Amiri" w:eastAsia="Amiri" w:cs="Amiri"/>
          <w:color w:val="111111"/>
          <w:sz w:val="28"/>
          <w:sz w:val="28"/>
          <w:szCs w:val="28"/>
          <w:rtl w:val="true"/>
          <w:lang w:bidi="ar-SA"/>
        </w:rPr>
        <w:t xml:space="preserve">عن العهدة عند تلفه </w:t>
      </w:r>
      <w:r>
        <w:rPr>
          <w:rStyle w:val="FootnoteAnchor"/>
          <w:rtl w:val="true"/>
        </w:rPr>
        <w:footnoteReference w:id="2636"/>
      </w:r>
      <w:r>
        <w:rPr>
          <w:rFonts w:ascii="IRNazanin" w:hAnsi="IRNazanin" w:eastAsia="IRNazanin"/>
          <w:color w:val="111111"/>
          <w:sz w:val="28"/>
          <w:sz w:val="28"/>
          <w:szCs w:val="28"/>
          <w:rtl w:val="true"/>
          <w:lang w:bidi="fa-IR"/>
        </w:rPr>
        <w:t xml:space="preserve">،فهو یملک ما فی ذمّة کلٍّ منهم علی البدل،بمعنی أنّه إذا استوفی أحدها </w:t>
      </w:r>
      <w:r>
        <w:rPr>
          <w:rStyle w:val="FootnoteAnchor"/>
          <w:rtl w:val="true"/>
        </w:rPr>
        <w:footnoteReference w:id="2637"/>
      </w:r>
      <w:r>
        <w:rPr>
          <w:rFonts w:ascii="IRNazanin" w:hAnsi="IRNazanin" w:eastAsia="IRNazanin"/>
          <w:color w:val="111111"/>
          <w:sz w:val="28"/>
          <w:sz w:val="28"/>
          <w:szCs w:val="28"/>
          <w:rtl w:val="true"/>
          <w:lang w:bidi="fa-IR"/>
        </w:rPr>
        <w:t xml:space="preserve">سقط </w:t>
      </w:r>
      <w:r>
        <w:rPr>
          <w:rStyle w:val="FootnoteAnchor"/>
          <w:rtl w:val="true"/>
        </w:rPr>
        <w:footnoteReference w:id="2638"/>
      </w:r>
      <w:r>
        <w:rPr>
          <w:rFonts w:ascii="IRNazanin" w:hAnsi="IRNazanin" w:eastAsia="IRNazanin"/>
          <w:color w:val="111111"/>
          <w:sz w:val="28"/>
          <w:sz w:val="28"/>
          <w:szCs w:val="28"/>
          <w:rtl w:val="true"/>
          <w:lang w:bidi="fa-IR"/>
        </w:rPr>
        <w:t xml:space="preserve">الباقی؛لخروج الباقی عن کونه </w:t>
      </w:r>
      <w:r>
        <w:rPr>
          <w:rStyle w:val="FootnoteAnchor"/>
          <w:rtl w:val="true"/>
        </w:rPr>
        <w:footnoteReference w:id="2639"/>
      </w:r>
      <w:r>
        <w:rPr>
          <w:rFonts w:ascii="IRNazanin" w:hAnsi="IRNazanin" w:eastAsia="IRNazanin"/>
          <w:color w:val="111111"/>
          <w:sz w:val="28"/>
          <w:sz w:val="28"/>
          <w:szCs w:val="28"/>
          <w:rtl w:val="true"/>
          <w:lang w:bidi="fa-IR"/>
        </w:rPr>
        <w:t>تدارکاً،لأنّ المتدارک لا یتدارک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سقوط حقّه بدفع بعضهم عن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مطالبته ما دام لم یصل إلیه المبدل و لا بدله،فأیّها </w:t>
      </w:r>
      <w:r>
        <w:rPr>
          <w:rStyle w:val="FootnoteAnchor"/>
          <w:rtl w:val="true"/>
        </w:rPr>
        <w:footnoteReference w:id="2640"/>
      </w:r>
      <w:r>
        <w:rPr>
          <w:rFonts w:ascii="IRNazanin" w:hAnsi="IRNazanin" w:eastAsia="IRNazanin"/>
          <w:color w:val="111111"/>
          <w:sz w:val="28"/>
          <w:sz w:val="28"/>
          <w:szCs w:val="28"/>
          <w:rtl w:val="true"/>
          <w:lang w:bidi="fa-IR"/>
        </w:rPr>
        <w:t xml:space="preserve">حصل فی یده لم یبقَ له استحقاق بدله </w:t>
      </w:r>
      <w:r>
        <w:rPr>
          <w:rStyle w:val="FootnoteAnchor"/>
          <w:rtl w:val="true"/>
        </w:rPr>
        <w:footnoteReference w:id="2641"/>
      </w:r>
      <w:r>
        <w:rPr>
          <w:rFonts w:ascii="IRNazanin" w:hAnsi="IRNazanin" w:eastAsia="IRNazanin"/>
          <w:color w:val="111111"/>
          <w:sz w:val="28"/>
          <w:sz w:val="28"/>
          <w:szCs w:val="28"/>
          <w:rtl w:val="true"/>
          <w:lang w:bidi="fa-IR"/>
        </w:rPr>
        <w:t xml:space="preserve">،فلو بقی شیء له فی ذمّة واحدة </w:t>
      </w:r>
      <w:r>
        <w:rPr>
          <w:rStyle w:val="FootnoteAnchor"/>
          <w:rtl w:val="true"/>
        </w:rPr>
        <w:footnoteReference w:id="2642"/>
      </w:r>
      <w:r>
        <w:rPr>
          <w:rFonts w:ascii="IRNazanin" w:hAnsi="IRNazanin" w:eastAsia="IRNazanin"/>
          <w:color w:val="111111"/>
          <w:sz w:val="28"/>
          <w:sz w:val="28"/>
          <w:szCs w:val="28"/>
          <w:rtl w:val="true"/>
          <w:lang w:bidi="fa-IR"/>
        </w:rPr>
        <w:t>لم یکن بعنوان</w:t>
      </w:r>
    </w:p>
    <w:p>
      <w:pPr>
        <w:pStyle w:val="BookText"/>
        <w:rPr/>
      </w:pPr>
      <w:r>
        <w:rPr>
          <w:rFonts w:ascii="IRNazanin" w:hAnsi="IRNazanin" w:eastAsia="IRNazanin"/>
          <w:color w:val="111111"/>
          <w:sz w:val="28"/>
          <w:sz w:val="28"/>
          <w:szCs w:val="28"/>
          <w:rtl w:val="true"/>
          <w:lang w:bidi="fa-IR"/>
        </w:rPr>
        <w:t>البدلیّة،و المفروض عدم ثبوته بعنوان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المالک إنّما یملک البدل علی سبیل البدلیة، و </w:t>
      </w:r>
      <w:r>
        <w:rPr>
          <w:rStyle w:val="FootnoteAnchor"/>
          <w:rtl w:val="true"/>
        </w:rPr>
        <w:footnoteReference w:id="2643"/>
      </w:r>
      <w:r>
        <w:rPr>
          <w:rFonts w:ascii="IRNazanin" w:hAnsi="IRNazanin" w:eastAsia="IRNazanin"/>
          <w:color w:val="111111"/>
          <w:sz w:val="28"/>
          <w:sz w:val="28"/>
          <w:szCs w:val="28"/>
          <w:rtl w:val="true"/>
          <w:lang w:bidi="fa-IR"/>
        </w:rPr>
        <w:t>یستحیل اتّصاف شیء منها بالبدلیّة بعد صیرورة أحدها بدلاً عن التالف واصلاً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المال علی طریقة الجمهور؛ حیث إنّه ضمّ ذمّة إلی ذمّة أُخری </w:t>
      </w:r>
      <w:r>
        <w:rPr>
          <w:rStyle w:val="FootnoteAnchor"/>
          <w:rtl w:val="true"/>
        </w:rPr>
        <w:footnoteReference w:id="2644"/>
      </w:r>
      <w:r>
        <w:rPr>
          <w:rFonts w:ascii="IRNazanin" w:hAnsi="IRNazanin" w:eastAsia="IRNazanin"/>
          <w:color w:val="111111"/>
          <w:sz w:val="28"/>
          <w:sz w:val="28"/>
          <w:szCs w:val="28"/>
          <w:rtl w:val="true"/>
          <w:lang w:bidi="fa-IR"/>
        </w:rPr>
        <w:t>،و ضمان عهدة العوضین لکلٍّ من البائع و المشتری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الإیضاح </w:t>
      </w:r>
      <w:r>
        <w:rPr>
          <w:rStyle w:val="FootnoteAnchor"/>
          <w:rtl w:val="true"/>
        </w:rPr>
        <w:footnoteReference w:id="2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ضمان الأعیان المضمونة علی ما استقربه فی التذکرة </w:t>
      </w:r>
      <w:r>
        <w:rPr>
          <w:rStyle w:val="FootnoteAnchor"/>
          <w:rtl w:val="true"/>
        </w:rPr>
        <w:footnoteReference w:id="2646"/>
      </w:r>
      <w:r>
        <w:rPr>
          <w:rFonts w:ascii="IRNazanin" w:hAnsi="IRNazanin" w:eastAsia="IRNazanin"/>
          <w:color w:val="111111"/>
          <w:sz w:val="28"/>
          <w:sz w:val="28"/>
          <w:szCs w:val="28"/>
          <w:rtl w:val="true"/>
          <w:lang w:bidi="fa-IR"/>
        </w:rPr>
        <w:t xml:space="preserve">و قوّاه فی الإیضاح </w:t>
      </w:r>
      <w:r>
        <w:rPr>
          <w:rStyle w:val="FootnoteAnchor"/>
          <w:rtl w:val="true"/>
        </w:rPr>
        <w:footnoteReference w:id="2647"/>
      </w:r>
      <w:r>
        <w:rPr>
          <w:rFonts w:ascii="IRNazanin" w:hAnsi="IRNazanin" w:eastAsia="IRNazanin"/>
          <w:color w:val="111111"/>
          <w:sz w:val="28"/>
          <w:sz w:val="28"/>
          <w:szCs w:val="28"/>
          <w:rtl w:val="true"/>
          <w:lang w:bidi="fa-IR"/>
        </w:rPr>
        <w:t xml:space="preserve">،و ضمان الاثنین لواحد کما اختاره ابن حمزة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حکی فخر الدین </w:t>
      </w:r>
      <w:r>
        <w:rPr>
          <w:rStyle w:val="FootnoteAnchor"/>
          <w:rtl w:val="true"/>
        </w:rPr>
        <w:footnoteReference w:id="2649"/>
      </w:r>
      <w:r>
        <w:rPr>
          <w:rFonts w:ascii="IRNazanin" w:hAnsi="IRNazanin" w:eastAsia="IRNazanin"/>
          <w:color w:val="111111"/>
          <w:sz w:val="28"/>
          <w:sz w:val="28"/>
          <w:szCs w:val="28"/>
          <w:rtl w:val="true"/>
          <w:lang w:bidi="fa-IR"/>
        </w:rPr>
        <w:t xml:space="preserve">و الشهید </w:t>
      </w:r>
      <w:r>
        <w:rPr>
          <w:rStyle w:val="FootnoteAnchor"/>
          <w:rtl w:val="true"/>
        </w:rPr>
        <w:footnoteReference w:id="2650"/>
      </w:r>
      <w:r>
        <w:rPr>
          <w:rFonts w:ascii="IRNazanin" w:hAnsi="IRNazanin" w:eastAsia="IRNazanin"/>
          <w:color w:val="111111"/>
          <w:sz w:val="28"/>
          <w:sz w:val="28"/>
          <w:szCs w:val="28"/>
          <w:rtl w:val="true"/>
          <w:lang w:bidi="fa-IR"/>
        </w:rPr>
        <w:t xml:space="preserve">عن العلّامة رحمه اللّه فی درسه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نفی المنع عن </w:t>
      </w:r>
      <w:r>
        <w:rPr>
          <w:rStyle w:val="FootnoteAnchor"/>
          <w:rtl w:val="true"/>
        </w:rPr>
        <w:footnoteReference w:id="2652"/>
      </w:r>
      <w:r>
        <w:rPr>
          <w:rFonts w:ascii="IRNazanin" w:hAnsi="IRNazanin" w:eastAsia="IRNazanin"/>
          <w:color w:val="111111"/>
          <w:sz w:val="28"/>
          <w:sz w:val="28"/>
          <w:szCs w:val="28"/>
          <w:rtl w:val="true"/>
          <w:lang w:bidi="fa-IR"/>
        </w:rPr>
        <w:t>ضمان الاثنین علی وجه الاستقلال،قال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 فی</w:t>
      </w:r>
    </w:p>
    <w:p>
      <w:pPr>
        <w:pStyle w:val="BookText"/>
        <w:rPr/>
      </w:pP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الکفائی،و فی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 من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المالک بالنسبة إلی ذوی 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حال بعضهم بالنسبة إلی بعض،فلا ریب فی أنّ اللاحق إذا رُجع علیه لا یرجع إلی السابق ما لم یکن السابق موجباً لإیقاعه فی خطر الضمان،کما لا ریب فی أنّ السابق إذا رُجع علیه و کان غارّاً للاحقه لم یرجع إلیه،إذ لا معنی لرجوعه علیه بما لو دفعه اللاحق ضمنه له؛فالمقصود بالکلام ما إذا لم یکن غارّاً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الوجه فی رجوعه هو أنّ السابق اشتغلت ذمّته </w:t>
      </w:r>
      <w:r>
        <w:rPr>
          <w:rStyle w:val="FootnoteAnchor"/>
          <w:rtl w:val="true"/>
        </w:rPr>
        <w:footnoteReference w:id="2653"/>
      </w:r>
      <w:r>
        <w:rPr>
          <w:rFonts w:ascii="IRNazanin" w:hAnsi="IRNazanin" w:eastAsia="IRNazanin"/>
          <w:color w:val="111111"/>
          <w:sz w:val="28"/>
          <w:sz w:val="28"/>
          <w:szCs w:val="28"/>
          <w:rtl w:val="true"/>
          <w:lang w:bidi="fa-IR"/>
        </w:rPr>
        <w:t xml:space="preserve">بالبدل قبل اللاحق،فإذا حصل المال فی ید اللاحق فقد ضمن شیئاً له بدلٌ،فهذا الضمان یرجع إلی ضمان واحد من البدل و المبدل علی سبیل البدل؛إذ لا یُعقل ضمان المبدل معیّناً من دون البدل،و إلّا خرج بدله عن کونه بدلاً،فما یدفعه الثانی فإنّما هو تدارک لما استقرّ تدارکه فی ذمّة الأوّل،بخلاف ما یدفعه الأوّل؛فإنّه تدارک نفس العین معیّناً؛إذ </w:t>
      </w:r>
      <w:r>
        <w:rPr>
          <w:rStyle w:val="FootnoteAnchor"/>
          <w:rtl w:val="true"/>
        </w:rPr>
        <w:footnoteReference w:id="2654"/>
      </w:r>
      <w:r>
        <w:rPr>
          <w:rFonts w:ascii="IRNazanin" w:hAnsi="IRNazanin" w:eastAsia="IRNazanin"/>
          <w:color w:val="111111"/>
          <w:sz w:val="28"/>
          <w:sz w:val="28"/>
          <w:szCs w:val="28"/>
          <w:rtl w:val="true"/>
          <w:lang w:bidi="fa-IR"/>
        </w:rPr>
        <w:t>لم یحدث له تدارک آخر بعدُ؛فإن أدّاه إلی المالک سقط تدارک الأوّل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یجوز دفعه إلی الأوّل قبل دفع الأوّل إلی المالک؛لأنّه من باب الغرامة و التدارک،فلا اشتغال للذمّة قبل حصول التدارک </w:t>
      </w:r>
      <w:r>
        <w:rPr>
          <w:rStyle w:val="FootnoteAnchor"/>
          <w:rtl w:val="true"/>
        </w:rPr>
        <w:footnoteReference w:id="2655"/>
      </w:r>
      <w:r>
        <w:rPr>
          <w:rFonts w:ascii="IRNazanin" w:hAnsi="IRNazanin" w:eastAsia="IRNazanin"/>
          <w:color w:val="111111"/>
          <w:sz w:val="28"/>
          <w:sz w:val="28"/>
          <w:szCs w:val="28"/>
          <w:rtl w:val="true"/>
          <w:lang w:bidi="fa-IR"/>
        </w:rPr>
        <w:t>،و لیس من قبیل العوض لما فی ذمّة الأوّل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فحال الأوّل مع الثانی کحال الضامن مع المضمون عنه فی أنّه</w:t>
      </w:r>
    </w:p>
    <w:p>
      <w:pPr>
        <w:pStyle w:val="BookText"/>
        <w:rPr/>
      </w:pPr>
      <w:r>
        <w:rPr>
          <w:rFonts w:ascii="IRNazanin" w:hAnsi="IRNazanin" w:eastAsia="IRNazanin"/>
          <w:color w:val="111111"/>
          <w:sz w:val="28"/>
          <w:sz w:val="28"/>
          <w:szCs w:val="28"/>
          <w:rtl w:val="true"/>
          <w:lang w:bidi="fa-IR"/>
        </w:rPr>
        <w:t>لا یستحقّ الدفع إلیه إلّا بعد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تلف المال فی یده ضامن لأحد الشخصین علی البدل من المالک و من سبقه فی الید،فیشتغل </w:t>
      </w:r>
      <w:r>
        <w:rPr>
          <w:rStyle w:val="FootnoteAnchor"/>
          <w:rtl w:val="true"/>
        </w:rPr>
        <w:footnoteReference w:id="2656"/>
      </w:r>
      <w:r>
        <w:rPr>
          <w:rFonts w:ascii="IRNazanin" w:hAnsi="IRNazanin" w:eastAsia="IRNazanin"/>
          <w:color w:val="111111"/>
          <w:sz w:val="28"/>
          <w:sz w:val="28"/>
          <w:szCs w:val="28"/>
          <w:rtl w:val="true"/>
          <w:lang w:bidi="fa-IR"/>
        </w:rPr>
        <w:t xml:space="preserve">ذمّته إمّا بتدارک العین، و إمّا بتدارک ما تدارکها </w:t>
      </w:r>
      <w:r>
        <w:rPr>
          <w:rStyle w:val="FootnoteAnchor"/>
          <w:rtl w:val="true"/>
        </w:rPr>
        <w:footnoteReference w:id="2657"/>
      </w:r>
      <w:r>
        <w:rPr>
          <w:rFonts w:ascii="IRNazanin" w:hAnsi="IRNazanin" w:eastAsia="IRNazanin"/>
          <w:color w:val="111111"/>
          <w:sz w:val="28"/>
          <w:sz w:val="28"/>
          <w:szCs w:val="28"/>
          <w:rtl w:val="true"/>
          <w:lang w:bidi="fa-IR"/>
        </w:rPr>
        <w:t xml:space="preserve">،و هذا اشتغال شخص واحد بشیئین لشخصین علی البدل،کما کان فی الأیدی المتعاقبة اشتغال ذمّة أشخاص علی البدل بشیء </w:t>
      </w:r>
      <w:r>
        <w:rPr>
          <w:rStyle w:val="FootnoteAnchor"/>
          <w:rtl w:val="true"/>
        </w:rPr>
        <w:footnoteReference w:id="2658"/>
      </w:r>
      <w:r>
        <w:rPr>
          <w:rFonts w:ascii="IRNazanin" w:hAnsi="IRNazanin" w:eastAsia="IRNazanin"/>
          <w:color w:val="111111"/>
          <w:sz w:val="28"/>
          <w:sz w:val="28"/>
          <w:szCs w:val="28"/>
          <w:rtl w:val="true"/>
          <w:lang w:bidi="fa-IR"/>
        </w:rPr>
        <w:t>واحد لشخص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یقال </w:t>
      </w:r>
      <w:r>
        <w:rPr>
          <w:rStyle w:val="FootnoteAnchor"/>
          <w:rtl w:val="true"/>
        </w:rPr>
        <w:footnoteReference w:id="2659"/>
      </w:r>
      <w:r>
        <w:rPr>
          <w:rFonts w:ascii="IRNazanin" w:hAnsi="IRNazanin" w:eastAsia="IRNazanin"/>
          <w:color w:val="111111"/>
          <w:sz w:val="28"/>
          <w:sz w:val="28"/>
          <w:szCs w:val="28"/>
          <w:rtl w:val="true"/>
          <w:lang w:bidi="fa-IR"/>
        </w:rPr>
        <w:t xml:space="preserve">فی وجه رجوع غیر من تلف المال فی یده إلی من تلف فی یده </w:t>
      </w:r>
      <w:r>
        <w:rPr>
          <w:rStyle w:val="FootnoteAnchor"/>
          <w:rtl w:val="true"/>
        </w:rPr>
        <w:footnoteReference w:id="2660"/>
      </w:r>
      <w:r>
        <w:rPr>
          <w:rFonts w:ascii="IRNazanin" w:hAnsi="IRNazanin" w:eastAsia="IRNazanin"/>
          <w:color w:val="111111"/>
          <w:sz w:val="28"/>
          <w:sz w:val="28"/>
          <w:szCs w:val="28"/>
          <w:rtl w:val="true"/>
          <w:lang w:bidi="fa-IR"/>
        </w:rPr>
        <w:t>لو رجع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ذمّة من تلف بیده مشغولة للمالک بالبدل و إن جاز له إلزام غیره باعتبار الغصب بأداء ما اشتغل ذمّته به، فیملک حینئذٍ من أدّی بأدائه ما للمالک فی ذمّته بالمعاوضة الشرعیّة القهریّة،قال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بذلک اتّضح الفرق بین من تلف المال فی یده،و بین غیره الذی خطابه بالأداء شرعیّ لا ذمّی؛إذ لا دلیل علی شغل ذِمم متعدّدة بمال واحد،فحینئذٍ یُرجع علیه و لا یَرجع هو </w:t>
      </w:r>
      <w:r>
        <w:rPr>
          <w:rStyle w:val="FootnoteAnchor"/>
          <w:rtl w:val="true"/>
        </w:rPr>
        <w:footnoteReference w:id="266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بأنّه لا وجه للفرق بین خطاب من تلف بیده و خطاب غیره بأنّ خطابه ذمّی و خطاب غیره شرعی؛مع کون دلالة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إلیهما علی السواء،و المفروض أنّه </w:t>
      </w:r>
      <w:r>
        <w:rPr>
          <w:rStyle w:val="FootnoteAnchor"/>
          <w:rtl w:val="true"/>
        </w:rPr>
        <w:footnoteReference w:id="2662"/>
      </w:r>
      <w:r>
        <w:rPr>
          <w:rFonts w:ascii="IRNazanin" w:hAnsi="IRNazanin" w:eastAsia="IRNazanin"/>
          <w:color w:val="111111"/>
          <w:sz w:val="28"/>
          <w:sz w:val="28"/>
          <w:szCs w:val="28"/>
          <w:rtl w:val="true"/>
          <w:lang w:bidi="fa-IR"/>
        </w:rPr>
        <w:t>لا خطاب بالنسبة إلیهما غیره،مع أنّه لا یکاد یفهم الفرق بین ما ذکره من الخطاب بالأداء و الخطاب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یکاد یعرف خلاف من أحد فی کون کلٍّ من ذوی الأیدی مشغول الذمّة بالمال فعلاً ما لم یسقط بأداء أحدهم أو إبراء المالک،نظیر الاشتغال بغیره من الدیون فی إجباره علی الدفع أو الدفع عنه من ماله،و تقدیمه علی الوصایا و الضرب فیه مع الغرماء،و مصالحة المالک عنه مع آخر،إلی غیر ذلک من أحکام ما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تملّک غیر من تلف المال بیده لما فی ذمّة </w:t>
      </w:r>
      <w:r>
        <w:rPr>
          <w:rStyle w:val="FootnoteAnchor"/>
          <w:rtl w:val="true"/>
        </w:rPr>
        <w:footnoteReference w:id="2663"/>
      </w:r>
      <w:r>
        <w:rPr>
          <w:rFonts w:ascii="IRNazanin" w:hAnsi="IRNazanin" w:eastAsia="IRNazanin"/>
          <w:color w:val="111111"/>
          <w:sz w:val="28"/>
          <w:sz w:val="28"/>
          <w:szCs w:val="28"/>
          <w:rtl w:val="true"/>
          <w:lang w:bidi="fa-IR"/>
        </w:rPr>
        <w:t>من تلف المال بیده بمجرّد دفع البدل،لا یعلم له سبب اختیاری و لا قهری،بل المتّجه علی ما ذکرنا سقوط حقّ المالک عمّن تلف فی یده بمجرّد أداء غیره؛ لعدم تحقّق موضوع التدارک بعد تحقّق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اللازم ممّا ذکره أن لا یرجع الغارم فیمن </w:t>
      </w:r>
      <w:r>
        <w:rPr>
          <w:rStyle w:val="FootnoteAnchor"/>
          <w:rtl w:val="true"/>
        </w:rPr>
        <w:footnoteReference w:id="2664"/>
      </w:r>
      <w:r>
        <w:rPr>
          <w:rFonts w:ascii="IRNazanin" w:hAnsi="IRNazanin" w:eastAsia="IRNazanin"/>
          <w:color w:val="111111"/>
          <w:sz w:val="28"/>
          <w:sz w:val="28"/>
          <w:szCs w:val="28"/>
          <w:rtl w:val="true"/>
          <w:lang w:bidi="fa-IR"/>
        </w:rPr>
        <w:t xml:space="preserve">لحقه فی الید </w:t>
      </w:r>
      <w:r>
        <w:rPr>
          <w:rStyle w:val="FootnoteAnchor"/>
          <w:rtl w:val="true"/>
        </w:rPr>
        <w:footnoteReference w:id="2665"/>
      </w:r>
      <w:r>
        <w:rPr>
          <w:rFonts w:ascii="IRNazanin" w:hAnsi="IRNazanin" w:eastAsia="IRNazanin"/>
          <w:color w:val="111111"/>
          <w:sz w:val="28"/>
          <w:sz w:val="28"/>
          <w:szCs w:val="28"/>
          <w:rtl w:val="true"/>
          <w:lang w:bidi="fa-IR"/>
        </w:rPr>
        <w:t xml:space="preserve">العادیة إلّا إلی </w:t>
      </w:r>
      <w:r>
        <w:rPr>
          <w:rStyle w:val="FootnoteAnchor"/>
          <w:rtl w:val="true"/>
        </w:rPr>
        <w:footnoteReference w:id="2666"/>
      </w:r>
      <w:r>
        <w:rPr>
          <w:rFonts w:ascii="IRNazanin" w:hAnsi="IRNazanin" w:eastAsia="IRNazanin"/>
          <w:color w:val="111111"/>
          <w:sz w:val="28"/>
          <w:sz w:val="28"/>
          <w:szCs w:val="28"/>
          <w:rtl w:val="true"/>
          <w:lang w:bidi="fa-IR"/>
        </w:rPr>
        <w:t>من تلف فی یده،مع أنّ الظاهر خلافه؛فإنّه یجوز له أن یرجع إلی کلّ واحد ممّن بعده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 غیر من تلف بیده فهو یرجع إلی أحد لواحقه إلی</w:t>
      </w:r>
    </w:p>
    <w:p>
      <w:pPr>
        <w:pStyle w:val="BookText"/>
        <w:rPr/>
      </w:pPr>
      <w:r>
        <w:rPr>
          <w:rFonts w:ascii="IRNazanin" w:hAnsi="IRNazanin" w:eastAsia="IRNazanin"/>
          <w:color w:val="111111"/>
          <w:sz w:val="28"/>
          <w:sz w:val="28"/>
          <w:szCs w:val="28"/>
          <w:rtl w:val="true"/>
          <w:lang w:bidi="fa-IR"/>
        </w:rPr>
        <w:t>أن یستقرّ علی من تلف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تلف المبیع فی ید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الحکم أیضاً فی صورة بقاء العین </w:t>
      </w:r>
      <w:r>
        <w:rPr>
          <w:rStyle w:val="FootnoteAnchor"/>
          <w:rtl w:val="true"/>
        </w:rPr>
        <w:footnoteReference w:id="2667"/>
      </w:r>
      <w:r>
        <w:rPr>
          <w:rFonts w:ascii="IRNazanin" w:hAnsi="IRNazanin" w:eastAsia="IRNazanin"/>
          <w:color w:val="111111"/>
          <w:sz w:val="28"/>
          <w:sz w:val="28"/>
          <w:szCs w:val="28"/>
          <w:rtl w:val="true"/>
          <w:lang w:bidi="fa-IR"/>
        </w:rPr>
        <w:t xml:space="preserve">و أنّه یرجع المالک بها علی من فی یده أو </w:t>
      </w:r>
      <w:r>
        <w:rPr>
          <w:rStyle w:val="FootnoteAnchor"/>
          <w:rtl w:val="true"/>
        </w:rPr>
        <w:footnoteReference w:id="2668"/>
      </w:r>
      <w:r>
        <w:rPr>
          <w:rFonts w:ascii="IRNazanin" w:hAnsi="IRNazanin" w:eastAsia="IRNazanin"/>
          <w:color w:val="111111"/>
          <w:sz w:val="28"/>
          <w:sz w:val="28"/>
          <w:szCs w:val="28"/>
          <w:rtl w:val="true"/>
          <w:lang w:bidi="fa-IR"/>
        </w:rPr>
        <w:t xml:space="preserve">من جرت یده علیها،فإن لم یمکن انتزاعها ممّن هی فی یده غرم للمالک بدل الحیلولة،و للمالک استرداده </w:t>
      </w:r>
      <w:r>
        <w:rPr>
          <w:rStyle w:val="FootnoteAnchor"/>
          <w:rtl w:val="true"/>
        </w:rPr>
        <w:footnoteReference w:id="2669"/>
      </w:r>
      <w:r>
        <w:rPr>
          <w:rFonts w:ascii="IRNazanin" w:hAnsi="IRNazanin" w:eastAsia="IRNazanin"/>
          <w:color w:val="111111"/>
          <w:sz w:val="28"/>
          <w:sz w:val="28"/>
          <w:szCs w:val="28"/>
          <w:rtl w:val="true"/>
          <w:lang w:bidi="fa-IR"/>
        </w:rPr>
        <w:t>فیردّ بدل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یرتفع سلطنة المالک علی مطالبة الأوّل بمجرّد تمکّنه من الاسترداد من الثانی،لأنّ عهدتها </w:t>
      </w:r>
      <w:r>
        <w:rPr>
          <w:rStyle w:val="FootnoteAnchor"/>
          <w:rtl w:val="true"/>
        </w:rPr>
        <w:footnoteReference w:id="2670"/>
      </w:r>
      <w:r>
        <w:rPr>
          <w:rFonts w:ascii="IRNazanin" w:hAnsi="IRNazanin" w:eastAsia="IRNazanin"/>
          <w:color w:val="111111"/>
          <w:sz w:val="28"/>
          <w:sz w:val="28"/>
          <w:szCs w:val="28"/>
          <w:rtl w:val="true"/>
          <w:lang w:bidi="fa-IR"/>
        </w:rPr>
        <w:t xml:space="preserve">علی الأوّل فیجب علیه </w:t>
      </w:r>
      <w:r>
        <w:rPr>
          <w:rStyle w:val="FootnoteAnchor"/>
          <w:rtl w:val="true"/>
        </w:rPr>
        <w:footnoteReference w:id="2671"/>
      </w:r>
      <w:r>
        <w:rPr>
          <w:rFonts w:ascii="IRNazanin" w:hAnsi="IRNazanin" w:eastAsia="IRNazanin"/>
          <w:color w:val="111111"/>
          <w:sz w:val="28"/>
          <w:sz w:val="28"/>
          <w:szCs w:val="28"/>
          <w:rtl w:val="true"/>
          <w:lang w:bidi="fa-IR"/>
        </w:rPr>
        <w:t>تحصیلها و إن بذل ما 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نعم،لیس للمالک أخذ مئونة الاسترداد،لیباشر </w:t>
      </w:r>
      <w:r>
        <w:rPr>
          <w:rStyle w:val="FootnoteAnchor"/>
          <w:rtl w:val="true"/>
        </w:rPr>
        <w:footnoteReference w:id="2672"/>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یقدر علی استردادها إلّا المالک،و طلب من الأوّل عوضاً عن الاسترداد،فهل یجب علیه بذل العوض،أو ینزّل منزلة التعذّر فیغرم بدل الحیلولة،أو یفرّق بین الأُجرة المتعارفة للاسترداد و بین الزائد علیها ممّا یعدّ إجحافاً علی الغاصب الأوّل؟وجوه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عدم تغیّر العین،و أمّا إذا تغیّرت فیجیء صور کثیرة</w:t>
      </w:r>
    </w:p>
    <w:p>
      <w:pPr>
        <w:pStyle w:val="BookText"/>
        <w:rPr/>
      </w:pPr>
      <w:r>
        <w:rPr>
          <w:rFonts w:ascii="IRNazanin" w:hAnsi="IRNazanin" w:eastAsia="IRNazanin"/>
          <w:color w:val="111111"/>
          <w:sz w:val="28"/>
          <w:sz w:val="28"/>
          <w:szCs w:val="28"/>
          <w:rtl w:val="true"/>
          <w:lang w:bidi="fa-IR"/>
        </w:rPr>
        <w:t>لا یناسب المقام التعرّض لها و إن کان کثیر ممّا ذکرنا أیضاً ممّا لا یناسب ذکره إلّا فی باب الغصب،إلّا أنّ الاهتمام بها دعانی إلی ذکرها فی هذا المقام بأدنی مناسبة؛اغتناماً للفرصة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وفّقنا اللّه لما یرضیه عنّا من العلم و العمل،إنّه غفّار الزلل</w:t>
      </w:r>
      <w:r>
        <w:rPr>
          <w:rFonts w:eastAsia="IRNazanin" w:cs="IRNazanin"/>
          <w:color w:val="111111"/>
          <w:sz w:val="28"/>
          <w:szCs w:val="28"/>
          <w:rtl w:val="true"/>
          <w:lang w:bidi="fa-IR"/>
        </w:rPr>
        <w:t>.</w:t>
      </w:r>
      <w:bookmarkStart w:id="839" w:name="pg19763_248259"/>
    </w:p>
    <w:p>
      <w:pPr>
        <w:pStyle w:val="Heading6"/>
        <w:numPr>
          <w:ilvl w:val="5"/>
          <w:numId w:val="1"/>
        </w:numPr>
        <w:rPr/>
      </w:pPr>
      <w:bookmarkStart w:id="840" w:name="__RefHeading___Toc5083062_2314609296"/>
      <w:bookmarkStart w:id="841" w:name="_Toc322"/>
      <w:bookmarkEnd w:id="839"/>
      <w:bookmarkEnd w:id="840"/>
      <w:r>
        <w:rPr>
          <w:rtl w:val="true"/>
        </w:rPr>
        <w:t>مسألة لو باع الفضولی مال غیره مع مال نفسه</w:t>
      </w:r>
      <w:r>
        <w:rPr>
          <w:rtl w:val="true"/>
        </w:rPr>
        <w:t>:</w:t>
      </w:r>
      <w:bookmarkEnd w:id="841"/>
    </w:p>
    <w:p>
      <w:pPr>
        <w:pStyle w:val="BookText"/>
        <w:rPr/>
      </w:pPr>
      <w:r>
        <w:rPr>
          <w:rFonts w:ascii="IRNazanin" w:hAnsi="IRNazanin" w:eastAsia="IRNazanin"/>
          <w:color w:val="111111"/>
          <w:sz w:val="28"/>
          <w:sz w:val="28"/>
          <w:szCs w:val="28"/>
          <w:rtl w:val="true"/>
          <w:lang w:bidi="fa-IR"/>
        </w:rPr>
        <w:t xml:space="preserve">فعلی القول ببطلان الفضولی فالظاهر أنّ حکمه حکم بیع </w:t>
      </w:r>
      <w:r>
        <w:rPr>
          <w:rStyle w:val="FootnoteAnchor"/>
          <w:rtl w:val="true"/>
        </w:rPr>
        <w:footnoteReference w:id="2673"/>
      </w:r>
      <w:r>
        <w:rPr>
          <w:rFonts w:ascii="IRNazanin" w:hAnsi="IRNazanin" w:eastAsia="IRNazanin"/>
          <w:color w:val="111111"/>
          <w:sz w:val="28"/>
          <w:sz w:val="28"/>
          <w:szCs w:val="28"/>
          <w:rtl w:val="true"/>
          <w:lang w:bidi="fa-IR"/>
        </w:rPr>
        <w:t>ما یقبل الملک مع ما لا یقبله،و الحکم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الصحّة؛لظهور الإجماع،بل دعواه عن غیر واحد </w:t>
      </w:r>
      <w:r>
        <w:rPr>
          <w:rStyle w:val="FootnoteAnchor"/>
          <w:rtl w:val="true"/>
        </w:rPr>
        <w:footnoteReference w:id="2674"/>
      </w:r>
      <w:r>
        <w:rPr>
          <w:rFonts w:ascii="IRNazanin" w:hAnsi="IRNazanin" w:eastAsia="IRNazanin"/>
          <w:color w:val="111111"/>
          <w:sz w:val="28"/>
          <w:sz w:val="28"/>
          <w:szCs w:val="28"/>
          <w:rtl w:val="true"/>
          <w:lang w:bidi="fa-IR"/>
        </w:rPr>
        <w:t>،مضافاً إلی صحیحة الصفّار المتقدّمة فی أدلّة بطلان الفضولی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ما لا یملک،و قد وجب الشراء فی ما یملک</w:t>
      </w:r>
      <w:r>
        <w:rPr>
          <w:rFonts w:eastAsia="IRNazanin" w:cs="IRNazanin"/>
          <w:color w:val="111111"/>
          <w:sz w:val="28"/>
          <w:szCs w:val="28"/>
          <w:rtl w:val="true"/>
          <w:lang w:bidi="fa-IR"/>
        </w:rPr>
        <w:t xml:space="preserve">»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ذکرنا قال به من قال ببطلان الفضولی کالشیخ </w:t>
      </w:r>
      <w:r>
        <w:rPr>
          <w:rStyle w:val="FootnoteAnchor"/>
          <w:rtl w:val="true"/>
        </w:rPr>
        <w:footnoteReference w:id="2676"/>
      </w:r>
      <w:r>
        <w:rPr>
          <w:rFonts w:ascii="IRNazanin" w:hAnsi="IRNazanin" w:eastAsia="IRNazanin"/>
          <w:color w:val="111111"/>
          <w:sz w:val="28"/>
          <w:sz w:val="28"/>
          <w:szCs w:val="28"/>
          <w:rtl w:val="true"/>
          <w:lang w:bidi="fa-IR"/>
        </w:rPr>
        <w:t>و ابن</w:t>
      </w:r>
    </w:p>
    <w:p>
      <w:pPr>
        <w:pStyle w:val="BookText"/>
        <w:rPr/>
      </w:pPr>
      <w:r>
        <w:rPr>
          <w:rFonts w:ascii="Amiri" w:hAnsi="Amiri" w:eastAsia="Amiri" w:cs="Amiri"/>
          <w:color w:val="111111"/>
          <w:sz w:val="28"/>
          <w:sz w:val="28"/>
          <w:szCs w:val="28"/>
          <w:rtl w:val="true"/>
          <w:lang w:bidi="ar-SA"/>
        </w:rPr>
        <w:t xml:space="preserve">زهرة </w:t>
      </w:r>
      <w:r>
        <w:rPr>
          <w:rStyle w:val="FootnoteAnchor"/>
          <w:rtl w:val="true"/>
        </w:rPr>
        <w:footnoteReference w:id="2677"/>
      </w:r>
      <w:r>
        <w:rPr>
          <w:rFonts w:ascii="Amiri" w:hAnsi="Amiri" w:eastAsia="Amiri" w:cs="Amiri"/>
          <w:color w:val="111111"/>
          <w:sz w:val="28"/>
          <w:sz w:val="28"/>
          <w:szCs w:val="28"/>
          <w:rtl w:val="true"/>
          <w:lang w:bidi="ar-SA"/>
        </w:rPr>
        <w:t xml:space="preserve">و الحلیّ </w:t>
      </w:r>
      <w:r>
        <w:rPr>
          <w:rStyle w:val="FootnoteAnchor"/>
          <w:rtl w:val="true"/>
        </w:rPr>
        <w:footnoteReference w:id="2678"/>
      </w:r>
      <w:r>
        <w:rPr>
          <w:rFonts w:ascii="IRNazanin" w:hAnsi="IRNazanin" w:eastAsia="IRNazanin"/>
          <w:color w:val="111111"/>
          <w:sz w:val="28"/>
          <w:sz w:val="28"/>
          <w:szCs w:val="28"/>
          <w:rtl w:val="true"/>
          <w:lang w:bidi="fa-IR"/>
        </w:rPr>
        <w:t xml:space="preserve">و غیرهم </w:t>
      </w:r>
      <w:r>
        <w:rPr>
          <w:rStyle w:val="FootnoteAnchor"/>
          <w:rtl w:val="true"/>
        </w:rPr>
        <w:footnoteReference w:id="2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نعم،لولا النصّ و الإجماع أمکن الخدشة فیه بما سیجیء فی بیع ما یُملک و ما لا یملک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علی القول بصحّة الفضولی،فلا ینبغی الریب فی الصحّة مع الإجازة،بل و کذا مع الردّ؛فإنّه کما لو تبیّن بعض المبیع غیر مملوک، غایة الأمر ثبوت الخیار حینئذٍ للمشتری مع جهله بالحال عند علمائنا کما عن التذکرة </w:t>
      </w:r>
      <w:r>
        <w:rPr>
          <w:rStyle w:val="FootnoteAnchor"/>
          <w:rtl w:val="true"/>
        </w:rPr>
        <w:footnoteReference w:id="2681"/>
      </w:r>
      <w:r>
        <w:rPr>
          <w:rFonts w:ascii="IRNazanin" w:hAnsi="IRNazanin" w:eastAsia="IRNazanin"/>
          <w:color w:val="111111"/>
          <w:sz w:val="28"/>
          <w:sz w:val="28"/>
          <w:szCs w:val="28"/>
          <w:rtl w:val="true"/>
          <w:lang w:bidi="fa-IR"/>
        </w:rPr>
        <w:t xml:space="preserve">،و سیجیء فی أقسام الخیار بل عن الشیخ فی الخلاف تقویة ثبوت الخیار للبائع </w:t>
      </w:r>
      <w:r>
        <w:rPr>
          <w:rStyle w:val="FootnoteAnchor"/>
          <w:rtl w:val="true"/>
        </w:rPr>
        <w:footnoteReference w:id="2682"/>
      </w:r>
      <w:r>
        <w:rPr>
          <w:rFonts w:ascii="IRNazanin" w:hAnsi="IRNazanin" w:eastAsia="IRNazanin"/>
          <w:color w:val="111111"/>
          <w:sz w:val="28"/>
          <w:sz w:val="28"/>
          <w:szCs w:val="28"/>
          <w:rtl w:val="true"/>
          <w:lang w:bidi="fa-IR"/>
        </w:rPr>
        <w:t xml:space="preserve">،لکن عن الغنیة الجزم بعدمه </w:t>
      </w:r>
      <w:r>
        <w:rPr>
          <w:rStyle w:val="FootnoteAnchor"/>
          <w:rtl w:val="true"/>
        </w:rPr>
        <w:footnoteReference w:id="2683"/>
      </w:r>
      <w:r>
        <w:rPr>
          <w:rFonts w:ascii="Amiri" w:hAnsi="Amiri" w:eastAsia="Amiri" w:cs="Amiri"/>
          <w:color w:val="111111"/>
          <w:sz w:val="28"/>
          <w:sz w:val="28"/>
          <w:szCs w:val="28"/>
          <w:rtl w:val="true"/>
          <w:lang w:bidi="ar-SA"/>
        </w:rPr>
        <w:t xml:space="preserve">، و یؤیّده صحیحة الصفّار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حُمل کلام الشیخ علی ما إذا ادّعی البائع الجهل أو الإذن، و کلام الغنیة علی العالم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صحّة البیع فیما یملکه مع الردّ مقیّدة فی بعض الکلمات بما إذا لم یتولّد من عدم الإجازة مانع شرعی،کلزوم ربا،و بیع آبقٍ من دون ضمیمة </w:t>
      </w:r>
      <w:r>
        <w:rPr>
          <w:rStyle w:val="FootnoteAnchor"/>
          <w:rtl w:val="true"/>
        </w:rPr>
        <w:footnoteReference w:id="2686"/>
      </w:r>
      <w:r>
        <w:rPr>
          <w:rFonts w:ascii="IRNazanin" w:hAnsi="IRNazanin" w:eastAsia="IRNazanin"/>
          <w:color w:val="111111"/>
          <w:sz w:val="28"/>
          <w:sz w:val="28"/>
          <w:szCs w:val="28"/>
          <w:rtl w:val="true"/>
          <w:lang w:bidi="fa-IR"/>
        </w:rPr>
        <w:t xml:space="preserve">،و سیجیء الکلام فی محلّها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البیع المذکور صحیح بالنسبة إلی المملوک بحصّته من الثمن، و موقوف فی غیره بحصّته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معرفة حصّة کلٍّ منهما من الثمن فی غیر المثلی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 کلٌّ منهما منفرداً،فیؤخذ لکلّ واحدٍ جزءٌ من الثمن نسبتُه إلیه کنسبة قیمته إلی مجموع القیمتین،مثاله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السرائر </w:t>
      </w:r>
      <w:r>
        <w:rPr>
          <w:rStyle w:val="FootnoteAnchor"/>
          <w:rtl w:val="true"/>
        </w:rPr>
        <w:footnoteReference w:id="2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کان ثمنهما </w:t>
      </w:r>
      <w:r>
        <w:rPr>
          <w:rStyle w:val="FootnoteAnchor"/>
          <w:rtl w:val="true"/>
        </w:rPr>
        <w:footnoteReference w:id="2689"/>
      </w:r>
      <w:r>
        <w:rPr>
          <w:rFonts w:ascii="Amiri" w:hAnsi="Amiri" w:eastAsia="Amiri" w:cs="Amiri"/>
          <w:color w:val="111111"/>
          <w:sz w:val="28"/>
          <w:sz w:val="28"/>
          <w:szCs w:val="28"/>
          <w:rtl w:val="true"/>
          <w:lang w:bidi="ar-SA"/>
        </w:rPr>
        <w:t xml:space="preserve">ثلاثة </w:t>
      </w:r>
      <w:r>
        <w:rPr>
          <w:rStyle w:val="FootnoteAnchor"/>
          <w:rtl w:val="true"/>
        </w:rPr>
        <w:footnoteReference w:id="2690"/>
      </w:r>
      <w:r>
        <w:rPr>
          <w:rFonts w:ascii="IRNazanin" w:hAnsi="IRNazanin" w:eastAsia="IRNazanin"/>
          <w:color w:val="111111"/>
          <w:sz w:val="28"/>
          <w:sz w:val="28"/>
          <w:szCs w:val="28"/>
          <w:rtl w:val="true"/>
          <w:lang w:bidi="fa-IR"/>
        </w:rPr>
        <w:t>دنانیر،و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قیمة المملوک قیراط و قیمة غیره قیراطان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المشتری بثلثی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من الطریق هو المصرّح به فی الإرشاد،حیث قال</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یقسّط المسمّی </w:t>
      </w:r>
      <w:r>
        <w:rPr>
          <w:rStyle w:val="FootnoteAnchor"/>
          <w:rtl w:val="true"/>
        </w:rPr>
        <w:footnoteReference w:id="2691"/>
      </w:r>
      <w:r>
        <w:rPr>
          <w:rFonts w:ascii="IRNazanin" w:hAnsi="IRNazanin" w:eastAsia="IRNazanin"/>
          <w:color w:val="111111"/>
          <w:sz w:val="28"/>
          <w:sz w:val="28"/>
          <w:szCs w:val="28"/>
          <w:rtl w:val="true"/>
          <w:lang w:bidi="fa-IR"/>
        </w:rPr>
        <w:t xml:space="preserve">علی القیمتین </w:t>
      </w:r>
      <w:r>
        <w:rPr>
          <w:rStyle w:val="FootnoteAnchor"/>
          <w:rtl w:val="true"/>
        </w:rPr>
        <w:footnoteReference w:id="2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أیضاً مرجع </w:t>
      </w:r>
      <w:r>
        <w:rPr>
          <w:rStyle w:val="FootnoteAnchor"/>
          <w:rtl w:val="true"/>
        </w:rPr>
        <w:footnoteReference w:id="2693"/>
      </w:r>
      <w:r>
        <w:rPr>
          <w:rFonts w:ascii="IRNazanin" w:hAnsi="IRNazanin" w:eastAsia="IRNazanin"/>
          <w:color w:val="111111"/>
          <w:sz w:val="28"/>
          <w:sz w:val="28"/>
          <w:szCs w:val="28"/>
          <w:rtl w:val="true"/>
          <w:lang w:bidi="fa-IR"/>
        </w:rPr>
        <w:t xml:space="preserve">ما فی الشرائع </w:t>
      </w:r>
      <w:r>
        <w:rPr>
          <w:rStyle w:val="FootnoteAnchor"/>
          <w:rtl w:val="true"/>
        </w:rPr>
        <w:footnoteReference w:id="2694"/>
      </w:r>
    </w:p>
    <w:p>
      <w:pPr>
        <w:pStyle w:val="BookText"/>
        <w:rPr/>
      </w:pPr>
      <w:r>
        <w:rPr>
          <w:rFonts w:ascii="IRNazanin" w:hAnsi="IRNazanin" w:eastAsia="IRNazanin"/>
          <w:color w:val="111111"/>
          <w:sz w:val="28"/>
          <w:sz w:val="28"/>
          <w:szCs w:val="28"/>
          <w:rtl w:val="true"/>
          <w:lang w:bidi="fa-IR"/>
        </w:rPr>
        <w:t xml:space="preserve">و القواعد </w:t>
      </w:r>
      <w:r>
        <w:rPr>
          <w:rStyle w:val="FootnoteAnchor"/>
          <w:rtl w:val="true"/>
        </w:rPr>
        <w:footnoteReference w:id="2695"/>
      </w:r>
      <w:r>
        <w:rPr>
          <w:rFonts w:ascii="Amiri" w:hAnsi="Amiri" w:eastAsia="Amiri" w:cs="Amiri"/>
          <w:color w:val="111111"/>
          <w:sz w:val="28"/>
          <w:sz w:val="28"/>
          <w:szCs w:val="28"/>
          <w:rtl w:val="true"/>
          <w:lang w:bidi="ar-SA"/>
        </w:rPr>
        <w:t xml:space="preserve">و اللمعة </w:t>
      </w:r>
      <w:r>
        <w:rPr>
          <w:rStyle w:val="FootnoteAnchor"/>
          <w:rtl w:val="true"/>
        </w:rPr>
        <w:footnoteReference w:id="2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أنّهما یقوّمان جمیعاً ثمّ یقوّم أحدهما؛ و لهذا </w:t>
      </w:r>
      <w:r>
        <w:rPr>
          <w:rStyle w:val="FootnoteAnchor"/>
          <w:rtl w:val="true"/>
        </w:rPr>
        <w:footnoteReference w:id="2697"/>
      </w:r>
      <w:r>
        <w:rPr>
          <w:rFonts w:ascii="IRNazanin" w:hAnsi="IRNazanin" w:eastAsia="IRNazanin"/>
          <w:color w:val="111111"/>
          <w:sz w:val="28"/>
          <w:sz w:val="28"/>
          <w:szCs w:val="28"/>
          <w:rtl w:val="true"/>
          <w:lang w:bidi="fa-IR"/>
        </w:rPr>
        <w:t>فسّر بهذه العبارة المحقّق الثانی عبارة الإرشاد،حیث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تقسیط المسمّی </w:t>
      </w:r>
      <w:r>
        <w:rPr>
          <w:rStyle w:val="FootnoteAnchor"/>
          <w:rtl w:val="true"/>
        </w:rPr>
        <w:footnoteReference w:id="2698"/>
      </w:r>
      <w:r>
        <w:rPr>
          <w:rFonts w:ascii="IRNazanin" w:hAnsi="IRNazanin" w:eastAsia="IRNazanin"/>
          <w:color w:val="111111"/>
          <w:sz w:val="28"/>
          <w:sz w:val="28"/>
          <w:szCs w:val="28"/>
          <w:rtl w:val="true"/>
          <w:lang w:bidi="fa-IR"/>
        </w:rPr>
        <w:t>علی القیمتین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العبارة الموجودة فی هذه الکتب لا تنطبق بظاهرها علی عبارة الإرشاد التی اخترناها فی طریق التقسیط و استظهرناه من السرائر؛إذ لو کان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تقویم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یحتج إلی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أحدهما،ثمّ تنسب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هنا إلّا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کلٍّ منهما،و نسبة قیمته إلی مجموع القیمتین؛فالظاهر إرادة قیمتهما مجتمعین،ثمّ تقویم أحدهما بنفسه، ثمّ ملاحظة نسبة قیمة أحدهما إلی قیمة المجموع</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أنکر علیهم جماعة </w:t>
      </w:r>
      <w:r>
        <w:rPr>
          <w:rStyle w:val="FootnoteAnchor"/>
          <w:rtl w:val="true"/>
        </w:rPr>
        <w:footnoteReference w:id="2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لجامع المقاصد </w:t>
      </w:r>
      <w:r>
        <w:rPr>
          <w:rStyle w:val="FootnoteAnchor"/>
          <w:rtl w:val="true"/>
        </w:rPr>
        <w:footnoteReference w:id="2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القول بذلک؛إذ لا یستقیم ذلک فیما إذا کان لاجتماع الملکین دخل فی زیادة القیمة،کما فی مصراعی باب و زوج خفّ إذا فرض تقویم</w:t>
      </w:r>
    </w:p>
    <w:p>
      <w:pPr>
        <w:pStyle w:val="BookText"/>
        <w:rPr/>
      </w:pPr>
      <w:r>
        <w:rPr>
          <w:rFonts w:ascii="IRNazanin" w:hAnsi="IRNazanin" w:eastAsia="IRNazanin"/>
          <w:color w:val="111111"/>
          <w:sz w:val="28"/>
          <w:sz w:val="28"/>
          <w:szCs w:val="28"/>
          <w:rtl w:val="true"/>
          <w:lang w:bidi="fa-IR"/>
        </w:rPr>
        <w:t xml:space="preserve">المجموع بعشرة و تقویم أحدهما بدرهمین و کان الثمن خمسة،فإنّه إذا رجع المشتری بجزء من الثمن نسبته إلیه کنسبة الاثنین إلی العشرة استحقّ من البائع واحداً من الخمسة فیبقی للبائع أربعة فی مقابل المصراع الواحد، مع أنّه لم یستحقّ من الثمن إلّا مقداراً من الثمن مساویاً لما یقابل المصراع الآخر أعنی درهمین و نصفاً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البیع إنّما یبطل فی ملک الغیر بحصّةٍ من الثمن یستحقّها الغیر مع الإجازة،و یصحّ فی نصیب المالک بحصّة کان یأخذها مع إجازة مالک </w:t>
      </w:r>
      <w:r>
        <w:rPr>
          <w:rStyle w:val="FootnoteAnchor"/>
          <w:rtl w:val="true"/>
        </w:rPr>
        <w:footnoteReference w:id="2703"/>
      </w:r>
      <w:r>
        <w:rPr>
          <w:rFonts w:ascii="IRNazanin" w:hAnsi="IRNazanin" w:eastAsia="IRNazanin"/>
          <w:color w:val="111111"/>
          <w:sz w:val="28"/>
          <w:sz w:val="28"/>
          <w:szCs w:val="28"/>
          <w:rtl w:val="true"/>
          <w:lang w:bidi="fa-IR"/>
        </w:rPr>
        <w:t>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الظاهر أنّ کلام الجماعة إمّا محمول علی الغالب</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عدم زیادة القیمة و لا نقصانها بالاجتماع،أو مرادهم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کلٍّ منهما منفرداً،و یراد </w:t>
      </w:r>
      <w:r>
        <w:rPr>
          <w:rStyle w:val="FootnoteAnchor"/>
          <w:rtl w:val="true"/>
        </w:rPr>
        <w:footnoteReference w:id="2704"/>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أحدهما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قیمته مع مجموع القیمتین،و إلّا ففساد الضابط المذکور فی کلامهم لا یحتاج إلی النقض بصورة مدخلیة الاجتماع فی الزیادة التی یمکن القول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بأخذ النسبة للمشتری بین قیمة أحدهما المنفرد و بین قیمة المجموع،بل ینتقض بصورة مدخلیّة الاجتماع فی نقصان القیمة بحیث یکون قیمة أحدهما منفرداً مثل قیمة المجموع أو أزید، فإنّ هذا فرض ممکن کما صرّح به فی رهن جامع المقاصد </w:t>
      </w:r>
      <w:r>
        <w:rPr>
          <w:rStyle w:val="FootnoteAnchor"/>
          <w:rtl w:val="true"/>
        </w:rPr>
        <w:footnoteReference w:id="2705"/>
      </w:r>
    </w:p>
    <w:p>
      <w:pPr>
        <w:pStyle w:val="BookText"/>
        <w:rPr/>
      </w:pPr>
      <w:r>
        <w:rPr>
          <w:rFonts w:ascii="IRNazanin" w:hAnsi="IRNazanin" w:eastAsia="IRNazanin"/>
          <w:color w:val="111111"/>
          <w:sz w:val="28"/>
          <w:sz w:val="28"/>
          <w:szCs w:val="28"/>
          <w:rtl w:val="true"/>
          <w:lang w:bidi="fa-IR"/>
        </w:rPr>
        <w:t xml:space="preserve">و غیره </w:t>
      </w:r>
      <w:r>
        <w:rPr>
          <w:rStyle w:val="FootnoteAnchor"/>
          <w:rtl w:val="true"/>
        </w:rPr>
        <w:footnoteReference w:id="2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الالتزام هنا بالنسبة المذکورة یوجب الجمع بین الثمن و المثمن،کما لو باع جاریة مع أمّها قیمتهما مجتمعتین عشرة،و قیمة کلّ واحدة منهما منفردة عشرة،بثمانیة؛فإنّ نسبة قیمة إحداهما المنفردة إلی مجموع القیمتین </w:t>
      </w:r>
      <w:r>
        <w:rPr>
          <w:rStyle w:val="FootnoteAnchor"/>
          <w:rtl w:val="true"/>
        </w:rPr>
        <w:footnoteReference w:id="2707"/>
      </w:r>
      <w:r>
        <w:rPr>
          <w:rFonts w:ascii="IRNazanin" w:hAnsi="IRNazanin" w:eastAsia="IRNazanin"/>
          <w:color w:val="111111"/>
          <w:sz w:val="28"/>
          <w:sz w:val="28"/>
          <w:szCs w:val="28"/>
          <w:rtl w:val="true"/>
          <w:lang w:bidi="fa-IR"/>
        </w:rPr>
        <w:t xml:space="preserve">نسبة الشیء إلی مماثله،فرجع </w:t>
      </w:r>
      <w:r>
        <w:rPr>
          <w:rStyle w:val="FootnoteAnchor"/>
          <w:rtl w:val="true"/>
        </w:rPr>
        <w:footnoteReference w:id="2708"/>
      </w:r>
      <w:r>
        <w:rPr>
          <w:rFonts w:ascii="IRNazanin" w:hAnsi="IRNazanin" w:eastAsia="IRNazanin"/>
          <w:color w:val="111111"/>
          <w:sz w:val="28"/>
          <w:sz w:val="28"/>
          <w:szCs w:val="28"/>
          <w:rtl w:val="true"/>
          <w:lang w:bidi="fa-IR"/>
        </w:rPr>
        <w:t xml:space="preserve">بکلّ الثمانیة </w:t>
      </w:r>
      <w:r>
        <w:rPr>
          <w:rStyle w:val="FootnoteAnchor"/>
          <w:rtl w:val="true"/>
        </w:rPr>
        <w:footnoteReference w:id="2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من أورد علیهم ذلک غفل عن هذا،أو کان عنده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جمیع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ذکرنا،من ملاحظة قیمة کلٍّ منهما منفرداً،و نسبة قیمة أحدهما إلی مجموع القیمتین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المشتری إنّما </w:t>
      </w:r>
      <w:r>
        <w:rPr>
          <w:rStyle w:val="FootnoteAnchor"/>
          <w:rtl w:val="true"/>
        </w:rPr>
        <w:footnoteReference w:id="2710"/>
      </w:r>
      <w:r>
        <w:rPr>
          <w:rFonts w:ascii="IRNazanin" w:hAnsi="IRNazanin" w:eastAsia="IRNazanin"/>
          <w:color w:val="111111"/>
          <w:sz w:val="28"/>
          <w:sz w:val="28"/>
          <w:szCs w:val="28"/>
          <w:rtl w:val="true"/>
          <w:lang w:bidi="fa-IR"/>
        </w:rPr>
        <w:t xml:space="preserve">بذل الثمن فی مقابل کلٍّ منهما مقیّداً باجتماعه مع الآخر،و هذا الوصف لم یبقَ له مع ردّ مالک أحدهما، فالبائع إنّما یستحقّ من الثمن ما یوزّع علی ماله منفرداً،فله من الثمن جزءٌ نسبته إلیه کنسبة الدرهمین إلی العشرة،و هو درهم واحد، فالزیادة ظلم علی المشتری،و إن کان ما أوهمه عبارة الشرائع و شبهها </w:t>
      </w:r>
      <w:r>
        <w:rPr>
          <w:rStyle w:val="FootnoteAnchor"/>
          <w:rtl w:val="true"/>
        </w:rPr>
        <w:footnoteReference w:id="2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البائع أربعة،و المشتری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ظلماً،کما نبّه علیه فی</w:t>
      </w:r>
    </w:p>
    <w:p>
      <w:pPr>
        <w:pStyle w:val="BookText"/>
        <w:rPr/>
      </w:pPr>
      <w:r>
        <w:rPr>
          <w:rFonts w:ascii="IRNazanin" w:hAnsi="IRNazanin" w:eastAsia="IRNazanin"/>
          <w:color w:val="111111"/>
          <w:sz w:val="28"/>
          <w:sz w:val="28"/>
          <w:szCs w:val="28"/>
          <w:rtl w:val="true"/>
          <w:lang w:bidi="fa-IR"/>
        </w:rPr>
        <w:t xml:space="preserve">بعض حواشی الروضة </w:t>
      </w:r>
      <w:r>
        <w:rPr>
          <w:rStyle w:val="FootnoteAnchor"/>
          <w:rtl w:val="true"/>
        </w:rPr>
        <w:footnoteReference w:id="2712"/>
      </w:r>
      <w:r>
        <w:rPr>
          <w:rFonts w:ascii="IRNazanin" w:hAnsi="IRNazanin" w:eastAsia="IRNazanin"/>
          <w:color w:val="111111"/>
          <w:sz w:val="28"/>
          <w:sz w:val="28"/>
          <w:szCs w:val="28"/>
          <w:rtl w:val="true"/>
          <w:lang w:bidi="fa-IR"/>
        </w:rPr>
        <w:t xml:space="preserve">،فاللازم أن یقسّط الثمن علی قیمة کلٍّ من المِلکین منفرداً و علی الهیئة </w:t>
      </w:r>
      <w:r>
        <w:rPr>
          <w:rStyle w:val="FootnoteAnchor"/>
          <w:rtl w:val="true"/>
        </w:rPr>
        <w:footnoteReference w:id="2713"/>
      </w:r>
      <w:r>
        <w:rPr>
          <w:rFonts w:ascii="IRNazanin" w:hAnsi="IRNazanin" w:eastAsia="IRNazanin"/>
          <w:color w:val="111111"/>
          <w:sz w:val="28"/>
          <w:sz w:val="28"/>
          <w:szCs w:val="28"/>
          <w:rtl w:val="true"/>
          <w:lang w:bidi="fa-IR"/>
        </w:rPr>
        <w:t xml:space="preserve">الاجتماعیة،و یُعطی البائع من الثمن بنسبة قیمة ملکه منفرداً،و یبقی للمشتری بنسبة قیمة ملک </w:t>
      </w:r>
      <w:r>
        <w:rPr>
          <w:rStyle w:val="FootnoteAnchor"/>
          <w:rtl w:val="true"/>
        </w:rPr>
        <w:footnoteReference w:id="2714"/>
      </w:r>
      <w:r>
        <w:rPr>
          <w:rFonts w:ascii="IRNazanin" w:hAnsi="IRNazanin" w:eastAsia="IRNazanin"/>
          <w:color w:val="111111"/>
          <w:sz w:val="28"/>
          <w:sz w:val="28"/>
          <w:szCs w:val="28"/>
          <w:rtl w:val="true"/>
          <w:lang w:bidi="fa-IR"/>
        </w:rPr>
        <w:t xml:space="preserve">الآخر منفرداً و قیمة هیئة الاجتماع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وصف الانضمام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الأوصاف الموجبة لزیادة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مضموناً فی باب المعاوضات و إن کان مضموناً فی باب العدوان،غایة الأمر ثبوت الخیار مع اشتراط تلک الصفة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فیما ذکرنا بین کون ملک البائع و ملک غیره متعدّدین </w:t>
      </w:r>
      <w:r>
        <w:rPr>
          <w:rStyle w:val="FootnoteAnchor"/>
          <w:rtl w:val="true"/>
        </w:rPr>
        <w:footnoteReference w:id="2716"/>
      </w:r>
      <w:r>
        <w:rPr>
          <w:rFonts w:ascii="IRNazanin" w:hAnsi="IRNazanin" w:eastAsia="IRNazanin"/>
          <w:color w:val="111111"/>
          <w:sz w:val="28"/>
          <w:sz w:val="28"/>
          <w:szCs w:val="28"/>
          <w:rtl w:val="true"/>
          <w:lang w:bidi="fa-IR"/>
        </w:rPr>
        <w:t xml:space="preserve">فی الوجود کعبد و جاریة،أو متّحداً کعبد ثُلثه للبائع و ثلثاه لغیره،فإنّه لا یوزّع الثمن علی قیمة المجموع أثلاثاً؛لأنّ الثلث لا یباع بنصف ما یباع به الثلثان؛لکونه أقلّ رغبة منه،بل یلاحظ قیمة الثلث و قیمة الثلثین و یؤخذ النسبة منهما </w:t>
      </w:r>
      <w:r>
        <w:rPr>
          <w:rStyle w:val="FootnoteAnchor"/>
          <w:rtl w:val="true"/>
        </w:rPr>
        <w:footnoteReference w:id="2717"/>
      </w:r>
      <w:r>
        <w:rPr>
          <w:rFonts w:ascii="IRNazanin" w:hAnsi="IRNazanin" w:eastAsia="IRNazanin"/>
          <w:color w:val="111111"/>
          <w:sz w:val="28"/>
          <w:sz w:val="28"/>
          <w:szCs w:val="28"/>
          <w:rtl w:val="true"/>
          <w:lang w:bidi="fa-IR"/>
        </w:rPr>
        <w:t xml:space="preserve">لیؤخذ </w:t>
      </w:r>
      <w:r>
        <w:rPr>
          <w:rStyle w:val="FootnoteAnchor"/>
          <w:rtl w:val="true"/>
        </w:rPr>
        <w:footnoteReference w:id="2718"/>
      </w:r>
      <w:r>
        <w:rPr>
          <w:rFonts w:ascii="IRNazanin" w:hAnsi="IRNazanin" w:eastAsia="IRNazanin"/>
          <w:color w:val="111111"/>
          <w:sz w:val="28"/>
          <w:sz w:val="28"/>
          <w:szCs w:val="28"/>
          <w:rtl w:val="true"/>
          <w:lang w:bidi="fa-IR"/>
        </w:rPr>
        <w:t>من الثمن بتلک النسبة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المبیع المثلی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الحصّة مشاعة قُسّط الثمن علی نفس المبیع،فیقابل کلٌّ من حصّتی البائع و الأجنبیّ بما یخصّه،و إن کانت حصّة کلّ منهما معیّنة کان الحکم کما فی القیمی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ملاحظة قیمتی الحصّتین و تقسیط الثمن علی المجموع،فافهم</w:t>
      </w:r>
      <w:r>
        <w:rPr>
          <w:rFonts w:eastAsia="IRNazanin" w:cs="IRNazanin"/>
          <w:color w:val="111111"/>
          <w:sz w:val="28"/>
          <w:szCs w:val="28"/>
          <w:rtl w:val="true"/>
          <w:lang w:bidi="fa-IR"/>
        </w:rPr>
        <w:t>.</w:t>
      </w:r>
      <w:bookmarkStart w:id="842" w:name="pg19763_248267"/>
    </w:p>
    <w:p>
      <w:pPr>
        <w:pStyle w:val="Heading6"/>
        <w:numPr>
          <w:ilvl w:val="5"/>
          <w:numId w:val="1"/>
        </w:numPr>
        <w:rPr/>
      </w:pPr>
      <w:bookmarkStart w:id="843" w:name="__RefHeading___Toc5083064_2314609296"/>
      <w:bookmarkStart w:id="844" w:name="_Toc323"/>
      <w:bookmarkEnd w:id="842"/>
      <w:bookmarkEnd w:id="843"/>
      <w:r>
        <w:rPr>
          <w:rtl w:val="true"/>
        </w:rPr>
        <w:t>مسألة لو باع من له نصف الدار نصف ملک</w:t>
      </w:r>
      <w:bookmarkEnd w:id="844"/>
    </w:p>
    <w:p>
      <w:pPr>
        <w:pStyle w:val="BookText"/>
        <w:rPr/>
      </w:pPr>
      <w:r>
        <w:rPr>
          <w:rFonts w:ascii="IRNazanin" w:hAnsi="IRNazanin" w:eastAsia="IRNazanin"/>
          <w:color w:val="111111"/>
          <w:sz w:val="28"/>
          <w:sz w:val="28"/>
          <w:szCs w:val="28"/>
          <w:rtl w:val="true"/>
          <w:lang w:bidi="fa-IR"/>
        </w:rPr>
        <w:t xml:space="preserve">مسألة لو باع من له نصف الدار نصف ملک </w:t>
      </w:r>
      <w:r>
        <w:rPr>
          <w:rStyle w:val="FootnoteAnchor"/>
          <w:rtl w:val="true"/>
        </w:rPr>
        <w:footnoteReference w:id="2719"/>
      </w:r>
      <w:r>
        <w:rPr>
          <w:rFonts w:ascii="IRNazanin" w:hAnsi="IRNazanin" w:eastAsia="IRNazanin"/>
          <w:color w:val="111111"/>
          <w:sz w:val="28"/>
          <w:sz w:val="28"/>
          <w:szCs w:val="28"/>
          <w:rtl w:val="true"/>
          <w:lang w:bidi="fa-IR"/>
        </w:rPr>
        <w:t>الدار،</w:t>
      </w:r>
    </w:p>
    <w:p>
      <w:pPr>
        <w:pStyle w:val="BookText"/>
        <w:rPr/>
      </w:pPr>
      <w:r>
        <w:rPr>
          <w:rFonts w:ascii="IRNazanin" w:hAnsi="IRNazanin" w:eastAsia="IRNazanin"/>
          <w:color w:val="111111"/>
          <w:sz w:val="28"/>
          <w:sz w:val="28"/>
          <w:szCs w:val="28"/>
          <w:rtl w:val="true"/>
          <w:lang w:bidi="fa-IR"/>
        </w:rPr>
        <w:t>فإن علم أنّه أراد نصفه أو نصف الغیر عمل به،و إلّا فإن علم أنّه لم یقصد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نصف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مفهوم هذا اللفظ،ففیه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علی نصفه المملوک له،و حمله علی النصف المشاع بینه و بین الأجنبیّ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تعارض ظاهر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الحصّة المشاعة فی مجموع النصفین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ظهور انصرافه فی مثل المقام من مقامات التصرّف إلی نصفه المختصّ و إن لم یکن له هذا الظهور فی غیر </w:t>
      </w:r>
      <w:r>
        <w:rPr>
          <w:rStyle w:val="FootnoteAnchor"/>
          <w:rtl w:val="true"/>
        </w:rPr>
        <w:footnoteReference w:id="2720"/>
      </w:r>
      <w:r>
        <w:rPr>
          <w:rFonts w:ascii="IRNazanin" w:hAnsi="IRNazanin" w:eastAsia="IRNazanin"/>
          <w:color w:val="111111"/>
          <w:sz w:val="28"/>
          <w:sz w:val="28"/>
          <w:szCs w:val="28"/>
          <w:rtl w:val="true"/>
          <w:lang w:bidi="fa-IR"/>
        </w:rPr>
        <w:t>المقام،و لذا یحمل الإقرار علی الإشاعة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w:t>
      </w:r>
      <w:r>
        <w:rPr>
          <w:rStyle w:val="FootnoteAnchor"/>
          <w:rtl w:val="true"/>
        </w:rPr>
        <w:footnoteReference w:id="2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ظهور إنشاء البیع فی البیع لنفسه؛لأنّ بیع مال الغیر لا بدّ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نیّة الغیر،أو اعتقاد کون المال لنفسه،و إمّا من بنائه علی تملّکه للمال</w:t>
      </w:r>
    </w:p>
    <w:p>
      <w:pPr>
        <w:pStyle w:val="BookText"/>
        <w:rPr/>
      </w:pPr>
      <w:r>
        <w:rPr>
          <w:rFonts w:ascii="IRNazanin" w:hAnsi="IRNazanin" w:eastAsia="IRNazanin"/>
          <w:color w:val="111111"/>
          <w:sz w:val="28"/>
          <w:sz w:val="28"/>
          <w:szCs w:val="28"/>
          <w:rtl w:val="true"/>
          <w:lang w:bidi="fa-IR"/>
        </w:rPr>
        <w:t>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بیع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خلاف المفروض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الفرق بین ما نحن فیه،و بین قول البائع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غانماً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کون الاسم مشترکاً بین عبده و عبد غیره،حیث ادّعی فخر الدین قدّس سرّه الإجماع علی انصرافه إلی عبده،فقاس علیه ما نحن فیه </w:t>
      </w:r>
      <w:r>
        <w:rPr>
          <w:rStyle w:val="FootnoteAnchor"/>
          <w:rtl w:val="true"/>
        </w:rPr>
        <w:footnoteReference w:id="2722"/>
      </w:r>
      <w:r>
        <w:rPr>
          <w:rFonts w:ascii="IRNazanin" w:hAnsi="IRNazanin" w:eastAsia="IRNazanin"/>
          <w:color w:val="111111"/>
          <w:sz w:val="28"/>
          <w:sz w:val="28"/>
          <w:szCs w:val="28"/>
          <w:rtl w:val="true"/>
          <w:lang w:bidi="fa-IR"/>
        </w:rPr>
        <w:t xml:space="preserve">إذ لیس للفظ المبیع هنا ظهور فی عبد الغیر فیبقی </w:t>
      </w:r>
      <w:r>
        <w:rPr>
          <w:rStyle w:val="FootnoteAnchor"/>
          <w:rtl w:val="true"/>
        </w:rPr>
        <w:footnoteReference w:id="2723"/>
      </w:r>
      <w:r>
        <w:rPr>
          <w:rFonts w:ascii="IRNazanin" w:hAnsi="IRNazanin" w:eastAsia="IRNazanin"/>
          <w:color w:val="111111"/>
          <w:sz w:val="28"/>
          <w:sz w:val="28"/>
          <w:szCs w:val="28"/>
          <w:rtl w:val="true"/>
          <w:lang w:bidi="fa-IR"/>
        </w:rPr>
        <w:t xml:space="preserve">ظهور البیع فی وقوعه لنفس البائع،و انصراف لفظ المبیع فی مقام التصرّف إلی مال المتصرّف،سلیمین عن المعارض،فیفسّر بهما </w:t>
      </w:r>
      <w:r>
        <w:rPr>
          <w:rStyle w:val="FootnoteAnchor"/>
          <w:rtl w:val="true"/>
        </w:rPr>
        <w:footnoteReference w:id="2724"/>
      </w:r>
      <w:r>
        <w:rPr>
          <w:rFonts w:ascii="IRNazanin" w:hAnsi="IRNazanin" w:eastAsia="IRNazanin"/>
          <w:color w:val="111111"/>
          <w:sz w:val="28"/>
          <w:sz w:val="28"/>
          <w:szCs w:val="28"/>
          <w:rtl w:val="true"/>
          <w:lang w:bidi="fa-IR"/>
        </w:rPr>
        <w:t>إجمال لفظ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کان البائع وکیلاً فی بیع النصف أو ولیّاً عن مالکه،فهل هو کالأجنبی؟وجهان،مبنیّان علی أنّ المعارض لظهور النصف فی المشاع هو انصراف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مال البائع فی مقام التصرّف،أو ظهور التملیک فی الأصالة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هو الأوّل؛لأنّ ظهور التملیک فی الأصالة من باب الإطلاق،و ظهور النصف فی المشاع و إن کان کذلک أیضاً،إلّا أنّ ظهور المقیِّد وارد علی ظهور المُطلَق</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قصد الفضولی إلی مدلول اللفظ </w:t>
      </w:r>
      <w:r>
        <w:rPr>
          <w:rStyle w:val="FootnoteAnchor"/>
          <w:rtl w:val="true"/>
        </w:rPr>
        <w:footnoteReference w:id="2725"/>
      </w:r>
      <w:r>
        <w:rPr>
          <w:rFonts w:ascii="IRNazanin" w:hAnsi="IRNazanin" w:eastAsia="IRNazanin"/>
          <w:color w:val="111111"/>
          <w:sz w:val="28"/>
          <w:sz w:val="28"/>
          <w:szCs w:val="28"/>
          <w:rtl w:val="true"/>
          <w:lang w:bidi="fa-IR"/>
        </w:rPr>
        <w:t>،و إن کان مرجعه إلی ظهورٍ واردٍ علی ظهور المقیّد،إلّا أنّه مختصّ بالفضولی؛لأنّ القصد الحقیقی موجود فی الوکیل و الولیّ،فالأقوی</w:t>
      </w:r>
    </w:p>
    <w:p>
      <w:pPr>
        <w:pStyle w:val="BookText"/>
        <w:rPr/>
      </w:pPr>
      <w:r>
        <w:rPr>
          <w:rFonts w:ascii="IRNazanin" w:hAnsi="IRNazanin" w:eastAsia="IRNazanin"/>
          <w:color w:val="111111"/>
          <w:sz w:val="28"/>
          <w:sz w:val="28"/>
          <w:szCs w:val="28"/>
          <w:rtl w:val="true"/>
          <w:lang w:bidi="fa-IR"/>
        </w:rPr>
        <w:t xml:space="preserve">فیهما </w:t>
      </w:r>
      <w:r>
        <w:rPr>
          <w:rStyle w:val="FootnoteAnchor"/>
          <w:rtl w:val="true"/>
        </w:rPr>
        <w:footnoteReference w:id="2726"/>
      </w:r>
      <w:r>
        <w:rPr>
          <w:rFonts w:ascii="IRNazanin" w:hAnsi="IRNazanin" w:eastAsia="IRNazanin"/>
          <w:color w:val="111111"/>
          <w:sz w:val="28"/>
          <w:sz w:val="28"/>
          <w:szCs w:val="28"/>
          <w:rtl w:val="true"/>
          <w:lang w:bidi="fa-IR"/>
        </w:rPr>
        <w:t xml:space="preserve">الاشتراک فی البیع </w:t>
      </w:r>
      <w:r>
        <w:rPr>
          <w:rStyle w:val="FootnoteAnchor"/>
          <w:rtl w:val="true"/>
        </w:rPr>
        <w:footnoteReference w:id="2727"/>
      </w:r>
      <w:r>
        <w:rPr>
          <w:rFonts w:ascii="IRNazanin" w:hAnsi="IRNazanin" w:eastAsia="IRNazanin"/>
          <w:color w:val="111111"/>
          <w:sz w:val="28"/>
          <w:sz w:val="28"/>
          <w:szCs w:val="28"/>
          <w:rtl w:val="true"/>
          <w:lang w:bidi="fa-IR"/>
        </w:rPr>
        <w:t xml:space="preserve">تحکیماً لظاهر النصف،إلّا أن یمنع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فی النصف المشاع فی المجموع،و أمّا ملاحظة حقّی المالکین و إرادة الإشاعة فی الکلّ من حیث إنّه مجموعهما فغیر معلومة،بل معلوم </w:t>
      </w:r>
      <w:r>
        <w:rPr>
          <w:rStyle w:val="FootnoteAnchor"/>
          <w:rtl w:val="true"/>
        </w:rPr>
        <w:footnoteReference w:id="2728"/>
      </w:r>
      <w:r>
        <w:rPr>
          <w:rFonts w:ascii="IRNazanin" w:hAnsi="IRNazanin" w:eastAsia="IRNazanin"/>
          <w:color w:val="111111"/>
          <w:sz w:val="28"/>
          <w:sz w:val="28"/>
          <w:szCs w:val="28"/>
          <w:rtl w:val="true"/>
          <w:lang w:bidi="fa-IR"/>
        </w:rPr>
        <w:t>العدم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النصف المشاع بالمعنی المذکور یصدق علی نصفه المختصّ،فقد ملّک کلیّاً یملک مصداقه،فهو کما لو باع کلّیاً سلفاً،مع کونه مأذوناً فی بیع ذلک من </w:t>
      </w:r>
      <w:r>
        <w:rPr>
          <w:rStyle w:val="FootnoteAnchor"/>
          <w:rtl w:val="true"/>
        </w:rPr>
        <w:footnoteReference w:id="2729"/>
      </w:r>
      <w:r>
        <w:rPr>
          <w:rFonts w:ascii="IRNazanin" w:hAnsi="IRNazanin" w:eastAsia="IRNazanin"/>
          <w:color w:val="111111"/>
          <w:sz w:val="28"/>
          <w:sz w:val="28"/>
          <w:szCs w:val="28"/>
          <w:rtl w:val="true"/>
          <w:lang w:bidi="fa-IR"/>
        </w:rPr>
        <w:t>غیره أیضاً،لکنّه لم یقصد إلّا مدلول اللفظ من غیر ملاحظة وقوعه عنه أو عن غیره،فإنّ الظاهر وقوعه لنفسه؛لأنّه عقد علی ما یملکه،فصرفه إلی الغیر من دون صارف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لما ذکرنا ذکر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کالفاضلین </w:t>
      </w:r>
      <w:r>
        <w:rPr>
          <w:rStyle w:val="FootnoteAnchor"/>
          <w:rtl w:val="true"/>
        </w:rPr>
        <w:footnoteReference w:id="2730"/>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731"/>
      </w:r>
      <w:r>
        <w:rPr>
          <w:rFonts w:ascii="IRNazanin" w:hAnsi="IRNazanin" w:eastAsia="IRNazanin"/>
          <w:color w:val="111111"/>
          <w:sz w:val="28"/>
          <w:sz w:val="28"/>
          <w:szCs w:val="28"/>
          <w:rtl w:val="true"/>
          <w:lang w:bidi="fa-IR"/>
        </w:rPr>
        <w:t xml:space="preserve">و غیرهم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لو أصدق المرأة عیناً،فوهبت نصفها المشاع قبل الطلاق،استحقّ الزوج بالطلاق النصف الباقی،لا نصف الباقی و قیمة نصف الموهوب و إن</w:t>
      </w:r>
    </w:p>
    <w:p>
      <w:pPr>
        <w:pStyle w:val="BookText"/>
        <w:rPr/>
      </w:pPr>
      <w:r>
        <w:rPr>
          <w:rFonts w:ascii="IRNazanin" w:hAnsi="IRNazanin" w:eastAsia="IRNazanin"/>
          <w:color w:val="111111"/>
          <w:sz w:val="28"/>
          <w:sz w:val="28"/>
          <w:szCs w:val="28"/>
          <w:rtl w:val="true"/>
          <w:lang w:bidi="fa-IR"/>
        </w:rPr>
        <w:t xml:space="preserve">ذکروا ذلک احتمالاً </w:t>
      </w:r>
      <w:r>
        <w:rPr>
          <w:rStyle w:val="FootnoteAnchor"/>
          <w:rtl w:val="true"/>
        </w:rPr>
        <w:footnoteReference w:id="2733"/>
      </w:r>
      <w:r>
        <w:rPr>
          <w:rStyle w:val="FootnoteAnchor"/>
          <w:rtl w:val="true"/>
        </w:rPr>
        <w:footnoteReference w:id="2734"/>
      </w:r>
      <w:r>
        <w:rPr>
          <w:rFonts w:ascii="Amiri" w:hAnsi="Amiri" w:eastAsia="Amiri" w:cs="Amiri"/>
          <w:color w:val="111111"/>
          <w:sz w:val="28"/>
          <w:sz w:val="28"/>
          <w:szCs w:val="28"/>
          <w:rtl w:val="true"/>
          <w:lang w:bidi="ar-SA"/>
        </w:rPr>
        <w:t>،و لیس إلّا من جهة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الباقی، فیدخل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مٰا فَرَضْتُمْ </w:t>
      </w:r>
      <w:r>
        <w:rPr>
          <w:rStyle w:val="FootnoteAnchor"/>
          <w:rtl w:val="true"/>
        </w:rPr>
        <w:footnoteReference w:id="2735"/>
      </w:r>
      <w:r>
        <w:rPr>
          <w:rFonts w:ascii="IRNazanin" w:hAnsi="IRNazanin" w:eastAsia="IRNazanin"/>
          <w:color w:val="111111"/>
          <w:sz w:val="28"/>
          <w:sz w:val="28"/>
          <w:szCs w:val="28"/>
          <w:rtl w:val="true"/>
          <w:lang w:bidi="fa-IR"/>
        </w:rPr>
        <w:t>و إن کان یمکن توجیه هذا الحکم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لمّا کان الربع الباقی للمرأة من الموجود مِثلاً للربع التالف من الزوج،و مساویاً </w:t>
      </w:r>
      <w:r>
        <w:rPr>
          <w:rStyle w:val="FootnoteAnchor"/>
          <w:rtl w:val="true"/>
        </w:rPr>
        <w:footnoteReference w:id="2736"/>
      </w:r>
      <w:r>
        <w:rPr>
          <w:rFonts w:ascii="IRNazanin" w:hAnsi="IRNazanin" w:eastAsia="IRNazanin"/>
          <w:color w:val="111111"/>
          <w:sz w:val="28"/>
          <w:sz w:val="28"/>
          <w:szCs w:val="28"/>
          <w:rtl w:val="true"/>
          <w:lang w:bidi="fa-IR"/>
        </w:rPr>
        <w:t>له من جمیع الجهات،بل لا تغایر بینهما إلّا بالاعتبار،فلا وجه لاعتبار القیمة،نظیر ما لو دفع المقترض نفس العین المقترضة مع کونها قیمیّة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أنّهم لم یریدوا هذا الوجه،و إنّما </w:t>
      </w:r>
      <w:r>
        <w:rPr>
          <w:rStyle w:val="FootnoteAnchor"/>
          <w:rtl w:val="true"/>
        </w:rPr>
        <w:footnoteReference w:id="2737"/>
      </w:r>
      <w:r>
        <w:rPr>
          <w:rFonts w:ascii="IRNazanin" w:hAnsi="IRNazanin" w:eastAsia="IRNazanin"/>
          <w:color w:val="111111"/>
          <w:sz w:val="28"/>
          <w:sz w:val="28"/>
          <w:szCs w:val="28"/>
          <w:rtl w:val="true"/>
          <w:lang w:bidi="fa-IR"/>
        </w:rPr>
        <w:t>علّلوا استحقاقه للنصف الباقی ببقاء مقدار حقّه،فلا یخلو عن منافاةٍ لهذا المقام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 فی ظهور المنافاة لما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ذکروه </w:t>
      </w:r>
      <w:r>
        <w:rPr>
          <w:rStyle w:val="FootnoteAnchor"/>
          <w:rtl w:val="true"/>
        </w:rPr>
        <w:footnoteReference w:id="2738"/>
      </w:r>
      <w:r>
        <w:rPr>
          <w:rFonts w:ascii="IRNazanin" w:hAnsi="IRNazanin" w:eastAsia="IRNazanin"/>
          <w:color w:val="111111"/>
          <w:sz w:val="28"/>
          <w:sz w:val="28"/>
          <w:szCs w:val="28"/>
          <w:rtl w:val="true"/>
          <w:lang w:bidi="fa-IR"/>
        </w:rPr>
        <w:t>فی باب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إذا أقرّ من بیده المال لأحد المدّعیین للمال بسببٍ موجبٍ للشرکة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فصالحه المقرّ له علی ذلک النصف کان النصف مشاعاً فی نصیبهما،فإن أجاز شریکه نفذ فی المجموع و إلّا نفذ فی الربع؛فإنّ مقتضی ما ذکروه هنا اختصاص المصالح </w:t>
      </w:r>
      <w:r>
        <w:rPr>
          <w:rStyle w:val="FootnoteAnchor"/>
          <w:rtl w:val="true"/>
        </w:rPr>
        <w:footnoteReference w:id="2739"/>
      </w:r>
      <w:r>
        <w:rPr>
          <w:rFonts w:ascii="IRNazanin" w:hAnsi="IRNazanin" w:eastAsia="IRNazanin"/>
          <w:color w:val="111111"/>
          <w:sz w:val="28"/>
          <w:sz w:val="28"/>
          <w:szCs w:val="28"/>
          <w:rtl w:val="true"/>
          <w:lang w:bidi="fa-IR"/>
        </w:rPr>
        <w:t>بنصف المقرّ له؛لأنّه إن أوقع</w:t>
      </w:r>
    </w:p>
    <w:p>
      <w:pPr>
        <w:pStyle w:val="BookText"/>
        <w:rPr/>
      </w:pPr>
      <w:r>
        <w:rPr>
          <w:rFonts w:ascii="IRNazanin" w:hAnsi="IRNazanin" w:eastAsia="IRNazanin"/>
          <w:color w:val="111111"/>
          <w:sz w:val="28"/>
          <w:sz w:val="28"/>
          <w:szCs w:val="28"/>
          <w:rtl w:val="true"/>
          <w:lang w:bidi="fa-IR"/>
        </w:rPr>
        <w:t xml:space="preserve">الصلح علی نصفه الذی أقرّ له به فهو کما لو صالح نصفه قبل الإقرار مع غیر المقرّ أو معه،و إن أوقعه علی مطلق النصف المشاع انصرف أیضاً إلی حصّته،فلا وجه لاشتراکه بینه و بین شریکه؛و لذا اختار سیّد مشایخنا قدّس اللّه أسرارهم اختصاصه بالمقرّ له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فصّل فی المسالک بین ما لو وقع الصلح علی نصفه أو مطلق النصف،و بین ما إذا وقع علی النصف الذی أقرّ به ذو الید،فاختار مذهب المشهور فی الثالث؛لأنّ الإقرار منزّل علی الإشاعة،و حکم بالاختصاص فی الأوّلین؛لاختصاص النصف وضعاً فی الأوّل و انصرافاً فی الثانی إلی النصف المختصّ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اعترضه فی مجمع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هذا لیس تفصیلاً،بل مورد کلام المشهور هو الثالث؛لفرضهم المصالحة علی ذلک النصف المقرّ به </w:t>
      </w:r>
      <w:r>
        <w:rPr>
          <w:rStyle w:val="FootnoteAnchor"/>
          <w:rtl w:val="true"/>
        </w:rPr>
        <w:footnoteReference w:id="2742"/>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حال،فلا إشکال فی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به إذا وقع فی کلام المالک للنصف المشاع مجرّداً عن حالٍ أو مقالٍ یقتضی صَرفه إلی نصفه،یحمل علی المشاع فی نصیبه و نصیب شریکه؛و لهذا أفتوا ظاهراً علی أنّه لو أقرّ أحد الرجلین الشریکین الثابت ید کلٍّ منهما علی نصف العین،بأنّ ثلث العین لفلان،حمل علی الثلث المشاع فی النصیبین، فلو کذّبه الشریک الآخر،دفع المقرّ إلی المقرّ له نصفَ ما فی یده؛لأنّ</w:t>
      </w:r>
    </w:p>
    <w:p>
      <w:pPr>
        <w:pStyle w:val="BookText"/>
        <w:rPr/>
      </w:pPr>
      <w:r>
        <w:rPr>
          <w:rFonts w:ascii="IRNazanin" w:hAnsi="IRNazanin" w:eastAsia="IRNazanin"/>
          <w:color w:val="111111"/>
          <w:sz w:val="28"/>
          <w:sz w:val="28"/>
          <w:szCs w:val="28"/>
          <w:rtl w:val="true"/>
          <w:lang w:bidi="fa-IR"/>
        </w:rPr>
        <w:t xml:space="preserve">المنکر بزعم المقرّ ظالم للسدس بتصرّفه فی النصف؛لأنّه باعتقاده إنّما یستحقّ الثلث،فالسدس الفاضل فی ید المنکر نسبته إلی المقرّ و المقرّ له علی حدّ سواء؛فإنّه قدر تالف من العین المشترکة،فیوزّع </w:t>
      </w:r>
      <w:r>
        <w:rPr>
          <w:rStyle w:val="FootnoteAnchor"/>
          <w:rtl w:val="true"/>
        </w:rPr>
        <w:footnoteReference w:id="2743"/>
      </w:r>
      <w:r>
        <w:rPr>
          <w:rFonts w:ascii="IRNazanin" w:hAnsi="IRNazanin" w:eastAsia="IRNazanin"/>
          <w:color w:val="111111"/>
          <w:sz w:val="28"/>
          <w:sz w:val="28"/>
          <w:szCs w:val="28"/>
          <w:rtl w:val="true"/>
          <w:lang w:bidi="fa-IR"/>
        </w:rPr>
        <w:t>علی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الإشاعة تنزیل المقرّ به علی ما فی ید کلٍّ منهما،فیکون فی ید المقرّ سدس،و فی ید المنکر سدس،کما لو صرّح بذلک،و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له فی ید کلٍّ منهما </w:t>
      </w:r>
      <w:r>
        <w:rPr>
          <w:rStyle w:val="FootnoteAnchor"/>
          <w:rtl w:val="true"/>
        </w:rPr>
        <w:footnoteReference w:id="2744"/>
      </w:r>
      <w:r>
        <w:rPr>
          <w:rFonts w:ascii="IRNazanin" w:hAnsi="IRNazanin" w:eastAsia="IRNazanin"/>
          <w:color w:val="111111"/>
          <w:sz w:val="28"/>
          <w:sz w:val="28"/>
          <w:szCs w:val="28"/>
          <w:rtl w:val="true"/>
          <w:lang w:bidi="fa-IR"/>
        </w:rPr>
        <w:t>سدساً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إقراره بالنسبة إلی ما فی ید الغیر غیر مسموع،فلا یجب إلّا أن یدفع إلیه ثلث ما فی یده،و هو السدس المقرّ به،و قد تلف السدس الآخر بزعم المقرّ علی المقرّ له بتکذیب المنکر</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ما فی ید الغیر لیس عین ماله،فیکون کما لو أقرّ شخص بنصف کلٍّ من داره و دار غیره،بل هو </w:t>
      </w:r>
      <w:r>
        <w:rPr>
          <w:rStyle w:val="FootnoteAnchor"/>
          <w:rtl w:val="true"/>
        </w:rPr>
        <w:footnoteReference w:id="2745"/>
      </w:r>
      <w:r>
        <w:rPr>
          <w:rFonts w:ascii="IRNazanin" w:hAnsi="IRNazanin" w:eastAsia="IRNazanin"/>
          <w:color w:val="111111"/>
          <w:sz w:val="28"/>
          <w:sz w:val="28"/>
          <w:szCs w:val="28"/>
          <w:rtl w:val="true"/>
          <w:lang w:bidi="fa-IR"/>
        </w:rPr>
        <w:t>مقدار حصّته المشاعة،کحصّة المقرّ و حصّة المقرّ له بزعم المقرّ،إلّا أنّه لمّا لم یجبر المکذّب علی دفع شیء ممّا فی یده فقد تلف سدس مشاع یوزّع علی المقرّ و المقرّ له،فلا معنی لحسابه علی المقرّ له وحده،إلّا علی احتمالٍ ضعیف،و هو تعلّق الغصب بالمشاع و صحّة تقسیم الغاصب مع الشریک،فیتمحّض ما یأخذه الغاصب للمغصوب منه و ما یأخذه</w:t>
      </w:r>
    </w:p>
    <w:p>
      <w:pPr>
        <w:pStyle w:val="BookText"/>
        <w:rPr/>
      </w:pPr>
      <w:r>
        <w:rPr>
          <w:rFonts w:ascii="IRNazanin" w:hAnsi="IRNazanin" w:eastAsia="IRNazanin"/>
          <w:color w:val="111111"/>
          <w:sz w:val="28"/>
          <w:sz w:val="28"/>
          <w:szCs w:val="28"/>
          <w:rtl w:val="true"/>
          <w:lang w:bidi="fa-IR"/>
        </w:rPr>
        <w:t>الشریک لنفسه،لکنّه احتمال مضعّف فی محلّه و إن قال به أو مال إلیه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حکی </w:t>
      </w:r>
      <w:r>
        <w:rPr>
          <w:rStyle w:val="FootnoteAnchor"/>
          <w:rtl w:val="true"/>
        </w:rPr>
        <w:footnoteReference w:id="2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للحرج أو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نعم،یمکن أن یقال </w:t>
      </w:r>
      <w:r>
        <w:rPr>
          <w:rStyle w:val="FootnoteAnchor"/>
          <w:rtl w:val="true"/>
        </w:rPr>
        <w:footnoteReference w:id="2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التلف فی هذا المقام حاصل بإذن الشارع للمنکر الغاصب لحقّ المقرّ له باعتقاد المقرّ،و الشارع إنّما أذن له فی أخذ ما یأخذه علی أنّه من مال المقرّ له،فالشارع إنّما حسب السدس فی ید المنکر علی المقرّ له،فلا یحسب منه علی المقرّ شیء، و لیس هذا کأخذ الغاصب جزءاً معیّناً من المال عدواناً بدون إذن الشارع حتّی یحسب علی کلا الشریکین</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أخذ الجزء لمّا </w:t>
      </w:r>
      <w:r>
        <w:rPr>
          <w:rStyle w:val="FootnoteAnchor"/>
          <w:rtl w:val="true"/>
        </w:rPr>
        <w:footnoteReference w:id="2748"/>
      </w:r>
      <w:r>
        <w:rPr>
          <w:rFonts w:ascii="IRNazanin" w:hAnsi="IRNazanin" w:eastAsia="IRNazanin"/>
          <w:color w:val="111111"/>
          <w:sz w:val="28"/>
          <w:sz w:val="28"/>
          <w:szCs w:val="28"/>
          <w:rtl w:val="true"/>
          <w:lang w:bidi="fa-IR"/>
        </w:rPr>
        <w:t xml:space="preserve">کان بإذن الشارع و إنّما </w:t>
      </w:r>
      <w:r>
        <w:rPr>
          <w:rStyle w:val="FootnoteAnchor"/>
          <w:rtl w:val="true"/>
        </w:rPr>
        <w:footnoteReference w:id="2749"/>
      </w:r>
      <w:r>
        <w:rPr>
          <w:rFonts w:ascii="IRNazanin" w:hAnsi="IRNazanin" w:eastAsia="IRNazanin"/>
          <w:color w:val="111111"/>
          <w:sz w:val="28"/>
          <w:sz w:val="28"/>
          <w:szCs w:val="28"/>
          <w:rtl w:val="true"/>
          <w:lang w:bidi="fa-IR"/>
        </w:rPr>
        <w:t>أذن له علی أن یکون من مال المقرّ له؛و لعلّه لذا ذکر الأکثر بل نسبه فی الإیضاح إلی الأصحاب فی مسألة الإقرار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أحد الأخوین إذا أقرّ بثالث،دفع إلیه الزائد عمّا یستحقّه باعتقاده،و هو الثلث، و لا یدفع إلیه نصف ما فی یده؛نظراً إلی أنّه أقرّ بتساویهما فی مال المورّث،فکلّ ما حصل کان لهما،و کلّ ما توی </w:t>
      </w:r>
      <w:r>
        <w:rPr>
          <w:rStyle w:val="FootnoteAnchor"/>
          <w:rtl w:val="true"/>
        </w:rPr>
        <w:footnoteReference w:id="2750"/>
      </w:r>
      <w:r>
        <w:rPr>
          <w:rFonts w:ascii="IRNazanin" w:hAnsi="IRNazanin" w:eastAsia="IRNazanin"/>
          <w:color w:val="111111"/>
          <w:sz w:val="28"/>
          <w:sz w:val="28"/>
          <w:szCs w:val="28"/>
          <w:rtl w:val="true"/>
          <w:lang w:bidi="fa-IR"/>
        </w:rPr>
        <w:t xml:space="preserve">کان کذلک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لکن لا یخفی ضعف هذا الاحتمال؛من جهة أنّ الشارع ألزم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المقرّ مع المقرّ له بما یقتضیه الواقع الذی أقرّ به،و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العلم بصدق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کون ما فی یده علی حسب إقراره بالمناصفة،و أمّا المنکر </w:t>
      </w:r>
      <w:r>
        <w:rPr>
          <w:rStyle w:val="FootnoteAnchor"/>
          <w:rtl w:val="true"/>
        </w:rPr>
        <w:footnoteReference w:id="2752"/>
      </w:r>
      <w:r>
        <w:rPr>
          <w:rFonts w:ascii="Amiri" w:hAnsi="Amiri" w:eastAsia="Amiri" w:cs="Amiri"/>
          <w:color w:val="111111"/>
          <w:sz w:val="28"/>
          <w:sz w:val="28"/>
          <w:szCs w:val="28"/>
          <w:rtl w:val="true"/>
          <w:lang w:bidi="ar-SA"/>
        </w:rPr>
        <w:t xml:space="preserve">عالماً، فیکون ما فی یده مالاً مشترکاً لا یحلّ له منه إلّا ما قابل حقّه </w:t>
      </w:r>
      <w:r>
        <w:rPr>
          <w:rStyle w:val="FootnoteAnchor"/>
          <w:rtl w:val="true"/>
        </w:rPr>
        <w:footnoteReference w:id="2753"/>
      </w:r>
      <w:r>
        <w:rPr>
          <w:rFonts w:ascii="Amiri" w:hAnsi="Amiri" w:eastAsia="Amiri" w:cs="Amiri"/>
          <w:color w:val="111111"/>
          <w:sz w:val="28"/>
          <w:sz w:val="28"/>
          <w:szCs w:val="28"/>
          <w:rtl w:val="true"/>
          <w:lang w:bidi="ar-SA"/>
        </w:rPr>
        <w:t xml:space="preserve">ممّا </w:t>
      </w:r>
      <w:r>
        <w:rPr>
          <w:rStyle w:val="FootnoteAnchor"/>
          <w:rtl w:val="true"/>
        </w:rPr>
        <w:footnoteReference w:id="2754"/>
      </w:r>
      <w:r>
        <w:rPr>
          <w:rFonts w:ascii="IRNazanin" w:hAnsi="IRNazanin" w:eastAsia="IRNazanin"/>
          <w:color w:val="111111"/>
          <w:sz w:val="28"/>
          <w:sz w:val="28"/>
          <w:szCs w:val="28"/>
          <w:rtl w:val="true"/>
          <w:lang w:bidi="fa-IR"/>
        </w:rPr>
        <w:t>فی یدهما،و الزائد حقّ لهما علیه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مسألة الإقرار بالنسب،فالمشهور و إن صاروا إلی ما ذکر، و حکاه الکلینی عن الفضل بن شاذان </w:t>
      </w:r>
      <w:r>
        <w:rPr>
          <w:rStyle w:val="FootnoteAnchor"/>
          <w:rtl w:val="true"/>
        </w:rPr>
        <w:footnoteReference w:id="2755"/>
      </w:r>
      <w:r>
        <w:rPr>
          <w:rFonts w:ascii="IRNazanin" w:hAnsi="IRNazanin" w:eastAsia="IRNazanin"/>
          <w:color w:val="111111"/>
          <w:sz w:val="28"/>
          <w:sz w:val="28"/>
          <w:szCs w:val="28"/>
          <w:rtl w:val="true"/>
          <w:lang w:bidi="fa-IR"/>
        </w:rPr>
        <w:t xml:space="preserve">علی وجه الاعتماد،بل ظاهره جعل فتواه کروایته </w:t>
      </w:r>
      <w:r>
        <w:rPr>
          <w:rStyle w:val="FootnoteAnchor"/>
          <w:rtl w:val="true"/>
        </w:rPr>
        <w:footnoteReference w:id="2756"/>
      </w:r>
      <w:r>
        <w:rPr>
          <w:rFonts w:ascii="Amiri" w:hAnsi="Amiri" w:eastAsia="Amiri" w:cs="Amiri"/>
          <w:color w:val="111111"/>
          <w:sz w:val="28"/>
          <w:sz w:val="28"/>
          <w:szCs w:val="28"/>
          <w:rtl w:val="true"/>
          <w:lang w:bidi="ar-SA"/>
        </w:rPr>
        <w:t xml:space="preserve">،إلّا أنّه صرّح جماعة ممّن تأخّر عنهم </w:t>
      </w:r>
      <w:r>
        <w:rPr>
          <w:rStyle w:val="FootnoteAnchor"/>
          <w:rtl w:val="true"/>
        </w:rPr>
        <w:footnoteReference w:id="2757"/>
      </w:r>
      <w:r>
        <w:rPr>
          <w:rFonts w:ascii="IRNazanin" w:hAnsi="IRNazanin" w:eastAsia="IRNazanin"/>
          <w:color w:val="111111"/>
          <w:sz w:val="28"/>
          <w:sz w:val="28"/>
          <w:szCs w:val="28"/>
          <w:rtl w:val="true"/>
          <w:lang w:bidi="fa-IR"/>
        </w:rPr>
        <w:t xml:space="preserve">بمخالفته للقاعدة حتّی قوّی فی المسالک الحمل علی الإشاعة </w:t>
      </w:r>
      <w:r>
        <w:rPr>
          <w:rStyle w:val="FootnoteAnchor"/>
          <w:rtl w:val="true"/>
        </w:rPr>
        <w:footnoteReference w:id="2758"/>
      </w:r>
      <w:r>
        <w:rPr>
          <w:rFonts w:ascii="IRNazanin" w:hAnsi="IRNazanin" w:eastAsia="IRNazanin"/>
          <w:color w:val="111111"/>
          <w:sz w:val="28"/>
          <w:sz w:val="28"/>
          <w:szCs w:val="28"/>
          <w:rtl w:val="true"/>
          <w:lang w:bidi="fa-IR"/>
        </w:rPr>
        <w:t xml:space="preserve">،و تبعه سبطه </w:t>
      </w:r>
      <w:r>
        <w:rPr>
          <w:rStyle w:val="FootnoteAnchor"/>
          <w:rtl w:val="true"/>
        </w:rPr>
        <w:footnoteReference w:id="2759"/>
      </w:r>
      <w:r>
        <w:rPr>
          <w:rFonts w:ascii="IRNazanin" w:hAnsi="IRNazanin" w:eastAsia="IRNazanin"/>
          <w:color w:val="111111"/>
          <w:sz w:val="28"/>
          <w:sz w:val="28"/>
          <w:szCs w:val="28"/>
          <w:rtl w:val="true"/>
          <w:lang w:bidi="fa-IR"/>
        </w:rPr>
        <w:t xml:space="preserve">و سیّد الریاض </w:t>
      </w:r>
      <w:r>
        <w:rPr>
          <w:rStyle w:val="FootnoteAnchor"/>
          <w:rtl w:val="true"/>
        </w:rPr>
        <w:footnoteReference w:id="2760"/>
      </w:r>
      <w:r>
        <w:rPr>
          <w:rFonts w:ascii="IRNazanin" w:hAnsi="IRNazanin" w:eastAsia="IRNazanin"/>
          <w:color w:val="111111"/>
          <w:sz w:val="28"/>
          <w:sz w:val="28"/>
          <w:szCs w:val="28"/>
          <w:rtl w:val="true"/>
          <w:lang w:bidi="fa-IR"/>
        </w:rPr>
        <w:t xml:space="preserve">فی شرحی </w:t>
      </w:r>
      <w:r>
        <w:rPr>
          <w:rStyle w:val="FootnoteAnchor"/>
          <w:rtl w:val="true"/>
        </w:rPr>
        <w:footnoteReference w:id="2761"/>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مستند المشهور بعض الروایات الضعیفة المنجبر بعمل أصحاب الحدیث،کالفضل و الکلینی،بل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 الصدوق مرسلاً و الشیخ مسنداً عن أبی البختری وهب ابن وهب </w:t>
      </w:r>
      <w:r>
        <w:rPr>
          <w:rStyle w:val="FootnoteAnchor"/>
          <w:rtl w:val="true"/>
        </w:rPr>
        <w:footnoteReference w:id="2762"/>
      </w:r>
      <w:r>
        <w:rPr>
          <w:rFonts w:ascii="IRNazanin" w:hAnsi="IRNazanin" w:eastAsia="IRNazanin"/>
          <w:color w:val="111111"/>
          <w:sz w:val="28"/>
          <w:sz w:val="28"/>
          <w:szCs w:val="28"/>
          <w:rtl w:val="true"/>
          <w:lang w:bidi="fa-IR"/>
        </w:rPr>
        <w:t>،عن جعفر بن محمد عن أبیه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مات و ترک ورثة فأقرّ أحد الورثة بدین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یلزم ذلک فی حصّته </w:t>
      </w:r>
      <w:r>
        <w:rPr>
          <w:rStyle w:val="FootnoteAnchor"/>
          <w:rtl w:val="true"/>
        </w:rPr>
        <w:footnoteReference w:id="2763"/>
      </w:r>
      <w:r>
        <w:rPr>
          <w:rFonts w:ascii="IRNazanin" w:hAnsi="IRNazanin" w:eastAsia="IRNazanin"/>
          <w:color w:val="111111"/>
          <w:sz w:val="28"/>
          <w:sz w:val="28"/>
          <w:szCs w:val="28"/>
          <w:rtl w:val="true"/>
          <w:lang w:bidi="fa-IR"/>
        </w:rPr>
        <w:t xml:space="preserve">بقدر ما ورث،و لا یکون ذلک فی ماله کلّه،و </w:t>
      </w:r>
      <w:r>
        <w:rPr>
          <w:rStyle w:val="FootnoteAnchor"/>
          <w:rtl w:val="true"/>
        </w:rPr>
        <w:footnoteReference w:id="2764"/>
      </w:r>
      <w:r>
        <w:rPr>
          <w:rFonts w:ascii="IRNazanin" w:hAnsi="IRNazanin" w:eastAsia="IRNazanin"/>
          <w:color w:val="111111"/>
          <w:sz w:val="28"/>
          <w:sz w:val="28"/>
          <w:szCs w:val="28"/>
          <w:rtl w:val="true"/>
          <w:lang w:bidi="fa-IR"/>
        </w:rPr>
        <w:t xml:space="preserve">إن أقرّ اثنان من الورثة و کانا عدلین أُجیز ذلک علی الورثة </w:t>
      </w:r>
      <w:r>
        <w:rPr>
          <w:rStyle w:val="FootnoteAnchor"/>
          <w:rtl w:val="true"/>
        </w:rPr>
        <w:footnoteReference w:id="2765"/>
      </w:r>
      <w:r>
        <w:rPr>
          <w:rFonts w:ascii="IRNazanin" w:hAnsi="IRNazanin" w:eastAsia="IRNazanin"/>
          <w:color w:val="111111"/>
          <w:sz w:val="28"/>
          <w:sz w:val="28"/>
          <w:szCs w:val="28"/>
          <w:rtl w:val="true"/>
          <w:lang w:bidi="fa-IR"/>
        </w:rPr>
        <w:t xml:space="preserve">،و إن لم یکونا عدلین أُلزما فی حصّتهما </w:t>
      </w:r>
      <w:r>
        <w:rPr>
          <w:rStyle w:val="FootnoteAnchor"/>
          <w:rtl w:val="true"/>
        </w:rPr>
        <w:footnoteReference w:id="2766"/>
      </w:r>
      <w:r>
        <w:rPr>
          <w:rFonts w:ascii="IRNazanin" w:hAnsi="IRNazanin" w:eastAsia="IRNazanin"/>
          <w:color w:val="111111"/>
          <w:sz w:val="28"/>
          <w:sz w:val="28"/>
          <w:szCs w:val="28"/>
          <w:rtl w:val="true"/>
          <w:lang w:bidi="fa-IR"/>
        </w:rPr>
        <w:t xml:space="preserve">بقدر ما ورثا </w:t>
      </w:r>
      <w:r>
        <w:rPr>
          <w:rStyle w:val="FootnoteAnchor"/>
          <w:rtl w:val="true"/>
        </w:rPr>
        <w:footnoteReference w:id="2767"/>
      </w:r>
      <w:r>
        <w:rPr>
          <w:rFonts w:ascii="Amiri" w:hAnsi="Amiri" w:eastAsia="Amiri" w:cs="Amiri"/>
          <w:color w:val="111111"/>
          <w:sz w:val="28"/>
          <w:sz w:val="28"/>
          <w:szCs w:val="28"/>
          <w:rtl w:val="true"/>
          <w:lang w:bidi="ar-SA"/>
        </w:rPr>
        <w:t xml:space="preserve">، و کذلک إن أقرّ أحد الورثة بأخٍ أو أُخت فإنّما </w:t>
      </w:r>
      <w:r>
        <w:rPr>
          <w:rStyle w:val="FootnoteAnchor"/>
          <w:rtl w:val="true"/>
        </w:rPr>
        <w:footnoteReference w:id="2768"/>
      </w:r>
      <w:r>
        <w:rPr>
          <w:rFonts w:ascii="IRNazanin" w:hAnsi="IRNazanin" w:eastAsia="IRNazanin"/>
          <w:color w:val="111111"/>
          <w:sz w:val="28"/>
          <w:sz w:val="28"/>
          <w:szCs w:val="28"/>
          <w:rtl w:val="true"/>
          <w:lang w:bidi="fa-IR"/>
        </w:rPr>
        <w:t>یلزمه ذلک فی حصّته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لأخیه فهو شریک فی المال،و لا یثبت نسبه،فإن أقرّ اثنان فکذلک،إلّا أن یکونا عدلین، فیثبت نسبه و یضرب فی المیراث معهم</w:t>
      </w:r>
      <w:r>
        <w:rPr>
          <w:rFonts w:eastAsia="IRNazanin" w:cs="IRNazanin"/>
          <w:color w:val="111111"/>
          <w:sz w:val="28"/>
          <w:szCs w:val="28"/>
          <w:rtl w:val="true"/>
          <w:lang w:bidi="fa-IR"/>
        </w:rPr>
        <w:t xml:space="preserve">»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قرب الإسناد روایة الخبرین عن السندی بن محمّد </w:t>
      </w:r>
      <w:r>
        <w:rPr>
          <w:rStyle w:val="FootnoteAnchor"/>
          <w:rtl w:val="true"/>
        </w:rPr>
        <w:footnoteReference w:id="2770"/>
      </w:r>
      <w:r>
        <w:rPr>
          <w:rFonts w:ascii="IRNazanin" w:hAnsi="IRNazanin" w:eastAsia="IRNazanin"/>
          <w:color w:val="111111"/>
          <w:sz w:val="28"/>
          <w:sz w:val="28"/>
          <w:szCs w:val="28"/>
          <w:rtl w:val="true"/>
          <w:lang w:bidi="fa-IR"/>
        </w:rPr>
        <w:t xml:space="preserve">،و تمام الکلام فی محلّه من کتاب الإقرار أو المیراث </w:t>
      </w:r>
      <w:r>
        <w:rPr>
          <w:rStyle w:val="FootnoteAnchor"/>
          <w:rtl w:val="true"/>
        </w:rPr>
        <w:footnoteReference w:id="2771"/>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bookmarkStart w:id="845" w:name="pg19763_248277"/>
    </w:p>
    <w:p>
      <w:pPr>
        <w:pStyle w:val="Heading6"/>
        <w:numPr>
          <w:ilvl w:val="5"/>
          <w:numId w:val="1"/>
        </w:numPr>
        <w:rPr/>
      </w:pPr>
      <w:bookmarkStart w:id="846" w:name="__RefHeading___Toc5083066_2314609296"/>
      <w:bookmarkStart w:id="847" w:name="_Toc324"/>
      <w:bookmarkEnd w:id="845"/>
      <w:bookmarkEnd w:id="846"/>
      <w:r>
        <w:rPr>
          <w:rtl w:val="true"/>
        </w:rPr>
        <w:t>مسألة لو باع ما یقبل التملّک و ما لا یقبله کالخمر و الخنزیر</w:t>
      </w:r>
      <w:r>
        <w:rPr>
          <w:rtl w:val="true"/>
        </w:rPr>
        <w:t>-</w:t>
      </w:r>
      <w:r>
        <w:rPr>
          <w:rtl w:val="true"/>
        </w:rPr>
        <w:t>صفقةً بثمنٍ واحد،صحّ فی المملوک عندنا،</w:t>
      </w:r>
      <w:bookmarkEnd w:id="847"/>
    </w:p>
    <w:p>
      <w:pPr>
        <w:pStyle w:val="BookText"/>
        <w:rPr/>
      </w:pPr>
      <w:r>
        <w:rPr>
          <w:rFonts w:ascii="IRNazanin" w:hAnsi="IRNazanin" w:eastAsia="IRNazanin"/>
          <w:color w:val="111111"/>
          <w:sz w:val="28"/>
          <w:sz w:val="28"/>
          <w:szCs w:val="28"/>
          <w:rtl w:val="true"/>
          <w:lang w:bidi="fa-IR"/>
        </w:rPr>
        <w:t xml:space="preserve">کما فی جامع المقاصد </w:t>
      </w:r>
      <w:r>
        <w:rPr>
          <w:rStyle w:val="FootnoteAnchor"/>
          <w:rtl w:val="true"/>
        </w:rPr>
        <w:footnoteReference w:id="2772"/>
      </w:r>
      <w:r>
        <w:rPr>
          <w:rFonts w:ascii="IRNazanin" w:hAnsi="IRNazanin" w:eastAsia="IRNazanin"/>
          <w:color w:val="111111"/>
          <w:sz w:val="28"/>
          <w:sz w:val="28"/>
          <w:szCs w:val="28"/>
          <w:rtl w:val="true"/>
          <w:lang w:bidi="fa-IR"/>
        </w:rPr>
        <w:t xml:space="preserve">،و إجماعاً، کما عن الغنیة </w:t>
      </w:r>
      <w:r>
        <w:rPr>
          <w:rStyle w:val="FootnoteAnchor"/>
          <w:rtl w:val="true"/>
        </w:rPr>
        <w:footnoteReference w:id="2773"/>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مکاتبة الصفّار المتقدّمة </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انصرافه إلی صورة کون بعض القریة المذکورة فیها مال الغیر،ممنوعة،بل لا مانع من جریان قاعدة الصحّة،بل اللزوم فی العقود،عدا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التراضی و التعاقد إنّما وقع علی المجموع الذی لم یمضه الشارع قطعاً،فالحکم بالإمضاء فی البعض مع عدم کونه مقصوداً إلّا فی ضمن المرکّب یحتاج إلی دلیلٍ آخر غیر ما دلّ علی حکم العقود و الشروط و التجارة عن تراضٍ؛و لذا حکموا بفساد العقد</w:t>
      </w:r>
    </w:p>
    <w:p>
      <w:pPr>
        <w:pStyle w:val="BookText"/>
        <w:rPr/>
      </w:pPr>
      <w:r>
        <w:rPr>
          <w:rFonts w:ascii="IRNazanin" w:hAnsi="IRNazanin" w:eastAsia="IRNazanin"/>
          <w:color w:val="111111"/>
          <w:sz w:val="28"/>
          <w:sz w:val="28"/>
          <w:szCs w:val="28"/>
          <w:rtl w:val="true"/>
          <w:lang w:bidi="fa-IR"/>
        </w:rPr>
        <w:t>بفساد شرطه،و قد نبّه علیه فی جامع المقاصد فی باب فساد الشرط،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 الفرق بین فساد الشرط و الجزء عسراً </w:t>
      </w:r>
      <w:r>
        <w:rPr>
          <w:rStyle w:val="FootnoteAnchor"/>
          <w:rtl w:val="true"/>
        </w:rPr>
        <w:footnoteReference w:id="2775"/>
      </w:r>
      <w:r>
        <w:rPr>
          <w:rFonts w:ascii="IRNazanin" w:hAnsi="IRNazanin" w:eastAsia="IRNazanin"/>
          <w:color w:val="111111"/>
          <w:sz w:val="28"/>
          <w:sz w:val="28"/>
          <w:szCs w:val="28"/>
          <w:rtl w:val="true"/>
          <w:lang w:bidi="fa-IR"/>
        </w:rPr>
        <w:t xml:space="preserve">،و تمام الکلام فی باب الشروط،و یکفی هنا الفرق بالنصّ </w:t>
      </w:r>
      <w:r>
        <w:rPr>
          <w:rStyle w:val="FootnoteAnchor"/>
          <w:rtl w:val="true"/>
        </w:rPr>
        <w:footnoteReference w:id="2776"/>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نعم،ربما یقیّد الحکم بصورة جهل المشتری،لما ذکره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للمحکیّ فی التذکرة عن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إفضائه إلی الجهل بثمن المبیع </w:t>
      </w:r>
      <w:r>
        <w:rPr>
          <w:rStyle w:val="FootnoteAnchor"/>
          <w:rtl w:val="true"/>
        </w:rPr>
        <w:footnoteReference w:id="2777"/>
      </w:r>
      <w:r>
        <w:rPr>
          <w:rFonts w:ascii="IRNazanin" w:hAnsi="IRNazanin" w:eastAsia="IRNazanin"/>
          <w:color w:val="111111"/>
          <w:sz w:val="28"/>
          <w:sz w:val="28"/>
          <w:szCs w:val="28"/>
          <w:rtl w:val="true"/>
          <w:lang w:bidi="fa-IR"/>
        </w:rPr>
        <w:t>،قال فی التذکرة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عندی بعیداً من </w:t>
      </w:r>
      <w:r>
        <w:rPr>
          <w:rStyle w:val="FootnoteAnchor"/>
          <w:rtl w:val="true"/>
        </w:rPr>
        <w:footnoteReference w:id="2778"/>
      </w:r>
      <w:r>
        <w:rPr>
          <w:rFonts w:ascii="IRNazanin" w:hAnsi="IRNazanin" w:eastAsia="IRNazanin"/>
          <w:color w:val="111111"/>
          <w:sz w:val="28"/>
          <w:sz w:val="28"/>
          <w:szCs w:val="28"/>
          <w:rtl w:val="true"/>
          <w:lang w:bidi="fa-IR"/>
        </w:rPr>
        <w:t xml:space="preserve">الصواب الحکم بالبطلان فیما إذا علم المشتری حریّة </w:t>
      </w:r>
      <w:r>
        <w:rPr>
          <w:rStyle w:val="FootnoteAnchor"/>
          <w:rtl w:val="true"/>
        </w:rPr>
        <w:footnoteReference w:id="2779"/>
      </w:r>
      <w:r>
        <w:rPr>
          <w:rFonts w:ascii="IRNazanin" w:hAnsi="IRNazanin" w:eastAsia="IRNazanin"/>
          <w:color w:val="111111"/>
          <w:sz w:val="28"/>
          <w:sz w:val="28"/>
          <w:szCs w:val="28"/>
          <w:rtl w:val="true"/>
          <w:lang w:bidi="fa-IR"/>
        </w:rPr>
        <w:t xml:space="preserve">الآخر،أو کونه ممّا لا ینقل إلیه </w:t>
      </w:r>
      <w:r>
        <w:rPr>
          <w:rStyle w:val="FootnoteAnchor"/>
          <w:rtl w:val="true"/>
        </w:rPr>
        <w:footnoteReference w:id="27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دفعه بأنّ اللازم هو العلم بثمن المجموع الذی قصد إلی نقله عرفاً و إن علم الناقل بعدم إمضاء الشارع له،فإنّ هذا العلم غیر منافٍ لقصد النقل </w:t>
      </w:r>
      <w:r>
        <w:rPr>
          <w:rStyle w:val="FootnoteAnchor"/>
          <w:rtl w:val="true"/>
        </w:rPr>
        <w:footnoteReference w:id="2781"/>
      </w:r>
      <w:r>
        <w:rPr>
          <w:rFonts w:ascii="IRNazanin" w:hAnsi="IRNazanin" w:eastAsia="IRNazanin"/>
          <w:color w:val="111111"/>
          <w:sz w:val="28"/>
          <w:sz w:val="28"/>
          <w:szCs w:val="28"/>
          <w:rtl w:val="true"/>
          <w:lang w:bidi="fa-IR"/>
        </w:rPr>
        <w:t xml:space="preserve">حقیقة،فبیع الغرر المتعلّق لنهی الشارع و حکمه علیه بالفساد،هو ما کان غرراً فی نفسه مع قطع النظر عمّا یحکم علیه من </w:t>
      </w:r>
      <w:r>
        <w:rPr>
          <w:rStyle w:val="FootnoteAnchor"/>
          <w:rtl w:val="true"/>
        </w:rPr>
        <w:footnoteReference w:id="2782"/>
      </w:r>
      <w:r>
        <w:rPr>
          <w:rFonts w:ascii="IRNazanin" w:hAnsi="IRNazanin" w:eastAsia="IRNazanin"/>
          <w:color w:val="111111"/>
          <w:sz w:val="28"/>
          <w:sz w:val="28"/>
          <w:szCs w:val="28"/>
          <w:rtl w:val="true"/>
          <w:lang w:bidi="fa-IR"/>
        </w:rPr>
        <w:t>الشارع،مع أنّه لو تمّ ما ذکر لاقتضی صرف مجموع الثمن إلی</w:t>
      </w:r>
    </w:p>
    <w:p>
      <w:pPr>
        <w:pStyle w:val="BookText"/>
        <w:rPr/>
      </w:pPr>
      <w:r>
        <w:rPr>
          <w:rFonts w:ascii="IRNazanin" w:hAnsi="IRNazanin" w:eastAsia="IRNazanin"/>
          <w:color w:val="111111"/>
          <w:sz w:val="28"/>
          <w:sz w:val="28"/>
          <w:szCs w:val="28"/>
          <w:rtl w:val="true"/>
          <w:lang w:bidi="fa-IR"/>
        </w:rPr>
        <w:t>المملوک،لا البطلان؛لأنّ المشتری القادم علی ضمان المجموع بالثمن مع علمه بعدم سلامة البعض له قادم علی ضمان المملوک وحده بالثمن، کما صرّح به الشهید فی محکیّ الحواشی المنسوبة إلیه،حیث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الحکم مقیّد بجهل المشتری بعین المبیع أو حکمه </w:t>
      </w:r>
      <w:r>
        <w:rPr>
          <w:rStyle w:val="FootnoteAnchor"/>
          <w:rtl w:val="true"/>
        </w:rPr>
        <w:footnoteReference w:id="2783"/>
      </w:r>
      <w:r>
        <w:rPr>
          <w:rFonts w:ascii="IRNazanin" w:hAnsi="IRNazanin" w:eastAsia="IRNazanin"/>
          <w:color w:val="111111"/>
          <w:sz w:val="28"/>
          <w:sz w:val="28"/>
          <w:szCs w:val="28"/>
          <w:rtl w:val="true"/>
          <w:lang w:bidi="fa-IR"/>
        </w:rPr>
        <w:t xml:space="preserve">و إلّا لکان البذل بإزاء المملوک؛ضرورة أنّ القصد إلی الممتنع کلا قصد </w:t>
      </w:r>
      <w:r>
        <w:rPr>
          <w:rStyle w:val="FootnoteAnchor"/>
          <w:rtl w:val="true"/>
        </w:rPr>
        <w:footnoteReference w:id="278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ذکره قدّس سرّه مخالف لظاهر المشهور،حیث حکموا بالتقسیط و إن کان مناسباً لما ذکروه فی بیع مال الغیر من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رجوعه بالثمن إلی البائع؛لأنّه سلّطه علیه مجّاناً،فإنّ مقتضی ذلک عدم رجوع المشتری بقسط غیر المملوک،إمّا لوقوع المجموع فی مقابل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من الحواشی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لبقاء ذلک القسط له مجّاناً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قد یلوح من جامع المقاصد </w:t>
      </w:r>
      <w:r>
        <w:rPr>
          <w:rStyle w:val="FootnoteAnchor"/>
          <w:rtl w:val="true"/>
        </w:rPr>
        <w:footnoteReference w:id="2785"/>
      </w:r>
      <w:r>
        <w:rPr>
          <w:rFonts w:ascii="IRNazanin" w:hAnsi="IRNazanin" w:eastAsia="IRNazanin"/>
          <w:color w:val="111111"/>
          <w:sz w:val="28"/>
          <w:sz w:val="28"/>
          <w:szCs w:val="28"/>
          <w:rtl w:val="true"/>
          <w:lang w:bidi="fa-IR"/>
        </w:rPr>
        <w:t xml:space="preserve">و المسالک </w:t>
      </w:r>
      <w:r>
        <w:rPr>
          <w:rStyle w:val="FootnoteAnchor"/>
          <w:rtl w:val="true"/>
        </w:rPr>
        <w:footnoteReference w:id="2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أنّک قد عرفت أنّ الحکم هناک </w:t>
      </w:r>
      <w:r>
        <w:rPr>
          <w:rStyle w:val="FootnoteAnchor"/>
          <w:rtl w:val="true"/>
        </w:rPr>
        <w:footnoteReference w:id="2787"/>
      </w:r>
      <w:r>
        <w:rPr>
          <w:rFonts w:ascii="IRNazanin" w:hAnsi="IRNazanin" w:eastAsia="IRNazanin"/>
          <w:color w:val="111111"/>
          <w:sz w:val="28"/>
          <w:sz w:val="28"/>
          <w:szCs w:val="28"/>
          <w:rtl w:val="true"/>
          <w:lang w:bidi="fa-IR"/>
        </w:rPr>
        <w:t>لا یکاد ینطبق علی القواعد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طریق تقسیط الثمن علی المملوک و غیره یعرف ممّا تقدّم فی بیع ماله مع </w:t>
      </w:r>
      <w:r>
        <w:rPr>
          <w:rStyle w:val="FootnoteAnchor"/>
          <w:rtl w:val="true"/>
        </w:rPr>
        <w:footnoteReference w:id="2788"/>
      </w:r>
      <w:r>
        <w:rPr>
          <w:rFonts w:ascii="IRNazanin" w:hAnsi="IRNazanin" w:eastAsia="IRNazanin"/>
          <w:color w:val="111111"/>
          <w:sz w:val="28"/>
          <w:sz w:val="28"/>
          <w:szCs w:val="28"/>
          <w:rtl w:val="true"/>
          <w:lang w:bidi="fa-IR"/>
        </w:rPr>
        <w:t xml:space="preserve">مال الغیر </w:t>
      </w:r>
      <w:r>
        <w:rPr>
          <w:rStyle w:val="FootnoteAnchor"/>
          <w:rtl w:val="true"/>
        </w:rPr>
        <w:footnoteReference w:id="2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العبرة بتقویم کلّ منهما منفرداً،</w:t>
      </w:r>
    </w:p>
    <w:p>
      <w:pPr>
        <w:pStyle w:val="BookText"/>
        <w:rPr/>
      </w:pPr>
      <w:r>
        <w:rPr>
          <w:rFonts w:ascii="IRNazanin" w:hAnsi="IRNazanin" w:eastAsia="IRNazanin"/>
          <w:color w:val="111111"/>
          <w:sz w:val="28"/>
          <w:sz w:val="28"/>
          <w:szCs w:val="28"/>
          <w:rtl w:val="true"/>
          <w:lang w:bidi="fa-IR"/>
        </w:rPr>
        <w:t>و نسبة قیمة المملوک إلی مجموع القیمتین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الکلام هنا فی طریق معرفة قیمة غیر المملوک،و قد ذکروا </w:t>
      </w:r>
      <w:r>
        <w:rPr>
          <w:rStyle w:val="FootnoteAnchor"/>
          <w:rtl w:val="true"/>
        </w:rPr>
        <w:footnoteReference w:id="2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الحرّ یُفرض عبداً بصفاته و یقوّم،و الخمر و الخنزیر </w:t>
      </w:r>
      <w:r>
        <w:rPr>
          <w:rStyle w:val="FootnoteAnchor"/>
          <w:rtl w:val="true"/>
        </w:rPr>
        <w:footnoteReference w:id="2791"/>
      </w:r>
      <w:r>
        <w:rPr>
          <w:rFonts w:ascii="IRNazanin" w:hAnsi="IRNazanin" w:eastAsia="IRNazanin"/>
          <w:color w:val="111111"/>
          <w:sz w:val="28"/>
          <w:sz w:val="28"/>
          <w:szCs w:val="28"/>
          <w:rtl w:val="true"/>
          <w:lang w:bidi="fa-IR"/>
        </w:rPr>
        <w:t>یقوّمان بقیمتهما عند من یراهما مالاً،و یعرف تلک القیمة بشهادة عدلین مطّلعین علی ذلک؛لکونهما مسبوقین بالکفر أو مجاورین للکفّار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یشکل تقویم الخمر و الخنزیر بقیمتهما إذا باع الخنزیر بعنوان أنّها </w:t>
      </w:r>
      <w:r>
        <w:rPr>
          <w:rStyle w:val="FootnoteAnchor"/>
          <w:rtl w:val="true"/>
        </w:rPr>
        <w:footnoteReference w:id="2792"/>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الخمر بعنوان أنّها خلّ فبان الخلاف،بل جزم بعضٌ هنا بوجوب تقویمهما قیمة الخلّ و الشاة،کالحرّ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bookmarkStart w:id="848" w:name="pg19763_248281"/>
    </w:p>
    <w:p>
      <w:pPr>
        <w:pStyle w:val="Heading6"/>
        <w:numPr>
          <w:ilvl w:val="5"/>
          <w:numId w:val="1"/>
        </w:numPr>
        <w:rPr/>
      </w:pPr>
      <w:bookmarkStart w:id="849" w:name="__RefHeading___Toc5083068_2314609296"/>
      <w:bookmarkStart w:id="850" w:name="_Toc325"/>
      <w:bookmarkEnd w:id="848"/>
      <w:bookmarkEnd w:id="849"/>
      <w:r>
        <w:rPr>
          <w:rtl w:val="true"/>
        </w:rPr>
        <w:t xml:space="preserve">مسألة </w:t>
      </w:r>
      <w:r>
        <w:rPr>
          <w:rtl w:val="true"/>
        </w:rPr>
        <w:t>[</w:t>
      </w:r>
      <w:r>
        <w:rPr>
          <w:rtl w:val="true"/>
        </w:rPr>
        <w:t>فی ولایة الأب و الجدّ</w:t>
      </w:r>
      <w:r>
        <w:rPr>
          <w:rtl w:val="true"/>
        </w:rPr>
        <w:t>]</w:t>
      </w:r>
      <w:bookmarkEnd w:id="850"/>
    </w:p>
    <w:p>
      <w:pPr>
        <w:pStyle w:val="BookText"/>
        <w:rPr/>
      </w:pPr>
      <w:r>
        <w:rPr>
          <w:rStyle w:val="FootnoteAnchor"/>
          <w:rtl w:val="true"/>
        </w:rPr>
        <w:footnoteReference w:id="2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للأب و الجدّ أن یتصرّفا فی مال الطفل بالبیع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المستفیضة المصرِّحة فی موارد کثیرة </w:t>
      </w:r>
      <w:r>
        <w:rPr>
          <w:rStyle w:val="FootnoteAnchor"/>
          <w:rtl w:val="true"/>
        </w:rPr>
        <w:footnoteReference w:id="2795"/>
      </w:r>
      <w:r>
        <w:rPr>
          <w:rFonts w:ascii="IRNazanin" w:hAnsi="IRNazanin" w:eastAsia="IRNazanin"/>
          <w:color w:val="111111"/>
          <w:sz w:val="28"/>
          <w:sz w:val="28"/>
          <w:szCs w:val="28"/>
          <w:rtl w:val="true"/>
          <w:lang w:bidi="fa-IR"/>
        </w:rPr>
        <w:t xml:space="preserve">،و فحوی سلطنتهما علی بُضْع البنت فی باب النکاح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المشهور عدم اعتبار العدالة؛للأصل،و الإطلاقات،و فحوی الإجماع المحکی عن التذکرة علی ولایة الفاسق فی التزویج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للمحکیّ عن الوسیلة </w:t>
      </w:r>
      <w:r>
        <w:rPr>
          <w:rStyle w:val="FootnoteAnchor"/>
          <w:rtl w:val="true"/>
        </w:rPr>
        <w:footnoteReference w:id="2798"/>
      </w:r>
      <w:r>
        <w:rPr>
          <w:rFonts w:ascii="IRNazanin" w:hAnsi="IRNazanin" w:eastAsia="IRNazanin"/>
          <w:color w:val="111111"/>
          <w:sz w:val="28"/>
          <w:sz w:val="28"/>
          <w:szCs w:val="28"/>
          <w:rtl w:val="true"/>
          <w:lang w:bidi="fa-IR"/>
        </w:rPr>
        <w:t xml:space="preserve">و الإیضاح </w:t>
      </w:r>
      <w:r>
        <w:rPr>
          <w:rStyle w:val="FootnoteAnchor"/>
          <w:rtl w:val="true"/>
        </w:rPr>
        <w:footnoteReference w:id="2799"/>
      </w:r>
      <w:r>
        <w:rPr>
          <w:rFonts w:ascii="IRNazanin" w:hAnsi="IRNazanin" w:eastAsia="IRNazanin"/>
          <w:color w:val="111111"/>
          <w:sz w:val="28"/>
          <w:sz w:val="28"/>
          <w:szCs w:val="28"/>
          <w:rtl w:val="true"/>
          <w:lang w:bidi="fa-IR"/>
        </w:rPr>
        <w:t>فاعتبراها فیهما؛</w:t>
      </w:r>
    </w:p>
    <w:p>
      <w:pPr>
        <w:pStyle w:val="BookText"/>
        <w:rPr/>
      </w:pPr>
      <w:r>
        <w:rPr>
          <w:rFonts w:ascii="IRNazanin" w:hAnsi="IRNazanin" w:eastAsia="IRNazanin"/>
          <w:color w:val="111111"/>
          <w:sz w:val="28"/>
          <w:sz w:val="28"/>
          <w:szCs w:val="28"/>
          <w:rtl w:val="true"/>
          <w:lang w:bidi="fa-IR"/>
        </w:rPr>
        <w:t>مستدلاً فی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ولایة علی من لا یدفع عن نفسه و لا یصرف عن ماله،و یستحیل من حکمة الصانع أن یجعل الفاسق أمیناً یقبل إقراراته </w:t>
      </w:r>
      <w:r>
        <w:rPr>
          <w:rStyle w:val="FootnoteAnchor"/>
          <w:rtl w:val="true"/>
        </w:rPr>
        <w:footnoteReference w:id="2800"/>
      </w:r>
      <w:r>
        <w:rPr>
          <w:rFonts w:ascii="IRNazanin" w:hAnsi="IRNazanin" w:eastAsia="IRNazanin"/>
          <w:color w:val="111111"/>
          <w:sz w:val="28"/>
          <w:sz w:val="28"/>
          <w:szCs w:val="28"/>
          <w:rtl w:val="true"/>
          <w:lang w:bidi="fa-IR"/>
        </w:rPr>
        <w:t xml:space="preserve">و إخباراته عن </w:t>
      </w:r>
      <w:r>
        <w:rPr>
          <w:rStyle w:val="FootnoteAnchor"/>
          <w:rtl w:val="true"/>
        </w:rPr>
        <w:footnoteReference w:id="2801"/>
      </w:r>
      <w:r>
        <w:rPr>
          <w:rFonts w:ascii="IRNazanin" w:hAnsi="IRNazanin" w:eastAsia="IRNazanin"/>
          <w:color w:val="111111"/>
          <w:sz w:val="28"/>
          <w:sz w:val="28"/>
          <w:szCs w:val="28"/>
          <w:rtl w:val="true"/>
          <w:lang w:bidi="fa-IR"/>
        </w:rPr>
        <w:t xml:space="preserve">غیره مع نصّ القرآن علی خلافه،انتهی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لعلّه أراد بنصّ القرآن آیة الرکون إلی الظالم </w:t>
      </w:r>
      <w:r>
        <w:rPr>
          <w:rStyle w:val="FootnoteAnchor"/>
          <w:rtl w:val="true"/>
        </w:rPr>
        <w:footnoteReference w:id="2803"/>
      </w:r>
      <w:r>
        <w:rPr>
          <w:rFonts w:ascii="IRNazanin" w:hAnsi="IRNazanin" w:eastAsia="IRNazanin"/>
          <w:color w:val="111111"/>
          <w:sz w:val="28"/>
          <w:sz w:val="28"/>
          <w:szCs w:val="28"/>
          <w:rtl w:val="true"/>
          <w:lang w:bidi="fa-IR"/>
        </w:rPr>
        <w:t xml:space="preserve">التی أشار إلیها فی جامع المقاصد </w:t>
      </w:r>
      <w:r>
        <w:rPr>
          <w:rStyle w:val="FootnoteAnchor"/>
          <w:rtl w:val="true"/>
        </w:rPr>
        <w:footnoteReference w:id="2804"/>
      </w:r>
      <w:r>
        <w:rPr>
          <w:rFonts w:ascii="IRNazanin" w:hAnsi="IRNazanin" w:eastAsia="IRNazanin"/>
          <w:color w:val="111111"/>
          <w:sz w:val="28"/>
          <w:sz w:val="28"/>
          <w:szCs w:val="28"/>
          <w:rtl w:val="true"/>
          <w:lang w:bidi="fa-IR"/>
        </w:rPr>
        <w:t>،و فی دلالة الآیة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منها ما ذکره فی الإیضاح من الاستحالة؛إذ المحذور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الحاکم متی ظهر عنده بقرائن الأحوال اختلال </w:t>
      </w:r>
      <w:r>
        <w:rPr>
          <w:rStyle w:val="FootnoteAnchor"/>
          <w:rtl w:val="true"/>
        </w:rPr>
        <w:footnoteReference w:id="2805"/>
      </w:r>
      <w:r>
        <w:rPr>
          <w:rFonts w:ascii="IRNazanin" w:hAnsi="IRNazanin" w:eastAsia="IRNazanin"/>
          <w:color w:val="111111"/>
          <w:sz w:val="28"/>
          <w:sz w:val="28"/>
          <w:szCs w:val="28"/>
          <w:rtl w:val="true"/>
          <w:lang w:bidi="fa-IR"/>
        </w:rPr>
        <w:t xml:space="preserve">حال </w:t>
      </w:r>
      <w:r>
        <w:rPr>
          <w:rStyle w:val="FootnoteAnchor"/>
          <w:rtl w:val="true"/>
        </w:rPr>
        <w:footnoteReference w:id="2806"/>
      </w:r>
      <w:r>
        <w:rPr>
          <w:rFonts w:ascii="IRNazanin" w:hAnsi="IRNazanin" w:eastAsia="IRNazanin"/>
          <w:color w:val="111111"/>
          <w:sz w:val="28"/>
          <w:sz w:val="28"/>
          <w:szCs w:val="28"/>
          <w:rtl w:val="true"/>
          <w:lang w:bidi="fa-IR"/>
        </w:rPr>
        <w:t xml:space="preserve">الطفل عزله و منعه من التصرّف فی ماله و إثبات الید علیه،و إن لم یظهر خلافه فولایته ثابتة،و إن لم یعلم استعلم حاله بالاجتهاد و تتبّع سلوکه و شواهد أحواله </w:t>
      </w:r>
      <w:r>
        <w:rPr>
          <w:rStyle w:val="FootnoteAnchor"/>
          <w:rtl w:val="true"/>
        </w:rPr>
        <w:footnoteReference w:id="280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یشترط فی تصرّفه </w:t>
      </w:r>
      <w:r>
        <w:rPr>
          <w:rStyle w:val="FootnoteAnchor"/>
          <w:rtl w:val="true"/>
        </w:rPr>
        <w:footnoteReference w:id="2808"/>
      </w:r>
      <w:r>
        <w:rPr>
          <w:rFonts w:ascii="IRNazanin" w:hAnsi="IRNazanin" w:eastAsia="IRNazanin"/>
          <w:color w:val="111111"/>
          <w:sz w:val="28"/>
          <w:sz w:val="28"/>
          <w:szCs w:val="28"/>
          <w:rtl w:val="true"/>
          <w:lang w:bidi="fa-IR"/>
        </w:rPr>
        <w:t>المصلحة،أو یکفی عدم المفسدة،</w:t>
      </w:r>
    </w:p>
    <w:p>
      <w:pPr>
        <w:pStyle w:val="BookText"/>
        <w:rPr/>
      </w:pPr>
      <w:r>
        <w:rPr>
          <w:rFonts w:ascii="IRNazanin" w:hAnsi="IRNazanin" w:eastAsia="IRNazanin"/>
          <w:color w:val="111111"/>
          <w:sz w:val="28"/>
          <w:sz w:val="28"/>
          <w:szCs w:val="28"/>
          <w:rtl w:val="true"/>
          <w:lang w:bidi="fa-IR"/>
        </w:rPr>
        <w:t>أم لا یعتبر شیء؟وجوه،یشهد للأخیر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ما دلّ علی أنّ مال الولد للوالد،کما فی روایة سعد بن یسار </w:t>
      </w:r>
      <w:r>
        <w:rPr>
          <w:rStyle w:val="FootnoteAnchor"/>
          <w:rtl w:val="true"/>
        </w:rPr>
        <w:footnoteReference w:id="2809"/>
      </w:r>
      <w:r>
        <w:rPr>
          <w:rFonts w:ascii="IRNazanin" w:hAnsi="IRNazanin" w:eastAsia="IRNazanin"/>
          <w:color w:val="111111"/>
          <w:sz w:val="28"/>
          <w:sz w:val="28"/>
          <w:szCs w:val="28"/>
          <w:rtl w:val="true"/>
          <w:lang w:bidi="fa-IR"/>
        </w:rPr>
        <w:t xml:space="preserve">،و أنّه و ماله لأبیه،کما فی النبویّ المشهور </w:t>
      </w:r>
      <w:r>
        <w:rPr>
          <w:rStyle w:val="FootnoteAnchor"/>
          <w:rtl w:val="true"/>
        </w:rPr>
        <w:footnoteReference w:id="2810"/>
      </w:r>
      <w:r>
        <w:rPr>
          <w:rFonts w:ascii="IRNazanin" w:hAnsi="IRNazanin" w:eastAsia="IRNazanin"/>
          <w:color w:val="111111"/>
          <w:sz w:val="28"/>
          <w:sz w:val="28"/>
          <w:szCs w:val="28"/>
          <w:rtl w:val="true"/>
          <w:lang w:bidi="fa-IR"/>
        </w:rPr>
        <w:t>،و صحیحة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الوالد یأخذ من مال ولده ما شاء</w:t>
      </w:r>
      <w:r>
        <w:rPr>
          <w:rFonts w:eastAsia="IRNazanin" w:cs="IRNazanin"/>
          <w:color w:val="111111"/>
          <w:sz w:val="28"/>
          <w:szCs w:val="28"/>
          <w:rtl w:val="true"/>
          <w:lang w:bidi="fa-IR"/>
        </w:rPr>
        <w:t xml:space="preserve">» </w:t>
      </w:r>
      <w:r>
        <w:rPr>
          <w:rStyle w:val="FootnoteAnchor"/>
          <w:rtl w:val="true"/>
        </w:rPr>
        <w:footnoteReference w:id="2811"/>
      </w:r>
      <w:r>
        <w:rPr>
          <w:rFonts w:ascii="IRNazanin" w:hAnsi="IRNazanin" w:eastAsia="IRNazanin"/>
          <w:color w:val="111111"/>
          <w:sz w:val="28"/>
          <w:sz w:val="28"/>
          <w:szCs w:val="28"/>
          <w:rtl w:val="true"/>
          <w:lang w:bidi="fa-IR"/>
        </w:rPr>
        <w:t xml:space="preserve">،و ما فی العلل عن </w:t>
      </w:r>
      <w:r>
        <w:rPr>
          <w:rStyle w:val="FootnoteAnchor"/>
          <w:rtl w:val="true"/>
        </w:rPr>
        <w:footnoteReference w:id="2812"/>
      </w:r>
      <w:r>
        <w:rPr>
          <w:rFonts w:ascii="IRNazanin" w:hAnsi="IRNazanin" w:eastAsia="IRNazanin"/>
          <w:color w:val="111111"/>
          <w:sz w:val="28"/>
          <w:sz w:val="28"/>
          <w:szCs w:val="28"/>
          <w:rtl w:val="true"/>
          <w:lang w:bidi="fa-IR"/>
        </w:rPr>
        <w:t>محمد بن سنان عن الرضا 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 علّة تحلیل مال الولد لوالده؛أنّ الولد موهوب للوالد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یَهَبُ لِمَنْ یَشٰاءُ إِنٰاثاً وَ یَهَبُ لِمَنْ یَشٰاءُ الذُّکُورَ </w:t>
      </w:r>
      <w:r>
        <w:rPr>
          <w:rStyle w:val="FootnoteAnchor"/>
          <w:rtl w:val="true"/>
        </w:rPr>
        <w:footnoteReference w:id="2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أخبار </w:t>
      </w:r>
      <w:r>
        <w:rPr>
          <w:rStyle w:val="FootnoteAnchor"/>
          <w:rtl w:val="true"/>
        </w:rPr>
        <w:footnoteReference w:id="2814"/>
      </w:r>
      <w:r>
        <w:rPr>
          <w:rFonts w:ascii="IRNazanin" w:hAnsi="IRNazanin" w:eastAsia="IRNazanin"/>
          <w:color w:val="111111"/>
          <w:sz w:val="28"/>
          <w:sz w:val="28"/>
          <w:szCs w:val="28"/>
          <w:rtl w:val="true"/>
          <w:lang w:bidi="fa-IR"/>
        </w:rPr>
        <w:t>جواز تقویم جاریة الابن علی نفسه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منها تقییدها بصورة حاجة الأب،کما یشهد له قوله علیه السلام فی روایة الحسین بن أبی العلاء،قال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یحلّ للرجل من مال ولده؟قال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قوته بغیر سرف إذا اضطرّ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 </w:t>
      </w:r>
      <w:r>
        <w:rPr>
          <w:rStyle w:val="FootnoteAnchor"/>
          <w:rtl w:val="true"/>
        </w:rPr>
        <w:footnoteReference w:id="2815"/>
      </w:r>
      <w:r>
        <w:rPr>
          <w:rFonts w:ascii="IRNazanin" w:hAnsi="IRNazanin" w:eastAsia="IRNazanin"/>
          <w:color w:val="111111"/>
          <w:sz w:val="28"/>
          <w:sz w:val="28"/>
          <w:szCs w:val="28"/>
          <w:rtl w:val="true"/>
          <w:lang w:bidi="fa-IR"/>
        </w:rPr>
        <w:t>رسول اللّٰه صلّی اللّٰه علیه و آله للرجل الذی أتاه فقدّم أباه،فقال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جاء بأبیه</w:t>
      </w:r>
    </w:p>
    <w:p>
      <w:pPr>
        <w:pStyle w:val="BookText"/>
        <w:rPr/>
      </w:pPr>
      <w:r>
        <w:rPr>
          <w:rFonts w:ascii="Amiri" w:hAnsi="Amiri" w:eastAsia="Amiri" w:cs="Amiri"/>
          <w:color w:val="111111"/>
          <w:sz w:val="28"/>
          <w:sz w:val="28"/>
          <w:szCs w:val="28"/>
          <w:rtl w:val="true"/>
          <w:lang w:bidi="ar-SA"/>
        </w:rPr>
        <w:t>إلی النبیّ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هذا أبی و قد </w:t>
      </w:r>
      <w:r>
        <w:rPr>
          <w:rStyle w:val="FootnoteAnchor"/>
          <w:rtl w:val="true"/>
        </w:rPr>
        <w:footnoteReference w:id="2816"/>
      </w:r>
      <w:r>
        <w:rPr>
          <w:rFonts w:ascii="IRNazanin" w:hAnsi="IRNazanin" w:eastAsia="IRNazanin"/>
          <w:color w:val="111111"/>
          <w:sz w:val="28"/>
          <w:sz w:val="28"/>
          <w:szCs w:val="28"/>
          <w:rtl w:val="true"/>
          <w:lang w:bidi="fa-IR"/>
        </w:rPr>
        <w:t xml:space="preserve">ظلمنی میراثی من أُمّی،فأخبره الأب أنّه قد أنفقه علیه و علی نفسه،فقال </w:t>
      </w:r>
      <w:r>
        <w:rPr>
          <w:rStyle w:val="FootnoteAnchor"/>
          <w:rtl w:val="true"/>
        </w:rPr>
        <w:footnoteReference w:id="2817"/>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یکن عند الرجل شیء،أ فکان </w:t>
      </w:r>
      <w:r>
        <w:rPr>
          <w:rStyle w:val="FootnoteAnchor"/>
          <w:rtl w:val="true"/>
        </w:rPr>
        <w:footnoteReference w:id="2818"/>
      </w:r>
      <w:r>
        <w:rPr>
          <w:rFonts w:ascii="Amiri" w:hAnsi="Amiri" w:eastAsia="Amiri" w:cs="Amiri"/>
          <w:color w:val="111111"/>
          <w:sz w:val="28"/>
          <w:sz w:val="28"/>
          <w:szCs w:val="28"/>
          <w:rtl w:val="true"/>
          <w:lang w:bidi="ar-SA"/>
        </w:rPr>
        <w:t>رسول اللّٰه صلّی اللّٰه علیه و آله یحبس الأب للابن؟</w:t>
      </w:r>
      <w:r>
        <w:rPr>
          <w:rFonts w:eastAsia="Amiri" w:cs="Amiri" w:ascii="Amiri" w:hAnsi="Amiri"/>
          <w:color w:val="111111"/>
          <w:sz w:val="28"/>
          <w:szCs w:val="28"/>
          <w:rtl w:val="true"/>
          <w:lang w:bidi="ar-SA"/>
        </w:rPr>
        <w:t xml:space="preserve">!»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نحوها صحیحة أبی حمزة الثمالی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لرجل </w:t>
      </w:r>
      <w:r>
        <w:rPr>
          <w:rStyle w:val="FootnoteAnchor"/>
          <w:rtl w:val="true"/>
        </w:rPr>
        <w:footnoteReference w:id="2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نحبّ </w:t>
      </w:r>
      <w:r>
        <w:rPr>
          <w:rStyle w:val="FootnoteAnchor"/>
          <w:rtl w:val="true"/>
        </w:rPr>
        <w:footnoteReference w:id="2821"/>
      </w:r>
      <w:r>
        <w:rPr>
          <w:rFonts w:ascii="Amiri" w:hAnsi="Amiri" w:eastAsia="Amiri" w:cs="Amiri"/>
          <w:color w:val="111111"/>
          <w:sz w:val="28"/>
          <w:sz w:val="28"/>
          <w:szCs w:val="28"/>
          <w:rtl w:val="true"/>
          <w:lang w:bidi="ar-SA"/>
        </w:rPr>
        <w:t xml:space="preserve">أن یأخذ من مال ابنه إلّا ما یحتاج إلیه ممّا لا بدّ منه؛ إنَّ اَللّٰهُ لاٰ یُحِبُّ الْفَسٰادَ </w:t>
      </w:r>
      <w:r>
        <w:rPr>
          <w:rFonts w:eastAsia="Amiri" w:cs="Amiri" w:ascii="Amiri" w:hAnsi="Amiri"/>
          <w:color w:val="111111"/>
          <w:sz w:val="28"/>
          <w:szCs w:val="28"/>
          <w:rtl w:val="true"/>
          <w:lang w:bidi="ar-SA"/>
        </w:rPr>
        <w:t xml:space="preserve">»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الاستشهاد بالآیة یدلّ علی إرادة الحرمة من عدم الحبّ دون الکراهة،و أنّه لا یجوز له التصرّف بما فیه مفسدة للطفل</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کلّه،مضافاً إلی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w:t>
      </w:r>
      <w:r>
        <w:rPr>
          <w:rStyle w:val="FootnoteAnchor"/>
          <w:rtl w:val="true"/>
        </w:rPr>
        <w:footnoteReference w:id="2823"/>
      </w:r>
      <w:r>
        <w:rPr>
          <w:rFonts w:ascii="IRNazanin" w:hAnsi="IRNazanin" w:eastAsia="IRNazanin"/>
          <w:color w:val="111111"/>
          <w:sz w:val="28"/>
          <w:sz w:val="28"/>
          <w:szCs w:val="28"/>
          <w:rtl w:val="true"/>
          <w:lang w:bidi="fa-IR"/>
        </w:rPr>
        <w:t xml:space="preserve">فإنّ إطلاقه یشمل الجدّ،و یتمّ فی الأب </w:t>
      </w:r>
      <w:r>
        <w:rPr>
          <w:rStyle w:val="FootnoteAnchor"/>
          <w:rtl w:val="true"/>
        </w:rPr>
        <w:footnoteReference w:id="2824"/>
      </w:r>
      <w:r>
        <w:rPr>
          <w:rFonts w:ascii="IRNazanin" w:hAnsi="IRNazanin" w:eastAsia="IRNazanin"/>
          <w:color w:val="111111"/>
          <w:sz w:val="28"/>
          <w:sz w:val="28"/>
          <w:szCs w:val="28"/>
          <w:rtl w:val="true"/>
          <w:lang w:bidi="fa-IR"/>
        </w:rPr>
        <w:t>بعدم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مضافاً إلی ظهور الإجماع علی اعتبار عدم المفسدة،بل فی مفتاح الکرامة </w:t>
      </w:r>
      <w:r>
        <w:rPr>
          <w:rStyle w:val="FootnoteAnchor"/>
          <w:rtl w:val="true"/>
        </w:rPr>
        <w:footnoteReference w:id="2825"/>
      </w:r>
      <w:r>
        <w:rPr>
          <w:rFonts w:ascii="IRNazanin" w:hAnsi="IRNazanin" w:eastAsia="IRNazanin"/>
          <w:color w:val="111111"/>
          <w:sz w:val="28"/>
          <w:sz w:val="28"/>
          <w:szCs w:val="28"/>
          <w:rtl w:val="true"/>
          <w:lang w:bidi="fa-IR"/>
        </w:rPr>
        <w:t>استظهر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لشیخه فی شرح القواعد </w:t>
      </w:r>
      <w:r>
        <w:rPr>
          <w:rStyle w:val="FootnoteAnchor"/>
          <w:rtl w:val="true"/>
        </w:rPr>
        <w:footnoteReference w:id="2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إناطة جواز تصرّف الولیّ بالمصلحة،و لیس ببعید؛فقد صرّح به فی محکیّ المبسوط،حیث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یلی أمر الصغیر و المجنون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الأب،و الجدّ </w:t>
      </w:r>
      <w:r>
        <w:rPr>
          <w:rStyle w:val="FootnoteAnchor"/>
          <w:rtl w:val="true"/>
        </w:rPr>
        <w:footnoteReference w:id="2827"/>
      </w:r>
      <w:r>
        <w:rPr>
          <w:rFonts w:ascii="IRNazanin" w:hAnsi="IRNazanin" w:eastAsia="IRNazanin"/>
          <w:color w:val="111111"/>
          <w:sz w:val="28"/>
          <w:sz w:val="28"/>
          <w:szCs w:val="28"/>
          <w:rtl w:val="true"/>
          <w:lang w:bidi="fa-IR"/>
        </w:rPr>
        <w:t>،و وصیّ الأب و الجدّ،و الحاکم،و من یأمره،ثمّ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هؤلاء الخمسة لا یصحّ تصرّفهم إلّا علی وجه الاحتیاط و الحظّ للصغیر؛لأنّهم إنّما نُصبوا لذلک،فإذا تصرّف فیه علی وجهٍ لا حظّ فیه کان باطلاً؛لأنّه خلاف ما نصب له </w:t>
      </w:r>
      <w:r>
        <w:rPr>
          <w:rStyle w:val="FootnoteAnchor"/>
          <w:rtl w:val="true"/>
        </w:rPr>
        <w:footnoteReference w:id="28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الحلیّ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للولیّ التصرّف فی مال الطفل إلّا بما یکون فیه صلاح المال و یعود نفعه إلی الطفل،دون المتصرّف فیه، و هذا الذی یقتضیه أُصول المذهب </w:t>
      </w:r>
      <w:r>
        <w:rPr>
          <w:rStyle w:val="FootnoteAnchor"/>
          <w:rtl w:val="true"/>
        </w:rPr>
        <w:footnoteReference w:id="28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بذلک أیضاً المحقّق </w:t>
      </w:r>
      <w:r>
        <w:rPr>
          <w:rStyle w:val="FootnoteAnchor"/>
          <w:rtl w:val="true"/>
        </w:rPr>
        <w:footnoteReference w:id="2830"/>
      </w:r>
      <w:r>
        <w:rPr>
          <w:rFonts w:ascii="Amiri" w:hAnsi="Amiri" w:eastAsia="Amiri" w:cs="Amiri"/>
          <w:color w:val="111111"/>
          <w:sz w:val="28"/>
          <w:sz w:val="28"/>
          <w:szCs w:val="28"/>
          <w:rtl w:val="true"/>
          <w:lang w:bidi="ar-SA"/>
        </w:rPr>
        <w:t xml:space="preserve">و العلّامة </w:t>
      </w:r>
      <w:r>
        <w:rPr>
          <w:rStyle w:val="FootnoteAnchor"/>
          <w:rtl w:val="true"/>
        </w:rPr>
        <w:footnoteReference w:id="2831"/>
      </w:r>
      <w:r>
        <w:rPr>
          <w:rFonts w:ascii="IRNazanin" w:hAnsi="IRNazanin" w:eastAsia="IRNazanin"/>
          <w:color w:val="111111"/>
          <w:sz w:val="28"/>
          <w:sz w:val="28"/>
          <w:szCs w:val="28"/>
          <w:rtl w:val="true"/>
          <w:lang w:bidi="fa-IR"/>
        </w:rPr>
        <w:t xml:space="preserve">و الشهیدان </w:t>
      </w:r>
      <w:r>
        <w:rPr>
          <w:rStyle w:val="FootnoteAnchor"/>
          <w:rtl w:val="true"/>
        </w:rPr>
        <w:footnoteReference w:id="2832"/>
      </w:r>
      <w:r>
        <w:rPr>
          <w:rFonts w:ascii="Amiri" w:hAnsi="Amiri" w:eastAsia="Amiri" w:cs="Amiri"/>
          <w:color w:val="111111"/>
          <w:sz w:val="28"/>
          <w:sz w:val="28"/>
          <w:szCs w:val="28"/>
          <w:rtl w:val="true"/>
          <w:lang w:bidi="ar-SA"/>
        </w:rPr>
        <w:t>و المحقّق</w:t>
      </w:r>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2833"/>
      </w:r>
      <w:r>
        <w:rPr>
          <w:rFonts w:ascii="IRNazanin" w:hAnsi="IRNazanin" w:eastAsia="IRNazanin"/>
          <w:color w:val="111111"/>
          <w:sz w:val="28"/>
          <w:sz w:val="28"/>
          <w:szCs w:val="28"/>
          <w:rtl w:val="true"/>
          <w:lang w:bidi="fa-IR"/>
        </w:rPr>
        <w:t xml:space="preserve">و غیرهم </w:t>
      </w:r>
      <w:r>
        <w:rPr>
          <w:rStyle w:val="FootnoteAnchor"/>
          <w:rtl w:val="true"/>
        </w:rPr>
        <w:footnoteReference w:id="2834"/>
      </w:r>
      <w:r>
        <w:rPr>
          <w:rFonts w:ascii="IRNazanin" w:hAnsi="IRNazanin" w:eastAsia="IRNazanin"/>
          <w:color w:val="111111"/>
          <w:sz w:val="28"/>
          <w:sz w:val="28"/>
          <w:szCs w:val="28"/>
          <w:rtl w:val="true"/>
          <w:lang w:bidi="fa-IR"/>
        </w:rPr>
        <w:t>،بل فی شرح الروضة للفاضل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المتقدّمین عمّموا الحکم باعتبار المصلحة من غیر استثناء </w:t>
      </w:r>
      <w:r>
        <w:rPr>
          <w:rStyle w:val="FootnoteAnchor"/>
          <w:rtl w:val="true"/>
        </w:rPr>
        <w:footnoteReference w:id="2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استظهر فی مفتاح الکرامة </w:t>
      </w:r>
      <w:r>
        <w:rPr>
          <w:rStyle w:val="FootnoteAnchor"/>
          <w:rtl w:val="true"/>
        </w:rPr>
        <w:footnoteReference w:id="2836"/>
      </w:r>
      <w:r>
        <w:rPr>
          <w:rFonts w:ascii="IRNazanin" w:hAnsi="IRNazanin" w:eastAsia="IRNazanin"/>
          <w:color w:val="111111"/>
          <w:sz w:val="28"/>
          <w:sz w:val="28"/>
          <w:szCs w:val="28"/>
          <w:rtl w:val="true"/>
          <w:lang w:bidi="fa-IR"/>
        </w:rPr>
        <w:t>من عبارة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الخلاف فی ذلک بین المسلمین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حکی عن الشهید فی حواشی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قطب الدین قدّس سرّه نقل عن العلّامة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باع الولیّ بدون ثمن المثل،لِمَ لا یُنزَّل منزلة الإتلاف بالاقتراض؟لأنّا قائلون بجواز اقتراض ماله و هو یستلزم جواز إتلافه،قال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زاعماً أنّه لا یقدر علی مخالفة الأصحاب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لکن الأقوی کفایة عدم المفسدة،وفاقاً لغیر واحد من الأساطین الذین عاصرناهم </w:t>
      </w:r>
      <w:r>
        <w:rPr>
          <w:rStyle w:val="FootnoteAnchor"/>
          <w:rtl w:val="true"/>
        </w:rPr>
        <w:footnoteReference w:id="2839"/>
      </w:r>
      <w:r>
        <w:rPr>
          <w:rFonts w:ascii="IRNazanin" w:hAnsi="IRNazanin" w:eastAsia="IRNazanin"/>
          <w:color w:val="111111"/>
          <w:sz w:val="28"/>
          <w:sz w:val="28"/>
          <w:szCs w:val="28"/>
          <w:rtl w:val="true"/>
          <w:lang w:bidi="fa-IR"/>
        </w:rPr>
        <w:t xml:space="preserve">لمنع دلالة الروایات </w:t>
      </w:r>
      <w:r>
        <w:rPr>
          <w:rStyle w:val="FootnoteAnchor"/>
          <w:rtl w:val="true"/>
        </w:rPr>
        <w:footnoteReference w:id="2840"/>
      </w:r>
      <w:r>
        <w:rPr>
          <w:rFonts w:ascii="IRNazanin" w:hAnsi="IRNazanin" w:eastAsia="IRNazanin"/>
          <w:color w:val="111111"/>
          <w:sz w:val="28"/>
          <w:sz w:val="28"/>
          <w:szCs w:val="28"/>
          <w:rtl w:val="true"/>
          <w:lang w:bidi="fa-IR"/>
        </w:rPr>
        <w:t>علی أکثر من</w:t>
      </w:r>
    </w:p>
    <w:p>
      <w:pPr>
        <w:pStyle w:val="BookText"/>
        <w:rPr/>
      </w:pPr>
      <w:r>
        <w:rPr>
          <w:rFonts w:ascii="IRNazanin" w:hAnsi="IRNazanin" w:eastAsia="IRNazanin"/>
          <w:color w:val="111111"/>
          <w:sz w:val="28"/>
          <w:sz w:val="28"/>
          <w:szCs w:val="28"/>
          <w:rtl w:val="true"/>
          <w:lang w:bidi="fa-IR"/>
        </w:rPr>
        <w:t xml:space="preserve">النهی عن الفساد،فلا تنهض لدفع دلالة المطلقات المتقدّمة </w:t>
      </w:r>
      <w:r>
        <w:rPr>
          <w:rStyle w:val="FootnoteAnchor"/>
          <w:rtl w:val="true"/>
        </w:rPr>
        <w:footnoteReference w:id="2841"/>
      </w:r>
      <w:r>
        <w:rPr>
          <w:rFonts w:ascii="IRNazanin" w:hAnsi="IRNazanin" w:eastAsia="IRNazanin"/>
          <w:color w:val="111111"/>
          <w:sz w:val="28"/>
          <w:sz w:val="28"/>
          <w:szCs w:val="28"/>
          <w:rtl w:val="true"/>
          <w:lang w:bidi="fa-IR"/>
        </w:rPr>
        <w:t>الظاهرة فی سلطنة الوالد علی الولد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الآیة الشریفة </w:t>
      </w:r>
      <w:r>
        <w:rPr>
          <w:rStyle w:val="FootnoteAnchor"/>
          <w:rtl w:val="true"/>
        </w:rPr>
        <w:footnoteReference w:id="2842"/>
      </w:r>
      <w:r>
        <w:rPr>
          <w:rFonts w:ascii="IRNazanin" w:hAnsi="IRNazanin" w:eastAsia="IRNazanin"/>
          <w:color w:val="111111"/>
          <w:sz w:val="28"/>
          <w:sz w:val="28"/>
          <w:szCs w:val="28"/>
          <w:rtl w:val="true"/>
          <w:lang w:bidi="fa-IR"/>
        </w:rPr>
        <w:t xml:space="preserve">،فلو سلّم دلالتها،فهی مخصّصة بما دلّ علی ولایة الجدّ و سلطنته،الظاهرة فی أنّ له أن یتصرّف فی مال طفله </w:t>
      </w:r>
      <w:r>
        <w:rPr>
          <w:rStyle w:val="FootnoteAnchor"/>
          <w:rtl w:val="true"/>
        </w:rPr>
        <w:footnoteReference w:id="2843"/>
      </w:r>
      <w:r>
        <w:rPr>
          <w:rFonts w:ascii="IRNazanin" w:hAnsi="IRNazanin" w:eastAsia="IRNazanin"/>
          <w:color w:val="111111"/>
          <w:sz w:val="28"/>
          <w:sz w:val="28"/>
          <w:szCs w:val="28"/>
          <w:rtl w:val="true"/>
          <w:lang w:bidi="fa-IR"/>
        </w:rPr>
        <w:t xml:space="preserve">بما لیس فیه </w:t>
      </w:r>
      <w:r>
        <w:rPr>
          <w:rStyle w:val="FootnoteAnchor"/>
          <w:rtl w:val="true"/>
        </w:rPr>
        <w:footnoteReference w:id="2844"/>
      </w:r>
      <w:r>
        <w:rPr>
          <w:rFonts w:ascii="Amiri" w:hAnsi="Amiri" w:eastAsia="Amiri" w:cs="Amiri"/>
          <w:color w:val="111111"/>
          <w:sz w:val="28"/>
          <w:sz w:val="28"/>
          <w:szCs w:val="28"/>
          <w:rtl w:val="true"/>
          <w:lang w:bidi="ar-SA"/>
        </w:rPr>
        <w:t xml:space="preserve">مفسدة له؛فإنّ ما دلّ علی ولایة الجدّ فی النکاح معلّلاً بأنّ البنت و أباها للجدّ </w:t>
      </w:r>
      <w:r>
        <w:rPr>
          <w:rStyle w:val="FootnoteAnchor"/>
          <w:rtl w:val="true"/>
        </w:rPr>
        <w:footnoteReference w:id="2845"/>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Style w:val="FootnoteAnchor"/>
          <w:rtl w:val="true"/>
        </w:rPr>
        <w:footnoteReference w:id="2846"/>
      </w:r>
      <w:r>
        <w:rPr>
          <w:rFonts w:ascii="IRNazanin" w:hAnsi="IRNazanin" w:eastAsia="IRNazanin"/>
          <w:color w:val="111111"/>
          <w:sz w:val="28"/>
          <w:sz w:val="28"/>
          <w:szCs w:val="28"/>
          <w:rtl w:val="true"/>
          <w:lang w:bidi="fa-IR"/>
        </w:rPr>
        <w:t xml:space="preserve">، خصوصاً مع استشهاد الإمام علیه السلام به فی مضیّ نکاح الجدّ بدون إذن الأب؛ردّاً علی من أنکر ذلک و حکم ببطلان ذلک من العامّة فی مجلس بعض الأُمراء </w:t>
      </w:r>
      <w:r>
        <w:rPr>
          <w:rStyle w:val="FootnoteAnchor"/>
          <w:rtl w:val="true"/>
        </w:rPr>
        <w:footnoteReference w:id="2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w:t>
      </w:r>
      <w:r>
        <w:rPr>
          <w:rStyle w:val="FootnoteAnchor"/>
          <w:rtl w:val="true"/>
        </w:rPr>
        <w:footnoteReference w:id="2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ذلک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لو سلّمنا عدم التخصیص،وجب الاقتصار علیه فی حکم الجدّ،دون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عدم القول بالفصل ممنوعة؛فقد حکی عن بعض متأخّری المتأخّرین القول بالفصل بینهما فی الاقتراض مع عدم الیسر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خلاف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ادّعی </w:t>
      </w:r>
      <w:r>
        <w:rPr>
          <w:rStyle w:val="FootnoteAnchor"/>
          <w:rtl w:val="true"/>
        </w:rPr>
        <w:footnoteReference w:id="2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الجدّ و إن علا یشارک الأب فی الحکم،و یدلّ علیه ما دلّ علی أنّ الشخص 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منه مال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لأبیه </w:t>
      </w:r>
      <w:r>
        <w:rPr>
          <w:rStyle w:val="FootnoteAnchor"/>
          <w:rtl w:val="true"/>
        </w:rPr>
        <w:footnoteReference w:id="2851"/>
      </w:r>
      <w:r>
        <w:rPr>
          <w:rFonts w:ascii="Amiri" w:hAnsi="Amiri" w:eastAsia="Amiri" w:cs="Amiri"/>
          <w:color w:val="111111"/>
          <w:sz w:val="28"/>
          <w:sz w:val="28"/>
          <w:szCs w:val="28"/>
          <w:rtl w:val="true"/>
          <w:lang w:bidi="ar-SA"/>
        </w:rPr>
        <w:t xml:space="preserve">،و ما دلّ </w:t>
      </w:r>
      <w:r>
        <w:rPr>
          <w:rStyle w:val="FootnoteAnchor"/>
          <w:rtl w:val="true"/>
        </w:rPr>
        <w:footnoteReference w:id="2852"/>
      </w:r>
      <w:r>
        <w:rPr>
          <w:rFonts w:ascii="IRNazanin" w:hAnsi="IRNazanin" w:eastAsia="IRNazanin"/>
          <w:color w:val="111111"/>
          <w:sz w:val="28"/>
          <w:sz w:val="28"/>
          <w:szCs w:val="28"/>
          <w:rtl w:val="true"/>
          <w:lang w:bidi="fa-IR"/>
        </w:rPr>
        <w:t xml:space="preserve">علی أنّ الولد و والده لجدّه </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فُقد الأب و بقی الجدّ،فهل أبوه أو </w:t>
      </w:r>
      <w:r>
        <w:rPr>
          <w:rStyle w:val="FootnoteAnchor"/>
          <w:rtl w:val="true"/>
        </w:rPr>
        <w:footnoteReference w:id="2854"/>
      </w:r>
      <w:r>
        <w:rPr>
          <w:rFonts w:ascii="IRNazanin" w:hAnsi="IRNazanin" w:eastAsia="IRNazanin"/>
          <w:color w:val="111111"/>
          <w:sz w:val="28"/>
          <w:sz w:val="28"/>
          <w:szCs w:val="28"/>
          <w:rtl w:val="true"/>
          <w:lang w:bidi="fa-IR"/>
        </w:rPr>
        <w:t>جدّه یقوم مقامه فی المشارکة أو یخصّ هو بالولایة؟قولان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ظاهر أنّ الولد و والده لجدّه،و هو المحکی عن ظاهر جماعة </w:t>
      </w:r>
      <w:r>
        <w:rPr>
          <w:rStyle w:val="FootnoteAnchor"/>
          <w:rtl w:val="true"/>
        </w:rPr>
        <w:footnoteReference w:id="2855"/>
      </w:r>
      <w:r>
        <w:rPr>
          <w:rFonts w:ascii="IRNazanin" w:hAnsi="IRNazanin" w:eastAsia="IRNazanin"/>
          <w:color w:val="111111"/>
          <w:sz w:val="28"/>
          <w:sz w:val="28"/>
          <w:szCs w:val="28"/>
          <w:rtl w:val="true"/>
          <w:lang w:bidi="fa-IR"/>
        </w:rPr>
        <w:t>،و من أنّ مقتضی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أَوْلیٰ بِبَعْضٍ</w:t>
      </w:r>
    </w:p>
    <w:p>
      <w:pPr>
        <w:pStyle w:val="BookText"/>
        <w:rPr/>
      </w:pPr>
      <w:r>
        <w:rPr>
          <w:rStyle w:val="FootnoteAnchor"/>
          <w:rtl w:val="true"/>
        </w:rPr>
        <w:footnoteReference w:id="2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القریب أولی بقریبه من البعید،فنفی </w:t>
      </w:r>
      <w:r>
        <w:rPr>
          <w:rStyle w:val="FootnoteAnchor"/>
          <w:rtl w:val="true"/>
        </w:rPr>
        <w:footnoteReference w:id="2857"/>
      </w:r>
      <w:r>
        <w:rPr>
          <w:rFonts w:ascii="IRNazanin" w:hAnsi="IRNazanin" w:eastAsia="IRNazanin"/>
          <w:color w:val="111111"/>
          <w:sz w:val="28"/>
          <w:sz w:val="28"/>
          <w:szCs w:val="28"/>
          <w:rtl w:val="true"/>
          <w:lang w:bidi="fa-IR"/>
        </w:rPr>
        <w:t xml:space="preserve">ولایة البعید خرج </w:t>
      </w:r>
      <w:r>
        <w:rPr>
          <w:rStyle w:val="FootnoteAnchor"/>
          <w:rtl w:val="true"/>
        </w:rPr>
        <w:footnoteReference w:id="2858"/>
      </w:r>
      <w:r>
        <w:rPr>
          <w:rFonts w:ascii="IRNazanin" w:hAnsi="IRNazanin" w:eastAsia="IRNazanin"/>
          <w:color w:val="111111"/>
          <w:sz w:val="28"/>
          <w:sz w:val="28"/>
          <w:szCs w:val="28"/>
          <w:rtl w:val="true"/>
          <w:lang w:bidi="fa-IR"/>
        </w:rPr>
        <w:t>منه الجدّ مع الأب و بقی الباقی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المراد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التفضیل مع الاشتراک فی المبدأ،</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نظیر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أحقّ بالأمر </w:t>
      </w:r>
      <w:r>
        <w:rPr>
          <w:rStyle w:val="FootnoteAnchor"/>
          <w:rtl w:val="true"/>
        </w:rPr>
        <w:footnoteReference w:id="2859"/>
      </w:r>
      <w:r>
        <w:rPr>
          <w:rFonts w:ascii="IRNazanin" w:hAnsi="IRNazanin" w:eastAsia="IRNazanin"/>
          <w:color w:val="111111"/>
          <w:sz w:val="28"/>
          <w:sz w:val="28"/>
          <w:szCs w:val="28"/>
          <w:rtl w:val="true"/>
          <w:lang w:bidi="fa-IR"/>
        </w:rPr>
        <w:t>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نحوه،و هذا محکیّ </w:t>
      </w:r>
      <w:r>
        <w:rPr>
          <w:rStyle w:val="FootnoteAnchor"/>
          <w:rtl w:val="true"/>
        </w:rPr>
        <w:footnoteReference w:id="2860"/>
      </w:r>
      <w:r>
        <w:rPr>
          <w:rFonts w:ascii="IRNazanin" w:hAnsi="IRNazanin" w:eastAsia="IRNazanin"/>
          <w:color w:val="111111"/>
          <w:sz w:val="28"/>
          <w:sz w:val="28"/>
          <w:szCs w:val="28"/>
          <w:rtl w:val="true"/>
          <w:lang w:bidi="fa-IR"/>
        </w:rPr>
        <w:t xml:space="preserve">عن جامع المقاصد </w:t>
      </w:r>
      <w:r>
        <w:rPr>
          <w:rStyle w:val="FootnoteAnchor"/>
          <w:rtl w:val="true"/>
        </w:rPr>
        <w:footnoteReference w:id="2861"/>
      </w:r>
      <w:r>
        <w:rPr>
          <w:rFonts w:ascii="IRNazanin" w:hAnsi="IRNazanin" w:eastAsia="IRNazanin"/>
          <w:color w:val="111111"/>
          <w:sz w:val="28"/>
          <w:sz w:val="28"/>
          <w:szCs w:val="28"/>
          <w:rtl w:val="true"/>
          <w:lang w:bidi="fa-IR"/>
        </w:rPr>
        <w:t xml:space="preserve">و المسالک </w:t>
      </w:r>
      <w:r>
        <w:rPr>
          <w:rStyle w:val="FootnoteAnchor"/>
          <w:rtl w:val="true"/>
        </w:rPr>
        <w:footnoteReference w:id="2862"/>
      </w:r>
      <w:r>
        <w:rPr>
          <w:rFonts w:ascii="IRNazanin" w:hAnsi="IRNazanin" w:eastAsia="IRNazanin"/>
          <w:color w:val="111111"/>
          <w:sz w:val="28"/>
          <w:sz w:val="28"/>
          <w:szCs w:val="28"/>
          <w:rtl w:val="true"/>
          <w:lang w:bidi="fa-IR"/>
        </w:rPr>
        <w:t xml:space="preserve">و الکفایة </w:t>
      </w:r>
      <w:r>
        <w:rPr>
          <w:rStyle w:val="FootnoteAnchor"/>
          <w:rtl w:val="true"/>
        </w:rPr>
        <w:footnoteReference w:id="2863"/>
      </w:r>
      <w:r>
        <w:rPr>
          <w:rFonts w:ascii="Amiri" w:hAnsi="Amiri" w:eastAsia="Amiri" w:cs="Amiri"/>
          <w:color w:val="111111"/>
          <w:sz w:val="28"/>
          <w:sz w:val="28"/>
          <w:szCs w:val="28"/>
          <w:rtl w:val="true"/>
          <w:lang w:bidi="ar-SA"/>
        </w:rPr>
        <w:t xml:space="preserve">،و للمسألة مواضع أُخر </w:t>
      </w:r>
      <w:r>
        <w:rPr>
          <w:rStyle w:val="FootnoteAnchor"/>
          <w:rtl w:val="true"/>
        </w:rPr>
        <w:footnoteReference w:id="2864"/>
      </w:r>
      <w:r>
        <w:rPr>
          <w:rFonts w:ascii="Amiri" w:hAnsi="Amiri" w:eastAsia="Amiri" w:cs="Amiri"/>
          <w:color w:val="111111"/>
          <w:sz w:val="28"/>
          <w:sz w:val="28"/>
          <w:szCs w:val="28"/>
          <w:rtl w:val="true"/>
          <w:lang w:bidi="ar-SA"/>
        </w:rPr>
        <w:t>تأتی إن شاء اللّٰه</w:t>
      </w:r>
      <w:r>
        <w:rPr>
          <w:rFonts w:eastAsia="Amiri" w:cs="Amiri" w:ascii="Amiri" w:hAnsi="Amiri"/>
          <w:color w:val="111111"/>
          <w:sz w:val="28"/>
          <w:szCs w:val="28"/>
          <w:rtl w:val="true"/>
          <w:lang w:bidi="ar-SA"/>
        </w:rPr>
        <w:t>.</w:t>
      </w:r>
      <w:bookmarkStart w:id="851" w:name="pg19763_248291"/>
    </w:p>
    <w:p>
      <w:pPr>
        <w:pStyle w:val="Heading6"/>
        <w:numPr>
          <w:ilvl w:val="5"/>
          <w:numId w:val="1"/>
        </w:numPr>
        <w:rPr/>
      </w:pPr>
      <w:bookmarkStart w:id="852" w:name="__RefHeading___Toc5083070_2314609296"/>
      <w:bookmarkStart w:id="853" w:name="_Toc326"/>
      <w:bookmarkEnd w:id="851"/>
      <w:bookmarkEnd w:id="852"/>
      <w:r>
        <w:rPr>
          <w:rtl w:val="true"/>
        </w:rPr>
        <w:t xml:space="preserve">مسألة </w:t>
      </w:r>
      <w:r>
        <w:rPr>
          <w:rtl w:val="true"/>
        </w:rPr>
        <w:t>[</w:t>
      </w:r>
      <w:r>
        <w:rPr>
          <w:rtl w:val="true"/>
        </w:rPr>
        <w:t>فی ولایة الفقیه</w:t>
      </w:r>
      <w:r>
        <w:rPr>
          <w:rtl w:val="true"/>
        </w:rPr>
        <w:t>]</w:t>
      </w:r>
      <w:bookmarkEnd w:id="853"/>
    </w:p>
    <w:p>
      <w:pPr>
        <w:pStyle w:val="BookText"/>
        <w:rPr/>
      </w:pPr>
      <w:r>
        <w:rPr>
          <w:rStyle w:val="FootnoteAnchor"/>
          <w:rtl w:val="true"/>
        </w:rPr>
        <w:footnoteReference w:id="2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أولیاء التصرّف فی مال من لا یستقلّ بالتصرّف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الحاکم،و 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الجامع لشرائط الفتوی،و قد رأینا هنا </w:t>
      </w:r>
      <w:r>
        <w:rPr>
          <w:rStyle w:val="FootnoteAnchor"/>
          <w:rtl w:val="true"/>
        </w:rPr>
        <w:footnoteReference w:id="2866"/>
      </w:r>
      <w:r>
        <w:rPr>
          <w:rFonts w:ascii="IRNazanin" w:hAnsi="IRNazanin" w:eastAsia="IRNazanin"/>
          <w:color w:val="111111"/>
          <w:sz w:val="28"/>
          <w:sz w:val="28"/>
          <w:szCs w:val="28"/>
          <w:rtl w:val="true"/>
          <w:lang w:bidi="fa-IR"/>
        </w:rPr>
        <w:t>ذکر مناصب الفقیه،امتثالاً لأمر أکثر حُضّار مجلس المذاکرة، فنقول مستعیناً باللّٰه</w:t>
      </w:r>
    </w:p>
    <w:p>
      <w:pPr>
        <w:pStyle w:val="Heading6"/>
        <w:numPr>
          <w:ilvl w:val="5"/>
          <w:numId w:val="1"/>
        </w:numPr>
        <w:rPr/>
      </w:pPr>
      <w:bookmarkStart w:id="854" w:name="__RefHeading___Toc5083072_2314609296"/>
      <w:bookmarkStart w:id="855" w:name="_Toc327"/>
      <w:bookmarkEnd w:id="854"/>
      <w:r>
        <w:rPr>
          <w:rtl w:val="true"/>
        </w:rPr>
        <w:t>للفقیه الجامع للشرائط مناصب ثلاثة</w:t>
      </w:r>
      <w:r>
        <w:rPr>
          <w:rtl w:val="true"/>
        </w:rPr>
        <w:t>:</w:t>
      </w:r>
      <w:bookmarkEnd w:id="855"/>
    </w:p>
    <w:p>
      <w:pPr>
        <w:pStyle w:val="Heading6"/>
        <w:numPr>
          <w:ilvl w:val="5"/>
          <w:numId w:val="1"/>
        </w:numPr>
        <w:rPr/>
      </w:pPr>
      <w:bookmarkStart w:id="856" w:name="__RefHeading___Toc5083074_2314609296"/>
      <w:bookmarkStart w:id="857" w:name="_Toc328"/>
      <w:bookmarkEnd w:id="856"/>
      <w:r>
        <w:rPr>
          <w:rtl w:val="true"/>
        </w:rPr>
        <w:t>أحدها</w:t>
      </w:r>
      <w:r>
        <w:rPr>
          <w:rtl w:val="true"/>
        </w:rPr>
        <w:t>:</w:t>
      </w:r>
      <w:r>
        <w:rPr>
          <w:rtl w:val="true"/>
        </w:rPr>
        <w:t>الإفتاء فیما یحتاج إلیها العامی فی عمله،</w:t>
      </w:r>
      <w:bookmarkEnd w:id="857"/>
    </w:p>
    <w:p>
      <w:pPr>
        <w:pStyle w:val="BookText"/>
        <w:rPr/>
      </w:pPr>
      <w:r>
        <w:rPr>
          <w:rFonts w:ascii="IRNazanin" w:hAnsi="IRNazanin" w:eastAsia="IRNazanin"/>
          <w:color w:val="111111"/>
          <w:sz w:val="28"/>
          <w:sz w:val="28"/>
          <w:szCs w:val="28"/>
          <w:rtl w:val="true"/>
          <w:lang w:bidi="fa-IR"/>
        </w:rPr>
        <w:t>و مورده المسائل الفرعیة،و الموضوعات الاستنباطیة من حیث ترتّب حکمٍ فرعیٍّ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و لا خلاف فی ثبوت هذا المنصب للفقیه،إلّا ممّن لا یری جواز التقلید للعامی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الکلام فی هذا المقام موکول إلی مباحث الاجتهاد و التقلید</w:t>
      </w:r>
      <w:r>
        <w:rPr>
          <w:rFonts w:eastAsia="IRNazanin" w:cs="IRNazanin"/>
          <w:color w:val="111111"/>
          <w:sz w:val="28"/>
          <w:szCs w:val="28"/>
          <w:rtl w:val="true"/>
          <w:lang w:bidi="fa-IR"/>
        </w:rPr>
        <w:t>.</w:t>
      </w:r>
    </w:p>
    <w:p>
      <w:pPr>
        <w:pStyle w:val="Heading6"/>
        <w:numPr>
          <w:ilvl w:val="5"/>
          <w:numId w:val="1"/>
        </w:numPr>
        <w:rPr/>
      </w:pPr>
      <w:bookmarkStart w:id="858" w:name="__RefHeading___Toc5083076_2314609296"/>
      <w:bookmarkStart w:id="859" w:name="_Toc329"/>
      <w:bookmarkEnd w:id="858"/>
      <w:r>
        <w:rPr>
          <w:rtl w:val="true"/>
        </w:rPr>
        <w:t>الثانی</w:t>
      </w:r>
      <w:r>
        <w:rPr>
          <w:rtl w:val="true"/>
        </w:rPr>
        <w:t xml:space="preserve">: </w:t>
      </w:r>
      <w:r>
        <w:rPr>
          <w:rtl w:val="true"/>
        </w:rPr>
        <w:t>الحکومة،</w:t>
      </w:r>
      <w:bookmarkEnd w:id="859"/>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 الحکم بما یراه حقّا فی المرافعات و غیرها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المنصب أیضاً ثابت له بلا خلاف فتوًی و نصّاً،و تفصیل الکلام فیه من حیث شرائط الحاکم و المحکوم به و المحکوم علیه موکول إلی کتاب القضاء</w:t>
      </w:r>
      <w:r>
        <w:rPr>
          <w:rFonts w:eastAsia="IRNazanin" w:cs="IRNazanin"/>
          <w:color w:val="111111"/>
          <w:sz w:val="28"/>
          <w:szCs w:val="28"/>
          <w:rtl w:val="true"/>
          <w:lang w:bidi="fa-IR"/>
        </w:rPr>
        <w:t>.</w:t>
      </w:r>
      <w:bookmarkStart w:id="860" w:name="pg19763_248292"/>
    </w:p>
    <w:p>
      <w:pPr>
        <w:pStyle w:val="Heading6"/>
        <w:numPr>
          <w:ilvl w:val="5"/>
          <w:numId w:val="1"/>
        </w:numPr>
        <w:rPr/>
      </w:pPr>
      <w:bookmarkStart w:id="861" w:name="__RefHeading___Toc5083078_2314609296"/>
      <w:bookmarkStart w:id="862" w:name="_Toc330"/>
      <w:bookmarkEnd w:id="860"/>
      <w:bookmarkEnd w:id="861"/>
      <w:r>
        <w:rPr>
          <w:rtl w:val="true"/>
        </w:rPr>
        <w:t>الثالث</w:t>
      </w:r>
      <w:r>
        <w:rPr>
          <w:rtl w:val="true"/>
        </w:rPr>
        <w:t xml:space="preserve">: </w:t>
      </w:r>
      <w:r>
        <w:rPr>
          <w:rtl w:val="true"/>
        </w:rPr>
        <w:t>ولایة التصرّف فی الأموال و الأنفس،</w:t>
      </w:r>
      <w:bookmarkEnd w:id="862"/>
    </w:p>
    <w:p>
      <w:pPr>
        <w:pStyle w:val="BookText"/>
        <w:rPr/>
      </w:pPr>
      <w:r>
        <w:rPr>
          <w:rFonts w:ascii="IRNazanin" w:hAnsi="IRNazanin" w:eastAsia="IRNazanin"/>
          <w:color w:val="111111"/>
          <w:sz w:val="28"/>
          <w:sz w:val="28"/>
          <w:szCs w:val="28"/>
          <w:rtl w:val="true"/>
          <w:lang w:bidi="fa-IR"/>
        </w:rPr>
        <w:t>و هو المقصود بالتفصیل هنا،</w:t>
      </w:r>
    </w:p>
    <w:p>
      <w:pPr>
        <w:pStyle w:val="Heading6"/>
        <w:numPr>
          <w:ilvl w:val="5"/>
          <w:numId w:val="1"/>
        </w:numPr>
        <w:rPr/>
      </w:pPr>
      <w:bookmarkStart w:id="863" w:name="__RefHeading___Toc5083080_2314609296"/>
      <w:bookmarkStart w:id="864" w:name="_Toc331"/>
      <w:bookmarkEnd w:id="863"/>
      <w:r>
        <w:rPr>
          <w:rtl w:val="true"/>
        </w:rPr>
        <w:t>فنقول</w:t>
      </w:r>
      <w:r>
        <w:rPr>
          <w:rtl w:val="true"/>
        </w:rPr>
        <w:t>:</w:t>
      </w:r>
      <w:r>
        <w:rPr>
          <w:rtl w:val="true"/>
        </w:rPr>
        <w:t>الولایة تتصوّر علی وجهین</w:t>
      </w:r>
      <w:r>
        <w:rPr>
          <w:rtl w:val="true"/>
        </w:rPr>
        <w:t>:</w:t>
      </w:r>
      <w:bookmarkEnd w:id="864"/>
    </w:p>
    <w:p>
      <w:pPr>
        <w:pStyle w:val="Heading6"/>
        <w:numPr>
          <w:ilvl w:val="5"/>
          <w:numId w:val="1"/>
        </w:numPr>
        <w:rPr/>
      </w:pPr>
      <w:bookmarkStart w:id="865" w:name="__RefHeading___Toc5083082_2314609296"/>
      <w:bookmarkStart w:id="866" w:name="_Toc332"/>
      <w:bookmarkEnd w:id="865"/>
      <w:r>
        <w:rPr>
          <w:rtl w:val="true"/>
        </w:rPr>
        <w:t>الأوّل</w:t>
      </w:r>
      <w:r>
        <w:rPr>
          <w:rtl w:val="true"/>
        </w:rPr>
        <w:t>:</w:t>
      </w:r>
      <w:r>
        <w:rPr>
          <w:rtl w:val="true"/>
        </w:rPr>
        <w:t>استقلال الولی بالتصرّف مع قطع النظر عن کون تصرّف غیره منوطاً بإذنه أو غیر منوطٍ به،</w:t>
      </w:r>
      <w:bookmarkEnd w:id="866"/>
    </w:p>
    <w:p>
      <w:pPr>
        <w:pStyle w:val="BookText"/>
        <w:rPr/>
      </w:pPr>
      <w:r>
        <w:rPr>
          <w:rFonts w:ascii="IRNazanin" w:hAnsi="IRNazanin" w:eastAsia="IRNazanin"/>
          <w:color w:val="111111"/>
          <w:sz w:val="28"/>
          <w:sz w:val="28"/>
          <w:szCs w:val="28"/>
          <w:rtl w:val="true"/>
          <w:lang w:bidi="fa-IR"/>
        </w:rPr>
        <w:t>و مرجع هذا إلی کون نظره سبباً فی جواز تصرّفه</w:t>
      </w:r>
      <w:r>
        <w:rPr>
          <w:rFonts w:eastAsia="IRNazanin" w:cs="IRNazanin"/>
          <w:color w:val="111111"/>
          <w:sz w:val="28"/>
          <w:szCs w:val="28"/>
          <w:rtl w:val="true"/>
          <w:lang w:bidi="fa-IR"/>
        </w:rPr>
        <w:t>.</w:t>
      </w:r>
    </w:p>
    <w:p>
      <w:pPr>
        <w:pStyle w:val="Heading6"/>
        <w:numPr>
          <w:ilvl w:val="5"/>
          <w:numId w:val="1"/>
        </w:numPr>
        <w:rPr/>
      </w:pPr>
      <w:bookmarkStart w:id="867" w:name="__RefHeading___Toc5083084_2314609296"/>
      <w:bookmarkStart w:id="868" w:name="_Toc333"/>
      <w:bookmarkEnd w:id="867"/>
      <w:r>
        <w:rPr>
          <w:rtl w:val="true"/>
        </w:rPr>
        <w:t>الثانی</w:t>
      </w:r>
      <w:r>
        <w:rPr>
          <w:rtl w:val="true"/>
        </w:rPr>
        <w:t>:</w:t>
      </w:r>
      <w:r>
        <w:rPr>
          <w:rtl w:val="true"/>
        </w:rPr>
        <w:t>عدم استقلال غیره بالتصرّف،و کون تصرّف الغیر منوطاً بإذنه و إن لم یکن هو مستقلا بالتصرّف،</w:t>
      </w:r>
      <w:bookmarkEnd w:id="868"/>
    </w:p>
    <w:p>
      <w:pPr>
        <w:pStyle w:val="BookText"/>
        <w:rPr/>
      </w:pPr>
      <w:r>
        <w:rPr>
          <w:rFonts w:ascii="IRNazanin" w:hAnsi="IRNazanin" w:eastAsia="IRNazanin"/>
          <w:color w:val="111111"/>
          <w:sz w:val="28"/>
          <w:sz w:val="28"/>
          <w:szCs w:val="28"/>
          <w:rtl w:val="true"/>
          <w:lang w:bidi="fa-IR"/>
        </w:rPr>
        <w:t>و مرجع هذا إلی کون نظره شرطاً فی جواز تصرّف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موارد الوجهین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إذنه المعتبر فی تصرّف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علی وجه الاستنابة،کوکیل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علی وجه التفویض و التولیة،کمتولّی الأوقاف من قِبَل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علی وجه الرضا کإذن الحاکم لغیره فی الصلاة علی میّتٍ لا ولیّ له</w:t>
      </w:r>
      <w:r>
        <w:rPr>
          <w:rFonts w:eastAsia="IRNazanin" w:cs="IRNazanin"/>
          <w:color w:val="111111"/>
          <w:sz w:val="28"/>
          <w:szCs w:val="28"/>
          <w:rtl w:val="true"/>
          <w:lang w:bidi="fa-IR"/>
        </w:rPr>
        <w:t>.</w:t>
      </w:r>
    </w:p>
    <w:p>
      <w:pPr>
        <w:pStyle w:val="Heading6"/>
        <w:numPr>
          <w:ilvl w:val="5"/>
          <w:numId w:val="1"/>
        </w:numPr>
        <w:rPr/>
      </w:pPr>
      <w:bookmarkStart w:id="869" w:name="__RefHeading___Toc5083086_2314609296"/>
      <w:bookmarkStart w:id="870" w:name="_Toc334"/>
      <w:bookmarkEnd w:id="869"/>
      <w:r>
        <w:rPr>
          <w:rtl w:val="true"/>
        </w:rPr>
        <w:t>[</w:t>
      </w:r>
      <w:r>
        <w:rPr>
          <w:rtl w:val="true"/>
        </w:rPr>
        <w:t>ثبوت الولایة بالمعنی الأول للنبی و الأئمة علیهم السلام</w:t>
      </w:r>
      <w:r>
        <w:rPr>
          <w:rtl w:val="true"/>
        </w:rPr>
        <w:t>]</w:t>
      </w:r>
      <w:bookmarkEnd w:id="870"/>
    </w:p>
    <w:p>
      <w:pPr>
        <w:pStyle w:val="BookText"/>
        <w:rPr/>
      </w:pPr>
      <w:r>
        <w:rPr>
          <w:rFonts w:ascii="IRNazanin" w:hAnsi="IRNazanin" w:eastAsia="IRNazanin"/>
          <w:color w:val="111111"/>
          <w:sz w:val="28"/>
          <w:sz w:val="28"/>
          <w:szCs w:val="28"/>
          <w:rtl w:val="true"/>
          <w:lang w:bidi="fa-IR"/>
        </w:rPr>
        <w:t>إذا عرفت هذا،فنقول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الأصل عدم ثبوت الولایة لأحد بشیء </w:t>
      </w:r>
      <w:r>
        <w:rPr>
          <w:rStyle w:val="FootnoteAnchor"/>
          <w:rtl w:val="true"/>
        </w:rPr>
        <w:footnoteReference w:id="2867"/>
      </w:r>
      <w:r>
        <w:rPr>
          <w:rFonts w:ascii="IRNazanin" w:hAnsi="IRNazanin" w:eastAsia="IRNazanin"/>
          <w:color w:val="111111"/>
          <w:sz w:val="28"/>
          <w:sz w:val="28"/>
          <w:szCs w:val="28"/>
          <w:rtl w:val="true"/>
          <w:lang w:bidi="fa-IR"/>
        </w:rPr>
        <w:t xml:space="preserve">من الوجوه </w:t>
      </w:r>
      <w:r>
        <w:rPr>
          <w:rStyle w:val="FootnoteAnchor"/>
          <w:rtl w:val="true"/>
        </w:rPr>
        <w:footnoteReference w:id="2868"/>
      </w:r>
      <w:r>
        <w:rPr>
          <w:rFonts w:ascii="IRNazanin" w:hAnsi="IRNazanin" w:eastAsia="IRNazanin"/>
          <w:color w:val="111111"/>
          <w:sz w:val="28"/>
          <w:sz w:val="28"/>
          <w:szCs w:val="28"/>
          <w:rtl w:val="true"/>
          <w:lang w:bidi="fa-IR"/>
        </w:rPr>
        <w:t>المذکورة،خرجنا عن هذا الأصل فی خصوص النبیّ و الأئمة صلوات اللّٰه علیهم أجمعین بالأدلّة الأربعة،قال اللّٰه تعالی</w:t>
      </w:r>
      <w:r>
        <w:rPr>
          <w:rFonts w:eastAsia="IRNazanin" w:cs="IRNazanin"/>
          <w:color w:val="111111"/>
          <w:sz w:val="28"/>
          <w:szCs w:val="28"/>
          <w:rtl w:val="true"/>
          <w:lang w:bidi="fa-IR"/>
        </w:rPr>
        <w:t>:</w:t>
      </w:r>
    </w:p>
    <w:p>
      <w:pPr>
        <w:pStyle w:val="Heading6"/>
        <w:numPr>
          <w:ilvl w:val="5"/>
          <w:numId w:val="1"/>
        </w:numPr>
        <w:rPr/>
      </w:pPr>
      <w:bookmarkStart w:id="871" w:name="__RefHeading___Toc5083088_2314609296"/>
      <w:bookmarkStart w:id="872" w:name="_Toc335"/>
      <w:bookmarkEnd w:id="871"/>
      <w:r>
        <w:rPr>
          <w:rtl w:val="true"/>
        </w:rPr>
        <w:t>[</w:t>
      </w:r>
      <w:r>
        <w:rPr>
          <w:rtl w:val="true"/>
        </w:rPr>
        <w:t>الاستدلال بالکتاب</w:t>
      </w:r>
      <w:r>
        <w:rPr>
          <w:rtl w:val="true"/>
        </w:rPr>
        <w:t>]</w:t>
      </w:r>
      <w:bookmarkEnd w:id="872"/>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 أَوْلیٰ بِالْمُؤْمِنِینَ</w:t>
      </w:r>
      <w:bookmarkStart w:id="873" w:name="pg19763_248293"/>
    </w:p>
    <w:p>
      <w:pPr>
        <w:pStyle w:val="BookText"/>
        <w:rPr/>
      </w:pPr>
      <w:bookmarkEnd w:id="873"/>
      <w:r>
        <w:rPr>
          <w:rFonts w:ascii="Amiri" w:hAnsi="Amiri" w:eastAsia="Amiri" w:cs="Amiri"/>
          <w:color w:val="111111"/>
          <w:sz w:val="28"/>
          <w:sz w:val="28"/>
          <w:szCs w:val="28"/>
          <w:rtl w:val="true"/>
          <w:lang w:bidi="ar-SA"/>
        </w:rPr>
        <w:t>مِنْ أَنْفُسِهِمْ</w:t>
      </w:r>
    </w:p>
    <w:p>
      <w:pPr>
        <w:pStyle w:val="BookText"/>
        <w:rPr/>
      </w:pPr>
      <w:r>
        <w:rPr>
          <w:rStyle w:val="FootnoteAnchor"/>
          <w:rtl w:val="true"/>
        </w:rPr>
        <w:footnoteReference w:id="2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Style w:val="FootnoteAnchor"/>
          <w:rtl w:val="true"/>
        </w:rPr>
        <w:footnoteReference w:id="2870"/>
      </w:r>
      <w:r>
        <w:rPr>
          <w:rFonts w:ascii="Amiri" w:hAnsi="Amiri" w:eastAsia="Amiri" w:cs="Amiri"/>
          <w:color w:val="111111"/>
          <w:sz w:val="28"/>
          <w:sz w:val="28"/>
          <w:szCs w:val="28"/>
          <w:rtl w:val="true"/>
          <w:lang w:bidi="ar-SA"/>
        </w:rPr>
        <w:t xml:space="preserve">، فَلْیَحْذَرِ الَّذِینَ یُخٰالِفُونَ عَنْ أَمْرِهِ أَنْ تُصِیبَهُمْ فِتْنَةٌ أَوْ یُصِیبَهُمْ عَذٰابٌ أَلِیمٌ </w:t>
      </w:r>
      <w:r>
        <w:rPr>
          <w:rStyle w:val="FootnoteAnchor"/>
          <w:rtl w:val="true"/>
        </w:rPr>
        <w:footnoteReference w:id="2871"/>
      </w:r>
      <w:r>
        <w:rPr>
          <w:rFonts w:ascii="Amiri" w:hAnsi="Amiri" w:eastAsia="Amiri" w:cs="Amiri"/>
          <w:color w:val="111111"/>
          <w:sz w:val="28"/>
          <w:sz w:val="28"/>
          <w:szCs w:val="28"/>
          <w:rtl w:val="true"/>
          <w:lang w:bidi="ar-SA"/>
        </w:rPr>
        <w:t xml:space="preserve">،و أَطِیعُوا اللّٰهَ وَ أَطِیعُوا الرَّسُولَ وَ أُولِی الْأَمْرِ مِنْکُمْ </w:t>
      </w:r>
      <w:r>
        <w:rPr>
          <w:rStyle w:val="FootnoteAnchor"/>
          <w:rtl w:val="true"/>
        </w:rPr>
        <w:footnoteReference w:id="2872"/>
      </w:r>
      <w:r>
        <w:rPr>
          <w:rFonts w:ascii="Amiri" w:hAnsi="Amiri" w:eastAsia="Amiri" w:cs="Amiri"/>
          <w:color w:val="111111"/>
          <w:sz w:val="28"/>
          <w:sz w:val="28"/>
          <w:szCs w:val="28"/>
          <w:rtl w:val="true"/>
          <w:lang w:bidi="ar-SA"/>
        </w:rPr>
        <w:t>،و 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2873"/>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Heading6"/>
        <w:numPr>
          <w:ilvl w:val="5"/>
          <w:numId w:val="1"/>
        </w:numPr>
        <w:rPr/>
      </w:pPr>
      <w:bookmarkStart w:id="874" w:name="__RefHeading___Toc5083090_2314609296"/>
      <w:bookmarkStart w:id="875" w:name="_Toc336"/>
      <w:bookmarkEnd w:id="874"/>
      <w:r>
        <w:rPr>
          <w:rtl w:val="true"/>
        </w:rPr>
        <w:t>[</w:t>
      </w:r>
      <w:r>
        <w:rPr>
          <w:rtl w:val="true"/>
        </w:rPr>
        <w:t>الاستدلال بالروایات</w:t>
      </w:r>
      <w:r>
        <w:rPr>
          <w:rtl w:val="true"/>
        </w:rPr>
        <w:t>]</w:t>
      </w:r>
      <w:bookmarkEnd w:id="875"/>
    </w:p>
    <w:p>
      <w:pPr>
        <w:pStyle w:val="BookText"/>
        <w:rPr/>
      </w:pP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روایة أیوب بن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أولی بکلّ مؤمن من نفسه</w:t>
      </w:r>
      <w:r>
        <w:rPr>
          <w:rFonts w:eastAsia="IRNazanin" w:cs="IRNazanin"/>
          <w:color w:val="111111"/>
          <w:sz w:val="28"/>
          <w:szCs w:val="28"/>
          <w:rtl w:val="true"/>
          <w:lang w:bidi="fa-IR"/>
        </w:rPr>
        <w:t xml:space="preserve">» </w:t>
      </w:r>
      <w:r>
        <w:rPr>
          <w:rStyle w:val="FootnoteAnchor"/>
          <w:rtl w:val="true"/>
        </w:rPr>
        <w:footnoteReference w:id="2874"/>
      </w:r>
      <w:r>
        <w:rPr>
          <w:rFonts w:ascii="IRNazanin" w:hAnsi="IRNazanin" w:eastAsia="IRNazanin"/>
          <w:color w:val="111111"/>
          <w:sz w:val="28"/>
          <w:sz w:val="28"/>
          <w:szCs w:val="28"/>
          <w:rtl w:val="true"/>
          <w:lang w:bidi="fa-IR"/>
        </w:rPr>
        <w:t>،و قال فی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من أنفسکم؟قالوا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الأخبار فی افتراض طاعتهم و کون معصیتهم کمعصیة اللّٰه کثیرة، یکفی فی ذلک منها مقبولة عمر بن حنظلة </w:t>
      </w:r>
      <w:r>
        <w:rPr>
          <w:rStyle w:val="FootnoteAnchor"/>
          <w:rtl w:val="true"/>
        </w:rPr>
        <w:footnoteReference w:id="2876"/>
      </w:r>
      <w:r>
        <w:rPr>
          <w:rFonts w:ascii="IRNazanin" w:hAnsi="IRNazanin" w:eastAsia="IRNazanin"/>
          <w:color w:val="111111"/>
          <w:sz w:val="28"/>
          <w:sz w:val="28"/>
          <w:szCs w:val="28"/>
          <w:rtl w:val="true"/>
          <w:lang w:bidi="fa-IR"/>
        </w:rPr>
        <w:t xml:space="preserve">،و مشهورة أبی خدیجة </w:t>
      </w:r>
      <w:r>
        <w:rPr>
          <w:rStyle w:val="FootnoteAnchor"/>
          <w:rtl w:val="true"/>
        </w:rPr>
        <w:footnoteReference w:id="2877"/>
      </w:r>
      <w:r>
        <w:rPr>
          <w:rFonts w:ascii="IRNazanin" w:hAnsi="IRNazanin" w:eastAsia="IRNazanin"/>
          <w:color w:val="111111"/>
          <w:sz w:val="28"/>
          <w:sz w:val="28"/>
          <w:szCs w:val="28"/>
          <w:rtl w:val="true"/>
          <w:lang w:bidi="fa-IR"/>
        </w:rPr>
        <w:t xml:space="preserve">، و التوقیع الآتی </w:t>
      </w:r>
      <w:r>
        <w:rPr>
          <w:rStyle w:val="FootnoteAnchor"/>
          <w:rtl w:val="true"/>
        </w:rPr>
        <w:footnoteReference w:id="2878"/>
      </w:r>
      <w:r>
        <w:rPr>
          <w:rFonts w:ascii="IRNazanin" w:hAnsi="IRNazanin" w:eastAsia="IRNazanin"/>
          <w:color w:val="111111"/>
          <w:sz w:val="28"/>
          <w:sz w:val="28"/>
          <w:szCs w:val="28"/>
          <w:rtl w:val="true"/>
          <w:lang w:bidi="fa-IR"/>
        </w:rPr>
        <w:t>،حیث علّل فیها حکومة الفقیه و تسلّطه علی الناس</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بأنی قد جعلته کذلک،و أنّه حجّتی علیکم</w:t>
      </w:r>
      <w:r>
        <w:rPr>
          <w:rFonts w:eastAsia="IRNazanin" w:cs="IRNazanin"/>
          <w:color w:val="111111"/>
          <w:sz w:val="28"/>
          <w:szCs w:val="28"/>
          <w:rtl w:val="true"/>
          <w:lang w:bidi="fa-IR"/>
        </w:rPr>
        <w:t>.</w:t>
      </w:r>
      <w:bookmarkStart w:id="876" w:name="pg19763_248294"/>
    </w:p>
    <w:p>
      <w:pPr>
        <w:pStyle w:val="Heading6"/>
        <w:numPr>
          <w:ilvl w:val="5"/>
          <w:numId w:val="1"/>
        </w:numPr>
        <w:rPr/>
      </w:pPr>
      <w:bookmarkStart w:id="877" w:name="__RefHeading___Toc5083092_2314609296"/>
      <w:bookmarkStart w:id="878" w:name="_Toc337"/>
      <w:bookmarkEnd w:id="876"/>
      <w:bookmarkEnd w:id="877"/>
      <w:r>
        <w:rPr>
          <w:rtl w:val="true"/>
        </w:rPr>
        <w:t>[</w:t>
      </w:r>
      <w:r>
        <w:rPr>
          <w:rtl w:val="true"/>
        </w:rPr>
        <w:t>الاستدلال بالإجماع و العقل</w:t>
      </w:r>
      <w:r>
        <w:rPr>
          <w:rtl w:val="true"/>
        </w:rPr>
        <w:t>]</w:t>
      </w:r>
      <w:bookmarkEnd w:id="878"/>
    </w:p>
    <w:p>
      <w:pPr>
        <w:pStyle w:val="BookText"/>
        <w:rPr/>
      </w:pPr>
      <w:r>
        <w:rPr>
          <w:rFonts w:ascii="Amiri" w:hAnsi="Amiri" w:eastAsia="Amiri" w:cs="Amiri"/>
          <w:color w:val="111111"/>
          <w:sz w:val="28"/>
          <w:sz w:val="28"/>
          <w:szCs w:val="28"/>
          <w:rtl w:val="true"/>
          <w:lang w:bidi="ar-SA"/>
        </w:rPr>
        <w:t>و أمّا الإجماع فغیر 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العقل القطعی،فالمستقلّ منه حکمه بوجوب شکر المنعم بعد معرفة أنّهم أولیاء النعم،و الغیر المستقلّ حکمه بأنّ الأُبوّة إذا اقتضت وجوب طاعة الأب علی الابن فی الجملة،کانت الإمامة مقتضیة لوجوب طاعة الإمام علی الرعیّة بطریق أولی؛لأنّ الحقّ هنا أعظم بمراتب،فتأمّل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ما یتوهّم من أنّ وجوب طاعة الإمام مختصّ بالأوامر الشرعیّة،و أنّه لا دلیل علی وجوب إطاعته </w:t>
      </w:r>
      <w:r>
        <w:rPr>
          <w:rStyle w:val="FootnoteAnchor"/>
          <w:rtl w:val="true"/>
        </w:rPr>
        <w:footnoteReference w:id="2879"/>
      </w:r>
      <w:r>
        <w:rPr>
          <w:rFonts w:ascii="IRNazanin" w:hAnsi="IRNazanin" w:eastAsia="IRNazanin"/>
          <w:color w:val="111111"/>
          <w:sz w:val="28"/>
          <w:sz w:val="28"/>
          <w:szCs w:val="28"/>
          <w:rtl w:val="true"/>
          <w:lang w:bidi="fa-IR"/>
        </w:rPr>
        <w:t>فی أوامره العرفیّة أو سلطنته علی الأموال و الأنفس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بالجملة،فالمستفاد من الأدلّة الأربعة بعد التتبّع و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للإمام علیه السلام سلطنة مطلقة علی الرعیّة من قبل اللّٰه تعالی،و أنّ تصرّفهم نافذ علی الرعیّة ماضٍ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ولایتهم بالمعنی الأوّل</w:t>
      </w:r>
      <w:r>
        <w:rPr>
          <w:rFonts w:eastAsia="IRNazanin" w:cs="IRNazanin"/>
          <w:color w:val="111111"/>
          <w:sz w:val="28"/>
          <w:szCs w:val="28"/>
          <w:rtl w:val="true"/>
          <w:lang w:bidi="fa-IR"/>
        </w:rPr>
        <w:t>.</w:t>
      </w:r>
    </w:p>
    <w:p>
      <w:pPr>
        <w:pStyle w:val="Heading6"/>
        <w:numPr>
          <w:ilvl w:val="5"/>
          <w:numId w:val="1"/>
        </w:numPr>
        <w:rPr/>
      </w:pPr>
      <w:bookmarkStart w:id="879" w:name="__RefHeading___Toc5083094_2314609296"/>
      <w:bookmarkStart w:id="880" w:name="_Toc338"/>
      <w:bookmarkEnd w:id="879"/>
      <w:r>
        <w:rPr>
          <w:rtl w:val="true"/>
        </w:rPr>
        <w:t>[</w:t>
      </w:r>
      <w:r>
        <w:rPr>
          <w:rtl w:val="true"/>
        </w:rPr>
        <w:t>الاستدلال بالروایات بالمعنی الثانی و الاستدلال علیه</w:t>
      </w:r>
      <w:r>
        <w:rPr>
          <w:rtl w:val="true"/>
        </w:rPr>
        <w:t>]</w:t>
      </w:r>
      <w:bookmarkEnd w:id="88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اشتراط تصرّف الغیر بإذنهم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و إن کان مخالفاً للأصل،إلّا أنّه قد ورد أخبار خاصّة بوجوب الرجوع إلیهم </w:t>
      </w:r>
      <w:r>
        <w:rPr>
          <w:rStyle w:val="FootnoteAnchor"/>
          <w:rtl w:val="true"/>
        </w:rPr>
        <w:footnoteReference w:id="2880"/>
      </w:r>
      <w:r>
        <w:rPr>
          <w:rFonts w:ascii="IRNazanin" w:hAnsi="IRNazanin" w:eastAsia="IRNazanin"/>
          <w:color w:val="111111"/>
          <w:sz w:val="28"/>
          <w:sz w:val="28"/>
          <w:szCs w:val="28"/>
          <w:rtl w:val="true"/>
          <w:lang w:bidi="fa-IR"/>
        </w:rPr>
        <w:t>، و عدم جواز الاستقلال لغیرهم بالنسبة إلی المصالح المطلوبة للشارع الغیر المأخوذة علی شخص معیّن من الرعیّة،کالحدود و التعزیرات،و التصرّف فی أموال القاصرین،و إلزام الناس بالخروج عن الحقوق،و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 فی ذلک ما دلّ علی أنّهم أُولو الأمر و ولاته </w:t>
      </w:r>
      <w:r>
        <w:rPr>
          <w:rStyle w:val="FootnoteAnchor"/>
          <w:rtl w:val="true"/>
        </w:rPr>
        <w:footnoteReference w:id="2881"/>
      </w:r>
      <w:r>
        <w:rPr>
          <w:rFonts w:ascii="IRNazanin" w:hAnsi="IRNazanin" w:eastAsia="IRNazanin"/>
          <w:color w:val="111111"/>
          <w:sz w:val="28"/>
          <w:sz w:val="28"/>
          <w:szCs w:val="28"/>
          <w:rtl w:val="true"/>
          <w:lang w:bidi="fa-IR"/>
        </w:rPr>
        <w:t>فإنّ الظاهر من هذا العنوان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یجب الرجوع إلیه فی الأُمور العامّة التی لم تحمل فی الشرع علی شخص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دلّ علی وجوب الرجوع فی الوقائع الحادثة إلی رواة الحدیث معلّلاً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حجّتی علیکم و أنا حجّة اللّٰه</w:t>
      </w:r>
      <w:r>
        <w:rPr>
          <w:rFonts w:eastAsia="IRNazanin" w:cs="IRNazanin"/>
          <w:color w:val="111111"/>
          <w:sz w:val="28"/>
          <w:szCs w:val="28"/>
          <w:rtl w:val="true"/>
          <w:lang w:bidi="fa-IR"/>
        </w:rPr>
        <w:t xml:space="preserve">» </w:t>
      </w:r>
      <w:r>
        <w:rPr>
          <w:rStyle w:val="FootnoteAnchor"/>
          <w:rtl w:val="true"/>
        </w:rPr>
        <w:footnoteReference w:id="2882"/>
      </w:r>
      <w:r>
        <w:rPr>
          <w:rFonts w:ascii="IRNazanin" w:hAnsi="IRNazanin" w:eastAsia="IRNazanin"/>
          <w:color w:val="111111"/>
          <w:sz w:val="28"/>
          <w:sz w:val="28"/>
          <w:szCs w:val="28"/>
          <w:rtl w:val="true"/>
          <w:lang w:bidi="fa-IR"/>
        </w:rPr>
        <w:t>فإنّه دلّ علی أنّ الإمام هو المرجع الأصلی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عن العلل بسنده إلی الفضل بن شاذان عن مولانا أبی الحسن الرضا علیه السلام فی علل حاجة الناس إلی الإمام علیه السلام،حیث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جملة من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لا نجد فرقة من الفِرَق، و لا ملّة من الملل عاشوا و بقوا </w:t>
      </w:r>
      <w:r>
        <w:rPr>
          <w:rStyle w:val="FootnoteAnchor"/>
          <w:rtl w:val="true"/>
        </w:rPr>
        <w:footnoteReference w:id="2883"/>
      </w:r>
      <w:r>
        <w:rPr>
          <w:rFonts w:ascii="IRNazanin" w:hAnsi="IRNazanin" w:eastAsia="IRNazanin"/>
          <w:color w:val="111111"/>
          <w:sz w:val="28"/>
          <w:sz w:val="28"/>
          <w:szCs w:val="28"/>
          <w:rtl w:val="true"/>
          <w:lang w:bidi="fa-IR"/>
        </w:rPr>
        <w:t xml:space="preserve">إلّا بقیّم و رئیس؛لما لا بدّ لهم منه فی </w:t>
      </w:r>
      <w:r>
        <w:rPr>
          <w:rStyle w:val="FootnoteAnchor"/>
          <w:rtl w:val="true"/>
        </w:rPr>
        <w:footnoteReference w:id="2884"/>
      </w:r>
      <w:r>
        <w:rPr>
          <w:rFonts w:ascii="IRNazanin" w:hAnsi="IRNazanin" w:eastAsia="IRNazanin"/>
          <w:color w:val="111111"/>
          <w:sz w:val="28"/>
          <w:sz w:val="28"/>
          <w:szCs w:val="28"/>
          <w:rtl w:val="true"/>
          <w:lang w:bidi="fa-IR"/>
        </w:rPr>
        <w:t xml:space="preserve">أمر الدین و الدنیا،فلم یجز فی حکمة الحکیم أن یترک الخلق بما یعلم </w:t>
      </w:r>
      <w:r>
        <w:rPr>
          <w:rStyle w:val="FootnoteAnchor"/>
          <w:rtl w:val="true"/>
        </w:rPr>
        <w:footnoteReference w:id="2885"/>
      </w:r>
      <w:r>
        <w:rPr>
          <w:rFonts w:ascii="Amiri" w:hAnsi="Amiri" w:eastAsia="Amiri" w:cs="Amiri"/>
          <w:color w:val="111111"/>
          <w:sz w:val="28"/>
          <w:sz w:val="28"/>
          <w:szCs w:val="28"/>
          <w:rtl w:val="true"/>
          <w:lang w:bidi="ar-SA"/>
        </w:rPr>
        <w:t xml:space="preserve">أنّه </w:t>
      </w:r>
      <w:r>
        <w:rPr>
          <w:rStyle w:val="FootnoteAnchor"/>
          <w:rtl w:val="true"/>
        </w:rPr>
        <w:footnoteReference w:id="2886"/>
      </w:r>
      <w:r>
        <w:rPr>
          <w:rFonts w:ascii="IRNazanin" w:hAnsi="IRNazanin" w:eastAsia="IRNazanin"/>
          <w:color w:val="111111"/>
          <w:sz w:val="28"/>
          <w:sz w:val="28"/>
          <w:szCs w:val="28"/>
          <w:rtl w:val="true"/>
          <w:lang w:bidi="fa-IR"/>
        </w:rPr>
        <w:t xml:space="preserve">لا بدّ لهم منه </w:t>
      </w:r>
      <w:r>
        <w:rPr>
          <w:rStyle w:val="FootnoteAnchor"/>
          <w:rtl w:val="true"/>
        </w:rPr>
        <w:footnoteReference w:id="2887"/>
      </w:r>
      <w:r>
        <w:rPr>
          <w:rFonts w:ascii="IRNazanin" w:hAnsi="IRNazanin" w:eastAsia="IRNazanin"/>
          <w:color w:val="111111"/>
          <w:sz w:val="28"/>
          <w:sz w:val="28"/>
          <w:szCs w:val="28"/>
          <w:rtl w:val="true"/>
          <w:lang w:bidi="fa-IR"/>
        </w:rPr>
        <w:t>و لا قوام لهم إلّا به</w:t>
      </w:r>
      <w:r>
        <w:rPr>
          <w:rFonts w:eastAsia="IRNazanin" w:cs="IRNazanin"/>
          <w:color w:val="111111"/>
          <w:sz w:val="28"/>
          <w:szCs w:val="28"/>
          <w:rtl w:val="true"/>
          <w:lang w:bidi="fa-IR"/>
        </w:rPr>
        <w:t xml:space="preserve">» </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هذا،مضافاً إلی ما ورد فی خصوص الحدود و التعزیرات و الحکومات،و أنّها لإمام المسلمین </w:t>
      </w:r>
      <w:r>
        <w:rPr>
          <w:rStyle w:val="FootnoteAnchor"/>
          <w:rtl w:val="true"/>
        </w:rPr>
        <w:footnoteReference w:id="2889"/>
      </w:r>
      <w:r>
        <w:rPr>
          <w:rFonts w:ascii="IRNazanin" w:hAnsi="IRNazanin" w:eastAsia="IRNazanin"/>
          <w:color w:val="111111"/>
          <w:sz w:val="28"/>
          <w:sz w:val="28"/>
          <w:szCs w:val="28"/>
          <w:rtl w:val="true"/>
          <w:lang w:bidi="fa-IR"/>
        </w:rPr>
        <w:t>،و فی الصلاة علی الجنائز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سلطان اللّٰه أحقّ بها من کلّ أحد </w:t>
      </w:r>
      <w:r>
        <w:rPr>
          <w:rStyle w:val="FootnoteAnchor"/>
          <w:rtl w:val="true"/>
        </w:rPr>
        <w:footnoteReference w:id="2890"/>
      </w:r>
      <w:r>
        <w:rPr>
          <w:rFonts w:ascii="IRNazanin" w:hAnsi="IRNazanin" w:eastAsia="IRNazanin"/>
          <w:color w:val="111111"/>
          <w:sz w:val="28"/>
          <w:sz w:val="28"/>
          <w:szCs w:val="28"/>
          <w:rtl w:val="true"/>
          <w:lang w:bidi="fa-IR"/>
        </w:rPr>
        <w:t>،و غیر ذلک ممّا یعثر علیه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کان،فلا إشکال فی عدم جواز التصرّف فی کثیرٍ من الأُمور العامّة بدون إذنهم و رضاهم،لکن لا عموم یقتضی أصالة توقّف کلّ تصرّفٍ علی الإذن</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نعم،الأُمور التی یرجع فیها کلّ قومٍ إلی رئیسهم،لا یبعد الاطّراد فیها بمقتضی کونهم اولی الأمر و ولاته و المرجع الأصلی فی الحوادث الواقعة،و المرجع فی غیر ذلک من موارد الشکّ إلی إطلاقات أدلّة تلک التصرّفات إن وجدت علی الجواز أو المنع،و إلّا فإلی الأُصول العملیّة،لکن حیث کان الکلام فی اعتبار إذن الإمام علیه السلام أو نائبه الخاصّ مع التمکّن منه لم یجز إجراء الأُصول؛لأنّها لا تنفع مع التمکّن </w:t>
      </w:r>
      <w:r>
        <w:rPr>
          <w:rStyle w:val="FootnoteAnchor"/>
          <w:rtl w:val="true"/>
        </w:rPr>
        <w:footnoteReference w:id="2891"/>
      </w:r>
      <w:r>
        <w:rPr>
          <w:rFonts w:ascii="IRNazanin" w:hAnsi="IRNazanin" w:eastAsia="IRNazanin"/>
          <w:color w:val="111111"/>
          <w:sz w:val="28"/>
          <w:sz w:val="28"/>
          <w:szCs w:val="28"/>
          <w:rtl w:val="true"/>
          <w:lang w:bidi="fa-IR"/>
        </w:rPr>
        <w:t xml:space="preserve">من الرجوع إلی الحجّة،و إنّما تنفع </w:t>
      </w:r>
      <w:r>
        <w:rPr>
          <w:rStyle w:val="FootnoteAnchor"/>
          <w:rtl w:val="true"/>
        </w:rPr>
        <w:footnoteReference w:id="2892"/>
      </w:r>
      <w:r>
        <w:rPr>
          <w:rFonts w:ascii="IRNazanin" w:hAnsi="IRNazanin" w:eastAsia="IRNazanin"/>
          <w:color w:val="111111"/>
          <w:sz w:val="28"/>
          <w:sz w:val="28"/>
          <w:szCs w:val="28"/>
          <w:rtl w:val="true"/>
          <w:lang w:bidi="fa-IR"/>
        </w:rPr>
        <w:t>مع عدم التمکّن من الرجوع إلیها</w:t>
      </w:r>
      <w:bookmarkStart w:id="881" w:name="pg19763_248297"/>
    </w:p>
    <w:p>
      <w:pPr>
        <w:pStyle w:val="BookText"/>
        <w:rPr/>
      </w:pPr>
      <w:bookmarkEnd w:id="881"/>
      <w:r>
        <w:rPr>
          <w:rFonts w:ascii="IRNazanin" w:hAnsi="IRNazanin" w:eastAsia="IRNazanin"/>
          <w:color w:val="111111"/>
          <w:sz w:val="28"/>
          <w:sz w:val="28"/>
          <w:szCs w:val="28"/>
          <w:rtl w:val="true"/>
          <w:lang w:bidi="fa-IR"/>
        </w:rPr>
        <w:t xml:space="preserve">لبعض العوارض </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2" w:name="__RefHeading___Toc5083096_2314609296"/>
      <w:bookmarkStart w:id="883" w:name="_Toc339"/>
      <w:bookmarkEnd w:id="882"/>
      <w:r>
        <w:rPr>
          <w:rtl w:val="true"/>
        </w:rPr>
        <w:t>[</w:t>
      </w:r>
      <w:r>
        <w:rPr>
          <w:rtl w:val="true"/>
        </w:rPr>
        <w:t>الکلام فی ولایة الفقیه بالمعنی الأول</w:t>
      </w:r>
      <w:r>
        <w:rPr>
          <w:rtl w:val="true"/>
        </w:rPr>
        <w:t>]</w:t>
      </w:r>
      <w:bookmarkEnd w:id="883"/>
    </w:p>
    <w:p>
      <w:pPr>
        <w:pStyle w:val="BookText"/>
        <w:rPr/>
      </w:pPr>
      <w:r>
        <w:rPr>
          <w:rFonts w:ascii="IRNazanin" w:hAnsi="IRNazanin" w:eastAsia="IRNazanin"/>
          <w:color w:val="111111"/>
          <w:sz w:val="28"/>
          <w:sz w:val="28"/>
          <w:szCs w:val="28"/>
          <w:rtl w:val="true"/>
          <w:lang w:bidi="fa-IR"/>
        </w:rPr>
        <w:t>و بالجملة،فلا یهمّنا التعرّض لذلک،إنّما المهمّ التعرّض لحکم ولایة الفقیه بأحد الوجهین المتقدّمین،فنقول</w:t>
      </w:r>
      <w:r>
        <w:rPr>
          <w:rFonts w:eastAsia="IRNazanin" w:cs="IRNazanin"/>
          <w:color w:val="111111"/>
          <w:sz w:val="28"/>
          <w:szCs w:val="28"/>
          <w:rtl w:val="true"/>
          <w:lang w:bidi="fa-IR"/>
        </w:rPr>
        <w:t>:</w:t>
      </w:r>
    </w:p>
    <w:p>
      <w:pPr>
        <w:pStyle w:val="Heading6"/>
        <w:numPr>
          <w:ilvl w:val="5"/>
          <w:numId w:val="1"/>
        </w:numPr>
        <w:rPr/>
      </w:pPr>
      <w:bookmarkStart w:id="884" w:name="__RefHeading___Toc5083098_2314609296"/>
      <w:bookmarkStart w:id="885" w:name="_Toc340"/>
      <w:bookmarkEnd w:id="884"/>
      <w:r>
        <w:rPr>
          <w:rtl w:val="true"/>
        </w:rPr>
        <w:t>[</w:t>
      </w:r>
      <w:r>
        <w:rPr>
          <w:rtl w:val="true"/>
        </w:rPr>
        <w:t>الاستدلال علیها بالروایات</w:t>
      </w:r>
      <w:r>
        <w:rPr>
          <w:rtl w:val="true"/>
        </w:rPr>
        <w:t>]</w:t>
      </w:r>
      <w:bookmarkEnd w:id="885"/>
    </w:p>
    <w:p>
      <w:pPr>
        <w:pStyle w:val="BookText"/>
        <w:rPr/>
      </w:pPr>
      <w:r>
        <w:rPr>
          <w:rFonts w:ascii="IRNazanin" w:hAnsi="IRNazanin" w:eastAsia="IRNazanin"/>
          <w:color w:val="111111"/>
          <w:sz w:val="28"/>
          <w:sz w:val="28"/>
          <w:szCs w:val="28"/>
          <w:rtl w:val="true"/>
          <w:lang w:bidi="fa-IR"/>
        </w:rPr>
        <w:t>أمّا الولایة 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استقلاله فی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یثبت بعمومٍ عدا ما ربما یتخیّل من أخبار واردة فی شأن العلماء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العلماء ورثة الأنبیاء،و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Style w:val="FootnoteAnchor"/>
          <w:rtl w:val="true"/>
        </w:rPr>
        <w:footnoteReference w:id="2894"/>
      </w:r>
      <w:r>
        <w:rPr>
          <w:rFonts w:ascii="IRNazanin" w:hAnsi="IRNazanin" w:eastAsia="IRNazanin"/>
          <w:color w:val="111111"/>
          <w:sz w:val="28"/>
          <w:sz w:val="28"/>
          <w:szCs w:val="28"/>
          <w:rtl w:val="true"/>
          <w:lang w:bidi="fa-IR"/>
        </w:rPr>
        <w:t>أنّ الأنبیاء لم یورّثوا دیناراً و لا درهماً و لکن ورّثوا أحادیث من أحادیثهم،فمن أخذ بشیءٍ منها أخذ بحظٍّ وافر</w:t>
      </w:r>
      <w:r>
        <w:rPr>
          <w:rFonts w:eastAsia="IRNazanin" w:cs="IRNazanin"/>
          <w:color w:val="111111"/>
          <w:sz w:val="28"/>
          <w:szCs w:val="28"/>
          <w:rtl w:val="true"/>
          <w:lang w:bidi="fa-IR"/>
        </w:rPr>
        <w:t xml:space="preserve">» </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العلماء أُمناء الرسل</w:t>
      </w:r>
      <w:r>
        <w:rPr>
          <w:rFonts w:eastAsia="IRNazanin" w:cs="IRNazanin"/>
          <w:color w:val="111111"/>
          <w:sz w:val="28"/>
          <w:szCs w:val="28"/>
          <w:rtl w:val="true"/>
          <w:lang w:bidi="fa-IR"/>
        </w:rPr>
        <w:t xml:space="preserve">»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الأُمور بید العلماء باللّٰه،الاُمناء علی حلاله و حرامه</w:t>
      </w:r>
      <w:r>
        <w:rPr>
          <w:rFonts w:eastAsia="IRNazanin" w:cs="IRNazanin"/>
          <w:color w:val="111111"/>
          <w:sz w:val="28"/>
          <w:szCs w:val="28"/>
          <w:rtl w:val="true"/>
          <w:lang w:bidi="fa-IR"/>
        </w:rPr>
        <w:t xml:space="preserve">»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أُمّتی کأنبیاء بنی إسرائیل</w:t>
      </w:r>
      <w:r>
        <w:rPr>
          <w:rFonts w:eastAsia="IRNazanin" w:cs="IRNazanin"/>
          <w:color w:val="111111"/>
          <w:sz w:val="28"/>
          <w:szCs w:val="28"/>
          <w:rtl w:val="true"/>
          <w:lang w:bidi="fa-IR"/>
        </w:rPr>
        <w:t xml:space="preserve">»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المرسلة </w:t>
      </w:r>
      <w:r>
        <w:rPr>
          <w:rStyle w:val="FootnoteAnchor"/>
          <w:rtl w:val="true"/>
        </w:rPr>
        <w:footnoteReference w:id="2899"/>
      </w:r>
      <w:r>
        <w:rPr>
          <w:rFonts w:ascii="IRNazanin" w:hAnsi="IRNazanin" w:eastAsia="IRNazanin"/>
          <w:color w:val="111111"/>
          <w:sz w:val="28"/>
          <w:sz w:val="28"/>
          <w:szCs w:val="28"/>
          <w:rtl w:val="true"/>
          <w:lang w:bidi="fa-IR"/>
        </w:rPr>
        <w:t>المرویّة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منزلة الفقیه فی هذا الوقت کمنزلة الأنبیاء فی بنی إسرائیل</w:t>
      </w:r>
      <w:r>
        <w:rPr>
          <w:rFonts w:eastAsia="IRNazanin" w:cs="IRNazanin"/>
          <w:color w:val="111111"/>
          <w:sz w:val="28"/>
          <w:szCs w:val="28"/>
          <w:rtl w:val="true"/>
          <w:lang w:bidi="fa-IR"/>
        </w:rPr>
        <w:t xml:space="preserve">» </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Style w:val="FootnoteAnchor"/>
          <w:rtl w:val="true"/>
        </w:rPr>
        <w:footnoteReference w:id="2901"/>
      </w:r>
      <w:r>
        <w:rPr>
          <w:rFonts w:ascii="Amiri" w:hAnsi="Amiri" w:eastAsia="Amiri" w:cs="Amiri"/>
          <w:color w:val="111111"/>
          <w:sz w:val="28"/>
          <w:sz w:val="28"/>
          <w:szCs w:val="28"/>
          <w:rtl w:val="true"/>
          <w:lang w:bidi="ar-SA"/>
        </w:rPr>
        <w:t>فی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الناس بالأنبیاء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 بما جاؤوا به إِنَّ أَوْلَی النّٰاسِ بِإِبْرٰاهِیمَ لَلَّذِینَ اتَّبَعُوهُ الآیة</w:t>
      </w:r>
      <w:r>
        <w:rPr>
          <w:rFonts w:eastAsia="Amiri" w:cs="Amiri" w:ascii="Amiri" w:hAnsi="Amiri"/>
          <w:color w:val="111111"/>
          <w:sz w:val="28"/>
          <w:szCs w:val="28"/>
          <w:rtl w:val="true"/>
          <w:lang w:bidi="ar-SA"/>
        </w:rPr>
        <w:t xml:space="preserve">»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خلفاؤک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بعدی،و یروون حدیثی و سنّتی</w:t>
      </w:r>
      <w:r>
        <w:rPr>
          <w:rFonts w:eastAsia="IRNazanin" w:cs="IRNazanin"/>
          <w:color w:val="111111"/>
          <w:sz w:val="28"/>
          <w:szCs w:val="28"/>
          <w:rtl w:val="true"/>
          <w:lang w:bidi="fa-IR"/>
        </w:rPr>
        <w:t xml:space="preserve">»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مقبولة ابن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جعلته علیکم حاکماً</w:t>
      </w:r>
      <w:r>
        <w:rPr>
          <w:rFonts w:eastAsia="IRNazanin" w:cs="IRNazanin"/>
          <w:color w:val="111111"/>
          <w:sz w:val="28"/>
          <w:szCs w:val="28"/>
          <w:rtl w:val="true"/>
          <w:lang w:bidi="fa-IR"/>
        </w:rPr>
        <w:t xml:space="preserve">»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مشهورة أبی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علیکم قاضیاً</w:t>
      </w:r>
      <w:r>
        <w:rPr>
          <w:rFonts w:eastAsia="IRNazanin" w:cs="IRNazanin"/>
          <w:color w:val="111111"/>
          <w:sz w:val="28"/>
          <w:szCs w:val="28"/>
          <w:rtl w:val="true"/>
          <w:lang w:bidi="fa-IR"/>
        </w:rPr>
        <w:t xml:space="preserve">»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حجّتی علیکم و أنا حجّة اللّٰه</w:t>
      </w:r>
      <w:r>
        <w:rPr>
          <w:rFonts w:eastAsia="Amiri" w:cs="Amiri" w:ascii="Amiri" w:hAnsi="Amiri"/>
          <w:color w:val="111111"/>
          <w:sz w:val="28"/>
          <w:szCs w:val="28"/>
          <w:rtl w:val="true"/>
          <w:lang w:bidi="ar-SA"/>
        </w:rPr>
        <w:t xml:space="preserve">» </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bookmarkStart w:id="886" w:name="pg19763_248299"/>
    </w:p>
    <w:p>
      <w:pPr>
        <w:pStyle w:val="BookText"/>
        <w:rPr/>
      </w:pPr>
      <w:bookmarkEnd w:id="886"/>
      <w:r>
        <w:rPr>
          <w:rFonts w:ascii="IRNazanin" w:hAnsi="IRNazanin" w:eastAsia="IRNazanin"/>
          <w:color w:val="111111"/>
          <w:sz w:val="28"/>
          <w:sz w:val="28"/>
          <w:szCs w:val="28"/>
          <w:rtl w:val="true"/>
          <w:lang w:bidi="fa-IR"/>
        </w:rPr>
        <w:t>إلی غیر ذلک ممّا یظفر به المتتبّع</w:t>
      </w:r>
      <w:r>
        <w:rPr>
          <w:rFonts w:eastAsia="IRNazanin" w:cs="IRNazanin"/>
          <w:color w:val="111111"/>
          <w:sz w:val="28"/>
          <w:szCs w:val="28"/>
          <w:rtl w:val="true"/>
          <w:lang w:bidi="fa-IR"/>
        </w:rPr>
        <w:t>.</w:t>
      </w:r>
    </w:p>
    <w:p>
      <w:pPr>
        <w:pStyle w:val="Heading6"/>
        <w:numPr>
          <w:ilvl w:val="5"/>
          <w:numId w:val="1"/>
        </w:numPr>
        <w:rPr/>
      </w:pPr>
      <w:bookmarkStart w:id="887" w:name="__RefHeading___Toc5083100_2314609296"/>
      <w:bookmarkStart w:id="888" w:name="_Toc341"/>
      <w:bookmarkEnd w:id="887"/>
      <w:r>
        <w:rPr>
          <w:rtl w:val="true"/>
        </w:rPr>
        <w:t>[</w:t>
      </w:r>
      <w:r>
        <w:rPr>
          <w:rtl w:val="true"/>
        </w:rPr>
        <w:t>المناقشة فی الاستدلال</w:t>
      </w:r>
      <w:r>
        <w:rPr>
          <w:rtl w:val="true"/>
        </w:rPr>
        <w:t>]</w:t>
      </w:r>
      <w:bookmarkEnd w:id="888"/>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سیاقها أو صدرها أو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یقتضی الجزم بأنّها فی مقام بیان وظیفتهم من حیث الأحکام الشرعیة، لا کونهم کالنبیّ و الأئمة صلوات اللّٰه علیهم فی کونهم أولی بالناس </w:t>
      </w:r>
      <w:r>
        <w:rPr>
          <w:rStyle w:val="FootnoteAnchor"/>
          <w:rtl w:val="true"/>
        </w:rPr>
        <w:footnoteReference w:id="2907"/>
      </w:r>
      <w:r>
        <w:rPr>
          <w:rFonts w:ascii="IRNazanin" w:hAnsi="IRNazanin" w:eastAsia="IRNazanin"/>
          <w:color w:val="111111"/>
          <w:sz w:val="28"/>
          <w:sz w:val="28"/>
          <w:szCs w:val="28"/>
          <w:rtl w:val="true"/>
          <w:lang w:bidi="fa-IR"/>
        </w:rPr>
        <w:t>فی أموالهم، فلو طلب الفقیه الزکاة و الخمس من المکلّف فلا دلیل علی وجوب الدفع إلیه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ثبت شرعاً اشتراط صحّة أدائهما بدفعه إلی الفقیه مطلقاً أو بعد المطالبة،و أفتی بذلک الفقیه،وجب اتّباعه إن کان ممّن یتعیّن تقلیده ابتداءً أو بعد الاختیار،فیخرج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هذا،مع أنّه لو فرض العموم فیما ذکر من الأخبار،وجب حملها علی إرادة الجهة </w:t>
      </w:r>
      <w:r>
        <w:rPr>
          <w:rStyle w:val="FootnoteAnchor"/>
          <w:rtl w:val="true"/>
        </w:rPr>
        <w:footnoteReference w:id="2908"/>
      </w:r>
      <w:r>
        <w:rPr>
          <w:rFonts w:ascii="IRNazanin" w:hAnsi="IRNazanin" w:eastAsia="IRNazanin"/>
          <w:color w:val="111111"/>
          <w:sz w:val="28"/>
          <w:sz w:val="28"/>
          <w:szCs w:val="28"/>
          <w:rtl w:val="true"/>
          <w:lang w:bidi="fa-IR"/>
        </w:rPr>
        <w:t>المعهودة المتعارفة من وظیفته،من حیث کونه رسولاً مبلّغاً،و إلّا لزم تخصیص أکثر أفراد العامّ؛لعدم سلطنة الفقیه علی أموال الناس و أنفسهم إلّا فی موارد قلیلة بالنسبة إلی موارد عدم سلطنته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بالجملة،فأقامه الدلیل علی وجوب طاعة الفقیه کالإمام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خرط القتاد</w:t>
      </w:r>
      <w:r>
        <w:rPr>
          <w:rFonts w:eastAsia="IRNazanin" w:cs="IRNazanin"/>
          <w:color w:val="111111"/>
          <w:sz w:val="28"/>
          <w:szCs w:val="28"/>
          <w:rtl w:val="true"/>
          <w:lang w:bidi="fa-IR"/>
        </w:rPr>
        <w:t>!</w:t>
      </w:r>
    </w:p>
    <w:p>
      <w:pPr>
        <w:pStyle w:val="Heading6"/>
        <w:numPr>
          <w:ilvl w:val="5"/>
          <w:numId w:val="1"/>
        </w:numPr>
        <w:rPr/>
      </w:pPr>
      <w:bookmarkStart w:id="889" w:name="__RefHeading___Toc5083102_2314609296"/>
      <w:bookmarkStart w:id="890" w:name="_Toc342"/>
      <w:bookmarkEnd w:id="889"/>
      <w:r>
        <w:rPr>
          <w:rtl w:val="true"/>
        </w:rPr>
        <w:t>بقی الکلام فی ولایته علی الوجه الثانی</w:t>
      </w:r>
      <w:r>
        <w:rPr>
          <w:rtl w:val="true"/>
        </w:rPr>
        <w:t>-</w:t>
      </w:r>
      <w:r>
        <w:rPr>
          <w:rtl w:val="true"/>
        </w:rPr>
        <w:t>أعنی توقّف تصرّف الغیر علی إذنه،</w:t>
      </w:r>
      <w:bookmarkEnd w:id="890"/>
    </w:p>
    <w:p>
      <w:pPr>
        <w:pStyle w:val="BookText"/>
        <w:rPr/>
      </w:pPr>
      <w:r>
        <w:rPr>
          <w:rFonts w:ascii="IRNazanin" w:hAnsi="IRNazanin" w:eastAsia="IRNazanin"/>
          <w:color w:val="111111"/>
          <w:sz w:val="28"/>
          <w:sz w:val="28"/>
          <w:szCs w:val="28"/>
          <w:rtl w:val="true"/>
          <w:lang w:bidi="fa-IR"/>
        </w:rPr>
        <w:t>فیما کان متوقّفاً علی إذن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موارد التوقّف علی إذن الإمام علیه السلام غیر مضبوطة فلا بدّ من ذکر ما یکون کالضابط لها،فنقول</w:t>
      </w:r>
      <w:r>
        <w:rPr>
          <w:rFonts w:eastAsia="IRNazanin" w:cs="IRNazanin"/>
          <w:color w:val="111111"/>
          <w:sz w:val="28"/>
          <w:szCs w:val="28"/>
          <w:rtl w:val="true"/>
          <w:lang w:bidi="fa-IR"/>
        </w:rPr>
        <w:t>:</w:t>
      </w:r>
    </w:p>
    <w:p>
      <w:pPr>
        <w:pStyle w:val="Heading6"/>
        <w:numPr>
          <w:ilvl w:val="5"/>
          <w:numId w:val="1"/>
        </w:numPr>
        <w:rPr/>
      </w:pPr>
      <w:bookmarkStart w:id="891" w:name="__RefHeading___Toc5083104_2314609296"/>
      <w:bookmarkStart w:id="892" w:name="_Toc343"/>
      <w:bookmarkEnd w:id="891"/>
      <w:r>
        <w:rPr>
          <w:rtl w:val="true"/>
        </w:rPr>
        <w:t>[</w:t>
      </w:r>
      <w:r>
        <w:rPr>
          <w:rtl w:val="true"/>
        </w:rPr>
        <w:t>الضابطة لما یجب استئذان الفقیه فیه</w:t>
      </w:r>
      <w:r>
        <w:rPr>
          <w:rtl w:val="true"/>
        </w:rPr>
        <w:t>]</w:t>
      </w:r>
      <w:bookmarkEnd w:id="892"/>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معروف علم من الشارع إرادة وجوده فی الخارج،إن علم</w:t>
      </w:r>
      <w:bookmarkStart w:id="893" w:name="pg19763_248300"/>
    </w:p>
    <w:p>
      <w:pPr>
        <w:pStyle w:val="BookText"/>
        <w:rPr/>
      </w:pPr>
      <w:bookmarkEnd w:id="893"/>
      <w:r>
        <w:rPr>
          <w:rFonts w:ascii="IRNazanin" w:hAnsi="IRNazanin" w:eastAsia="IRNazanin"/>
          <w:color w:val="111111"/>
          <w:sz w:val="28"/>
          <w:sz w:val="28"/>
          <w:szCs w:val="28"/>
          <w:rtl w:val="true"/>
          <w:lang w:bidi="fa-IR"/>
        </w:rPr>
        <w:t>کونه وظیفة شخص خاصّ،کنظر الأب فی مال ولده الصغیر،أو صنفٍ خاصّ،کالإفتاء و القضاء،أو کلّ من یقدر علی القیام به کالأمر بالمعروف،فلا إشکال فی 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یُعلم ذلک و احتمل کونه مشروطاً فی وجوده أو وجوبه بنظر الفقیه،وجب الرجوع فیه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علم الفقیه من الأدلّة جواز تولّیه </w:t>
      </w:r>
      <w:r>
        <w:rPr>
          <w:rStyle w:val="FootnoteAnchor"/>
          <w:rtl w:val="true"/>
        </w:rPr>
        <w:footnoteReference w:id="2909"/>
      </w:r>
      <w:r>
        <w:rPr>
          <w:rFonts w:ascii="IRNazanin" w:hAnsi="IRNazanin" w:eastAsia="IRNazanin"/>
          <w:color w:val="111111"/>
          <w:sz w:val="28"/>
          <w:sz w:val="28"/>
          <w:szCs w:val="28"/>
          <w:rtl w:val="true"/>
          <w:lang w:bidi="fa-IR"/>
        </w:rPr>
        <w:t>لعدم إناطته بنظر خصوص الإمام أو نائبه الخاصّ،تولّاه مباشرةً أو استنابةً إن کان ممّن یری الاستنابة فیه،و إلّا عطّله؛فإنّ کونه معروفاً لا ینافی إناطته بنظر الإمام علیه السلام و الحرمان عنه عند فقده،کسائر البرکات التی حُرمناها بفقده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هذا إلی الشکّ فی کون المطلوب مطلق وجوده،أو وجوده من موجد خاصّ</w:t>
      </w:r>
      <w:r>
        <w:rPr>
          <w:rFonts w:eastAsia="IRNazanin" w:cs="IRNazanin"/>
          <w:color w:val="111111"/>
          <w:sz w:val="28"/>
          <w:szCs w:val="28"/>
          <w:rtl w:val="true"/>
          <w:lang w:bidi="fa-IR"/>
        </w:rPr>
        <w:t>.</w:t>
      </w:r>
    </w:p>
    <w:p>
      <w:pPr>
        <w:pStyle w:val="Heading6"/>
        <w:numPr>
          <w:ilvl w:val="5"/>
          <w:numId w:val="1"/>
        </w:numPr>
        <w:rPr/>
      </w:pPr>
      <w:bookmarkStart w:id="894" w:name="__RefHeading___Toc5083106_2314609296"/>
      <w:bookmarkStart w:id="895" w:name="_Toc344"/>
      <w:bookmarkEnd w:id="894"/>
      <w:r>
        <w:rPr>
          <w:rtl w:val="true"/>
        </w:rPr>
        <w:t>[</w:t>
      </w:r>
      <w:r>
        <w:rPr>
          <w:rtl w:val="true"/>
        </w:rPr>
        <w:t>ما یدل علی وجوب استئذان الفقیه فی الأمور المذکورة</w:t>
      </w:r>
      <w:r>
        <w:rPr>
          <w:rtl w:val="true"/>
        </w:rPr>
        <w:t>]</w:t>
      </w:r>
      <w:bookmarkEnd w:id="895"/>
    </w:p>
    <w:p>
      <w:pPr>
        <w:pStyle w:val="BookText"/>
        <w:rPr/>
      </w:pPr>
      <w:r>
        <w:rPr>
          <w:rFonts w:ascii="IRNazanin" w:hAnsi="IRNazanin" w:eastAsia="IRNazanin"/>
          <w:color w:val="111111"/>
          <w:sz w:val="28"/>
          <w:sz w:val="28"/>
          <w:szCs w:val="28"/>
          <w:rtl w:val="true"/>
          <w:lang w:bidi="fa-IR"/>
        </w:rPr>
        <w:t xml:space="preserve">أمّا وجوب الرجوع إلی الفقیه فی الأُمور المذکورة،فیدلّ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یستفاد من جعله حاکماً،کما فی مقبولة ابن حنظلة، الظاهرة فی کونه کسائر الحکّام المنصوبة فی زمان النبیّ صلّی اللّٰه علیه و آله و سلم و الصحابة فی إلزام الناس بإرجاع الأُمور المذکورة إلیه،و الانتهاء فیها إلی نظره،بل المتبادر عرفاً من نصب السلطان حاکماً وجوب الرجوع فی الأُمور العامّة المطلوبة للسلطان إلیه،و إلی ما تقدّم من قوله علیه السلام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الأُمور بید العلماء باللّٰه الاُمناء علی حلاله و حرامه</w:t>
      </w:r>
      <w:r>
        <w:rPr>
          <w:rFonts w:eastAsia="IRNazanin" w:cs="IRNazanin"/>
          <w:color w:val="111111"/>
          <w:sz w:val="28"/>
          <w:szCs w:val="28"/>
          <w:rtl w:val="true"/>
          <w:lang w:bidi="fa-IR"/>
        </w:rPr>
        <w:t xml:space="preserve">» </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التوقیع </w:t>
      </w:r>
      <w:r>
        <w:rPr>
          <w:rStyle w:val="FootnoteAnchor"/>
          <w:rtl w:val="true"/>
        </w:rPr>
        <w:footnoteReference w:id="2911"/>
      </w:r>
      <w:r>
        <w:rPr>
          <w:rFonts w:ascii="IRNazanin" w:hAnsi="IRNazanin" w:eastAsia="IRNazanin"/>
          <w:color w:val="111111"/>
          <w:sz w:val="28"/>
          <w:sz w:val="28"/>
          <w:szCs w:val="28"/>
          <w:rtl w:val="true"/>
          <w:lang w:bidi="fa-IR"/>
        </w:rPr>
        <w:t xml:space="preserve">المروی فی إکمال الدین </w:t>
      </w:r>
      <w:r>
        <w:rPr>
          <w:rStyle w:val="FootnoteAnchor"/>
          <w:rtl w:val="true"/>
        </w:rPr>
        <w:footnoteReference w:id="2912"/>
      </w:r>
      <w:r>
        <w:rPr>
          <w:rFonts w:ascii="IRNazanin" w:hAnsi="IRNazanin" w:eastAsia="IRNazanin"/>
          <w:color w:val="111111"/>
          <w:sz w:val="28"/>
          <w:sz w:val="28"/>
          <w:szCs w:val="28"/>
          <w:rtl w:val="true"/>
          <w:lang w:bidi="fa-IR"/>
        </w:rPr>
        <w:t xml:space="preserve">و کتاب الغیبة </w:t>
      </w:r>
      <w:r>
        <w:rPr>
          <w:rStyle w:val="FootnoteAnchor"/>
          <w:rtl w:val="true"/>
        </w:rPr>
        <w:footnoteReference w:id="2913"/>
      </w:r>
      <w:r>
        <w:rPr>
          <w:rFonts w:ascii="IRNazanin" w:hAnsi="IRNazanin" w:eastAsia="IRNazanin"/>
          <w:color w:val="111111"/>
          <w:sz w:val="28"/>
          <w:sz w:val="28"/>
          <w:szCs w:val="28"/>
          <w:rtl w:val="true"/>
          <w:lang w:bidi="fa-IR"/>
        </w:rPr>
        <w:t xml:space="preserve">و احتجاج الطبرسی </w:t>
      </w:r>
      <w:r>
        <w:rPr>
          <w:rStyle w:val="FootnoteAnchor"/>
          <w:rtl w:val="true"/>
        </w:rPr>
        <w:footnoteReference w:id="2914"/>
      </w:r>
      <w:r>
        <w:rPr>
          <w:rFonts w:ascii="IRNazanin" w:hAnsi="IRNazanin" w:eastAsia="IRNazanin"/>
          <w:color w:val="111111"/>
          <w:sz w:val="28"/>
          <w:sz w:val="28"/>
          <w:szCs w:val="28"/>
          <w:rtl w:val="true"/>
          <w:lang w:bidi="fa-IR"/>
        </w:rPr>
        <w:t xml:space="preserve">الوارد فی جواب مسائل إسحاق بن یعقوب،التی ذکر أنّی </w:t>
      </w:r>
      <w:r>
        <w:rPr>
          <w:rStyle w:val="FootnoteAnchor"/>
          <w:rtl w:val="true"/>
        </w:rPr>
        <w:footnoteReference w:id="2915"/>
      </w:r>
      <w:r>
        <w:rPr>
          <w:rFonts w:ascii="IRNazanin" w:hAnsi="IRNazanin" w:eastAsia="IRNazanin"/>
          <w:color w:val="111111"/>
          <w:sz w:val="28"/>
          <w:sz w:val="28"/>
          <w:szCs w:val="28"/>
          <w:rtl w:val="true"/>
          <w:lang w:bidi="fa-IR"/>
        </w:rPr>
        <w:t xml:space="preserve">سألت العمری رضی اللّٰه عنه أن یوصل لی </w:t>
      </w:r>
      <w:r>
        <w:rPr>
          <w:rStyle w:val="FootnoteAnchor"/>
          <w:rtl w:val="true"/>
        </w:rPr>
        <w:footnoteReference w:id="2916"/>
      </w:r>
      <w:r>
        <w:rPr>
          <w:rFonts w:ascii="Amiri" w:hAnsi="Amiri" w:eastAsia="Amiri" w:cs="Amiri"/>
          <w:color w:val="111111"/>
          <w:sz w:val="28"/>
          <w:sz w:val="28"/>
          <w:szCs w:val="28"/>
          <w:rtl w:val="true"/>
          <w:lang w:bidi="ar-SA"/>
        </w:rPr>
        <w:t xml:space="preserve">إلی الصاحب عجّل اللّٰه فرجه کتاباً </w:t>
      </w:r>
      <w:r>
        <w:rPr>
          <w:rStyle w:val="FootnoteAnchor"/>
          <w:rtl w:val="true"/>
        </w:rPr>
        <w:footnoteReference w:id="2917"/>
      </w:r>
      <w:r>
        <w:rPr>
          <w:rFonts w:ascii="IRNazanin" w:hAnsi="IRNazanin" w:eastAsia="IRNazanin"/>
          <w:color w:val="111111"/>
          <w:sz w:val="28"/>
          <w:sz w:val="28"/>
          <w:szCs w:val="28"/>
          <w:rtl w:val="true"/>
          <w:lang w:bidi="fa-IR"/>
        </w:rPr>
        <w:t xml:space="preserve">فیه تلک المسائل التی قد أشکلت علیّ،فورد الجواب </w:t>
      </w:r>
      <w:r>
        <w:rPr>
          <w:rStyle w:val="FootnoteAnchor"/>
          <w:rtl w:val="true"/>
        </w:rPr>
        <w:footnoteReference w:id="2918"/>
      </w:r>
      <w:r>
        <w:rPr>
          <w:rFonts w:ascii="IRNazanin" w:hAnsi="IRNazanin" w:eastAsia="IRNazanin"/>
          <w:color w:val="111111"/>
          <w:sz w:val="28"/>
          <w:sz w:val="28"/>
          <w:szCs w:val="28"/>
          <w:rtl w:val="true"/>
          <w:lang w:bidi="fa-IR"/>
        </w:rPr>
        <w:t>بخطّه علیه آلاف الصلاة و السلام فی أجوبتها،و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حدیثنا؛فإنّهم حجّتی علیکم و أنا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الأُمور التی لا بدّ من الرجوع فیها عرفاً أو عقلاً أو شرعاً إلی الرئیس،مثل النظر فی أموال القاصرین لغیبةٍ أو موتٍ أو صغرٍ أو 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تخصیصها بخصوص المسائل الشرعیّة،فبعید من وجوه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وکول نفس الحادثة إلیه لیباشر أمرها مباشرةً أو استنابةً،لا الرجوع فی حکمها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 بکونهم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علیکم و أنا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إنّما یناسب الأُمور التی یکون المرجع فیها هو الرأی و النظر،فکان هذا منصب ولاة الإمام علیه السلام من قِبَل نفسه،لا أنّه واجب من قِبَل اللّٰه سبحانه علی الفقیه بعد غیبة الإمام علیه السلام،و إلّا کان المناسب 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حُجج اللّٰه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وصفهم فی مقام آخر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أُمناء اللّٰه علی الحلال و الحرام</w:t>
      </w:r>
      <w:r>
        <w:rPr>
          <w:rFonts w:eastAsia="Amiri" w:cs="Amiri" w:ascii="Amiri" w:hAnsi="Amiri"/>
          <w:color w:val="111111"/>
          <w:sz w:val="28"/>
          <w:szCs w:val="28"/>
          <w:rtl w:val="true"/>
          <w:lang w:bidi="ar-SA"/>
        </w:rPr>
        <w:t xml:space="preserve">» </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الرجوع فی المسائل الشرعیة إلی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بدیهیّات الإسلام من السلف إلی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یکن یخفی علی مثل إسحاق بن یعقوب،حتّی یکتبه فی عداد مسائل أشکلت علیه، بخلاف وجوب الرجوع فی المصالح العامّة إلی رأی أحدٍ و نظره؛فإنّه یحتمل أن یکون الإمام علیه السلام قد وکّله فی غیبته إلی شخص أو أشخاص من ثقاته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مختصّاً بما اشتبه حکمه و لا بالمنازعات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النسبة بین مثل هذا التوقیع و بین العمومات الظاهرة فی إذن الشارع فی کلّ معروف لکلّ أحد،مثل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 xml:space="preserve">» </w:t>
      </w:r>
      <w:r>
        <w:rPr>
          <w:rStyle w:val="FootnoteAnchor"/>
          <w:rtl w:val="true"/>
        </w:rPr>
        <w:footnoteReference w:id="2920"/>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الضعیف من أفضل الصدقة</w:t>
      </w:r>
      <w:r>
        <w:rPr>
          <w:rFonts w:eastAsia="IRNazanin" w:cs="IRNazanin"/>
          <w:color w:val="111111"/>
          <w:sz w:val="28"/>
          <w:szCs w:val="28"/>
          <w:rtl w:val="true"/>
          <w:lang w:bidi="fa-IR"/>
        </w:rPr>
        <w:t xml:space="preserve">» </w:t>
      </w:r>
      <w:r>
        <w:rPr>
          <w:rStyle w:val="FootnoteAnchor"/>
          <w:rtl w:val="true"/>
        </w:rPr>
        <w:footnoteReference w:id="2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عموماً من وجه،إلّا أنّ الظاهر حکومة هذا التوقیع علیها و کونها بمنزلة المفسّر الدالّ علی وجوب الرجوع إلی الإمام علیه السلام أو نائبه فی الأُمور العامّة التی یفهم عرفاً دخولها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الْأَمْرِ </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تسلیم التنزّل عن ذلک،فالمرجع بعد تعارض العمومین إلی أصالة عدم مشروعیّة ذلک المعروف مع عدم وقوعه عن رأی ولیّ الأمر </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هذا،لکن المسألة لا تخلو عن إشکال،و إن کان الحکم به مشهوریاً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تقدیر،فقد ظهر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دلّ علیه هذه الأدلّة هو ثبوت الولایة للفقیه فی الأُمور التی یکون مشروعیّة إیجادها فی الخارج مفروغاً عنها،بحیث لو فرض عدم الفقیه کان علی الناس القیام بها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یُشکّ فی مشروعیّته کالحدود لغیر الإمام، و تزویج الصغیرة لغیر الأب و الجدّ،و ولایة المعاملة علی مال الغائب بالعقد علیه و فسخ العقد الخیاری عنه،و غیر ذلک،فلا یثبت من تلک الأدلّة مشروعیّتها للفقیه،بل لا بدّ للفقیه من استنباط مشروعیّتها من دلیلٍ آخر</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نعم،الولایة علی هذه و غیرها ثابتة للإمام علیه السلام بالأدلّة المتقدّمة المختصّة به،مثل آیة أوْلیٰ بِالْمُؤْمِنِینَ مِنْ أَنْفُسِهِمْ </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2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إثبات عموم نیابة الفقیه </w:t>
      </w:r>
      <w:r>
        <w:rPr>
          <w:rStyle w:val="FootnoteAnchor"/>
          <w:rtl w:val="true"/>
        </w:rPr>
        <w:footnoteReference w:id="2926"/>
      </w:r>
      <w:r>
        <w:rPr>
          <w:rFonts w:ascii="IRNazanin" w:hAnsi="IRNazanin" w:eastAsia="IRNazanin"/>
          <w:color w:val="111111"/>
          <w:sz w:val="28"/>
          <w:sz w:val="28"/>
          <w:szCs w:val="28"/>
          <w:rtl w:val="true"/>
          <w:lang w:bidi="fa-IR"/>
        </w:rPr>
        <w:t>عنه علیه السلام فی هذا النحو من الولایة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لیقتصر فی الخروج عنه علی ما 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خرط القتاد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بالجملة،فها هنا مقامان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إیکال المعروف المأذون فیه إلیه؛لیقع خصوصیاته عن نظره ورائه،کتجهیز المیّت الذی لا ولیّ له،فإنّه یجب أن یقع خصوصیاته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تعیین الغاسل و المغسل و تعیین شیء من ترکته للکفن و تعیین المدفن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رأی الفقیه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مشروعیّة تصرّفٍ خاصٍّ فی نفس أو مال أو 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الثابت بالتوقیع و شبهه هو الأوّل دون الثانی،و إن کان الإفتاء فی المقام الثانی بالمشروعیّة و عدمها أیضاً من وظیفته،إلّا أنّ المقصود عدم دلالة الأدلّة السابقة علی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ثبتت أدلّة النیابة عموماً تمّ ما ذکر</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اشتهر فی الألسن و تداول فی بعض الکتب </w:t>
      </w:r>
      <w:r>
        <w:rPr>
          <w:rStyle w:val="FootnoteAnchor"/>
          <w:rtl w:val="true"/>
        </w:rPr>
        <w:footnoteReference w:id="2927"/>
      </w:r>
      <w:r>
        <w:rPr>
          <w:rFonts w:ascii="IRNazanin" w:hAnsi="IRNazanin" w:eastAsia="IRNazanin"/>
          <w:color w:val="111111"/>
          <w:sz w:val="28"/>
          <w:sz w:val="28"/>
          <w:szCs w:val="28"/>
          <w:rtl w:val="true"/>
          <w:lang w:bidi="fa-IR"/>
        </w:rPr>
        <w:t xml:space="preserve">روایة </w:t>
      </w:r>
      <w:r>
        <w:rPr>
          <w:rStyle w:val="FootnoteAnchor"/>
          <w:rtl w:val="true"/>
        </w:rPr>
        <w:footnoteReference w:id="2928"/>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بعد الانجبار سنداً أو</w:t>
      </w:r>
    </w:p>
    <w:p>
      <w:pPr>
        <w:pStyle w:val="BookText"/>
        <w:rPr/>
      </w:pPr>
      <w:r>
        <w:rPr>
          <w:rFonts w:ascii="Amiri" w:hAnsi="Amiri" w:eastAsia="Amiri" w:cs="Amiri"/>
          <w:color w:val="111111"/>
          <w:sz w:val="28"/>
          <w:sz w:val="28"/>
          <w:szCs w:val="28"/>
          <w:rtl w:val="true"/>
          <w:lang w:bidi="ar-SA"/>
        </w:rPr>
        <w:t xml:space="preserve">مضموناً </w:t>
      </w:r>
      <w:r>
        <w:rPr>
          <w:rStyle w:val="FootnoteAnchor"/>
          <w:rtl w:val="true"/>
        </w:rPr>
        <w:footnoteReference w:id="2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یحتاج إلی أدلّة عموم النیابة،و قد عرفت ما یصلح أن یکون دلیلاً علیه </w:t>
      </w:r>
      <w:r>
        <w:rPr>
          <w:rStyle w:val="FootnoteAnchor"/>
          <w:rtl w:val="true"/>
        </w:rPr>
        <w:footnoteReference w:id="2930"/>
      </w:r>
      <w:r>
        <w:rPr>
          <w:rFonts w:ascii="IRNazanin" w:hAnsi="IRNazanin" w:eastAsia="IRNazanin"/>
          <w:color w:val="111111"/>
          <w:sz w:val="28"/>
          <w:sz w:val="28"/>
          <w:szCs w:val="28"/>
          <w:rtl w:val="true"/>
          <w:lang w:bidi="fa-IR"/>
        </w:rPr>
        <w:t xml:space="preserve">،و أنّه لا یخلو عن وهن فی دلالته،مع قطع النظر عن السند،کما اعترف به جمال المحقّقین فی باب الخمس بعد الاعتراف بأنّ المعروف بین الأصحاب کون الفقهاء نوّاب الإمام علیه السلام </w:t>
      </w:r>
      <w:r>
        <w:rPr>
          <w:rStyle w:val="FootnoteAnchor"/>
          <w:rtl w:val="true"/>
        </w:rPr>
        <w:footnoteReference w:id="2931"/>
      </w:r>
      <w:r>
        <w:rPr>
          <w:rFonts w:ascii="IRNazanin" w:hAnsi="IRNazanin" w:eastAsia="IRNazanin"/>
          <w:color w:val="111111"/>
          <w:sz w:val="28"/>
          <w:sz w:val="28"/>
          <w:szCs w:val="28"/>
          <w:rtl w:val="true"/>
          <w:lang w:bidi="fa-IR"/>
        </w:rPr>
        <w:t>،و یظهر من المحقّق الثانی أیضاً فی رسالته 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اللجاج</w:t>
      </w:r>
      <w:r>
        <w:rPr>
          <w:rFonts w:eastAsia="IRNazanin" w:cs="IRNazanin"/>
          <w:color w:val="111111"/>
          <w:sz w:val="28"/>
          <w:szCs w:val="28"/>
          <w:rtl w:val="true"/>
          <w:lang w:bidi="fa-IR"/>
        </w:rPr>
        <w:t xml:space="preserve">» </w:t>
      </w:r>
      <w:r>
        <w:rPr>
          <w:rStyle w:val="FootnoteAnchor"/>
          <w:rtl w:val="true"/>
        </w:rPr>
        <w:footnoteReference w:id="2932"/>
      </w:r>
      <w:r>
        <w:rPr>
          <w:rFonts w:ascii="IRNazanin" w:hAnsi="IRNazanin" w:eastAsia="IRNazanin"/>
          <w:color w:val="111111"/>
          <w:sz w:val="28"/>
          <w:sz w:val="28"/>
          <w:szCs w:val="28"/>
          <w:rtl w:val="true"/>
          <w:lang w:bidi="fa-IR"/>
        </w:rPr>
        <w:t>فی مسألة جواز أخذ الفقیه اجرة أراضی الأنفال من المخالفین کما یکون ذلک للإمام علیه السلام إذا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w:t>
      </w:r>
      <w:r>
        <w:rPr>
          <w:rStyle w:val="FootnoteAnchor"/>
          <w:rtl w:val="true"/>
        </w:rPr>
        <w:footnoteReference w:id="2933"/>
      </w:r>
      <w:r>
        <w:rPr>
          <w:rFonts w:ascii="IRNazanin" w:hAnsi="IRNazanin" w:eastAsia="IRNazanin"/>
          <w:color w:val="111111"/>
          <w:sz w:val="28"/>
          <w:sz w:val="28"/>
          <w:szCs w:val="28"/>
          <w:rtl w:val="true"/>
          <w:lang w:bidi="fa-IR"/>
        </w:rPr>
        <w:t xml:space="preserve">فی عموم النیابة </w:t>
      </w:r>
      <w:r>
        <w:rPr>
          <w:rStyle w:val="FootnoteAnchor"/>
          <w:rtl w:val="true"/>
        </w:rPr>
        <w:footnoteReference w:id="2934"/>
      </w:r>
      <w:r>
        <w:rPr>
          <w:rFonts w:ascii="IRNazanin" w:hAnsi="IRNazanin" w:eastAsia="IRNazanin"/>
          <w:color w:val="111111"/>
          <w:sz w:val="28"/>
          <w:sz w:val="28"/>
          <w:szCs w:val="28"/>
          <w:rtl w:val="true"/>
          <w:lang w:bidi="fa-IR"/>
        </w:rPr>
        <w:t>،و هو فی محلّه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قوله </w:t>
      </w:r>
      <w:r>
        <w:rPr>
          <w:rStyle w:val="FootnoteAnchor"/>
          <w:rtl w:val="true"/>
        </w:rPr>
        <w:footnoteReference w:id="2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لا 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المرسلة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مطلق من لا ولیّ له،بل المراد عدم الملکة،یعنی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ولیّ مَن مِن شأنه أن یکون له ولیّ بحسب شخصه أو صنفه أو نوعه أو جنسه، فیشمل الصغیر الذی مات أبوه،و المجنون بعد البلوغ،و الغائب،و الممتنع، و المریض،و المغمیٰ علیه،و المیّت الذی لا ولیّ له،و قاطبة المسلمین إذا کان لهم مِلک،کالمفتوح عنوة،و الموقوف علیهم فی الأوقاف العامّة،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یستفاد منه ما لم یمکن </w:t>
      </w:r>
      <w:r>
        <w:rPr>
          <w:rStyle w:val="FootnoteAnchor"/>
          <w:rtl w:val="true"/>
        </w:rPr>
        <w:footnoteReference w:id="2936"/>
      </w:r>
      <w:r>
        <w:rPr>
          <w:rFonts w:ascii="IRNazanin" w:hAnsi="IRNazanin" w:eastAsia="IRNazanin"/>
          <w:color w:val="111111"/>
          <w:sz w:val="28"/>
          <w:sz w:val="28"/>
          <w:szCs w:val="28"/>
          <w:rtl w:val="true"/>
          <w:lang w:bidi="fa-IR"/>
        </w:rPr>
        <w:t xml:space="preserve">یستفاد من التوقیع المذکور،و هو الإذن فی فعل کلّ مصلحة لهم،فثبت </w:t>
      </w:r>
      <w:r>
        <w:rPr>
          <w:rStyle w:val="FootnoteAnchor"/>
          <w:rtl w:val="true"/>
        </w:rPr>
        <w:footnoteReference w:id="2937"/>
      </w:r>
      <w:r>
        <w:rPr>
          <w:rFonts w:ascii="IRNazanin" w:hAnsi="IRNazanin" w:eastAsia="IRNazanin"/>
          <w:color w:val="111111"/>
          <w:sz w:val="28"/>
          <w:sz w:val="28"/>
          <w:szCs w:val="28"/>
          <w:rtl w:val="true"/>
          <w:lang w:bidi="fa-IR"/>
        </w:rPr>
        <w:t>به مشروعیّة ما لم یثبت مشروعیّته بالتوقیع المتقدّم،فیجوز له القیام بجمیع مصالح الطوائف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نعم،لیس له فعل شیء لا یعود مصلحته إلیهم،و إن کان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یوهم ذلک؛إذ بعد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شأنه أن یکون له ولیّ،یراد به کونه ممّن ینبغی أن یکون له من یقوم بمصالحه،لا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ینبغی أن یکون علیه ولیٌّ،له علیه </w:t>
      </w:r>
      <w:r>
        <w:rPr>
          <w:rStyle w:val="FootnoteAnchor"/>
          <w:rtl w:val="true"/>
        </w:rPr>
        <w:footnoteReference w:id="2938"/>
      </w:r>
      <w:r>
        <w:rPr>
          <w:rFonts w:ascii="IRNazanin" w:hAnsi="IRNazanin" w:eastAsia="IRNazanin"/>
          <w:color w:val="111111"/>
          <w:sz w:val="28"/>
          <w:sz w:val="28"/>
          <w:szCs w:val="28"/>
          <w:rtl w:val="true"/>
          <w:lang w:bidi="fa-IR"/>
        </w:rPr>
        <w:t>ولایة الإجبار،بحیث یکون تصرّفه ماضیاً علیه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الولیّ المنفیّ هو الولیّ للشخص لا علیه،فیکون المراد بالولیّ المثبت،ذلک أیضاً،فمحصّله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الولیّ الذی </w:t>
      </w:r>
      <w:r>
        <w:rPr>
          <w:rStyle w:val="FootnoteAnchor"/>
          <w:rtl w:val="true"/>
        </w:rPr>
        <w:footnoteReference w:id="2939"/>
      </w:r>
      <w:r>
        <w:rPr>
          <w:rFonts w:ascii="IRNazanin" w:hAnsi="IRNazanin" w:eastAsia="IRNazanin"/>
          <w:color w:val="111111"/>
          <w:sz w:val="28"/>
          <w:sz w:val="28"/>
          <w:szCs w:val="28"/>
          <w:rtl w:val="true"/>
          <w:lang w:bidi="fa-IR"/>
        </w:rPr>
        <w:t xml:space="preserve">یحتاج إلیه الشخص و ینبغی أن یکون له،هو </w:t>
      </w:r>
      <w:r>
        <w:rPr>
          <w:rStyle w:val="FootnoteAnchor"/>
          <w:rtl w:val="true"/>
        </w:rPr>
        <w:footnoteReference w:id="2940"/>
      </w:r>
      <w:r>
        <w:rPr>
          <w:rFonts w:ascii="IRNazanin" w:hAnsi="IRNazanin" w:eastAsia="IRNazanin"/>
          <w:color w:val="111111"/>
          <w:sz w:val="28"/>
          <w:sz w:val="28"/>
          <w:szCs w:val="28"/>
          <w:rtl w:val="true"/>
          <w:lang w:bidi="fa-IR"/>
        </w:rPr>
        <w:t>السلطان،فافهم</w:t>
      </w:r>
      <w:r>
        <w:rPr>
          <w:rFonts w:eastAsia="IRNazanin" w:cs="IRNazanin"/>
          <w:color w:val="111111"/>
          <w:sz w:val="28"/>
          <w:szCs w:val="28"/>
          <w:rtl w:val="true"/>
          <w:lang w:bidi="fa-IR"/>
        </w:rPr>
        <w:t>.</w:t>
      </w:r>
      <w:bookmarkStart w:id="896" w:name="pg19763_248307"/>
    </w:p>
    <w:p>
      <w:pPr>
        <w:pStyle w:val="Heading6"/>
        <w:numPr>
          <w:ilvl w:val="5"/>
          <w:numId w:val="1"/>
        </w:numPr>
        <w:rPr/>
      </w:pPr>
      <w:bookmarkStart w:id="897" w:name="__RefHeading___Toc5083108_2314609296"/>
      <w:bookmarkStart w:id="898" w:name="_Toc345"/>
      <w:bookmarkEnd w:id="896"/>
      <w:bookmarkEnd w:id="897"/>
      <w:r>
        <w:rPr>
          <w:rtl w:val="true"/>
        </w:rPr>
        <w:t>مسألة فی ولایة عدول</w:t>
      </w:r>
      <w:bookmarkEnd w:id="898"/>
    </w:p>
    <w:p>
      <w:pPr>
        <w:pStyle w:val="BookText"/>
        <w:rPr/>
      </w:pPr>
      <w:r>
        <w:rPr>
          <w:rFonts w:ascii="IRNazanin" w:hAnsi="IRNazanin" w:eastAsia="IRNazanin"/>
          <w:color w:val="111111"/>
          <w:sz w:val="28"/>
          <w:sz w:val="28"/>
          <w:szCs w:val="28"/>
          <w:rtl w:val="true"/>
          <w:lang w:bidi="fa-IR"/>
        </w:rPr>
        <w:t xml:space="preserve">مسألة فی ولایة عدول </w:t>
      </w:r>
      <w:r>
        <w:rPr>
          <w:rStyle w:val="FootnoteAnchor"/>
          <w:rtl w:val="true"/>
        </w:rPr>
        <w:footnoteReference w:id="2941"/>
      </w:r>
      <w:r>
        <w:rPr>
          <w:rFonts w:ascii="IRNazanin" w:hAnsi="IRNazanin" w:eastAsia="IRNazanin"/>
          <w:color w:val="111111"/>
          <w:sz w:val="28"/>
          <w:sz w:val="28"/>
          <w:szCs w:val="28"/>
          <w:rtl w:val="true"/>
          <w:lang w:bidi="fa-IR"/>
        </w:rPr>
        <w:t>المؤمنین</w:t>
      </w:r>
    </w:p>
    <w:p>
      <w:pPr>
        <w:pStyle w:val="Heading6"/>
        <w:numPr>
          <w:ilvl w:val="5"/>
          <w:numId w:val="1"/>
        </w:numPr>
        <w:rPr/>
      </w:pPr>
      <w:bookmarkStart w:id="899" w:name="__RefHeading___Toc5083110_2314609296"/>
      <w:bookmarkStart w:id="900" w:name="_Toc346"/>
      <w:bookmarkEnd w:id="899"/>
      <w:r>
        <w:rPr>
          <w:rtl w:val="true"/>
        </w:rPr>
        <w:t>[</w:t>
      </w:r>
      <w:r>
        <w:rPr>
          <w:rtl w:val="true"/>
        </w:rPr>
        <w:t>حدود ولایة المؤمنین</w:t>
      </w:r>
      <w:r>
        <w:rPr>
          <w:rtl w:val="true"/>
        </w:rPr>
        <w:t>]</w:t>
      </w:r>
      <w:bookmarkEnd w:id="900"/>
    </w:p>
    <w:p>
      <w:pPr>
        <w:pStyle w:val="BookText"/>
        <w:rPr/>
      </w:pPr>
      <w:r>
        <w:rPr>
          <w:rFonts w:ascii="IRNazanin" w:hAnsi="IRNazanin" w:eastAsia="IRNazanin"/>
          <w:color w:val="111111"/>
          <w:sz w:val="28"/>
          <w:sz w:val="28"/>
          <w:szCs w:val="28"/>
          <w:rtl w:val="true"/>
          <w:lang w:bidi="fa-IR"/>
        </w:rPr>
        <w:t>اعلم أنّ ما کان من قبیل ما ذکرنا فیه 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تصرّفاً مطلوب الوجود للشارع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الفقیه متعذّر الوصول، فالظاهر جواز تولّیه </w:t>
      </w:r>
      <w:r>
        <w:rPr>
          <w:rStyle w:val="FootnoteAnchor"/>
          <w:rtl w:val="true"/>
        </w:rPr>
        <w:footnoteReference w:id="2942"/>
      </w:r>
      <w:r>
        <w:rPr>
          <w:rFonts w:ascii="IRNazanin" w:hAnsi="IRNazanin" w:eastAsia="IRNazanin"/>
          <w:color w:val="111111"/>
          <w:sz w:val="28"/>
          <w:sz w:val="28"/>
          <w:szCs w:val="28"/>
          <w:rtl w:val="true"/>
          <w:lang w:bidi="fa-IR"/>
        </w:rPr>
        <w:t xml:space="preserve">لآحاد المؤمنین؛لأنّ المفروض کونه مطلوباً للشارع غیر مضاف إلی شخص،و اعتبار نظارة الفقیه فیه ساقط </w:t>
      </w:r>
      <w:r>
        <w:rPr>
          <w:rStyle w:val="FootnoteAnchor"/>
          <w:rtl w:val="true"/>
        </w:rPr>
        <w:footnoteReference w:id="2943"/>
      </w:r>
      <w:r>
        <w:rPr>
          <w:rFonts w:ascii="IRNazanin" w:hAnsi="IRNazanin" w:eastAsia="IRNazanin"/>
          <w:color w:val="111111"/>
          <w:sz w:val="28"/>
          <w:sz w:val="28"/>
          <w:szCs w:val="28"/>
          <w:rtl w:val="true"/>
          <w:lang w:bidi="fa-IR"/>
        </w:rPr>
        <w:t xml:space="preserve">بفرض التعذّر،و کونه شرطاً مطلقاً له لا شرطاً اختیاریاً مخالف لفرض العلم بکونه مطلوب الوجود مع تعذّر الشرط؛لکونه من المعروف الذی أُمر بإقامته فی الشریعة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احتمل کون مطلوبیّته مختصّة بالفقیه أو </w:t>
      </w:r>
      <w:r>
        <w:rPr>
          <w:rStyle w:val="FootnoteAnchor"/>
          <w:rtl w:val="true"/>
        </w:rPr>
        <w:footnoteReference w:id="2945"/>
      </w:r>
      <w:r>
        <w:rPr>
          <w:rFonts w:ascii="Amiri" w:hAnsi="Amiri" w:eastAsia="Amiri" w:cs="Amiri"/>
          <w:color w:val="111111"/>
          <w:sz w:val="28"/>
          <w:sz w:val="28"/>
          <w:szCs w:val="28"/>
          <w:rtl w:val="true"/>
          <w:lang w:bidi="ar-SA"/>
        </w:rPr>
        <w:t>الإمام،صحّ</w:t>
      </w:r>
    </w:p>
    <w:p>
      <w:pPr>
        <w:pStyle w:val="BookText"/>
        <w:rPr/>
      </w:pPr>
      <w:r>
        <w:rPr>
          <w:rFonts w:ascii="IRNazanin" w:hAnsi="IRNazanin" w:eastAsia="IRNazanin"/>
          <w:color w:val="111111"/>
          <w:sz w:val="28"/>
          <w:sz w:val="28"/>
          <w:szCs w:val="28"/>
          <w:rtl w:val="true"/>
          <w:lang w:bidi="fa-IR"/>
        </w:rPr>
        <w:t xml:space="preserve">الرجوع إلی أصالة عدم المشروعیّة،کبعض مراتب النهی عن المنکر؛ حیث إنّ إطلاقاته لا تعمّ ما إذا بلغ حدّ الجرح </w:t>
      </w:r>
      <w:r>
        <w:rPr>
          <w:rStyle w:val="FootnoteAnchor"/>
          <w:rtl w:val="true"/>
        </w:rPr>
        <w:footnoteReference w:id="2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قدّس سرّه فی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للآحاد مع تعذّر الحکّام تولیة آحاد التصرّفات الحِکَمیّة علی الأصحّ،کدفع ضرورة الیتیم،لعموم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تَعٰاوَنُوا عَلَی الْبِرِّ وَ التَّقْویٰ</w:t>
      </w:r>
    </w:p>
    <w:p>
      <w:pPr>
        <w:pStyle w:val="BookText"/>
        <w:rPr/>
      </w:pPr>
      <w:r>
        <w:rPr>
          <w:rStyle w:val="FootnoteAnchor"/>
          <w:rtl w:val="true"/>
        </w:rPr>
        <w:footnoteReference w:id="2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w:t>
      </w:r>
      <w:r>
        <w:rPr>
          <w:rStyle w:val="FootnoteAnchor"/>
          <w:rtl w:val="true"/>
        </w:rPr>
        <w:footnoteReference w:id="2948"/>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فی عون العبد ما کان العبد فی عون أخیه</w:t>
      </w:r>
      <w:r>
        <w:rPr>
          <w:rFonts w:eastAsia="IRNazanin" w:cs="IRNazanin"/>
          <w:color w:val="111111"/>
          <w:sz w:val="28"/>
          <w:szCs w:val="28"/>
          <w:rtl w:val="true"/>
          <w:lang w:bidi="fa-IR"/>
        </w:rPr>
        <w:t xml:space="preserve">» </w:t>
      </w:r>
      <w:r>
        <w:rPr>
          <w:rStyle w:val="FootnoteAnchor"/>
          <w:rtl w:val="true"/>
        </w:rPr>
        <w:footnoteReference w:id="2949"/>
      </w:r>
      <w:r>
        <w:rPr>
          <w:rFonts w:ascii="Amiri" w:hAnsi="Amiri" w:eastAsia="Amiri" w:cs="Amiri"/>
          <w:color w:val="111111"/>
          <w:sz w:val="28"/>
          <w:sz w:val="28"/>
          <w:szCs w:val="28"/>
          <w:rtl w:val="true"/>
          <w:lang w:bidi="ar-SA"/>
        </w:rPr>
        <w:t>،و قوله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معروف صدقة</w:t>
      </w:r>
      <w:r>
        <w:rPr>
          <w:rFonts w:eastAsia="Amiri" w:cs="Amiri" w:ascii="Amiri" w:hAnsi="Amiri"/>
          <w:color w:val="111111"/>
          <w:sz w:val="28"/>
          <w:szCs w:val="28"/>
          <w:rtl w:val="true"/>
          <w:lang w:bidi="ar-SA"/>
        </w:rPr>
        <w:t xml:space="preserve">» </w:t>
      </w:r>
      <w:r>
        <w:rPr>
          <w:rStyle w:val="FootnoteAnchor"/>
          <w:rtl w:val="true"/>
        </w:rPr>
        <w:footnoteReference w:id="2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أخذ الزکوات و الأخماس من الممتنع و تفریقها فی أربابها،و کذا بقیّة وظائف الحکّام غیر ما یتعلّق بالدعاوی؟فیه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الجواز ما ذکرنا،و لأنه لو مُنع من ذلک لفاتت مصالح صرف تلک الأموال،و هی مطلوبة للّٰه تعالی</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متأخّری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القیام بهذه المصالح أهمّ من ترک تلک الأموال بأیدی الظلمة یأکلونها بغیر حقّها و یصرفونها إلی غیر مستحقّها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تُوقِّع إمامٌ یصرف ذلک فی وجهه،حفظ المتمکّن تلک الأموال إلی حین تمکّنه من صرفها إلیه،و إن یئس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فی هذا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تعیّن صرفه علی الفور فی مصارفه؛لما فی إبقائه من التغریر و حرمان مستحقّیه </w:t>
      </w:r>
      <w:r>
        <w:rPr>
          <w:rStyle w:val="FootnoteAnchor"/>
          <w:rtl w:val="true"/>
        </w:rPr>
        <w:footnoteReference w:id="2951"/>
      </w:r>
      <w:r>
        <w:rPr>
          <w:rFonts w:ascii="IRNazanin" w:hAnsi="IRNazanin" w:eastAsia="IRNazanin"/>
          <w:color w:val="111111"/>
          <w:sz w:val="28"/>
          <w:sz w:val="28"/>
          <w:szCs w:val="28"/>
          <w:rtl w:val="true"/>
          <w:lang w:bidi="fa-IR"/>
        </w:rPr>
        <w:t>من تعجیل أخذه مع مسیس حاجتهم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ظفر بأموال مغصوبة حفظها لأربابها حتّی یصل إلیهم،و مع الیأس یتصدّق بها عنهم </w:t>
      </w:r>
      <w:r>
        <w:rPr>
          <w:rStyle w:val="FootnoteAnchor"/>
          <w:rtl w:val="true"/>
        </w:rPr>
        <w:footnoteReference w:id="2952"/>
      </w:r>
      <w:r>
        <w:rPr>
          <w:rFonts w:ascii="IRNazanin" w:hAnsi="IRNazanin" w:eastAsia="IRNazanin"/>
          <w:color w:val="111111"/>
          <w:sz w:val="28"/>
          <w:sz w:val="28"/>
          <w:szCs w:val="28"/>
          <w:rtl w:val="true"/>
          <w:lang w:bidi="fa-IR"/>
        </w:rPr>
        <w:t xml:space="preserve">،و عند العامّة تصرف فی المصارف </w:t>
      </w:r>
      <w:r>
        <w:rPr>
          <w:rStyle w:val="FootnoteAnchor"/>
          <w:rtl w:val="true"/>
        </w:rPr>
        <w:footnoteReference w:id="2953"/>
      </w:r>
      <w:r>
        <w:rPr>
          <w:rFonts w:ascii="Amiri" w:hAnsi="Amiri" w:eastAsia="Amiri" w:cs="Amiri"/>
          <w:color w:val="111111"/>
          <w:sz w:val="28"/>
          <w:sz w:val="28"/>
          <w:szCs w:val="28"/>
          <w:rtl w:val="true"/>
          <w:lang w:bidi="ar-SA"/>
        </w:rPr>
        <w:t xml:space="preserve">العامّة </w:t>
      </w:r>
      <w:r>
        <w:rPr>
          <w:rStyle w:val="FootnoteAnchor"/>
          <w:rtl w:val="true"/>
        </w:rPr>
        <w:footnoteReference w:id="2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الشهید قدّس سرّه، و لقد أجاد فیما أفاد إلّا أنّه قدّس سرّه لم یبیّن وجه عدم الجواز،و لعلّ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کون هذه الأُمور من المعروف لا ینافی اشتراطها بوجود الإمام أو نائبه کما فی قطع الدعاوی و إقامة الحدود،و کما فی التجارة بمال الصغیر الذی له أب و جدّ؛فإنّ کونها من المعروف لا ینافی وکوله إلی شخص خاصّ</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فُرض المعروف علی وجه یستقلّ العقل بحسنه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کحفظ الیتیم من الهلاک الذی یعلم رجحانه علی مفسدة التصرّف فی مال الغیر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المباشرة بمقدار یندفع به الضرورة،أو فرض علی وجه یفهم من دلیله جواز تصدّیه لکلّ أحدٍ إلّا أنّه خرج ما لو تُمُکِّن من الحاکم،حیث دلّت الأدلّة علی وجوب إرجاع الأُمور إلیه،و هذا کتجهیز المیّت،و إلّا فمجرّد کون التصرّف معروفاً لا ینهض فی تقیید ما دلّ علی عدم ولایة أحد علی مال أحد أو نفسه،</w:t>
      </w:r>
      <w:bookmarkStart w:id="901" w:name="pg19763_248310"/>
    </w:p>
    <w:p>
      <w:pPr>
        <w:pStyle w:val="BookText"/>
        <w:rPr/>
      </w:pPr>
      <w:bookmarkEnd w:id="901"/>
      <w:r>
        <w:rPr>
          <w:rFonts w:ascii="IRNazanin" w:hAnsi="IRNazanin" w:eastAsia="IRNazanin"/>
          <w:color w:val="111111"/>
          <w:sz w:val="28"/>
          <w:sz w:val="28"/>
          <w:szCs w:val="28"/>
          <w:rtl w:val="true"/>
          <w:lang w:bidi="fa-IR"/>
        </w:rPr>
        <w:t>و لهذا لا یلزم عقد الفضولی علی المعقود له بمجرّد کونه معروفاً و مصلحة،و لا یفهم من أدلّة المعروف ولایة للفضولی علی المعقود علیه؛لأنّ المعروف هو التصرّف فی المال أو النفس علی الوجه المأذون فیه من المالک أو العقل أو الشارع من غیر جهة نفس أدلّة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بالجملة،تصرّف غیر الحاکم یحتاج إلی نصٍّ عقلی،أو عموم شرعی،أو خصوصٍ فی مورد جزئی،فافهم</w:t>
      </w:r>
      <w:r>
        <w:rPr>
          <w:rFonts w:eastAsia="IRNazanin" w:cs="IRNazanin"/>
          <w:color w:val="111111"/>
          <w:sz w:val="28"/>
          <w:szCs w:val="28"/>
          <w:rtl w:val="true"/>
          <w:lang w:bidi="fa-IR"/>
        </w:rPr>
        <w:t>.</w:t>
      </w:r>
    </w:p>
    <w:p>
      <w:pPr>
        <w:pStyle w:val="Heading6"/>
        <w:numPr>
          <w:ilvl w:val="5"/>
          <w:numId w:val="1"/>
        </w:numPr>
        <w:rPr/>
      </w:pPr>
      <w:bookmarkStart w:id="902" w:name="__RefHeading___Toc5083112_2314609296"/>
      <w:bookmarkStart w:id="903" w:name="_Toc347"/>
      <w:bookmarkEnd w:id="902"/>
      <w:r>
        <w:rPr>
          <w:rtl w:val="true"/>
        </w:rPr>
        <w:t>بقی الکلام فی اشتراط العدالة فی المؤمن الذی یتولّی المصلحة عند فقد الحاکم،</w:t>
      </w:r>
      <w:bookmarkEnd w:id="903"/>
    </w:p>
    <w:p>
      <w:pPr>
        <w:pStyle w:val="BookText"/>
        <w:rPr/>
      </w:pPr>
      <w:r>
        <w:rPr>
          <w:rFonts w:ascii="IRNazanin" w:hAnsi="IRNazanin" w:eastAsia="IRNazanin"/>
          <w:color w:val="111111"/>
          <w:sz w:val="28"/>
          <w:sz w:val="28"/>
          <w:szCs w:val="28"/>
          <w:rtl w:val="true"/>
          <w:lang w:bidi="fa-IR"/>
        </w:rPr>
        <w:t xml:space="preserve">کما هو ظاهر أکثر الفتاوی؛حیث یعبّرون بعدول المؤمنین </w:t>
      </w:r>
      <w:r>
        <w:rPr>
          <w:rStyle w:val="FootnoteAnchor"/>
          <w:rtl w:val="true"/>
        </w:rPr>
        <w:footnoteReference w:id="2955"/>
      </w:r>
      <w:r>
        <w:rPr>
          <w:rFonts w:ascii="IRNazanin" w:hAnsi="IRNazanin" w:eastAsia="IRNazanin"/>
          <w:color w:val="111111"/>
          <w:sz w:val="28"/>
          <w:sz w:val="28"/>
          <w:szCs w:val="28"/>
          <w:rtl w:val="true"/>
          <w:lang w:bidi="fa-IR"/>
        </w:rPr>
        <w:t>،و هو مقتضی الأصل،و یمکن أن یستدلّ علیه ببعض 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مات من أصحابنا بغیر وصیّة،فرفع أمره إلی قاضی الکوفة،فصیّر عبد الحمید القیّم بماله، و کان الرجل خلّف ورثة صغاراً و متاعاً و جواری،فباع عبد الحمید المتاع،فلمّا أراد بیع الجواری ضعف قلبه عن بیعهنّ،إذ لم یکن المیّت صیّر إلیه وصیّة،و کان قیامه فیها </w:t>
      </w:r>
      <w:r>
        <w:rPr>
          <w:rStyle w:val="FootnoteAnchor"/>
          <w:rtl w:val="true"/>
        </w:rPr>
        <w:footnoteReference w:id="2956"/>
      </w:r>
      <w:r>
        <w:rPr>
          <w:rFonts w:ascii="IRNazanin" w:hAnsi="IRNazanin" w:eastAsia="IRNazanin"/>
          <w:color w:val="111111"/>
          <w:sz w:val="28"/>
          <w:sz w:val="28"/>
          <w:szCs w:val="28"/>
          <w:rtl w:val="true"/>
          <w:lang w:bidi="fa-IR"/>
        </w:rPr>
        <w:t>بأمر القاضی؛لأنّهنّ فروج،قال</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فذکرت ذلک لأبی جعفر علیه السلام،و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یموت الرجل من أصحابنا، و لا یوصی إلی أحد،و یخلّف جواری </w:t>
      </w:r>
      <w:r>
        <w:rPr>
          <w:rStyle w:val="FootnoteAnchor"/>
          <w:rtl w:val="true"/>
        </w:rPr>
        <w:footnoteReference w:id="2957"/>
      </w:r>
      <w:r>
        <w:rPr>
          <w:rFonts w:ascii="Amiri" w:hAnsi="Amiri" w:eastAsia="Amiri" w:cs="Amiri"/>
          <w:color w:val="111111"/>
          <w:sz w:val="28"/>
          <w:sz w:val="28"/>
          <w:szCs w:val="28"/>
          <w:rtl w:val="true"/>
          <w:lang w:bidi="ar-SA"/>
        </w:rPr>
        <w:t>،فیقیم القاضی رجلاً منّا لبیعهنّ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بذلک رجلٌ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فیضعف قلبه؛لأنّهنّ فروج </w:t>
      </w:r>
      <w:r>
        <w:rPr>
          <w:rStyle w:val="FootnoteAnchor"/>
          <w:rtl w:val="true"/>
        </w:rPr>
        <w:footnoteReference w:id="2958"/>
      </w:r>
      <w:r>
        <w:rPr>
          <w:rFonts w:ascii="IRNazanin" w:hAnsi="IRNazanin" w:eastAsia="IRNazanin"/>
          <w:color w:val="111111"/>
          <w:sz w:val="28"/>
          <w:sz w:val="28"/>
          <w:szCs w:val="28"/>
          <w:rtl w:val="true"/>
          <w:lang w:bidi="fa-IR"/>
        </w:rPr>
        <w:t>،فما تری فی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القیّم </w:t>
      </w:r>
      <w:r>
        <w:rPr>
          <w:rStyle w:val="FootnoteAnchor"/>
          <w:rtl w:val="true"/>
        </w:rPr>
        <w:footnoteReference w:id="2959"/>
      </w:r>
      <w:r>
        <w:rPr>
          <w:rFonts w:ascii="IRNazanin" w:hAnsi="IRNazanin" w:eastAsia="IRNazanin"/>
          <w:color w:val="111111"/>
          <w:sz w:val="28"/>
          <w:sz w:val="28"/>
          <w:szCs w:val="28"/>
          <w:rtl w:val="true"/>
          <w:lang w:bidi="fa-IR"/>
        </w:rPr>
        <w:t xml:space="preserve">مثلک و </w:t>
      </w:r>
      <w:r>
        <w:rPr>
          <w:rStyle w:val="FootnoteAnchor"/>
          <w:rtl w:val="true"/>
        </w:rPr>
        <w:footnoteReference w:id="2960"/>
      </w:r>
      <w:r>
        <w:rPr>
          <w:rFonts w:ascii="IRNazanin" w:hAnsi="IRNazanin" w:eastAsia="IRNazanin"/>
          <w:color w:val="111111"/>
          <w:sz w:val="28"/>
          <w:sz w:val="28"/>
          <w:szCs w:val="28"/>
          <w:rtl w:val="true"/>
          <w:lang w:bidi="fa-IR"/>
        </w:rPr>
        <w:t>مثل عبد الحمید فلا بأس</w:t>
      </w:r>
      <w:r>
        <w:rPr>
          <w:rFonts w:eastAsia="IRNazanin" w:cs="IRNazanin"/>
          <w:color w:val="111111"/>
          <w:sz w:val="28"/>
          <w:szCs w:val="28"/>
          <w:rtl w:val="true"/>
          <w:lang w:bidi="fa-IR"/>
        </w:rPr>
        <w:t xml:space="preserve">»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المراد من المماثلة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المماثلة فی التشیّع،أو فی الوثاقة و ملاحظة مصلحة الیتیم و إن لم یکن شیعیّاً،أو فی الفقاهة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من نوّاب الإمام علیه السلام عموماً فی القضاء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الاحتمال </w:t>
      </w:r>
      <w:r>
        <w:rPr>
          <w:rStyle w:val="FootnoteAnchor"/>
          <w:rtl w:val="true"/>
        </w:rPr>
        <w:footnoteReference w:id="2962"/>
      </w:r>
      <w:r>
        <w:rPr>
          <w:rFonts w:ascii="IRNazanin" w:hAnsi="IRNazanin" w:eastAsia="IRNazanin"/>
          <w:color w:val="111111"/>
          <w:sz w:val="28"/>
          <w:sz w:val="28"/>
          <w:szCs w:val="28"/>
          <w:rtl w:val="true"/>
          <w:lang w:bidi="fa-IR"/>
        </w:rPr>
        <w:t>الثالث منافٍ لإطلاق المفهوم الدالّ علی ثبوت البأس مع عدم الفقیه و لو مع 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الاحتمالات الأُخر؛فإنّ البأس ثابت للفاسق أو الخائن أو المخالف و إن تعذّر غیرهم،فتَعَیّن أحدها </w:t>
      </w:r>
      <w:r>
        <w:rPr>
          <w:rStyle w:val="FootnoteAnchor"/>
          <w:rtl w:val="true"/>
        </w:rPr>
        <w:footnoteReference w:id="2963"/>
      </w:r>
      <w:r>
        <w:rPr>
          <w:rFonts w:ascii="IRNazanin" w:hAnsi="IRNazanin" w:eastAsia="IRNazanin"/>
          <w:color w:val="111111"/>
          <w:sz w:val="28"/>
          <w:sz w:val="28"/>
          <w:szCs w:val="28"/>
          <w:rtl w:val="true"/>
          <w:lang w:bidi="fa-IR"/>
        </w:rPr>
        <w:t>الدائر بینها،فیجب الأخذ فی مخالفة الأصل بالأخصّ منها، و هو العدل</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من بعض الروایات کفایة الأمانة و ملاحظة مصلحة الیتیم، فیکون مفسّراً للاحتمال الثانی فی وجه المماثلة المذکورة فی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 و بینی و بینه قرابة و ترک أولاداً صغاراً و ممالیک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غلماناً </w:t>
      </w:r>
      <w:r>
        <w:rPr>
          <w:rStyle w:val="FootnoteAnchor"/>
          <w:rtl w:val="true"/>
        </w:rPr>
        <w:footnoteReference w:id="2964"/>
      </w:r>
      <w:r>
        <w:rPr>
          <w:rFonts w:ascii="IRNazanin" w:hAnsi="IRNazanin" w:eastAsia="IRNazanin"/>
          <w:color w:val="111111"/>
          <w:sz w:val="28"/>
          <w:sz w:val="28"/>
          <w:szCs w:val="28"/>
          <w:rtl w:val="true"/>
          <w:lang w:bidi="fa-IR"/>
        </w:rPr>
        <w:t>و 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یوصِ،فما تری فیمن یشتری منهم الجاریة فیتّخذها </w:t>
      </w:r>
      <w:r>
        <w:rPr>
          <w:rStyle w:val="FootnoteAnchor"/>
          <w:rtl w:val="true"/>
        </w:rPr>
        <w:footnoteReference w:id="2965"/>
      </w:r>
      <w:r>
        <w:rPr>
          <w:rFonts w:ascii="IRNazanin" w:hAnsi="IRNazanin" w:eastAsia="IRNazanin"/>
          <w:color w:val="111111"/>
          <w:sz w:val="28"/>
          <w:sz w:val="28"/>
          <w:szCs w:val="28"/>
          <w:rtl w:val="true"/>
          <w:lang w:bidi="fa-IR"/>
        </w:rPr>
        <w:t xml:space="preserve">أُمّ ولد؟و ما تری فی بیعهم؟ قال </w:t>
      </w:r>
      <w:r>
        <w:rPr>
          <w:rStyle w:val="FootnoteAnchor"/>
          <w:rtl w:val="true"/>
        </w:rPr>
        <w:footnoteReference w:id="2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لهم ولیّ یقوم بأمرهم،باع علیهم و نظر لهم و </w:t>
      </w:r>
      <w:r>
        <w:rPr>
          <w:rStyle w:val="FootnoteAnchor"/>
          <w:rtl w:val="true"/>
        </w:rPr>
        <w:footnoteReference w:id="2967"/>
      </w:r>
      <w:r>
        <w:rPr>
          <w:rFonts w:ascii="IRNazanin" w:hAnsi="IRNazanin" w:eastAsia="IRNazanin"/>
          <w:color w:val="111111"/>
          <w:sz w:val="28"/>
          <w:sz w:val="28"/>
          <w:szCs w:val="28"/>
          <w:rtl w:val="true"/>
          <w:lang w:bidi="fa-IR"/>
        </w:rPr>
        <w:t xml:space="preserve">کان مأجوراً فیهم </w:t>
      </w:r>
      <w:r>
        <w:rPr>
          <w:rStyle w:val="FootnoteAnchor"/>
          <w:rtl w:val="true"/>
        </w:rPr>
        <w:footnoteReference w:id="2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تری فیمن یشتری منهم الجاریة و یتّخذها </w:t>
      </w:r>
      <w:r>
        <w:rPr>
          <w:rStyle w:val="FootnoteAnchor"/>
          <w:rtl w:val="true"/>
        </w:rPr>
        <w:footnoteReference w:id="2969"/>
      </w:r>
      <w:r>
        <w:rPr>
          <w:rFonts w:ascii="IRNazanin" w:hAnsi="IRNazanin" w:eastAsia="IRNazanin"/>
          <w:color w:val="111111"/>
          <w:sz w:val="28"/>
          <w:sz w:val="28"/>
          <w:szCs w:val="28"/>
          <w:rtl w:val="true"/>
          <w:lang w:bidi="fa-IR"/>
        </w:rPr>
        <w:t>أُمّ ولد؟فقال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إذا باع علیهم القیّم بأمرهم الناظر فیما یصلحهم،و لیس لهم أن یرجعوا فیما فعله القیّم بأمرهم الناظر فیما یصلحهم</w:t>
      </w:r>
      <w:r>
        <w:rPr>
          <w:rFonts w:eastAsia="IRNazanin" w:cs="IRNazanin"/>
          <w:color w:val="111111"/>
          <w:sz w:val="28"/>
          <w:szCs w:val="28"/>
          <w:rtl w:val="true"/>
          <w:lang w:bidi="fa-IR"/>
        </w:rPr>
        <w:t xml:space="preserve">»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زرعة،عن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مات و له بنون و بنات صغار و کبار،من غیر وصیّة،و له خدم و ممالیک و عقد </w:t>
      </w:r>
      <w:r>
        <w:rPr>
          <w:rStyle w:val="FootnoteAnchor"/>
          <w:rtl w:val="true"/>
        </w:rPr>
        <w:footnoteReference w:id="2971"/>
      </w:r>
      <w:r>
        <w:rPr>
          <w:rFonts w:ascii="IRNazanin" w:hAnsi="IRNazanin" w:eastAsia="IRNazanin"/>
          <w:color w:val="111111"/>
          <w:sz w:val="28"/>
          <w:sz w:val="28"/>
          <w:szCs w:val="28"/>
          <w:rtl w:val="true"/>
          <w:lang w:bidi="fa-IR"/>
        </w:rPr>
        <w:t>کیف یصنع</w:t>
      </w:r>
    </w:p>
    <w:p>
      <w:pPr>
        <w:pStyle w:val="BookText"/>
        <w:rPr/>
      </w:pPr>
      <w:r>
        <w:rPr>
          <w:rFonts w:ascii="IRNazanin" w:hAnsi="IRNazanin" w:eastAsia="IRNazanin"/>
          <w:color w:val="111111"/>
          <w:sz w:val="28"/>
          <w:sz w:val="28"/>
          <w:szCs w:val="28"/>
          <w:rtl w:val="true"/>
          <w:lang w:bidi="fa-IR"/>
        </w:rPr>
        <w:t xml:space="preserve">الورثة بقسمة ذلک </w:t>
      </w:r>
      <w:r>
        <w:rPr>
          <w:rStyle w:val="FootnoteAnchor"/>
          <w:rtl w:val="true"/>
        </w:rPr>
        <w:footnoteReference w:id="29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قام رجل ثقة قاسمهم ذلک کلّه فلا بأس </w:t>
      </w:r>
      <w:r>
        <w:rPr>
          <w:rStyle w:val="FootnoteAnchor"/>
          <w:rtl w:val="true"/>
        </w:rPr>
        <w:footnoteReference w:id="2973"/>
      </w:r>
      <w:r>
        <w:rPr>
          <w:rFonts w:ascii="IRNazanin" w:hAnsi="IRNazanin" w:eastAsia="IRNazanin"/>
          <w:color w:val="111111"/>
          <w:sz w:val="28"/>
          <w:sz w:val="28"/>
          <w:szCs w:val="28"/>
          <w:rtl w:val="true"/>
          <w:lang w:bidi="fa-IR"/>
        </w:rPr>
        <w:t>بناءً علی أنّ المراد من یوثق به و یطمئنّ بفعله عرفاً و إن لم یکن فیه ملکة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صحیحة إسماعیل بن سعد ما یدلّ علی اشتراط تحقّق عنوان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الرضا علیه السلام عن رجل یموت بغیر وصیّة، و له ولد صغار و کبار،أ یحلّ شراء شیء من خدمه و متاعه </w:t>
      </w:r>
      <w:r>
        <w:rPr>
          <w:rStyle w:val="FootnoteAnchor"/>
          <w:rtl w:val="true"/>
        </w:rPr>
        <w:footnoteReference w:id="2974"/>
      </w:r>
      <w:r>
        <w:rPr>
          <w:rFonts w:ascii="IRNazanin" w:hAnsi="IRNazanin" w:eastAsia="IRNazanin"/>
          <w:color w:val="111111"/>
          <w:sz w:val="28"/>
          <w:sz w:val="28"/>
          <w:szCs w:val="28"/>
          <w:rtl w:val="true"/>
          <w:lang w:bidi="fa-IR"/>
        </w:rPr>
        <w:t xml:space="preserve">من غیر أن یتولّی القاضی بیع ذلک؟فإن تولّاه قاضٍ قد تراضوا به و لم یستخلفه </w:t>
      </w:r>
      <w:r>
        <w:rPr>
          <w:rStyle w:val="FootnoteAnchor"/>
          <w:rtl w:val="true"/>
        </w:rPr>
        <w:footnoteReference w:id="2975"/>
      </w:r>
      <w:r>
        <w:rPr>
          <w:rFonts w:ascii="IRNazanin" w:hAnsi="IRNazanin" w:eastAsia="IRNazanin"/>
          <w:color w:val="111111"/>
          <w:sz w:val="28"/>
          <w:sz w:val="28"/>
          <w:szCs w:val="28"/>
          <w:rtl w:val="true"/>
          <w:lang w:bidi="fa-IR"/>
        </w:rPr>
        <w:t>الخلیفة،أ یطیب الشراء منه أم لا؟قال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الأکابر من ولده معه فی البیع فلا بأس إذا رضی الورثة بالبیع و قام عدل فی ذلک</w:t>
      </w:r>
      <w:r>
        <w:rPr>
          <w:rFonts w:eastAsia="IRNazanin" w:cs="IRNazanin"/>
          <w:color w:val="111111"/>
          <w:sz w:val="28"/>
          <w:szCs w:val="28"/>
          <w:rtl w:val="true"/>
          <w:lang w:bidi="fa-IR"/>
        </w:rPr>
        <w:t xml:space="preserve">» </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قد عرفت أنّ ولایة غیر الحاکم لا تثبت إلّا فی مقام یکون عموم عقلی أو نقلی یدلّ علی رجحان التصدّی لذلک المعروف،أو یکون هناک دلیل خاصّ یدلّ علیه، فما ورد فیه نصّ خاصّ علی الولایة اتّبع ذلک النصّ عموماً أو </w:t>
      </w:r>
      <w:r>
        <w:rPr>
          <w:rStyle w:val="FootnoteAnchor"/>
          <w:rtl w:val="true"/>
        </w:rPr>
        <w:footnoteReference w:id="2977"/>
      </w:r>
      <w:r>
        <w:rPr>
          <w:rFonts w:ascii="IRNazanin" w:hAnsi="IRNazanin" w:eastAsia="IRNazanin"/>
          <w:color w:val="111111"/>
          <w:sz w:val="28"/>
          <w:sz w:val="28"/>
          <w:szCs w:val="28"/>
          <w:rtl w:val="true"/>
          <w:lang w:bidi="fa-IR"/>
        </w:rPr>
        <w:t>خصوصاً فقد یشمل الفاسق و قد لا یشمل</w:t>
      </w:r>
      <w:r>
        <w:rPr>
          <w:rFonts w:eastAsia="IRNazanin" w:cs="IRNazanin"/>
          <w:color w:val="111111"/>
          <w:sz w:val="28"/>
          <w:szCs w:val="28"/>
          <w:rtl w:val="true"/>
          <w:lang w:bidi="fa-IR"/>
        </w:rPr>
        <w:t>.</w:t>
      </w:r>
      <w:bookmarkStart w:id="904" w:name="pg19763_248314"/>
    </w:p>
    <w:p>
      <w:pPr>
        <w:pStyle w:val="BookText"/>
        <w:rPr/>
      </w:pPr>
      <w:bookmarkEnd w:id="904"/>
      <w:r>
        <w:rPr>
          <w:rFonts w:ascii="IRNazanin" w:hAnsi="IRNazanin" w:eastAsia="IRNazanin"/>
          <w:color w:val="111111"/>
          <w:sz w:val="28"/>
          <w:sz w:val="28"/>
          <w:szCs w:val="28"/>
          <w:rtl w:val="true"/>
          <w:lang w:bidi="fa-IR"/>
        </w:rPr>
        <w:t>و أمّا ما ورد فیه العموم،فالکلام فیه قد یقع فی جواز مباشرة الفاسق و تکلیفه بالنسبة إلی نفسه،و أنّه هل یکون مأذوناً من الشرع فی المباشرة،أم لا؟و قد یکون بالنسبة إلی ما یتعلّق من فعله بفعل غیره إذا لم یعلم وقوعه علی وجه المصلحة،کالشراء منه مثلاً</w:t>
      </w:r>
      <w:r>
        <w:rPr>
          <w:rFonts w:eastAsia="IRNazanin" w:cs="IRNazanin"/>
          <w:color w:val="111111"/>
          <w:sz w:val="28"/>
          <w:szCs w:val="28"/>
          <w:rtl w:val="true"/>
          <w:lang w:bidi="fa-IR"/>
        </w:rPr>
        <w:t>.</w:t>
      </w:r>
    </w:p>
    <w:p>
      <w:pPr>
        <w:pStyle w:val="Heading6"/>
        <w:numPr>
          <w:ilvl w:val="5"/>
          <w:numId w:val="1"/>
        </w:numPr>
        <w:rPr/>
      </w:pPr>
      <w:bookmarkStart w:id="905" w:name="__RefHeading___Toc5083114_2314609296"/>
      <w:bookmarkStart w:id="906" w:name="_Toc348"/>
      <w:bookmarkEnd w:id="905"/>
      <w:r>
        <w:rPr>
          <w:rtl w:val="true"/>
        </w:rPr>
        <w:t>[</w:t>
      </w:r>
      <w:r>
        <w:rPr>
          <w:rtl w:val="true"/>
        </w:rPr>
        <w:t>الظاهر عدم اعتبار العدالة فی المباشرة</w:t>
      </w:r>
      <w:r>
        <w:rPr>
          <w:rtl w:val="true"/>
        </w:rPr>
        <w:t>]</w:t>
      </w:r>
      <w:bookmarkEnd w:id="906"/>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جوازه،و أنّ العدالة لیست معتبرة فی منصب المباشرة؛لعموم أدلّة فعل ذلک المعروف،و لو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الضعیف من أفضل الصدقة</w:t>
      </w:r>
      <w:r>
        <w:rPr>
          <w:rFonts w:eastAsia="IRNazanin" w:cs="IRNazanin"/>
          <w:color w:val="111111"/>
          <w:sz w:val="28"/>
          <w:szCs w:val="28"/>
          <w:rtl w:val="true"/>
          <w:lang w:bidi="fa-IR"/>
        </w:rPr>
        <w:t xml:space="preserve">» </w:t>
      </w:r>
      <w:r>
        <w:rPr>
          <w:rStyle w:val="FootnoteAnchor"/>
          <w:rtl w:val="true"/>
        </w:rPr>
        <w:footnoteReference w:id="2978"/>
      </w:r>
      <w:r>
        <w:rPr>
          <w:rFonts w:ascii="Amiri" w:hAnsi="Amiri" w:eastAsia="Amiri" w:cs="Amiri"/>
          <w:color w:val="111111"/>
          <w:sz w:val="28"/>
          <w:sz w:val="28"/>
          <w:szCs w:val="28"/>
          <w:rtl w:val="true"/>
          <w:lang w:bidi="ar-SA"/>
        </w:rPr>
        <w:t>،و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w:t>
      </w:r>
      <w:r>
        <w:rPr>
          <w:rStyle w:val="FootnoteAnchor"/>
          <w:rtl w:val="true"/>
        </w:rPr>
        <w:footnoteReference w:id="2979"/>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أنّها محمولة علی صحیحة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و موثّقة زرعة </w:t>
      </w:r>
      <w:r>
        <w:rPr>
          <w:rStyle w:val="FootnoteAnchor"/>
          <w:rtl w:val="true"/>
        </w:rPr>
        <w:footnoteReference w:id="2980"/>
      </w:r>
      <w:r>
        <w:rPr>
          <w:rFonts w:ascii="IRNazanin" w:hAnsi="IRNazanin" w:eastAsia="IRNazanin"/>
          <w:color w:val="111111"/>
          <w:sz w:val="28"/>
          <w:sz w:val="28"/>
          <w:szCs w:val="28"/>
          <w:rtl w:val="true"/>
          <w:lang w:bidi="fa-IR"/>
        </w:rPr>
        <w:t>و غیر ذلک ممّا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ترتّب حکم الغیر علی الفعل الصحیح منه،کما إذا صلّی فاسق علی میّت لا ولیّ له،فالظاهر سقوطها عن غیره إذا علم صدور الفعل منه و شکّ فی صحّته،و لو شکّ فی حدوث الفعل منه و أخبر به، ففی قبوله إشکال</w:t>
      </w:r>
      <w:r>
        <w:rPr>
          <w:rFonts w:eastAsia="IRNazanin" w:cs="IRNazanin"/>
          <w:color w:val="111111"/>
          <w:sz w:val="28"/>
          <w:szCs w:val="28"/>
          <w:rtl w:val="true"/>
          <w:lang w:bidi="fa-IR"/>
        </w:rPr>
        <w:t>.</w:t>
      </w:r>
    </w:p>
    <w:p>
      <w:pPr>
        <w:pStyle w:val="Heading6"/>
        <w:numPr>
          <w:ilvl w:val="5"/>
          <w:numId w:val="1"/>
        </w:numPr>
        <w:rPr/>
      </w:pPr>
      <w:bookmarkStart w:id="907" w:name="__RefHeading___Toc5083116_2314609296"/>
      <w:bookmarkStart w:id="908" w:name="_Toc349"/>
      <w:bookmarkEnd w:id="907"/>
      <w:r>
        <w:rPr>
          <w:rtl w:val="true"/>
        </w:rPr>
        <w:t>[</w:t>
      </w:r>
      <w:r>
        <w:rPr>
          <w:rtl w:val="true"/>
        </w:rPr>
        <w:t>الظاهر اشتراط العدالة فیما یتعلق بفعل الغیر</w:t>
      </w:r>
      <w:r>
        <w:rPr>
          <w:rtl w:val="true"/>
        </w:rPr>
        <w:t>]</w:t>
      </w:r>
      <w:bookmarkEnd w:id="908"/>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اشتراط العدالة فیه،فلا یجوز الشراء منه و إن ادّعی کون البیع مصلحة،بل یجب أخذ المال من یده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صحیحة إسماعیل بن سعد المتقدّمة،بل و موثّقة زرعة،بناء علی إرادة العدالة من الوثاقة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أدلّة القیام بذلک</w:t>
      </w:r>
      <w:bookmarkStart w:id="909" w:name="pg19763_248315"/>
    </w:p>
    <w:p>
      <w:pPr>
        <w:pStyle w:val="BookText"/>
        <w:rPr/>
      </w:pPr>
      <w:bookmarkEnd w:id="909"/>
      <w:r>
        <w:rPr>
          <w:rFonts w:ascii="IRNazanin" w:hAnsi="IRNazanin" w:eastAsia="IRNazanin"/>
          <w:color w:val="111111"/>
          <w:sz w:val="28"/>
          <w:sz w:val="28"/>
          <w:szCs w:val="28"/>
          <w:rtl w:val="true"/>
          <w:lang w:bidi="fa-IR"/>
        </w:rPr>
        <w:t xml:space="preserve">المعروف لا یرفع الید عنها بمجرّد تصرّف الفاسق؛فإنّ وجوب إصلاح مال الیتیم و مراعاة غبطته،لا یرتفع </w:t>
      </w:r>
      <w:r>
        <w:rPr>
          <w:rStyle w:val="FootnoteAnchor"/>
          <w:rtl w:val="true"/>
        </w:rPr>
        <w:footnoteReference w:id="2981"/>
      </w:r>
      <w:r>
        <w:rPr>
          <w:rFonts w:ascii="IRNazanin" w:hAnsi="IRNazanin" w:eastAsia="IRNazanin"/>
          <w:color w:val="111111"/>
          <w:sz w:val="28"/>
          <w:sz w:val="28"/>
          <w:szCs w:val="28"/>
          <w:rtl w:val="true"/>
          <w:lang w:bidi="fa-IR"/>
        </w:rPr>
        <w:t>عن الغیر بمجرّد تصرّف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یجدی هنا حمل فعل المسلم علی الصحیح،کما فی مثال الصلاة المتقدّم؛لأنّ الواجب هناک هی صلاة صحیحة،و قد علم صدور أصل الصلاة من الفاسق،و إذا شکّ فی صحّتها أُحرزت بأصالة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الحکم فیما نحن فیه،فلم یحمل علی التصرّف الصحیح،و إنّما حُمل علی موضوعٍ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المال و مراعاة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 فی أصل تحقّق ذلک، فهو کما لو أخبر فاسق بأصل الصلاة مع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شراء مال الیتیم لا بدّ أن یکون مصلحة له، و لا یحرز </w:t>
      </w:r>
      <w:r>
        <w:rPr>
          <w:rStyle w:val="FootnoteAnchor"/>
          <w:rtl w:val="true"/>
        </w:rPr>
        <w:footnoteReference w:id="2982"/>
      </w:r>
      <w:r>
        <w:rPr>
          <w:rFonts w:ascii="IRNazanin" w:hAnsi="IRNazanin" w:eastAsia="IRNazanin"/>
          <w:color w:val="111111"/>
          <w:sz w:val="28"/>
          <w:sz w:val="28"/>
          <w:szCs w:val="28"/>
          <w:rtl w:val="true"/>
          <w:lang w:bidi="fa-IR"/>
        </w:rPr>
        <w:t>ذلک بأصالة صحّة البیع من البائع،کما لو شکّ المشتری فی بلوغ البائع،فتأمّل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وجد فی ید الفاسق ثمن من </w:t>
      </w:r>
      <w:r>
        <w:rPr>
          <w:rStyle w:val="FootnoteAnchor"/>
          <w:rtl w:val="true"/>
        </w:rPr>
        <w:footnoteReference w:id="2983"/>
      </w:r>
      <w:r>
        <w:rPr>
          <w:rFonts w:ascii="IRNazanin" w:hAnsi="IRNazanin" w:eastAsia="IRNazanin"/>
          <w:color w:val="111111"/>
          <w:sz w:val="28"/>
          <w:sz w:val="28"/>
          <w:szCs w:val="28"/>
          <w:rtl w:val="true"/>
          <w:lang w:bidi="fa-IR"/>
        </w:rPr>
        <w:t>مال الصغیر لم یلزم الفسخ مع المشتری و أخذ الثمن من الفاسق؛لأنّ مال الیتیم الذی یجب إصلاحه و حفظه من التلف لا یعلم أنّه الثمن أو المثمن،و أصالة صحّة المعاملة من الطرفین یحکم بالأوّل،فتدبّر</w:t>
      </w:r>
      <w:r>
        <w:rPr>
          <w:rFonts w:eastAsia="IRNazanin" w:cs="IRNazanin"/>
          <w:color w:val="111111"/>
          <w:sz w:val="28"/>
          <w:szCs w:val="28"/>
          <w:rtl w:val="true"/>
          <w:lang w:bidi="fa-IR"/>
        </w:rPr>
        <w:t>.</w:t>
      </w:r>
    </w:p>
    <w:p>
      <w:pPr>
        <w:pStyle w:val="Heading6"/>
        <w:numPr>
          <w:ilvl w:val="5"/>
          <w:numId w:val="1"/>
        </w:numPr>
        <w:rPr/>
      </w:pPr>
      <w:bookmarkStart w:id="910" w:name="__RefHeading___Toc5083118_2314609296"/>
      <w:bookmarkStart w:id="911" w:name="_Toc350"/>
      <w:bookmarkEnd w:id="910"/>
      <w:r>
        <w:rPr>
          <w:rtl w:val="true"/>
        </w:rPr>
        <w:t>[</w:t>
      </w:r>
      <w:r>
        <w:rPr>
          <w:rtl w:val="true"/>
        </w:rPr>
        <w:t>هل یجوز مزاحمة من تصدی من المؤمنین</w:t>
      </w:r>
      <w:r>
        <w:rPr>
          <w:rtl w:val="true"/>
        </w:rPr>
        <w:t>]</w:t>
      </w:r>
      <w:bookmarkEnd w:id="911"/>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حیث ثبت جواز تصرّف المؤمنین،فالظاهر أنّه علی وجه التکلیف الوجوبی أو الندبی،لا علی وجه النیابة من حاکم الشرع، فضلاً عن کونه علی وجه النصب من الإمام علیه السلام،فمجرّد وضع العدل</w:t>
      </w:r>
      <w:bookmarkStart w:id="912" w:name="pg19763_248316"/>
    </w:p>
    <w:p>
      <w:pPr>
        <w:pStyle w:val="BookText"/>
        <w:rPr/>
      </w:pPr>
      <w:bookmarkEnd w:id="912"/>
      <w:r>
        <w:rPr>
          <w:rFonts w:ascii="IRNazanin" w:hAnsi="IRNazanin" w:eastAsia="IRNazanin"/>
          <w:color w:val="111111"/>
          <w:sz w:val="28"/>
          <w:sz w:val="28"/>
          <w:szCs w:val="28"/>
          <w:rtl w:val="true"/>
          <w:lang w:bidi="fa-IR"/>
        </w:rPr>
        <w:t>یده علی مال یتیم لا یوجب منعَ الآخر و مزاحمته بالبیع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نقله بعقد جائز،فوجد الآخر المصلحة فی استرداده،جاز الفسخ إذا کان الخیار ثابتاً بأصل الشرع أو بجعلهما مع جعله للصغیر </w:t>
      </w:r>
      <w:r>
        <w:rPr>
          <w:rStyle w:val="FootnoteAnchor"/>
          <w:rtl w:val="true"/>
        </w:rPr>
        <w:footnoteReference w:id="2984"/>
      </w:r>
      <w:r>
        <w:rPr>
          <w:rFonts w:ascii="IRNazanin" w:hAnsi="IRNazanin" w:eastAsia="IRNazanin"/>
          <w:color w:val="111111"/>
          <w:sz w:val="28"/>
          <w:sz w:val="28"/>
          <w:szCs w:val="28"/>
          <w:rtl w:val="true"/>
          <w:lang w:bidi="fa-IR"/>
        </w:rPr>
        <w:t>أو مطلق ولیّه من غیر تخصیص بالعاقد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لو </w:t>
      </w:r>
      <w:r>
        <w:rPr>
          <w:rStyle w:val="FootnoteAnchor"/>
          <w:rtl w:val="true"/>
        </w:rPr>
        <w:footnoteReference w:id="2985"/>
      </w:r>
      <w:r>
        <w:rPr>
          <w:rFonts w:ascii="IRNazanin" w:hAnsi="IRNazanin" w:eastAsia="IRNazanin"/>
          <w:color w:val="111111"/>
          <w:sz w:val="28"/>
          <w:sz w:val="28"/>
          <w:szCs w:val="28"/>
          <w:rtl w:val="true"/>
          <w:lang w:bidi="fa-IR"/>
        </w:rPr>
        <w:t xml:space="preserve">أراد بیعه من شخص </w:t>
      </w:r>
      <w:r>
        <w:rPr>
          <w:rStyle w:val="FootnoteAnchor"/>
          <w:rtl w:val="true"/>
        </w:rPr>
        <w:footnoteReference w:id="2986"/>
      </w:r>
      <w:r>
        <w:rPr>
          <w:rFonts w:ascii="IRNazanin" w:hAnsi="IRNazanin" w:eastAsia="IRNazanin"/>
          <w:color w:val="111111"/>
          <w:sz w:val="28"/>
          <w:sz w:val="28"/>
          <w:szCs w:val="28"/>
          <w:rtl w:val="true"/>
          <w:lang w:bidi="fa-IR"/>
        </w:rPr>
        <w:t>و عرّضه لذلک جاز لغیره بیعه من آخر مع المصلحة و إن کان فی ید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بالجملة،فالظاهر أنّ حکم عدول </w:t>
      </w:r>
      <w:r>
        <w:rPr>
          <w:rStyle w:val="FootnoteAnchor"/>
          <w:rtl w:val="true"/>
        </w:rPr>
        <w:footnoteReference w:id="2987"/>
      </w:r>
      <w:r>
        <w:rPr>
          <w:rFonts w:ascii="IRNazanin" w:hAnsi="IRNazanin" w:eastAsia="IRNazanin"/>
          <w:color w:val="111111"/>
          <w:sz w:val="28"/>
          <w:sz w:val="28"/>
          <w:szCs w:val="28"/>
          <w:rtl w:val="true"/>
          <w:lang w:bidi="fa-IR"/>
        </w:rPr>
        <w:t xml:space="preserve">المؤمنین لا یزید عن </w:t>
      </w:r>
      <w:r>
        <w:rPr>
          <w:rStyle w:val="FootnoteAnchor"/>
          <w:rtl w:val="true"/>
        </w:rPr>
        <w:footnoteReference w:id="2988"/>
      </w:r>
      <w:r>
        <w:rPr>
          <w:rFonts w:ascii="IRNazanin" w:hAnsi="IRNazanin" w:eastAsia="IRNazanin"/>
          <w:color w:val="111111"/>
          <w:sz w:val="28"/>
          <w:sz w:val="28"/>
          <w:szCs w:val="28"/>
          <w:rtl w:val="true"/>
          <w:lang w:bidi="fa-IR"/>
        </w:rPr>
        <w:t>حکم الأب و الجدّ من حیث جواز التصرّف لکلٍّ منهما ما لم یتصرّف الآخر</w:t>
      </w:r>
      <w:r>
        <w:rPr>
          <w:rFonts w:eastAsia="IRNazanin" w:cs="IRNazanin"/>
          <w:color w:val="111111"/>
          <w:sz w:val="28"/>
          <w:szCs w:val="28"/>
          <w:rtl w:val="true"/>
          <w:lang w:bidi="fa-IR"/>
        </w:rPr>
        <w:t>.</w:t>
      </w:r>
    </w:p>
    <w:p>
      <w:pPr>
        <w:pStyle w:val="Heading6"/>
        <w:numPr>
          <w:ilvl w:val="5"/>
          <w:numId w:val="1"/>
        </w:numPr>
        <w:rPr/>
      </w:pPr>
      <w:bookmarkStart w:id="913" w:name="__RefHeading___Toc5083120_2314609296"/>
      <w:bookmarkStart w:id="914" w:name="_Toc351"/>
      <w:bookmarkEnd w:id="913"/>
      <w:r>
        <w:rPr>
          <w:rtl w:val="true"/>
        </w:rPr>
        <w:t>[</w:t>
      </w:r>
      <w:r>
        <w:rPr>
          <w:rtl w:val="true"/>
        </w:rPr>
        <w:t>مزاحمة فقیه لفقیه آخر</w:t>
      </w:r>
      <w:r>
        <w:rPr>
          <w:rtl w:val="true"/>
        </w:rPr>
        <w:t>]</w:t>
      </w:r>
      <w:bookmarkEnd w:id="914"/>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حکّام الشرع،فهل هم کذلک؟فلو عیّن فقیه من یصلّی علی المیّت الذی لا ولیّ له،أو من یلی أمواله،أو وضع الید علی مال یتیم،فهل یجوز للآخر مزاحمته،أم لا؟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إن استندنا فی ولایة الفقیه إلی مثل التوقیع المتقدّم </w:t>
      </w:r>
      <w:r>
        <w:rPr>
          <w:rStyle w:val="FootnoteAnchor"/>
          <w:rtl w:val="true"/>
        </w:rPr>
        <w:footnoteReference w:id="2989"/>
      </w:r>
      <w:r>
        <w:rPr>
          <w:rFonts w:ascii="IRNazanin" w:hAnsi="IRNazanin" w:eastAsia="IRNazanin"/>
          <w:color w:val="111111"/>
          <w:sz w:val="28"/>
          <w:sz w:val="28"/>
          <w:szCs w:val="28"/>
          <w:rtl w:val="true"/>
          <w:lang w:bidi="fa-IR"/>
        </w:rPr>
        <w:t>،جاز المزاحمة قبل وقوع التصرّف اللازم؛لأنّ المخاطب بوجوب إرجاع الأُمور إلی الحکّام هم العوامّ،فالنهی عن المزاحمة</w:t>
      </w:r>
    </w:p>
    <w:p>
      <w:pPr>
        <w:pStyle w:val="BookText"/>
        <w:rPr/>
      </w:pPr>
      <w:r>
        <w:rPr>
          <w:rFonts w:ascii="IRNazanin" w:hAnsi="IRNazanin" w:eastAsia="IRNazanin"/>
          <w:color w:val="111111"/>
          <w:sz w:val="28"/>
          <w:sz w:val="28"/>
          <w:szCs w:val="28"/>
          <w:rtl w:val="true"/>
          <w:lang w:bidi="fa-IR"/>
        </w:rPr>
        <w:t>یختصّ بهم،و أمّا الحکّام فکلّ منهم حجّة من الإمام علیه السلام،فلا یجب علی واحد منهم إرجاع الأمر الحادث إلی الآخر،فیجوز له مباشرته و إن کان الآخر دخل فیه و وضع یده علیه،فحال کلّ منهم حال کلٍّ من الأب و الجدّ فی أنّ النافذ تصرّف السابق،و لا عبرة بدخول الآخر فی مقدّمات ذلک و بنائه علی ما یغایر تصرّف الآخر،کما یجوز لأحد الحاکمین تصدّی المرافعة قبل حکم الآخر و إن حضر المترافعان عنده و أحضر الشهود و بنی علی الحکم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استندنا فی ذلک إلی </w:t>
      </w:r>
      <w:r>
        <w:rPr>
          <w:rStyle w:val="FootnoteAnchor"/>
          <w:rtl w:val="true"/>
        </w:rPr>
        <w:footnoteReference w:id="2990"/>
      </w:r>
      <w:r>
        <w:rPr>
          <w:rFonts w:ascii="IRNazanin" w:hAnsi="IRNazanin" w:eastAsia="IRNazanin"/>
          <w:color w:val="111111"/>
          <w:sz w:val="28"/>
          <w:sz w:val="28"/>
          <w:szCs w:val="28"/>
          <w:rtl w:val="true"/>
          <w:lang w:bidi="fa-IR"/>
        </w:rPr>
        <w:t xml:space="preserve">عمومات النیابة </w:t>
      </w:r>
      <w:r>
        <w:rPr>
          <w:rStyle w:val="FootnoteAnchor"/>
          <w:rtl w:val="true"/>
        </w:rPr>
        <w:footnoteReference w:id="2991"/>
      </w:r>
      <w:r>
        <w:rPr>
          <w:rFonts w:ascii="IRNazanin" w:hAnsi="IRNazanin" w:eastAsia="IRNazanin"/>
          <w:color w:val="111111"/>
          <w:sz w:val="28"/>
          <w:sz w:val="28"/>
          <w:szCs w:val="28"/>
          <w:rtl w:val="true"/>
          <w:lang w:bidi="fa-IR"/>
        </w:rPr>
        <w:t>،و أنّ فعل الفقیه کفعل الإمام،و نظره کنظره الذی لا یجوز التعدّی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حیث ثبوت الولایة له علی الأنفس و الأموال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تقدّم عدم ثبوت عموم یدلّ علی النیابة فی ذلک </w:t>
      </w:r>
      <w:r>
        <w:rPr>
          <w:rStyle w:val="FootnoteAnchor"/>
          <w:rtl w:val="true"/>
        </w:rPr>
        <w:footnoteReference w:id="2992"/>
      </w:r>
      <w:r>
        <w:rPr>
          <w:rFonts w:ascii="IRNazanin" w:hAnsi="IRNazanin" w:eastAsia="IRNazanin"/>
          <w:color w:val="111111"/>
          <w:sz w:val="28"/>
          <w:sz w:val="28"/>
          <w:szCs w:val="28"/>
          <w:rtl w:val="true"/>
          <w:lang w:bidi="fa-IR"/>
        </w:rPr>
        <w:t>،بل من حیث وجوب إرجاع الأُمور الحادثة إلیه؛المستفاد من تعلیل الرجوع فیها إلی الفقیه بکونه حجّة منه علیه السلام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عدم جواز مزاحمة الفقیه الذی دخل فی أمر و وضع یده علیه و بنی فیه بحسب نظره علی تصرّف و إن لم یفعل نفس ذلک التصرّف؛لأنّ دخوله فیه کدخول الإمام،فدخول الثانی فیه و بناؤه علی تصرّف آخر مزاحمة </w:t>
      </w:r>
      <w:r>
        <w:rPr>
          <w:rStyle w:val="FootnoteAnchor"/>
          <w:rtl w:val="true"/>
        </w:rPr>
        <w:footnoteReference w:id="2993"/>
      </w:r>
      <w:r>
        <w:rPr>
          <w:rFonts w:ascii="IRNazanin" w:hAnsi="IRNazanin" w:eastAsia="IRNazanin"/>
          <w:color w:val="111111"/>
          <w:sz w:val="28"/>
          <w:sz w:val="28"/>
          <w:szCs w:val="28"/>
          <w:rtl w:val="true"/>
          <w:lang w:bidi="fa-IR"/>
        </w:rPr>
        <w:t xml:space="preserve">له،فهو </w:t>
      </w:r>
      <w:r>
        <w:rPr>
          <w:rStyle w:val="FootnoteAnchor"/>
          <w:rtl w:val="true"/>
        </w:rPr>
        <w:footnoteReference w:id="2994"/>
      </w:r>
      <w:r>
        <w:rPr>
          <w:rFonts w:ascii="IRNazanin" w:hAnsi="IRNazanin" w:eastAsia="IRNazanin"/>
          <w:color w:val="111111"/>
          <w:sz w:val="28"/>
          <w:sz w:val="28"/>
          <w:szCs w:val="28"/>
          <w:rtl w:val="true"/>
          <w:lang w:bidi="fa-IR"/>
        </w:rPr>
        <w:t>کمزاحمة</w:t>
      </w:r>
    </w:p>
    <w:p>
      <w:pPr>
        <w:pStyle w:val="BookText"/>
        <w:rPr/>
      </w:pPr>
      <w:r>
        <w:rPr>
          <w:rFonts w:ascii="IRNazanin" w:hAnsi="IRNazanin" w:eastAsia="IRNazanin"/>
          <w:color w:val="111111"/>
          <w:sz w:val="28"/>
          <w:sz w:val="28"/>
          <w:szCs w:val="28"/>
          <w:rtl w:val="true"/>
          <w:lang w:bidi="fa-IR"/>
        </w:rPr>
        <w:t xml:space="preserve">الإمام علیه السلام،فأدلّة النیابة عن الإمام علیه السلام لا تشمل ما کان فیه مزاحمة الإمام </w:t>
      </w:r>
      <w:r>
        <w:rPr>
          <w:rStyle w:val="FootnoteAnchor"/>
          <w:rtl w:val="true"/>
        </w:rPr>
        <w:footnoteReference w:id="2995"/>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الحکّام،و بین الأب و الجدّ؛لأجل الفرق بین کون کلّ واحد منهم حجّة و بین کون کلّ واحد منهم نائباً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کونهم حینئذٍ کالوکلاء المتعدّدین،فی أنّ بناء واحد منهم علی </w:t>
      </w:r>
      <w:r>
        <w:rPr>
          <w:rStyle w:val="FootnoteAnchor"/>
          <w:rtl w:val="true"/>
        </w:rPr>
        <w:footnoteReference w:id="2996"/>
      </w:r>
      <w:r>
        <w:rPr>
          <w:rFonts w:ascii="IRNazanin" w:hAnsi="IRNazanin" w:eastAsia="IRNazanin"/>
          <w:color w:val="111111"/>
          <w:sz w:val="28"/>
          <w:sz w:val="28"/>
          <w:szCs w:val="28"/>
          <w:rtl w:val="true"/>
          <w:lang w:bidi="fa-IR"/>
        </w:rPr>
        <w:t>أمر مأذون فیه لا یمنع الآخر عن تصرّفٍ مغایرٍ لما بنی علیه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 الوکلاء إذا فرضوا وکلاء فی نفس التصرّف لا فی مقدّماته،فما لم یتحقّق التصرّف من أحدهم کان الآخر مأذوناً فی تصرّفٍ مغایرٍ و إن بنی علیه الأوّل و دخل فیه،أمّا إذا فرضوا وکلاء عن الشخص الواحد بحیث یکون إلزامهم کإلزامه و دخولهم فی الأمر کدخوله،و فرضنا أیضاً عدم دلالة دلیل وکالتهم علی الإذن فی مخالفة نفس الموکّل،و التعدّی عمّا بنی هو علیه مباشرةً أو استنابةً،کان حکمه حکم ما نحن فیه من غیر زیادة و لا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الوهم إنّما نشأ من ملاحظة التوکیلات المتعارفة للوکلاء المتعدّدین المتعلّقة بنفس ذی المقدّمة،فتأمّل</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مضافاً إلی لزوم اختلال نظام المصالح المنوطة إلی الحکّام سیّما فی مثل هذا الزمان </w:t>
      </w:r>
      <w:r>
        <w:rPr>
          <w:rStyle w:val="FootnoteAnchor"/>
          <w:rtl w:val="true"/>
        </w:rPr>
        <w:footnoteReference w:id="2997"/>
      </w:r>
      <w:r>
        <w:rPr>
          <w:rFonts w:ascii="IRNazanin" w:hAnsi="IRNazanin" w:eastAsia="IRNazanin"/>
          <w:color w:val="111111"/>
          <w:sz w:val="28"/>
          <w:sz w:val="28"/>
          <w:szCs w:val="28"/>
          <w:rtl w:val="true"/>
          <w:lang w:bidi="fa-IR"/>
        </w:rPr>
        <w:t>الذی شاع فیه القیام بوظائف الحکّام ممّن</w:t>
      </w:r>
      <w:bookmarkStart w:id="915" w:name="pg19763_248319"/>
    </w:p>
    <w:p>
      <w:pPr>
        <w:pStyle w:val="BookText"/>
        <w:rPr/>
      </w:pPr>
      <w:bookmarkEnd w:id="915"/>
      <w:r>
        <w:rPr>
          <w:rFonts w:ascii="IRNazanin" w:hAnsi="IRNazanin" w:eastAsia="IRNazanin"/>
          <w:color w:val="111111"/>
          <w:sz w:val="28"/>
          <w:sz w:val="28"/>
          <w:szCs w:val="28"/>
          <w:rtl w:val="true"/>
          <w:lang w:bidi="fa-IR"/>
        </w:rPr>
        <w:t>یدّعی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کان،فقد تبیّن ممّا ذکرنا عدم جواز مزاحمة فقیهٍ لمثله فی کلّ إلزام قولیّ أو فعلیّ یجب الرجوع فیه إلی الحاکم،فإذا قبض </w:t>
      </w:r>
      <w:r>
        <w:rPr>
          <w:rStyle w:val="FootnoteAnchor"/>
          <w:rtl w:val="true"/>
        </w:rPr>
        <w:footnoteReference w:id="2998"/>
      </w:r>
      <w:r>
        <w:rPr>
          <w:rFonts w:ascii="IRNazanin" w:hAnsi="IRNazanin" w:eastAsia="IRNazanin"/>
          <w:color w:val="111111"/>
          <w:sz w:val="28"/>
          <w:sz w:val="28"/>
          <w:szCs w:val="28"/>
          <w:rtl w:val="true"/>
          <w:lang w:bidi="fa-IR"/>
        </w:rPr>
        <w:t>مال الیتیم من شخص أو عیّن شخصاً لقبضه أو جعله ناظراً علیه،فلیس لغیره من الحکّام مخالفة نظره؛لأنّ نظره کنظر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جواز </w:t>
      </w:r>
      <w:r>
        <w:rPr>
          <w:rStyle w:val="FootnoteAnchor"/>
          <w:rtl w:val="true"/>
        </w:rPr>
        <w:footnoteReference w:id="2999"/>
      </w:r>
      <w:r>
        <w:rPr>
          <w:rFonts w:ascii="IRNazanin" w:hAnsi="IRNazanin" w:eastAsia="IRNazanin"/>
          <w:color w:val="111111"/>
          <w:sz w:val="28"/>
          <w:sz w:val="28"/>
          <w:szCs w:val="28"/>
          <w:rtl w:val="true"/>
          <w:lang w:bidi="fa-IR"/>
        </w:rPr>
        <w:t>تصدّی مجتهدٍ لمرافعةٍ تصدّاها مجتهد آخر قبل الحکم فیها إذا لم یعرض عنها بل بنی علی الحکم فیها؛فلأنّ وجوب الحکم فرع سؤال من له الحکم</w:t>
      </w:r>
      <w:r>
        <w:rPr>
          <w:rFonts w:eastAsia="IRNazanin" w:cs="IRNazanin"/>
          <w:color w:val="111111"/>
          <w:sz w:val="28"/>
          <w:szCs w:val="28"/>
          <w:rtl w:val="true"/>
          <w:lang w:bidi="fa-IR"/>
        </w:rPr>
        <w:t>.</w:t>
      </w:r>
    </w:p>
    <w:p>
      <w:pPr>
        <w:pStyle w:val="Heading6"/>
        <w:numPr>
          <w:ilvl w:val="5"/>
          <w:numId w:val="1"/>
        </w:numPr>
        <w:rPr/>
      </w:pPr>
      <w:bookmarkStart w:id="916" w:name="__RefHeading___Toc5083122_2314609296"/>
      <w:bookmarkStart w:id="917" w:name="_Toc352"/>
      <w:bookmarkEnd w:id="916"/>
      <w:r>
        <w:rPr>
          <w:rtl w:val="true"/>
        </w:rPr>
        <w:t>[</w:t>
      </w:r>
      <w:r>
        <w:rPr>
          <w:rtl w:val="true"/>
        </w:rPr>
        <w:t>هل یشترط فی ولایة غیر الأب و الجد ملاحظة الغبطة للیتیم؟</w:t>
      </w:r>
      <w:r>
        <w:rPr>
          <w:rtl w:val="true"/>
        </w:rPr>
        <w:t>]</w:t>
      </w:r>
      <w:bookmarkEnd w:id="917"/>
    </w:p>
    <w:p>
      <w:pPr>
        <w:pStyle w:val="BookText"/>
        <w:rPr/>
      </w:pPr>
      <w:r>
        <w:rPr>
          <w:rFonts w:ascii="IRNazanin" w:hAnsi="IRNazanin" w:eastAsia="IRNazanin"/>
          <w:color w:val="111111"/>
          <w:sz w:val="28"/>
          <w:sz w:val="28"/>
          <w:szCs w:val="28"/>
          <w:rtl w:val="true"/>
          <w:lang w:bidi="fa-IR"/>
        </w:rPr>
        <w:t xml:space="preserve">ثمّ إنّه هل یشترط فی ولایة </w:t>
      </w:r>
      <w:r>
        <w:rPr>
          <w:rStyle w:val="FootnoteAnchor"/>
          <w:rtl w:val="true"/>
        </w:rPr>
        <w:footnoteReference w:id="3000"/>
      </w:r>
      <w:r>
        <w:rPr>
          <w:rFonts w:ascii="IRNazanin" w:hAnsi="IRNazanin" w:eastAsia="IRNazanin"/>
          <w:color w:val="111111"/>
          <w:sz w:val="28"/>
          <w:sz w:val="28"/>
          <w:szCs w:val="28"/>
          <w:rtl w:val="true"/>
          <w:lang w:bidi="fa-IR"/>
        </w:rPr>
        <w:t>غیر الأب و الجدّ ملاحظة الغبطة للیتیم،أم لا؟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الشهید فی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فیه وجهین </w:t>
      </w:r>
      <w:r>
        <w:rPr>
          <w:rStyle w:val="FootnoteAnchor"/>
          <w:rtl w:val="true"/>
        </w:rPr>
        <w:footnoteReference w:id="3001"/>
      </w:r>
      <w:r>
        <w:rPr>
          <w:rFonts w:ascii="IRNazanin" w:hAnsi="IRNazanin" w:eastAsia="IRNazanin"/>
          <w:color w:val="111111"/>
          <w:sz w:val="28"/>
          <w:sz w:val="28"/>
          <w:szCs w:val="28"/>
          <w:rtl w:val="true"/>
          <w:lang w:bidi="fa-IR"/>
        </w:rPr>
        <w:t xml:space="preserve">،و لکن ظاهر </w:t>
      </w:r>
      <w:r>
        <w:rPr>
          <w:rStyle w:val="FootnoteAnchor"/>
          <w:rtl w:val="true"/>
        </w:rPr>
        <w:footnoteReference w:id="3002"/>
      </w:r>
      <w:r>
        <w:rPr>
          <w:rFonts w:ascii="IRNazanin" w:hAnsi="IRNazanin" w:eastAsia="IRNazanin"/>
          <w:color w:val="111111"/>
          <w:sz w:val="28"/>
          <w:sz w:val="28"/>
          <w:szCs w:val="28"/>
          <w:rtl w:val="true"/>
          <w:lang w:bidi="fa-IR"/>
        </w:rPr>
        <w:t xml:space="preserve">کثیر </w:t>
      </w:r>
      <w:r>
        <w:rPr>
          <w:rStyle w:val="FootnoteAnchor"/>
          <w:rtl w:val="true"/>
        </w:rPr>
        <w:footnoteReference w:id="3003"/>
      </w:r>
      <w:r>
        <w:rPr>
          <w:rFonts w:ascii="IRNazanin" w:hAnsi="IRNazanin" w:eastAsia="IRNazanin"/>
          <w:color w:val="111111"/>
          <w:sz w:val="28"/>
          <w:sz w:val="28"/>
          <w:szCs w:val="28"/>
          <w:rtl w:val="true"/>
          <w:lang w:bidi="fa-IR"/>
        </w:rPr>
        <w:t>من کلماتهم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 إلّا مع المصلحة،بل 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إجماعی </w:t>
      </w:r>
      <w:r>
        <w:rPr>
          <w:rStyle w:val="FootnoteAnchor"/>
          <w:rtl w:val="true"/>
        </w:rPr>
        <w:footnoteReference w:id="3004"/>
      </w:r>
      <w:r>
        <w:rPr>
          <w:rFonts w:ascii="IRNazanin" w:hAnsi="IRNazanin" w:eastAsia="IRNazanin"/>
          <w:color w:val="111111"/>
          <w:sz w:val="28"/>
          <w:sz w:val="28"/>
          <w:szCs w:val="28"/>
          <w:rtl w:val="true"/>
          <w:lang w:bidi="fa-IR"/>
        </w:rPr>
        <w:t>،و أنّ الظاهر من التذکرة فی باب الحجر کونه اتّفاقیاً بین</w:t>
      </w:r>
      <w:bookmarkStart w:id="918" w:name="pg19763_248320"/>
    </w:p>
    <w:p>
      <w:pPr>
        <w:pStyle w:val="BookText"/>
        <w:rPr/>
      </w:pPr>
      <w:bookmarkEnd w:id="918"/>
      <w:r>
        <w:rPr>
          <w:rFonts w:ascii="IRNazanin" w:hAnsi="IRNazanin" w:eastAsia="IRNazanin"/>
          <w:color w:val="111111"/>
          <w:sz w:val="28"/>
          <w:sz w:val="28"/>
          <w:szCs w:val="28"/>
          <w:rtl w:val="true"/>
          <w:lang w:bidi="fa-IR"/>
        </w:rPr>
        <w:t xml:space="preserve">المسلمین </w:t>
      </w:r>
      <w:r>
        <w:rPr>
          <w:rStyle w:val="FootnoteAnchor"/>
          <w:rtl w:val="true"/>
        </w:rPr>
        <w:footnoteReference w:id="3005"/>
      </w:r>
      <w:r>
        <w:rPr>
          <w:rFonts w:ascii="IRNazanin" w:hAnsi="IRNazanin" w:eastAsia="IRNazanin"/>
          <w:color w:val="111111"/>
          <w:sz w:val="28"/>
          <w:sz w:val="28"/>
          <w:szCs w:val="28"/>
          <w:rtl w:val="true"/>
          <w:lang w:bidi="fa-IR"/>
        </w:rPr>
        <w:t>،و عن شیخه فی شرح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ظاهر الأصحاب </w:t>
      </w:r>
      <w:r>
        <w:rPr>
          <w:rStyle w:val="FootnoteAnchor"/>
          <w:rtl w:val="true"/>
        </w:rPr>
        <w:footnoteReference w:id="3006"/>
      </w:r>
      <w:r>
        <w:rPr>
          <w:rFonts w:ascii="IRNazanin" w:hAnsi="IRNazanin" w:eastAsia="IRNazanin"/>
          <w:color w:val="111111"/>
          <w:sz w:val="28"/>
          <w:sz w:val="28"/>
          <w:szCs w:val="28"/>
          <w:rtl w:val="true"/>
          <w:lang w:bidi="fa-IR"/>
        </w:rPr>
        <w:t xml:space="preserve">،و قد عرفت تصریح الشیخ و الحلّی بذلک حتّی فی الأب و الجدّ </w:t>
      </w:r>
      <w:r>
        <w:rPr>
          <w:rStyle w:val="FootnoteAnchor"/>
          <w:rtl w:val="true"/>
        </w:rPr>
        <w:footnoteReference w:id="30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9" w:name="__RefHeading___Toc5083124_2314609296"/>
      <w:bookmarkStart w:id="920" w:name="_Toc353"/>
      <w:bookmarkEnd w:id="919"/>
      <w:r>
        <w:rPr>
          <w:rtl w:val="true"/>
        </w:rPr>
        <w:t>[</w:t>
      </w:r>
      <w:r>
        <w:rPr>
          <w:rtl w:val="true"/>
        </w:rPr>
        <w:t>الاستدلال بقوله تعالی</w:t>
      </w:r>
      <w:r>
        <w:rPr>
          <w:rtl w:val="true"/>
        </w:rPr>
        <w:t xml:space="preserve">: </w:t>
      </w:r>
      <w:r>
        <w:rPr>
          <w:rtl w:val="true"/>
        </w:rPr>
        <w:t xml:space="preserve">وَ لاٰ تَقْرَبُوا مٰالَ الْیَتِیمِ إِلاّٰ بِالَّتِی هِیَ أَحْسَنُ </w:t>
      </w:r>
      <w:r>
        <w:rPr>
          <w:rtl w:val="true"/>
        </w:rPr>
        <w:t>]</w:t>
      </w:r>
      <w:bookmarkEnd w:id="920"/>
    </w:p>
    <w:p>
      <w:pPr>
        <w:pStyle w:val="BookText"/>
        <w:rPr/>
      </w:pPr>
      <w:r>
        <w:rPr>
          <w:rFonts w:ascii="Amiri" w:hAnsi="Amiri" w:eastAsia="Amiri" w:cs="Amiri"/>
          <w:color w:val="111111"/>
          <w:sz w:val="28"/>
          <w:sz w:val="28"/>
          <w:szCs w:val="28"/>
          <w:rtl w:val="true"/>
          <w:lang w:bidi="ar-SA"/>
        </w:rPr>
        <w:t>و یدلّ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عرفت من أصالة عدم الولایة لأحد علی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w:t>
      </w:r>
      <w:r>
        <w:rPr>
          <w:rStyle w:val="FootnoteAnchor"/>
          <w:rtl w:val="true"/>
        </w:rPr>
        <w:footnoteReference w:id="3008"/>
      </w:r>
      <w:r>
        <w:rPr>
          <w:rFonts w:ascii="IRNazanin" w:hAnsi="IRNazanin" w:eastAsia="IRNazanin"/>
          <w:color w:val="111111"/>
          <w:sz w:val="28"/>
          <w:sz w:val="28"/>
          <w:szCs w:val="28"/>
          <w:rtl w:val="true"/>
          <w:lang w:bidi="fa-IR"/>
        </w:rPr>
        <w:t>، و حیث إنّ توضیح معنی الآیة علی ما ینبغی لم أجده فی کلام أحد من المتعرّضین لبیان آیات الأحکام،فلا بأس بتوضیح ذلک فی هذا المقام،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یحتمل معانی </w:t>
      </w:r>
      <w:r>
        <w:rPr>
          <w:rStyle w:val="FootnoteAnchor"/>
          <w:rtl w:val="true"/>
        </w:rPr>
        <w:footnoteReference w:id="3009"/>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التقلیب </w:t>
      </w:r>
      <w:r>
        <w:rPr>
          <w:rStyle w:val="FootnoteAnchor"/>
          <w:rtl w:val="true"/>
        </w:rPr>
        <w:footnoteReference w:id="3010"/>
      </w:r>
      <w:r>
        <w:rPr>
          <w:rFonts w:ascii="IRNazanin" w:hAnsi="IRNazanin" w:eastAsia="IRNazanin"/>
          <w:color w:val="111111"/>
          <w:sz w:val="28"/>
          <w:sz w:val="28"/>
          <w:szCs w:val="28"/>
          <w:rtl w:val="true"/>
          <w:lang w:bidi="fa-IR"/>
        </w:rPr>
        <w:t xml:space="preserve">و التحریک حتّی من مکان إلی آخر، فلا یشمل مثل إبقائه </w:t>
      </w:r>
      <w:r>
        <w:rPr>
          <w:rStyle w:val="FootnoteAnchor"/>
          <w:rtl w:val="true"/>
        </w:rPr>
        <w:footnoteReference w:id="3011"/>
      </w:r>
      <w:r>
        <w:rPr>
          <w:rFonts w:ascii="IRNazanin" w:hAnsi="IRNazanin" w:eastAsia="IRNazanin"/>
          <w:color w:val="111111"/>
          <w:sz w:val="28"/>
          <w:sz w:val="28"/>
          <w:szCs w:val="28"/>
          <w:rtl w:val="true"/>
          <w:lang w:bidi="fa-IR"/>
        </w:rPr>
        <w:t xml:space="preserve">علی حال أو عند </w:t>
      </w:r>
      <w:r>
        <w:rPr>
          <w:rStyle w:val="FootnoteAnchor"/>
          <w:rtl w:val="true"/>
        </w:rPr>
        <w:footnoteReference w:id="3012"/>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الید علیه بعد أن کان بعیداً عنه و مجتنباً،فالمعنی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تجنّبوا عنه،و لا تقربوه إلّا إذا کان القرب أحسن،فلا یشمل حکم ما بعد الوضع </w:t>
      </w:r>
      <w:r>
        <w:rPr>
          <w:rStyle w:val="FootnoteAnchor"/>
          <w:rtl w:val="true"/>
        </w:rPr>
        <w:footnoteReference w:id="3013"/>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 تصرّفاً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کالاقتراض و البیع و الإجارة و ما أشبه</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 علی تحریم إبقائه بحاله تحت یده إذا کان التصرّف فیه أحسن منه،إلّا بتنقیح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الأمر الاختیاری المتعلّق بمال الیتیم،أعمّ من الفعل و الترک،و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تختاروا فی مال الیتیم فعلاً أو ترکاً إلّا ما کان أحسن من غیره،فیدلّ علی حرمة الإبقاء فی الفرض المذکور؛لأنّ إبقاءه قربٌ له بما لیس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الآیة،فیحتمل أن یراد به ظاهره من التفضیل،و یحتمل أن یراد به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الأوّل،فیحتمل التصرّف الأحسن من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یراد به ظاهره و هو الأحسن مطلقاً من ترکه و من غیره من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فیحتمل أن یراد ما فیه مصلحة،و یحتمل أن یراد به ما لا مفسدة فیه، 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أحد معانی الحسن ما لا حرج فی فعله </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الظاهر من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الثالث،و من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الاحتمال الثانی،أعنی التفضیل المطلق</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فإذا فرضنا أنّ المصلحة اقتضت بیع مال الیتیم،فبعناه بعشرة دراهم،ثمّ </w:t>
      </w:r>
      <w:r>
        <w:rPr>
          <w:rStyle w:val="FootnoteAnchor"/>
          <w:rtl w:val="true"/>
        </w:rPr>
        <w:footnoteReference w:id="3015"/>
      </w:r>
      <w:r>
        <w:rPr>
          <w:rFonts w:ascii="IRNazanin" w:hAnsi="IRNazanin" w:eastAsia="IRNazanin"/>
          <w:color w:val="111111"/>
          <w:sz w:val="28"/>
          <w:sz w:val="28"/>
          <w:szCs w:val="28"/>
          <w:rtl w:val="true"/>
          <w:lang w:bidi="fa-IR"/>
        </w:rPr>
        <w:t>فرضنا أنّه لا یتفاوت للیتیم إبقاء الدراهم أو جعلها دیناراً،فأراد الولیّ جعلها دیناراً،فلا یجوز؛لأنّ هذا التصرّف لیس أصلح من ترکه،و إن کان یجوز لنا من أوّل الأمر بیع المال بالدینار؛ لفرض عدم التفاوت بین الدراهم و الدینار بعد تعلّق المصلحة بجعل المال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ما لا مفسدة فیه،فیجوز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الرابع؛لأنّا إذا فرضنا أنّ القرب یعمّ إبقاء مال الیتیم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التصرّف المذکور؛إذ بعد کون الأحسن هو جعل مال الیتیم نقداً،فکما أنّه مخیّر فی الابتداء بین جعله دراهم أو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القدر المشترک أحسن من غیره،و أحد الفردین فیه لا مزیّة لأحدهما </w:t>
      </w:r>
      <w:r>
        <w:rPr>
          <w:rStyle w:val="FootnoteAnchor"/>
          <w:rtl w:val="true"/>
        </w:rPr>
        <w:footnoteReference w:id="3016"/>
      </w:r>
      <w:r>
        <w:rPr>
          <w:rFonts w:ascii="IRNazanin" w:hAnsi="IRNazanin" w:eastAsia="IRNazanin"/>
          <w:color w:val="111111"/>
          <w:sz w:val="28"/>
          <w:sz w:val="28"/>
          <w:szCs w:val="28"/>
          <w:rtl w:val="true"/>
          <w:lang w:bidi="fa-IR"/>
        </w:rPr>
        <w:t>علی الآخر فیخیّر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فکذلک بعد جعله دراهم إذا کان کلٌّ من إبقاء الدراهم علی حالها و جعلها دیناراً قرباً،و القدر المشترک أحسن من غیره،و أحد </w:t>
      </w:r>
      <w:r>
        <w:rPr>
          <w:rStyle w:val="FootnoteAnchor"/>
          <w:rtl w:val="true"/>
        </w:rPr>
        <w:footnoteReference w:id="3017"/>
      </w:r>
      <w:r>
        <w:rPr>
          <w:rFonts w:ascii="IRNazanin" w:hAnsi="IRNazanin" w:eastAsia="IRNazanin"/>
          <w:color w:val="111111"/>
          <w:sz w:val="28"/>
          <w:sz w:val="28"/>
          <w:szCs w:val="28"/>
          <w:rtl w:val="true"/>
          <w:lang w:bidi="fa-IR"/>
        </w:rPr>
        <w:t>الفردین لا مزیّة فیه علی الآخر فهو مخیّر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کلما یفرض التخییر بین تصرّفین فی 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 القدر المشترک بینهما أحسن </w:t>
      </w:r>
      <w:r>
        <w:rPr>
          <w:rStyle w:val="FootnoteAnchor"/>
          <w:rtl w:val="true"/>
        </w:rPr>
        <w:footnoteReference w:id="3018"/>
      </w:r>
      <w:r>
        <w:rPr>
          <w:rFonts w:ascii="IRNazanin" w:hAnsi="IRNazanin" w:eastAsia="IRNazanin"/>
          <w:color w:val="111111"/>
          <w:sz w:val="28"/>
          <w:sz w:val="28"/>
          <w:szCs w:val="28"/>
          <w:rtl w:val="true"/>
          <w:lang w:bidi="fa-IR"/>
        </w:rPr>
        <w:t>،و عدم مزیّة لأحد الفردین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التخییر لأجل ذلک استدامة،فیجوز العدول من </w:t>
      </w:r>
      <w:r>
        <w:rPr>
          <w:rStyle w:val="FootnoteAnchor"/>
          <w:rtl w:val="true"/>
        </w:rPr>
        <w:footnoteReference w:id="3019"/>
      </w:r>
      <w:r>
        <w:rPr>
          <w:rFonts w:ascii="IRNazanin" w:hAnsi="IRNazanin" w:eastAsia="IRNazanin"/>
          <w:color w:val="111111"/>
          <w:sz w:val="28"/>
          <w:sz w:val="28"/>
          <w:szCs w:val="28"/>
          <w:rtl w:val="true"/>
          <w:lang w:bidi="fa-IR"/>
        </w:rPr>
        <w:t>أحدهما بعد فعله إلی الآخر إذا کان العدول مساویاً للبقاء بالنسبة إلی حال الیتیم و إن کان فیه نفع یعود إلی المتصرّف</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الرابع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 فی نظر العرف بالنسبة إلی المعنی الثالث،و إن کان الذی یقتضیه التدبّر فی</w:t>
      </w:r>
      <w:bookmarkStart w:id="921" w:name="pg19763_248323"/>
    </w:p>
    <w:p>
      <w:pPr>
        <w:pStyle w:val="BookText"/>
        <w:rPr/>
      </w:pPr>
      <w:bookmarkEnd w:id="921"/>
      <w:r>
        <w:rPr>
          <w:rFonts w:ascii="IRNazanin" w:hAnsi="IRNazanin" w:eastAsia="IRNazanin"/>
          <w:color w:val="111111"/>
          <w:sz w:val="28"/>
          <w:sz w:val="28"/>
          <w:szCs w:val="28"/>
          <w:rtl w:val="true"/>
          <w:lang w:bidi="fa-IR"/>
        </w:rPr>
        <w:t>غرض الشارع و مقصوده من مثل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یختاروا فی أمر مال الیتیم إلّا ما کان أحسن من غیره</w:t>
      </w:r>
      <w:r>
        <w:rPr>
          <w:rFonts w:eastAsia="IRNazanin" w:cs="IRNazanin"/>
          <w:color w:val="111111"/>
          <w:sz w:val="28"/>
          <w:szCs w:val="28"/>
          <w:rtl w:val="true"/>
          <w:lang w:bidi="fa-IR"/>
        </w:rPr>
        <w:t>.</w:t>
      </w:r>
    </w:p>
    <w:p>
      <w:pPr>
        <w:pStyle w:val="Heading6"/>
        <w:numPr>
          <w:ilvl w:val="5"/>
          <w:numId w:val="1"/>
        </w:numPr>
        <w:rPr/>
      </w:pPr>
      <w:bookmarkStart w:id="922" w:name="__RefHeading___Toc5083126_2314609296"/>
      <w:bookmarkStart w:id="923" w:name="_Toc354"/>
      <w:bookmarkEnd w:id="922"/>
      <w:r>
        <w:rPr>
          <w:rtl w:val="true"/>
        </w:rPr>
        <w:t>[</w:t>
      </w:r>
      <w:r>
        <w:rPr>
          <w:rtl w:val="true"/>
        </w:rPr>
        <w:t>ظاهر بعض الروایات کفایة عدم المفسدة</w:t>
      </w:r>
      <w:r>
        <w:rPr>
          <w:rtl w:val="true"/>
        </w:rPr>
        <w:t>]</w:t>
      </w:r>
      <w:bookmarkEnd w:id="923"/>
    </w:p>
    <w:p>
      <w:pPr>
        <w:pStyle w:val="BookText"/>
        <w:rPr/>
      </w:pPr>
      <w:r>
        <w:rPr>
          <w:rFonts w:ascii="IRNazanin" w:hAnsi="IRNazanin" w:eastAsia="IRNazanin"/>
          <w:color w:val="111111"/>
          <w:sz w:val="28"/>
          <w:sz w:val="28"/>
          <w:szCs w:val="28"/>
          <w:rtl w:val="true"/>
          <w:lang w:bidi="fa-IR"/>
        </w:rPr>
        <w:t>نعم،ربما یظهر من بعض الروایات أنّ مناط حرمة التصرّف هو الضرر،لا أنّ مناط الجواز هو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حسنة </w:t>
      </w:r>
      <w:r>
        <w:rPr>
          <w:rStyle w:val="FootnoteAnchor"/>
          <w:rtl w:val="true"/>
        </w:rPr>
        <w:footnoteReference w:id="3020"/>
      </w:r>
      <w:r>
        <w:rPr>
          <w:rFonts w:ascii="IRNazanin" w:hAnsi="IRNazanin" w:eastAsia="IRNazanin"/>
          <w:color w:val="111111"/>
          <w:sz w:val="28"/>
          <w:sz w:val="28"/>
          <w:szCs w:val="28"/>
          <w:rtl w:val="true"/>
          <w:lang w:bidi="fa-IR"/>
        </w:rPr>
        <w:t>الکاهلی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w:t>
      </w:r>
      <w:r>
        <w:rPr>
          <w:rStyle w:val="FootnoteAnchor"/>
          <w:rtl w:val="true"/>
        </w:rPr>
        <w:footnoteReference w:id="3021"/>
      </w: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ندخل </w:t>
      </w:r>
      <w:r>
        <w:rPr>
          <w:rStyle w:val="FootnoteAnchor"/>
          <w:rtl w:val="true"/>
        </w:rPr>
        <w:footnoteReference w:id="3022"/>
      </w:r>
      <w:r>
        <w:rPr>
          <w:rFonts w:ascii="IRNazanin" w:hAnsi="IRNazanin" w:eastAsia="IRNazanin"/>
          <w:color w:val="111111"/>
          <w:sz w:val="28"/>
          <w:sz w:val="28"/>
          <w:szCs w:val="28"/>
          <w:rtl w:val="true"/>
          <w:lang w:bidi="fa-IR"/>
        </w:rPr>
        <w:t xml:space="preserve">علی أخٍ لنا فی بیت أیتام و معهم </w:t>
      </w:r>
      <w:r>
        <w:rPr>
          <w:rStyle w:val="FootnoteAnchor"/>
          <w:rtl w:val="true"/>
        </w:rPr>
        <w:footnoteReference w:id="3023"/>
      </w:r>
      <w:r>
        <w:rPr>
          <w:rFonts w:ascii="IRNazanin" w:hAnsi="IRNazanin" w:eastAsia="IRNazanin"/>
          <w:color w:val="111111"/>
          <w:sz w:val="28"/>
          <w:sz w:val="28"/>
          <w:szCs w:val="28"/>
          <w:rtl w:val="true"/>
          <w:lang w:bidi="fa-IR"/>
        </w:rPr>
        <w:t>خادم لهم،فنقعد علی بساطهم و نشرب من مائهم،و یخدمنا خادمهم،و ربما طعمنا فیه الطعام من عند صاحبنا و فیه من طعامهم،فما تری فی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دخولکم علیهم منفعة لهم فلا بأس،و إن کان فیه ضرر فلا</w:t>
      </w:r>
      <w:r>
        <w:rPr>
          <w:rFonts w:eastAsia="IRNazanin" w:cs="IRNazanin"/>
          <w:color w:val="111111"/>
          <w:sz w:val="28"/>
          <w:szCs w:val="28"/>
          <w:rtl w:val="true"/>
          <w:lang w:bidi="fa-IR"/>
        </w:rPr>
        <w:t xml:space="preserve">» </w:t>
      </w:r>
      <w:r>
        <w:rPr>
          <w:rStyle w:val="FootnoteAnchor"/>
          <w:rtl w:val="true"/>
        </w:rPr>
        <w:footnoteReference w:id="3024"/>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أنّ المراد من منفعة الدخول ما یوازی عوض ما یتصرّفون </w:t>
      </w:r>
      <w:r>
        <w:rPr>
          <w:rStyle w:val="FootnoteAnchor"/>
          <w:rtl w:val="true"/>
        </w:rPr>
        <w:footnoteReference w:id="3025"/>
      </w:r>
      <w:r>
        <w:rPr>
          <w:rFonts w:ascii="IRNazanin" w:hAnsi="IRNazanin" w:eastAsia="IRNazanin"/>
          <w:color w:val="111111"/>
          <w:sz w:val="28"/>
          <w:sz w:val="28"/>
          <w:szCs w:val="28"/>
          <w:rtl w:val="true"/>
          <w:lang w:bidi="fa-IR"/>
        </w:rPr>
        <w:t>من مال الیتیم عند دخولهم،فیکون المراد بالضرر فی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یصل إلی الأیتام ما یوازی ذلک،فلا تنافی بین الصدر و الذیل علی ما زعمه بعض المعاصرین </w:t>
      </w:r>
      <w:r>
        <w:rPr>
          <w:rStyle w:val="FootnoteAnchor"/>
          <w:rtl w:val="true"/>
        </w:rPr>
        <w:footnoteReference w:id="3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الصدر دالّ علی إناطة الجواز</w:t>
      </w:r>
    </w:p>
    <w:p>
      <w:pPr>
        <w:pStyle w:val="BookText"/>
        <w:rPr/>
      </w:pPr>
      <w:r>
        <w:rPr>
          <w:rFonts w:ascii="IRNazanin" w:hAnsi="IRNazanin" w:eastAsia="IRNazanin"/>
          <w:color w:val="111111"/>
          <w:sz w:val="28"/>
          <w:sz w:val="28"/>
          <w:szCs w:val="28"/>
          <w:rtl w:val="true"/>
          <w:lang w:bidi="fa-IR"/>
        </w:rPr>
        <w:t>بالنفع،و الذیل دالّ علی إناطة الحرمة بالضرر،فیتعارضان فی مورد یکون التصرّف غیر نافع و لا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منه مبنیّ علی أنّ المراد بمنفعة الدخول النفع الملحوظ بعد وصول ما بإزاء مال الیتیم إلیه،بمعنی أن تکون المنفعة فی معاوضة ما یتصرّف </w:t>
      </w:r>
      <w:r>
        <w:rPr>
          <w:rStyle w:val="FootnoteAnchor"/>
          <w:rtl w:val="true"/>
        </w:rPr>
        <w:footnoteReference w:id="3027"/>
      </w:r>
      <w:r>
        <w:rPr>
          <w:rFonts w:ascii="IRNazanin" w:hAnsi="IRNazanin" w:eastAsia="IRNazanin"/>
          <w:color w:val="111111"/>
          <w:sz w:val="28"/>
          <w:sz w:val="28"/>
          <w:szCs w:val="28"/>
          <w:rtl w:val="true"/>
          <w:lang w:bidi="fa-IR"/>
        </w:rPr>
        <w:t xml:space="preserve">من مال الیتیم بما یتوصّل </w:t>
      </w:r>
      <w:r>
        <w:rPr>
          <w:rStyle w:val="FootnoteAnchor"/>
          <w:rtl w:val="true"/>
        </w:rPr>
        <w:footnoteReference w:id="3028"/>
      </w:r>
      <w:r>
        <w:rPr>
          <w:rFonts w:ascii="IRNazanin" w:hAnsi="IRNazanin" w:eastAsia="IRNazanin"/>
          <w:color w:val="111111"/>
          <w:sz w:val="28"/>
          <w:sz w:val="28"/>
          <w:szCs w:val="28"/>
          <w:rtl w:val="true"/>
          <w:lang w:bidi="fa-IR"/>
        </w:rPr>
        <w:t xml:space="preserve">إلیهم من ماله،کأن یشرب ماءً فیعطی </w:t>
      </w:r>
      <w:r>
        <w:rPr>
          <w:rStyle w:val="FootnoteAnchor"/>
          <w:rtl w:val="true"/>
        </w:rPr>
        <w:footnoteReference w:id="3029"/>
      </w:r>
      <w:r>
        <w:rPr>
          <w:rFonts w:ascii="IRNazanin" w:hAnsi="IRNazanin" w:eastAsia="IRNazanin"/>
          <w:color w:val="111111"/>
          <w:sz w:val="28"/>
          <w:sz w:val="28"/>
          <w:szCs w:val="28"/>
          <w:rtl w:val="true"/>
          <w:lang w:bidi="fa-IR"/>
        </w:rPr>
        <w:t>فلساً بإزائه،و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بأنّه لا ظهور للروایة حتّی یحصل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ابنة أخ یتیمة،فربما اهدی لها الشیء فآکل منه ثمّ أُطعمها بعد ذلک الشیء من مالی،فأقول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هذا بهذا </w:t>
      </w:r>
      <w:r>
        <w:rPr>
          <w:rStyle w:val="FootnoteAnchor"/>
          <w:rtl w:val="true"/>
        </w:rPr>
        <w:footnoteReference w:id="30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031"/>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ترک الاستفصال عن </w:t>
      </w:r>
      <w:r>
        <w:rPr>
          <w:rStyle w:val="FootnoteAnchor"/>
          <w:rtl w:val="true"/>
        </w:rPr>
        <w:footnoteReference w:id="3032"/>
      </w:r>
      <w:r>
        <w:rPr>
          <w:rFonts w:ascii="IRNazanin" w:hAnsi="IRNazanin" w:eastAsia="IRNazanin"/>
          <w:color w:val="111111"/>
          <w:sz w:val="28"/>
          <w:sz w:val="28"/>
          <w:szCs w:val="28"/>
          <w:rtl w:val="true"/>
          <w:lang w:bidi="fa-IR"/>
        </w:rPr>
        <w:t>مساواة العوض و زیادته یدلّ علی عدم اعتبار الزیادة،إلّا أن یحمل علی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 التصرّف فی الطعام المهدی إلیها </w:t>
      </w:r>
      <w:r>
        <w:rPr>
          <w:rStyle w:val="FootnoteAnchor"/>
          <w:rtl w:val="true"/>
        </w:rPr>
        <w:footnoteReference w:id="3033"/>
      </w:r>
      <w:r>
        <w:rPr>
          <w:rFonts w:ascii="IRNazanin" w:hAnsi="IRNazanin" w:eastAsia="IRNazanin"/>
          <w:color w:val="111111"/>
          <w:sz w:val="28"/>
          <w:sz w:val="28"/>
          <w:szCs w:val="28"/>
          <w:rtl w:val="true"/>
          <w:lang w:bidi="fa-IR"/>
        </w:rPr>
        <w:t xml:space="preserve">و إعطاء العوض بعد ذلک أصلح؛إذ الظاهر من </w:t>
      </w:r>
      <w:r>
        <w:rPr>
          <w:rStyle w:val="FootnoteAnchor"/>
          <w:rtl w:val="true"/>
        </w:rPr>
        <w:footnoteReference w:id="3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المهدی إلیها</w:t>
      </w:r>
      <w:r>
        <w:rPr>
          <w:rFonts w:eastAsia="IRNazanin" w:cs="IRNazanin"/>
          <w:color w:val="111111"/>
          <w:sz w:val="28"/>
          <w:szCs w:val="28"/>
          <w:rtl w:val="true"/>
          <w:lang w:bidi="fa-IR"/>
        </w:rPr>
        <w:t xml:space="preserve">» </w:t>
      </w:r>
      <w:r>
        <w:rPr>
          <w:rStyle w:val="FootnoteAnchor"/>
          <w:rtl w:val="true"/>
        </w:rPr>
        <w:footnoteReference w:id="3035"/>
      </w:r>
      <w:r>
        <w:rPr>
          <w:rFonts w:ascii="IRNazanin" w:hAnsi="IRNazanin" w:eastAsia="IRNazanin"/>
          <w:color w:val="111111"/>
          <w:sz w:val="28"/>
          <w:sz w:val="28"/>
          <w:szCs w:val="28"/>
          <w:rtl w:val="true"/>
          <w:lang w:bidi="fa-IR"/>
        </w:rPr>
        <w:t>هو المطبوخ و شبهه</w:t>
      </w:r>
      <w:r>
        <w:rPr>
          <w:rFonts w:eastAsia="IRNazanin" w:cs="IRNazanin"/>
          <w:color w:val="111111"/>
          <w:sz w:val="28"/>
          <w:szCs w:val="28"/>
          <w:rtl w:val="true"/>
          <w:lang w:bidi="fa-IR"/>
        </w:rPr>
        <w:t>.</w:t>
      </w:r>
      <w:bookmarkStart w:id="924" w:name="pg19763_248325"/>
    </w:p>
    <w:p>
      <w:pPr>
        <w:pStyle w:val="Heading6"/>
        <w:numPr>
          <w:ilvl w:val="5"/>
          <w:numId w:val="1"/>
        </w:numPr>
        <w:rPr/>
      </w:pPr>
      <w:bookmarkStart w:id="925" w:name="__RefHeading___Toc5083128_2314609296"/>
      <w:bookmarkStart w:id="926" w:name="_Toc355"/>
      <w:bookmarkEnd w:id="924"/>
      <w:bookmarkEnd w:id="925"/>
      <w:r>
        <w:rPr>
          <w:rtl w:val="true"/>
        </w:rPr>
        <w:t>و هل یجب مراعاة الأصلح أم لا؟</w:t>
      </w:r>
      <w:bookmarkEnd w:id="926"/>
    </w:p>
    <w:p>
      <w:pPr>
        <w:pStyle w:val="BookText"/>
        <w:rPr/>
      </w:pPr>
      <w:r>
        <w:rPr>
          <w:rFonts w:ascii="IRNazanin" w:hAnsi="IRNazanin" w:eastAsia="IRNazanin"/>
          <w:color w:val="111111"/>
          <w:sz w:val="28"/>
          <w:sz w:val="28"/>
          <w:szCs w:val="28"/>
          <w:rtl w:val="true"/>
          <w:lang w:bidi="fa-IR"/>
        </w:rPr>
        <w:t xml:space="preserve">وجهان </w:t>
      </w:r>
      <w:r>
        <w:rPr>
          <w:rStyle w:val="FootnoteAnchor"/>
          <w:rtl w:val="true"/>
        </w:rPr>
        <w:footnoteReference w:id="3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 رحمه اللّٰه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علی الولیّ مراعاة المصلحة فی مال المولّی علیه،أو یکفی نفی المفسدة؟یحتمل الأوّل؛لأنّه منصوب لها،و لأصالة بقاء الملک علی حاله،و لأنّ النقل و الانتقال لا بدّ لهما من غایة،و العدمیات لا تکاد تقع 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هذا،هل یتحرّی الأصلح أم یکتفی بمطلق المصلحة؟فیه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نعم،لمثل ما قلنا،لا؛لأنّ ذلک لا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 فی الحال الأصلح و المصلحة،لم یجز العدول عن الأصلح،و یترتّب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الولیّ بالشفعة للمولّی علیه حیث لا مصلحة و لا مفسدة،و تزویج المجنون حیث لا مفسدة؛ و غیر ذلک </w:t>
      </w:r>
      <w:r>
        <w:rPr>
          <w:rStyle w:val="FootnoteAnchor"/>
          <w:rtl w:val="true"/>
        </w:rPr>
        <w:footnoteReference w:id="30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فعل الأصلح فی مقابل ترک التصرّف رأساً غیر لازم؛ لعدم الدلیل علیه،فلو کان مال الیتیم موضوعاً عنده و کان الاتّجار به أصلح منه،لم </w:t>
      </w:r>
      <w:r>
        <w:rPr>
          <w:rStyle w:val="FootnoteAnchor"/>
          <w:rtl w:val="true"/>
        </w:rPr>
        <w:footnoteReference w:id="3038"/>
      </w:r>
      <w:r>
        <w:rPr>
          <w:rFonts w:ascii="IRNazanin" w:hAnsi="IRNazanin" w:eastAsia="IRNazanin"/>
          <w:color w:val="111111"/>
          <w:sz w:val="28"/>
          <w:sz w:val="28"/>
          <w:szCs w:val="28"/>
          <w:rtl w:val="true"/>
          <w:lang w:bidi="fa-IR"/>
        </w:rPr>
        <w:t>یجب إلّا إذا قلنا بالمعنی الرابع من معانی القرب فی الآیة،بأن 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تختاروا فی مال الیتیم أمراً من الأفعال أو التروک إلّا أن یکون أحسن من غیره،و قد عرفت الإشکال فی استفادة هذا المعنی،بل الظاهر التصرّفات الوجودیّة فهی المنهیّ عن جمیعها،إلّا </w:t>
      </w:r>
      <w:r>
        <w:rPr>
          <w:rStyle w:val="FootnoteAnchor"/>
          <w:rtl w:val="true"/>
        </w:rPr>
        <w:footnoteReference w:id="3039"/>
      </w:r>
    </w:p>
    <w:p>
      <w:pPr>
        <w:pStyle w:val="BookText"/>
        <w:rPr/>
      </w:pPr>
      <w:r>
        <w:rPr>
          <w:rFonts w:ascii="IRNazanin" w:hAnsi="IRNazanin" w:eastAsia="IRNazanin"/>
          <w:color w:val="111111"/>
          <w:sz w:val="28"/>
          <w:sz w:val="28"/>
          <w:szCs w:val="28"/>
          <w:rtl w:val="true"/>
          <w:lang w:bidi="fa-IR"/>
        </w:rPr>
        <w:t xml:space="preserve">ما کان أحسن من غیره و من الترک،فلا یشمل ما إذا کان </w:t>
      </w:r>
      <w:r>
        <w:rPr>
          <w:rStyle w:val="FootnoteAnchor"/>
          <w:rtl w:val="true"/>
        </w:rPr>
        <w:footnoteReference w:id="3040"/>
      </w:r>
      <w:r>
        <w:rPr>
          <w:rFonts w:ascii="IRNazanin" w:hAnsi="IRNazanin" w:eastAsia="IRNazanin"/>
          <w:color w:val="111111"/>
          <w:sz w:val="28"/>
          <w:sz w:val="28"/>
          <w:szCs w:val="28"/>
          <w:rtl w:val="true"/>
          <w:lang w:bidi="fa-IR"/>
        </w:rPr>
        <w:t>فعلٌ أحسن من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نعم،ثبت بدلیل خارج حرمة الترک إذا کان فیه مفسدة،و أمّا إذا کان فی الترک مفسدة و دار الأمر بین أفعالٍ بعضها أصلح من بعض، فظاهر الآیة عدم جواز العدول عنه،بل ربما یعدّ العدول فی بعض المقامات إفساداً،کما إذا اشتُری فی موضع بعشرة،و فی موضع آخر قریب منه بعشرین،فإنّه یعدّ بیعه فی الأوّل إفساداً للمال،لو </w:t>
      </w:r>
      <w:r>
        <w:rPr>
          <w:rStyle w:val="FootnoteAnchor"/>
          <w:rtl w:val="true"/>
        </w:rPr>
        <w:footnoteReference w:id="3041"/>
      </w:r>
      <w:r>
        <w:rPr>
          <w:rFonts w:ascii="IRNazanin" w:hAnsi="IRNazanin" w:eastAsia="IRNazanin"/>
          <w:color w:val="111111"/>
          <w:sz w:val="28"/>
          <w:sz w:val="28"/>
          <w:szCs w:val="28"/>
          <w:rtl w:val="true"/>
          <w:lang w:bidi="fa-IR"/>
        </w:rPr>
        <w:t>ارتکبه عاقل عدّ سفیهاً لیس فیه ملکة إصلاح المال،و هذا هو الذی أراده الشهید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3042"/>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نعم،قد لا یعدّ العدول من السفاهة،کما لو کان بیعه مصلحة، و کان بیعه فی بلد آخر أصلح </w:t>
      </w:r>
      <w:r>
        <w:rPr>
          <w:rStyle w:val="FootnoteAnchor"/>
          <w:rtl w:val="true"/>
        </w:rPr>
        <w:footnoteReference w:id="3043"/>
      </w:r>
      <w:r>
        <w:rPr>
          <w:rFonts w:ascii="IRNazanin" w:hAnsi="IRNazanin" w:eastAsia="IRNazanin"/>
          <w:color w:val="111111"/>
          <w:sz w:val="28"/>
          <w:sz w:val="28"/>
          <w:szCs w:val="28"/>
          <w:rtl w:val="true"/>
          <w:lang w:bidi="fa-IR"/>
        </w:rPr>
        <w:t xml:space="preserve">مع إعطاء الأُجرة منه أن ینقله إلیه و العلم بعدم الخسارة </w:t>
      </w:r>
      <w:r>
        <w:rPr>
          <w:rStyle w:val="FootnoteAnchor"/>
          <w:rtl w:val="true"/>
        </w:rPr>
        <w:footnoteReference w:id="3044"/>
      </w:r>
      <w:r>
        <w:rPr>
          <w:rFonts w:ascii="Amiri" w:hAnsi="Amiri" w:eastAsia="Amiri" w:cs="Amiri"/>
          <w:color w:val="111111"/>
          <w:sz w:val="28"/>
          <w:sz w:val="28"/>
          <w:szCs w:val="28"/>
          <w:rtl w:val="true"/>
          <w:lang w:bidi="ar-SA"/>
        </w:rPr>
        <w:t xml:space="preserve">فإنّه قد </w:t>
      </w:r>
      <w:r>
        <w:rPr>
          <w:rStyle w:val="FootnoteAnchor"/>
          <w:rtl w:val="true"/>
        </w:rPr>
        <w:footnoteReference w:id="3045"/>
      </w:r>
      <w:r>
        <w:rPr>
          <w:rFonts w:ascii="IRNazanin" w:hAnsi="IRNazanin" w:eastAsia="IRNazanin"/>
          <w:color w:val="111111"/>
          <w:sz w:val="28"/>
          <w:sz w:val="28"/>
          <w:szCs w:val="28"/>
          <w:rtl w:val="true"/>
          <w:lang w:bidi="fa-IR"/>
        </w:rPr>
        <w:t>لا یعدّ ذلک سفاهة،لکن ظاهر الآیة وجوبه</w:t>
      </w:r>
      <w:r>
        <w:rPr>
          <w:rFonts w:eastAsia="IRNazanin" w:cs="IRNazanin"/>
          <w:color w:val="111111"/>
          <w:sz w:val="28"/>
          <w:szCs w:val="28"/>
          <w:rtl w:val="true"/>
          <w:lang w:bidi="fa-IR"/>
        </w:rPr>
        <w:t>.</w:t>
      </w:r>
      <w:bookmarkStart w:id="927" w:name="pg19763_248327"/>
    </w:p>
    <w:p>
      <w:pPr>
        <w:pStyle w:val="Heading6"/>
        <w:numPr>
          <w:ilvl w:val="5"/>
          <w:numId w:val="1"/>
        </w:numPr>
        <w:rPr/>
      </w:pPr>
      <w:bookmarkStart w:id="928" w:name="__RefHeading___Toc5083130_2314609296"/>
      <w:bookmarkStart w:id="929" w:name="_Toc356"/>
      <w:bookmarkEnd w:id="927"/>
      <w:bookmarkEnd w:id="928"/>
      <w:r>
        <w:rPr>
          <w:rtl w:val="true"/>
        </w:rPr>
        <w:t>مسألة یشترط فی من ینتقل إلیه العبد المسلم</w:t>
      </w:r>
      <w:r>
        <w:rPr>
          <w:rtl w:val="true"/>
        </w:rPr>
        <w:t>-</w:t>
      </w:r>
      <w:r>
        <w:rPr>
          <w:rtl w:val="true"/>
        </w:rPr>
        <w:t>ثمناً أو مثمناً</w:t>
      </w:r>
      <w:r>
        <w:rPr>
          <w:rtl w:val="true"/>
        </w:rPr>
        <w:t>-</w:t>
      </w:r>
      <w:r>
        <w:rPr>
          <w:rtl w:val="true"/>
        </w:rPr>
        <w:t>أن یکون مسلماً،</w:t>
      </w:r>
      <w:bookmarkEnd w:id="929"/>
    </w:p>
    <w:p>
      <w:pPr>
        <w:pStyle w:val="BookText"/>
        <w:rPr/>
      </w:pPr>
      <w:r>
        <w:rPr>
          <w:rFonts w:ascii="IRNazanin" w:hAnsi="IRNazanin" w:eastAsia="IRNazanin"/>
          <w:color w:val="111111"/>
          <w:sz w:val="28"/>
          <w:sz w:val="28"/>
          <w:szCs w:val="28"/>
          <w:rtl w:val="true"/>
          <w:lang w:bidi="fa-IR"/>
        </w:rPr>
        <w:t xml:space="preserve">فلا یصحّ نقله إلی الکافر عند أکثر علمائنا،کما فی التذکرة </w:t>
      </w:r>
      <w:r>
        <w:rPr>
          <w:rStyle w:val="FootnoteAnchor"/>
          <w:rtl w:val="true"/>
        </w:rPr>
        <w:footnoteReference w:id="3046"/>
      </w:r>
      <w:r>
        <w:rPr>
          <w:rFonts w:ascii="IRNazanin" w:hAnsi="IRNazanin" w:eastAsia="IRNazanin"/>
          <w:color w:val="111111"/>
          <w:sz w:val="28"/>
          <w:sz w:val="28"/>
          <w:szCs w:val="28"/>
          <w:rtl w:val="true"/>
          <w:lang w:bidi="fa-IR"/>
        </w:rPr>
        <w:t>،بل</w:t>
      </w:r>
    </w:p>
    <w:p>
      <w:pPr>
        <w:pStyle w:val="Heading6"/>
        <w:numPr>
          <w:ilvl w:val="5"/>
          <w:numId w:val="1"/>
        </w:numPr>
        <w:rPr/>
      </w:pPr>
      <w:bookmarkStart w:id="930" w:name="__RefHeading___Toc5083132_2314609296"/>
      <w:bookmarkStart w:id="931" w:name="_Toc357"/>
      <w:bookmarkEnd w:id="930"/>
      <w:r>
        <w:rPr>
          <w:rtl w:val="true"/>
        </w:rPr>
        <w:t>[</w:t>
      </w:r>
      <w:r>
        <w:rPr>
          <w:rtl w:val="true"/>
        </w:rPr>
        <w:t>المشهور عدم صحة نقل العبد المسلم إلی الکافر</w:t>
      </w:r>
      <w:r>
        <w:rPr>
          <w:rtl w:val="true"/>
        </w:rPr>
        <w:t>]</w:t>
      </w:r>
      <w:bookmarkEnd w:id="931"/>
    </w:p>
    <w:p>
      <w:pPr>
        <w:pStyle w:val="BookText"/>
        <w:rPr/>
      </w:pPr>
      <w:r>
        <w:rPr>
          <w:rFonts w:ascii="IRNazanin" w:hAnsi="IRNazanin" w:eastAsia="IRNazanin"/>
          <w:color w:val="111111"/>
          <w:sz w:val="28"/>
          <w:sz w:val="28"/>
          <w:szCs w:val="28"/>
          <w:rtl w:val="true"/>
          <w:lang w:bidi="fa-IR"/>
        </w:rPr>
        <w:t>عن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الإجماع </w:t>
      </w:r>
      <w:r>
        <w:rPr>
          <w:rStyle w:val="FootnoteAnchor"/>
          <w:rtl w:val="true"/>
        </w:rPr>
        <w:footnoteReference w:id="3047"/>
      </w:r>
      <w:r>
        <w:rPr>
          <w:rFonts w:ascii="IRNazanin" w:hAnsi="IRNazanin" w:eastAsia="IRNazanin"/>
          <w:color w:val="111111"/>
          <w:sz w:val="28"/>
          <w:sz w:val="28"/>
          <w:szCs w:val="28"/>
          <w:rtl w:val="true"/>
          <w:lang w:bidi="fa-IR"/>
        </w:rPr>
        <w:t xml:space="preserve">،خلافاً للمحکی فی التذکرة عن بعض علمائنا </w:t>
      </w:r>
      <w:r>
        <w:rPr>
          <w:rStyle w:val="FootnoteAnchor"/>
          <w:rtl w:val="true"/>
        </w:rPr>
        <w:footnoteReference w:id="3048"/>
      </w:r>
      <w:r>
        <w:rPr>
          <w:rFonts w:ascii="IRNazanin" w:hAnsi="IRNazanin" w:eastAsia="IRNazanin"/>
          <w:color w:val="111111"/>
          <w:sz w:val="28"/>
          <w:sz w:val="28"/>
          <w:szCs w:val="28"/>
          <w:rtl w:val="true"/>
          <w:lang w:bidi="fa-IR"/>
        </w:rPr>
        <w:t xml:space="preserve">،و سیأتی عبارة الإسکافی فی المصحف </w:t>
      </w:r>
      <w:r>
        <w:rPr>
          <w:rStyle w:val="FootnoteAnchor"/>
          <w:rtl w:val="true"/>
        </w:rPr>
        <w:footnoteReference w:id="3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w:t>
      </w:r>
      <w:r>
        <w:rPr>
          <w:rStyle w:val="FootnoteAnchor"/>
          <w:rtl w:val="true"/>
        </w:rPr>
        <w:footnoteReference w:id="3050"/>
      </w:r>
      <w:r>
        <w:rPr>
          <w:rFonts w:ascii="IRNazanin" w:hAnsi="IRNazanin" w:eastAsia="IRNazanin"/>
          <w:color w:val="111111"/>
          <w:sz w:val="28"/>
          <w:sz w:val="28"/>
          <w:szCs w:val="28"/>
          <w:rtl w:val="true"/>
          <w:lang w:bidi="fa-IR"/>
        </w:rPr>
        <w:t>للمشهور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الکافر یمنع من استدامته؛لأنّه لو ملکه قهراً بإرث أو أسلم فی ملکه بیع علیه،فیمنع من ابتدائه کالنکاح</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الاسترقاق سبیل علی المؤمن،فینتفی بقوله </w:t>
      </w:r>
      <w:r>
        <w:rPr>
          <w:rStyle w:val="FootnoteAnchor"/>
          <w:rtl w:val="true"/>
        </w:rPr>
        <w:footnoteReference w:id="3051"/>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یَجْعَلَ اللّٰهُ لِلْکٰافِرِینَ عَلَی الْمُؤْمِنِینَ سَبِیلاً</w:t>
      </w:r>
    </w:p>
    <w:p>
      <w:pPr>
        <w:pStyle w:val="BookText"/>
        <w:rPr/>
      </w:pPr>
      <w:r>
        <w:rPr>
          <w:rStyle w:val="FootnoteAnchor"/>
          <w:rtl w:val="true"/>
        </w:rPr>
        <w:footnoteReference w:id="3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بالنبویّ المرسل فی کتب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المنجبر بعملهم و استدلالهم به </w:t>
      </w:r>
      <w:r>
        <w:rPr>
          <w:rStyle w:val="FootnoteAnchor"/>
          <w:rtl w:val="true"/>
        </w:rPr>
        <w:footnoteReference w:id="3053"/>
      </w:r>
      <w:r>
        <w:rPr>
          <w:rFonts w:ascii="IRNazanin" w:hAnsi="IRNazanin" w:eastAsia="IRNazanin"/>
          <w:color w:val="111111"/>
          <w:sz w:val="28"/>
          <w:sz w:val="28"/>
          <w:szCs w:val="28"/>
          <w:rtl w:val="true"/>
          <w:lang w:bidi="fa-IR"/>
        </w:rPr>
        <w:t xml:space="preserve">فی موارد متعدّدة </w:t>
      </w:r>
      <w:r>
        <w:rPr>
          <w:rStyle w:val="FootnoteAnchor"/>
          <w:rtl w:val="true"/>
        </w:rPr>
        <w:footnoteReference w:id="3054"/>
      </w:r>
      <w:r>
        <w:rPr>
          <w:rFonts w:ascii="IRNazanin" w:hAnsi="IRNazanin" w:eastAsia="IRNazanin"/>
          <w:color w:val="111111"/>
          <w:sz w:val="28"/>
          <w:sz w:val="28"/>
          <w:szCs w:val="28"/>
          <w:rtl w:val="true"/>
          <w:lang w:bidi="fa-IR"/>
        </w:rPr>
        <w:t xml:space="preserve">، حتّی فی عدم جواز علوّ بناء الکافر علی بناء المسلم،بل عدم جواز مساواته </w:t>
      </w:r>
      <w:r>
        <w:rPr>
          <w:rStyle w:val="FootnoteAnchor"/>
          <w:rtl w:val="true"/>
        </w:rPr>
        <w:footnoteReference w:id="3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Style w:val="FootnoteAnchor"/>
          <w:rtl w:val="true"/>
        </w:rPr>
        <w:footnoteReference w:id="3056"/>
      </w:r>
      <w:r>
        <w:rPr>
          <w:rFonts w:ascii="IRNazanin" w:hAnsi="IRNazanin" w:eastAsia="IRNazanin"/>
          <w:color w:val="111111"/>
          <w:sz w:val="28"/>
          <w:sz w:val="28"/>
          <w:szCs w:val="28"/>
          <w:rtl w:val="true"/>
          <w:lang w:bidi="fa-IR"/>
        </w:rPr>
        <w:t>، 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نحن فیه أولی بالاستدلال علیه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أغمض النظر عن دعوی الإجماع </w:t>
      </w:r>
      <w:r>
        <w:rPr>
          <w:rStyle w:val="FootnoteAnchor"/>
          <w:rtl w:val="true"/>
        </w:rPr>
        <w:footnoteReference w:id="3057"/>
      </w:r>
      <w:r>
        <w:rPr>
          <w:rFonts w:ascii="IRNazanin" w:hAnsi="IRNazanin" w:eastAsia="IRNazanin"/>
          <w:color w:val="111111"/>
          <w:sz w:val="28"/>
          <w:sz w:val="28"/>
          <w:szCs w:val="28"/>
          <w:rtl w:val="true"/>
          <w:lang w:bidi="fa-IR"/>
        </w:rPr>
        <w:t xml:space="preserve">المعتضد </w:t>
      </w:r>
      <w:r>
        <w:rPr>
          <w:rStyle w:val="FootnoteAnchor"/>
          <w:rtl w:val="true"/>
        </w:rPr>
        <w:footnoteReference w:id="3058"/>
      </w:r>
      <w:r>
        <w:rPr>
          <w:rFonts w:ascii="Amiri" w:hAnsi="Amiri" w:eastAsia="Amiri" w:cs="Amiri"/>
          <w:color w:val="111111"/>
          <w:sz w:val="28"/>
          <w:sz w:val="28"/>
          <w:szCs w:val="28"/>
          <w:rtl w:val="true"/>
          <w:lang w:bidi="ar-SA"/>
        </w:rPr>
        <w:t xml:space="preserve">بالشهرة و </w:t>
      </w:r>
      <w:r>
        <w:rPr>
          <w:rStyle w:val="FootnoteAnchor"/>
          <w:rtl w:val="true"/>
        </w:rPr>
        <w:footnoteReference w:id="3059"/>
      </w:r>
      <w:r>
        <w:rPr>
          <w:rFonts w:ascii="IRNazanin" w:hAnsi="IRNazanin" w:eastAsia="IRNazanin"/>
          <w:color w:val="111111"/>
          <w:sz w:val="28"/>
          <w:sz w:val="28"/>
          <w:szCs w:val="28"/>
          <w:rtl w:val="true"/>
          <w:lang w:bidi="fa-IR"/>
        </w:rPr>
        <w:t>اشتهار التمسّک بالآیة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أُسند فی کنز العرفان إلی الفقهاء </w:t>
      </w:r>
      <w:r>
        <w:rPr>
          <w:rStyle w:val="FootnoteAnchor"/>
          <w:rtl w:val="true"/>
        </w:rPr>
        <w:footnoteReference w:id="3060"/>
      </w:r>
      <w:r>
        <w:rPr>
          <w:rFonts w:ascii="IRNazanin" w:hAnsi="IRNazanin" w:eastAsia="IRNazanin"/>
          <w:color w:val="111111"/>
          <w:sz w:val="28"/>
          <w:sz w:val="28"/>
          <w:szCs w:val="28"/>
          <w:rtl w:val="true"/>
          <w:lang w:bidi="fa-IR"/>
        </w:rPr>
        <w:t xml:space="preserve">،و فی غیره إلی أصحابنا </w:t>
      </w:r>
      <w:r>
        <w:rPr>
          <w:rStyle w:val="FootnoteAnchor"/>
          <w:rtl w:val="true"/>
        </w:rPr>
        <w:footnoteReference w:id="3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ما ذکروه من الأدلّة خالیاً عن الإشکال فی الدلالة</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حکایة قیاس الابتداء علی الاستدامة </w:t>
      </w:r>
      <w:r>
        <w:rPr>
          <w:rStyle w:val="FootnoteAnchor"/>
          <w:rtl w:val="true"/>
        </w:rPr>
        <w:footnoteReference w:id="3062"/>
      </w:r>
      <w:r>
        <w:rPr>
          <w:rFonts w:ascii="IRNazanin" w:hAnsi="IRNazanin" w:eastAsia="IRNazanin"/>
          <w:color w:val="111111"/>
          <w:sz w:val="28"/>
          <w:sz w:val="28"/>
          <w:szCs w:val="28"/>
          <w:rtl w:val="true"/>
          <w:lang w:bidi="fa-IR"/>
        </w:rPr>
        <w:t>،فغایة 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المستفاد من منع الشارع عن استدامته عدم رضاه بأصل وجوده حدوثاً و بقاءً،من غیر مدخلیّة لخصوص البقاء،کما لو أمر المولی بإخراج أحد من الدار أو بإزالة النجاسة عن المسجد؛فإنّه یفهم من ذلک عدم جواز الإدخال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إنّما یقتضی کون عدم </w:t>
      </w:r>
      <w:r>
        <w:rPr>
          <w:rStyle w:val="FootnoteAnchor"/>
          <w:rtl w:val="true"/>
        </w:rPr>
        <w:footnoteReference w:id="3063"/>
      </w:r>
      <w:r>
        <w:rPr>
          <w:rFonts w:ascii="IRNazanin" w:hAnsi="IRNazanin" w:eastAsia="IRNazanin"/>
          <w:color w:val="111111"/>
          <w:sz w:val="28"/>
          <w:sz w:val="28"/>
          <w:szCs w:val="28"/>
          <w:rtl w:val="true"/>
          <w:lang w:bidi="fa-IR"/>
        </w:rPr>
        <w:t>الرضا بالحدوث علی نهج عدم الرضا بالبقاء،و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رضاه بالبقاء مجرّد تکلیفٍ بعدم إبقائه و بإخراجه عن ملکه،و لیس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إمضاء الشارع بقاءه،حتّی یکون العبد المسلم خارجاً بنفسه شرعاً عن ملک الکافر،فیکون عدم رضاه بالإدخال علی هذا الوجه،فلا یدلّ علی عدم إمضائه لدخوله فی ملکه لیثبت بذلک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النهی عن الإدخال فی الملک،تابعة لدلالة النهی عن الإبقاء،فی الدلالة علی إمضاء الشارع لآثار المنهیّ عنه و عدمه،و المفروض انتفاء الدلالة فی المتبوع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یندفع التمسّک للمطلب بالنصّ الوارد فی عبدٍ کافر أسلم،فقال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فبیعوه من المسلمین و ادفعوا ثمنه إلی صاحبه و لا تقرّوه عنده</w:t>
      </w:r>
      <w:r>
        <w:rPr>
          <w:rFonts w:eastAsia="IRNazanin" w:cs="IRNazanin"/>
          <w:color w:val="111111"/>
          <w:sz w:val="28"/>
          <w:szCs w:val="28"/>
          <w:rtl w:val="true"/>
          <w:lang w:bidi="fa-IR"/>
        </w:rPr>
        <w:t xml:space="preserve">» </w:t>
      </w:r>
      <w:r>
        <w:rPr>
          <w:rStyle w:val="FootnoteAnchor"/>
          <w:rtl w:val="true"/>
        </w:rPr>
        <w:footnoteReference w:id="3064"/>
      </w:r>
      <w:r>
        <w:rPr>
          <w:rFonts w:ascii="IRNazanin" w:hAnsi="IRNazanin" w:eastAsia="IRNazanin"/>
          <w:color w:val="111111"/>
          <w:sz w:val="28"/>
          <w:sz w:val="28"/>
          <w:szCs w:val="28"/>
          <w:rtl w:val="true"/>
          <w:lang w:bidi="fa-IR"/>
        </w:rPr>
        <w:t>بناء علی أنّ تخصیص البیع بالمسلمین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البیان و الاحتراز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المنع من بیعه من الکافر،فیفسد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التخصیص بالمسلمین إنّما هو من جهة أنّ</w:t>
      </w:r>
    </w:p>
    <w:p>
      <w:pPr>
        <w:pStyle w:val="BookText"/>
        <w:rPr/>
      </w:pPr>
      <w:r>
        <w:rPr>
          <w:rFonts w:ascii="IRNazanin" w:hAnsi="IRNazanin" w:eastAsia="IRNazanin"/>
          <w:color w:val="111111"/>
          <w:sz w:val="28"/>
          <w:sz w:val="28"/>
          <w:szCs w:val="28"/>
          <w:rtl w:val="true"/>
          <w:lang w:bidi="fa-IR"/>
        </w:rPr>
        <w:t xml:space="preserve">الداعی علی الأمر بالبیع هی إزالة ملک الکافر و النهی عن إبقائه عنده </w:t>
      </w:r>
      <w:r>
        <w:rPr>
          <w:rStyle w:val="FootnoteAnchor"/>
          <w:rtl w:val="true"/>
        </w:rPr>
        <w:footnoteReference w:id="3065"/>
      </w:r>
      <w:r>
        <w:rPr>
          <w:rFonts w:ascii="IRNazanin" w:hAnsi="IRNazanin" w:eastAsia="IRNazanin"/>
          <w:color w:val="111111"/>
          <w:sz w:val="28"/>
          <w:sz w:val="28"/>
          <w:szCs w:val="28"/>
          <w:rtl w:val="true"/>
          <w:lang w:bidi="fa-IR"/>
        </w:rPr>
        <w:t>، و هی لا تحصل بنقله إلی کافر آخر،فلیس تخصیص المأمور به لاختصاص مورد الصحّة به،بل لأنّ الغرض من الأمر لا یحصل إلّا به،فافهم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فباب الخدشة فیها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دلالتها فی نفسها و لو بقرینة سیاقها الآبی عن التخصیص،فلا بدّ من حملها </w:t>
      </w:r>
      <w:r>
        <w:rPr>
          <w:rStyle w:val="FootnoteAnchor"/>
          <w:rtl w:val="true"/>
        </w:rPr>
        <w:footnoteReference w:id="3066"/>
      </w:r>
      <w:r>
        <w:rPr>
          <w:rFonts w:ascii="IRNazanin" w:hAnsi="IRNazanin" w:eastAsia="IRNazanin"/>
          <w:color w:val="111111"/>
          <w:sz w:val="28"/>
          <w:sz w:val="28"/>
          <w:szCs w:val="28"/>
          <w:rtl w:val="true"/>
          <w:lang w:bidi="fa-IR"/>
        </w:rPr>
        <w:t xml:space="preserve">علی معنی لا یتحقّق فیه تخصیص،أو بقرینة ما قبلها </w:t>
      </w:r>
      <w:r>
        <w:rPr>
          <w:rStyle w:val="FootnoteAnchor"/>
          <w:rtl w:val="true"/>
        </w:rPr>
        <w:footnoteReference w:id="3067"/>
      </w:r>
      <w:r>
        <w:rPr>
          <w:rFonts w:ascii="Amiri" w:hAnsi="Amiri" w:eastAsia="Amiri" w:cs="Amiri"/>
          <w:color w:val="111111"/>
          <w:sz w:val="28"/>
          <w:sz w:val="28"/>
          <w:szCs w:val="28"/>
          <w:rtl w:val="true"/>
          <w:lang w:bidi="ar-SA"/>
        </w:rPr>
        <w:t xml:space="preserve">الدالّة علی إرادة أنّ </w:t>
      </w:r>
      <w:r>
        <w:rPr>
          <w:rStyle w:val="FootnoteAnchor"/>
          <w:rtl w:val="true"/>
        </w:rPr>
        <w:footnoteReference w:id="3068"/>
      </w:r>
      <w:r>
        <w:rPr>
          <w:rFonts w:ascii="IRNazanin" w:hAnsi="IRNazanin" w:eastAsia="IRNazanin"/>
          <w:color w:val="111111"/>
          <w:sz w:val="28"/>
          <w:sz w:val="28"/>
          <w:szCs w:val="28"/>
          <w:rtl w:val="true"/>
          <w:lang w:bidi="fa-IR"/>
        </w:rPr>
        <w:t>نفی الجعل فی الآخرة</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تفسیرها فی بعض الأخبار بنفی الحجّة للکفّار علی المؤمنین،و هو ما روی فی العیون،عن أبی الحسن علیه السلام،ردّاً علی من زعم أنّ المراد بها نفی تقدیر اللّٰه سبحانه بمقتضی الأسباب العادیّة </w:t>
      </w:r>
      <w:r>
        <w:rPr>
          <w:rStyle w:val="FootnoteAnchor"/>
          <w:rtl w:val="true"/>
        </w:rPr>
        <w:footnoteReference w:id="3069"/>
      </w:r>
      <w:r>
        <w:rPr>
          <w:rFonts w:ascii="IRNazanin" w:hAnsi="IRNazanin" w:eastAsia="IRNazanin"/>
          <w:color w:val="111111"/>
          <w:sz w:val="28"/>
          <w:sz w:val="28"/>
          <w:szCs w:val="28"/>
          <w:rtl w:val="true"/>
          <w:lang w:bidi="fa-IR"/>
        </w:rPr>
        <w:t>تسلّط الکفّار علی المؤمنین،حتّی أنکروا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المعنی الفاسد الذی لا یتوهّمه ذو مسکة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الحسین بن علی علیهما السلام </w:t>
      </w:r>
      <w:r>
        <w:rPr>
          <w:rStyle w:val="FootnoteAnchor"/>
          <w:rtl w:val="true"/>
        </w:rPr>
        <w:footnoteReference w:id="3070"/>
      </w:r>
      <w:r>
        <w:rPr>
          <w:rFonts w:ascii="IRNazanin" w:hAnsi="IRNazanin" w:eastAsia="IRNazanin"/>
          <w:color w:val="111111"/>
          <w:sz w:val="28"/>
          <w:sz w:val="28"/>
          <w:szCs w:val="28"/>
          <w:rtl w:val="true"/>
          <w:lang w:bidi="fa-IR"/>
        </w:rPr>
        <w:t>لم یقتل،بل</w:t>
      </w:r>
    </w:p>
    <w:p>
      <w:pPr>
        <w:pStyle w:val="BookText"/>
        <w:rPr/>
      </w:pPr>
      <w:r>
        <w:rPr>
          <w:rFonts w:ascii="IRNazanin" w:hAnsi="IRNazanin" w:eastAsia="IRNazanin"/>
          <w:color w:val="111111"/>
          <w:sz w:val="28"/>
          <w:sz w:val="28"/>
          <w:szCs w:val="28"/>
          <w:rtl w:val="true"/>
          <w:lang w:bidi="fa-IR"/>
        </w:rPr>
        <w:t>شبّه لهم و رُفع کعیسی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تعمیم الحجّة علی معنی یشمل الملکیة،و </w:t>
      </w:r>
      <w:r>
        <w:rPr>
          <w:rStyle w:val="FootnoteAnchor"/>
          <w:rtl w:val="true"/>
        </w:rPr>
        <w:footnoteReference w:id="3071"/>
      </w:r>
      <w:r>
        <w:rPr>
          <w:rFonts w:ascii="IRNazanin" w:hAnsi="IRNazanin" w:eastAsia="IRNazanin"/>
          <w:color w:val="111111"/>
          <w:sz w:val="28"/>
          <w:sz w:val="28"/>
          <w:szCs w:val="28"/>
          <w:rtl w:val="true"/>
          <w:lang w:bidi="fa-IR"/>
        </w:rPr>
        <w:t xml:space="preserve">تعمیم السبیل </w:t>
      </w:r>
      <w:r>
        <w:rPr>
          <w:rStyle w:val="FootnoteAnchor"/>
          <w:rtl w:val="true"/>
        </w:rPr>
        <w:footnoteReference w:id="3072"/>
      </w:r>
      <w:r>
        <w:rPr>
          <w:rFonts w:ascii="IRNazanin" w:hAnsi="IRNazanin" w:eastAsia="IRNazanin"/>
          <w:color w:val="111111"/>
          <w:sz w:val="28"/>
          <w:sz w:val="28"/>
          <w:szCs w:val="28"/>
          <w:rtl w:val="true"/>
          <w:lang w:bidi="fa-IR"/>
        </w:rPr>
        <w:t>علی وجه یشمل الاحتجاج و الاستیلاء لا یخلو عن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تعارض عموم الآیة مع عموم ما دلّ علی صحّة البیع </w:t>
      </w:r>
      <w:r>
        <w:rPr>
          <w:rStyle w:val="FootnoteAnchor"/>
          <w:rtl w:val="true"/>
        </w:rPr>
        <w:footnoteReference w:id="3073"/>
      </w:r>
      <w:r>
        <w:rPr>
          <w:rFonts w:ascii="IRNazanin" w:hAnsi="IRNazanin" w:eastAsia="IRNazanin"/>
          <w:color w:val="111111"/>
          <w:sz w:val="28"/>
          <w:sz w:val="28"/>
          <w:szCs w:val="28"/>
          <w:rtl w:val="true"/>
          <w:lang w:bidi="fa-IR"/>
        </w:rPr>
        <w:t xml:space="preserve">،و وجوب الوفاء بالعقود </w:t>
      </w:r>
      <w:r>
        <w:rPr>
          <w:rStyle w:val="FootnoteAnchor"/>
          <w:rtl w:val="true"/>
        </w:rPr>
        <w:footnoteReference w:id="3074"/>
      </w:r>
      <w:r>
        <w:rPr>
          <w:rFonts w:ascii="IRNazanin" w:hAnsi="IRNazanin" w:eastAsia="IRNazanin"/>
          <w:color w:val="111111"/>
          <w:sz w:val="28"/>
          <w:sz w:val="28"/>
          <w:szCs w:val="28"/>
          <w:rtl w:val="true"/>
          <w:lang w:bidi="fa-IR"/>
        </w:rPr>
        <w:t xml:space="preserve">،و حِلّ أکل المال بالتجارة </w:t>
      </w:r>
      <w:r>
        <w:rPr>
          <w:rStyle w:val="FootnoteAnchor"/>
          <w:rtl w:val="true"/>
        </w:rPr>
        <w:footnoteReference w:id="3075"/>
      </w:r>
      <w:r>
        <w:rPr>
          <w:rFonts w:ascii="IRNazanin" w:hAnsi="IRNazanin" w:eastAsia="IRNazanin"/>
          <w:color w:val="111111"/>
          <w:sz w:val="28"/>
          <w:sz w:val="28"/>
          <w:szCs w:val="28"/>
          <w:rtl w:val="true"/>
          <w:lang w:bidi="fa-IR"/>
        </w:rPr>
        <w:t xml:space="preserve">، و تسلّط الناس علی أموالهم </w:t>
      </w:r>
      <w:r>
        <w:rPr>
          <w:rStyle w:val="FootnoteAnchor"/>
          <w:rtl w:val="true"/>
        </w:rPr>
        <w:footnoteReference w:id="3076"/>
      </w:r>
      <w:r>
        <w:rPr>
          <w:rFonts w:ascii="IRNazanin" w:hAnsi="IRNazanin" w:eastAsia="IRNazanin"/>
          <w:color w:val="111111"/>
          <w:sz w:val="28"/>
          <w:sz w:val="28"/>
          <w:szCs w:val="28"/>
          <w:rtl w:val="true"/>
          <w:lang w:bidi="fa-IR"/>
        </w:rPr>
        <w:t>،و حکومة الآیة علیها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إباء سیاق الآیة عن التخصیص مع وجوب الالتزام به فی طرف الاستدامة،و فی کثیر من الفروع فی الابتداء </w:t>
      </w:r>
      <w:r>
        <w:rPr>
          <w:rStyle w:val="FootnoteAnchor"/>
          <w:rtl w:val="true"/>
        </w:rPr>
        <w:footnoteReference w:id="3077"/>
      </w:r>
      <w:r>
        <w:rPr>
          <w:rFonts w:ascii="IRNazanin" w:hAnsi="IRNazanin" w:eastAsia="IRNazanin"/>
          <w:color w:val="111111"/>
          <w:sz w:val="28"/>
          <w:sz w:val="28"/>
          <w:szCs w:val="28"/>
          <w:rtl w:val="true"/>
          <w:lang w:bidi="fa-IR"/>
        </w:rPr>
        <w:t>،یقرّب تفسیر السبیل بما لا یشمل الملکیة،بأن یراد من السبیل السلطنة،فیحکم بتحقّق الملک و عدم تحقّق السلطنة،بل یکون محجوراً علیه مجبوراً علی بیعه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و إن اقتضی </w:t>
      </w:r>
      <w:r>
        <w:rPr>
          <w:rStyle w:val="FootnoteAnchor"/>
          <w:rtl w:val="true"/>
        </w:rPr>
        <w:footnoteReference w:id="3078"/>
      </w:r>
      <w:r>
        <w:rPr>
          <w:rFonts w:ascii="IRNazanin" w:hAnsi="IRNazanin" w:eastAsia="IRNazanin"/>
          <w:color w:val="111111"/>
          <w:sz w:val="28"/>
          <w:sz w:val="28"/>
          <w:szCs w:val="28"/>
          <w:rtl w:val="true"/>
          <w:lang w:bidi="fa-IR"/>
        </w:rPr>
        <w:t>التقیید فی إطلاق ما دلّ علی استقلال الناس</w:t>
      </w:r>
      <w:bookmarkStart w:id="932" w:name="pg19763_248332"/>
    </w:p>
    <w:p>
      <w:pPr>
        <w:pStyle w:val="BookText"/>
        <w:rPr/>
      </w:pPr>
      <w:bookmarkEnd w:id="932"/>
      <w:r>
        <w:rPr>
          <w:rFonts w:ascii="IRNazanin" w:hAnsi="IRNazanin" w:eastAsia="IRNazanin"/>
          <w:color w:val="111111"/>
          <w:sz w:val="28"/>
          <w:sz w:val="28"/>
          <w:szCs w:val="28"/>
          <w:rtl w:val="true"/>
          <w:lang w:bidi="fa-IR"/>
        </w:rPr>
        <w:t>فی أموالهم و عدم حجرهم بها،لکنّه مع ملاحظة وقوع مثله کثیراً فی موارد الحجر علی المالک أهون من ارتکاب التخصیص فی الآیة المسوقة لبیان أنّ الجعل شیءٌ لم یکن و لن یکون،و أنّ نفی الجعل ناشٍ عن احترام المؤمن الذی لا یقیّد بحال دون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 استصحاب الصحّة فی بعض المقامات یقتضی الصحّة،کما إذا کان الکافر مسبوقاً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شمول الحکم لمن کفر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العبد مسبوقاً بالکفر،فیثبت فی غیره بعدم الفصل،و لا یعارضه أصالة الفساد فی غیر هذه الموارد؛لأنّ استصحاب الصحّة مقدّم علیها،فتأمّل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أنّه لا فرق بین البیع و أنواع التملیکات کالهبة و الوصیّة</w:t>
      </w:r>
      <w:r>
        <w:rPr>
          <w:rFonts w:eastAsia="IRNazanin" w:cs="IRNazanin"/>
          <w:color w:val="111111"/>
          <w:sz w:val="28"/>
          <w:szCs w:val="28"/>
          <w:rtl w:val="true"/>
          <w:lang w:bidi="fa-IR"/>
        </w:rPr>
        <w:t>.</w:t>
      </w:r>
    </w:p>
    <w:p>
      <w:pPr>
        <w:pStyle w:val="Heading6"/>
        <w:numPr>
          <w:ilvl w:val="5"/>
          <w:numId w:val="1"/>
        </w:numPr>
        <w:rPr/>
      </w:pPr>
      <w:bookmarkStart w:id="933" w:name="__RefHeading___Toc5083134_2314609296"/>
      <w:bookmarkStart w:id="934" w:name="_Toc358"/>
      <w:bookmarkEnd w:id="933"/>
      <w:r>
        <w:rPr>
          <w:rtl w:val="true"/>
        </w:rPr>
        <w:t>[</w:t>
      </w:r>
      <w:r>
        <w:rPr>
          <w:rtl w:val="true"/>
        </w:rPr>
        <w:t>تملیک منافع المسلم من الکافر</w:t>
      </w:r>
      <w:r>
        <w:rPr>
          <w:rtl w:val="true"/>
        </w:rPr>
        <w:t>]</w:t>
      </w:r>
      <w:bookmarkEnd w:id="934"/>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تملیک المنافع،ففی الجواز مطلقاً کما یظهر من التذکرة </w:t>
      </w:r>
      <w:r>
        <w:rPr>
          <w:rStyle w:val="FootnoteAnchor"/>
          <w:rtl w:val="true"/>
        </w:rPr>
        <w:footnoteReference w:id="3079"/>
      </w:r>
      <w:r>
        <w:rPr>
          <w:rFonts w:ascii="IRNazanin" w:hAnsi="IRNazanin" w:eastAsia="IRNazanin"/>
          <w:color w:val="111111"/>
          <w:sz w:val="28"/>
          <w:sz w:val="28"/>
          <w:szCs w:val="28"/>
          <w:rtl w:val="true"/>
          <w:lang w:bidi="fa-IR"/>
        </w:rPr>
        <w:t xml:space="preserve">، و مقرّب النهایة </w:t>
      </w:r>
      <w:r>
        <w:rPr>
          <w:rStyle w:val="FootnoteAnchor"/>
          <w:rtl w:val="true"/>
        </w:rPr>
        <w:footnoteReference w:id="3080"/>
      </w:r>
      <w:r>
        <w:rPr>
          <w:rFonts w:ascii="IRNazanin" w:hAnsi="IRNazanin" w:eastAsia="IRNazanin"/>
          <w:color w:val="111111"/>
          <w:sz w:val="28"/>
          <w:sz w:val="28"/>
          <w:szCs w:val="28"/>
          <w:rtl w:val="true"/>
          <w:lang w:bidi="fa-IR"/>
        </w:rPr>
        <w:t xml:space="preserve">،بل ظاهر المحکی عن الخلاف </w:t>
      </w:r>
      <w:r>
        <w:rPr>
          <w:rStyle w:val="FootnoteAnchor"/>
          <w:rtl w:val="true"/>
        </w:rPr>
        <w:footnoteReference w:id="3081"/>
      </w:r>
      <w:r>
        <w:rPr>
          <w:rFonts w:ascii="IRNazanin" w:hAnsi="IRNazanin" w:eastAsia="IRNazanin"/>
          <w:color w:val="111111"/>
          <w:sz w:val="28"/>
          <w:sz w:val="28"/>
          <w:szCs w:val="28"/>
          <w:rtl w:val="true"/>
          <w:lang w:bidi="fa-IR"/>
        </w:rPr>
        <w:t xml:space="preserve">،أو مع وقوع الإجارة علی الذمّة کما عن الحواشی </w:t>
      </w:r>
      <w:r>
        <w:rPr>
          <w:rStyle w:val="FootnoteAnchor"/>
          <w:rtl w:val="true"/>
        </w:rPr>
        <w:footnoteReference w:id="3082"/>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3083"/>
      </w:r>
      <w:r>
        <w:rPr>
          <w:rFonts w:ascii="IRNazanin" w:hAnsi="IRNazanin" w:eastAsia="IRNazanin"/>
          <w:color w:val="111111"/>
          <w:sz w:val="28"/>
          <w:sz w:val="28"/>
          <w:szCs w:val="28"/>
          <w:rtl w:val="true"/>
          <w:lang w:bidi="fa-IR"/>
        </w:rPr>
        <w:t xml:space="preserve">و المسالک </w:t>
      </w:r>
      <w:r>
        <w:rPr>
          <w:rStyle w:val="FootnoteAnchor"/>
          <w:rtl w:val="true"/>
        </w:rPr>
        <w:footnoteReference w:id="3084"/>
      </w:r>
      <w:r>
        <w:rPr>
          <w:rFonts w:ascii="IRNazanin" w:hAnsi="IRNazanin" w:eastAsia="IRNazanin"/>
          <w:color w:val="111111"/>
          <w:sz w:val="28"/>
          <w:sz w:val="28"/>
          <w:szCs w:val="28"/>
          <w:rtl w:val="true"/>
          <w:lang w:bidi="fa-IR"/>
        </w:rPr>
        <w:t>،أو مع کون</w:t>
      </w:r>
    </w:p>
    <w:p>
      <w:pPr>
        <w:pStyle w:val="BookText"/>
        <w:rPr/>
      </w:pPr>
      <w:r>
        <w:rPr>
          <w:rFonts w:ascii="IRNazanin" w:hAnsi="IRNazanin" w:eastAsia="IRNazanin"/>
          <w:color w:val="111111"/>
          <w:sz w:val="28"/>
          <w:sz w:val="28"/>
          <w:szCs w:val="28"/>
          <w:rtl w:val="true"/>
          <w:lang w:bidi="fa-IR"/>
        </w:rPr>
        <w:t xml:space="preserve">المسلم الأجیر حرّا کما عن ظاهر الدروس </w:t>
      </w:r>
      <w:r>
        <w:rPr>
          <w:rStyle w:val="FootnoteAnchor"/>
          <w:rtl w:val="true"/>
        </w:rPr>
        <w:footnoteReference w:id="3085"/>
      </w:r>
      <w:r>
        <w:rPr>
          <w:rFonts w:ascii="IRNazanin" w:hAnsi="IRNazanin" w:eastAsia="IRNazanin"/>
          <w:color w:val="111111"/>
          <w:sz w:val="28"/>
          <w:sz w:val="28"/>
          <w:szCs w:val="28"/>
          <w:rtl w:val="true"/>
          <w:lang w:bidi="fa-IR"/>
        </w:rPr>
        <w:t xml:space="preserve">،أو المنع مطلقاً کما هو ظاهر القواعد </w:t>
      </w:r>
      <w:r>
        <w:rPr>
          <w:rStyle w:val="FootnoteAnchor"/>
          <w:rtl w:val="true"/>
        </w:rPr>
        <w:footnoteReference w:id="3086"/>
      </w:r>
      <w:r>
        <w:rPr>
          <w:rFonts w:ascii="IRNazanin" w:hAnsi="IRNazanin" w:eastAsia="IRNazanin"/>
          <w:color w:val="111111"/>
          <w:sz w:val="28"/>
          <w:sz w:val="28"/>
          <w:szCs w:val="28"/>
          <w:rtl w:val="true"/>
          <w:lang w:bidi="fa-IR"/>
        </w:rPr>
        <w:t xml:space="preserve">و محکیّ الإیضاح </w:t>
      </w:r>
      <w:r>
        <w:rPr>
          <w:rStyle w:val="FootnoteAnchor"/>
          <w:rtl w:val="true"/>
        </w:rPr>
        <w:footnoteReference w:id="3087"/>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أظهرها الثانی،فإنّه کالدین لیس ذلک سبیلاً،فیجوز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الحرّ و العبد،کما هو ظاهر إطلاق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کالتذکرة </w:t>
      </w:r>
      <w:r>
        <w:rPr>
          <w:rStyle w:val="FootnoteAnchor"/>
          <w:rtl w:val="true"/>
        </w:rPr>
        <w:footnoteReference w:id="3088"/>
      </w:r>
      <w:r>
        <w:rPr>
          <w:rFonts w:ascii="IRNazanin" w:hAnsi="IRNazanin" w:eastAsia="IRNazanin"/>
          <w:color w:val="111111"/>
          <w:sz w:val="28"/>
          <w:sz w:val="28"/>
          <w:szCs w:val="28"/>
          <w:rtl w:val="true"/>
          <w:lang w:bidi="fa-IR"/>
        </w:rPr>
        <w:t xml:space="preserve">و حواشی الشهید </w:t>
      </w:r>
      <w:r>
        <w:rPr>
          <w:rStyle w:val="FootnoteAnchor"/>
          <w:rtl w:val="true"/>
        </w:rPr>
        <w:footnoteReference w:id="3089"/>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3090"/>
      </w:r>
      <w:r>
        <w:rPr>
          <w:rFonts w:ascii="IRNazanin" w:hAnsi="IRNazanin" w:eastAsia="IRNazanin"/>
          <w:color w:val="111111"/>
          <w:sz w:val="28"/>
          <w:sz w:val="28"/>
          <w:szCs w:val="28"/>
          <w:rtl w:val="true"/>
          <w:lang w:bidi="fa-IR"/>
        </w:rPr>
        <w:t>،بل ظاهر المحکیّ عن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الخلاف فیه،حیث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استأجر کافر مسلماً لعمل فی الذمّة صحّ بلا خلاف،و إذا استأجره مدّة من الزمان شهراً أو سنة لیعمل عملاً صحّ أیضاً عندنا </w:t>
      </w:r>
      <w:r>
        <w:rPr>
          <w:rStyle w:val="FootnoteAnchor"/>
          <w:rtl w:val="true"/>
        </w:rPr>
        <w:footnoteReference w:id="30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ینقل من الأُمّة فرق بین الدین و بین الثابت فی الذمّة بالاستئجار </w:t>
      </w:r>
      <w:r>
        <w:rPr>
          <w:rStyle w:val="FootnoteAnchor"/>
          <w:rtl w:val="true"/>
        </w:rPr>
        <w:footnoteReference w:id="3092"/>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للقواعد </w:t>
      </w:r>
      <w:r>
        <w:rPr>
          <w:rStyle w:val="FootnoteAnchor"/>
          <w:rtl w:val="true"/>
        </w:rPr>
        <w:footnoteReference w:id="3093"/>
      </w:r>
      <w:r>
        <w:rPr>
          <w:rFonts w:ascii="IRNazanin" w:hAnsi="IRNazanin" w:eastAsia="IRNazanin"/>
          <w:color w:val="111111"/>
          <w:sz w:val="28"/>
          <w:sz w:val="28"/>
          <w:szCs w:val="28"/>
          <w:rtl w:val="true"/>
          <w:lang w:bidi="fa-IR"/>
        </w:rPr>
        <w:t xml:space="preserve">و ظاهر الإیضاح </w:t>
      </w:r>
      <w:r>
        <w:rPr>
          <w:rStyle w:val="FootnoteAnchor"/>
          <w:rtl w:val="true"/>
        </w:rPr>
        <w:footnoteReference w:id="3094"/>
      </w:r>
      <w:r>
        <w:rPr>
          <w:rFonts w:ascii="IRNazanin" w:hAnsi="IRNazanin" w:eastAsia="IRNazanin"/>
          <w:color w:val="111111"/>
          <w:sz w:val="28"/>
          <w:sz w:val="28"/>
          <w:szCs w:val="28"/>
          <w:rtl w:val="true"/>
          <w:lang w:bidi="fa-IR"/>
        </w:rPr>
        <w:t>،فالمنع مطلقاً؛لکونه سبیلاً</w:t>
      </w:r>
      <w:r>
        <w:rPr>
          <w:rFonts w:eastAsia="IRNazanin" w:cs="IRNazanin"/>
          <w:color w:val="111111"/>
          <w:sz w:val="28"/>
          <w:szCs w:val="28"/>
          <w:rtl w:val="true"/>
          <w:lang w:bidi="fa-IR"/>
        </w:rPr>
        <w:t>.</w:t>
      </w:r>
      <w:bookmarkStart w:id="935" w:name="pg19763_248334"/>
    </w:p>
    <w:p>
      <w:pPr>
        <w:pStyle w:val="BookText"/>
        <w:rPr/>
      </w:pPr>
      <w:bookmarkEnd w:id="935"/>
      <w:r>
        <w:rPr>
          <w:rFonts w:ascii="IRNazanin" w:hAnsi="IRNazanin" w:eastAsia="IRNazanin"/>
          <w:color w:val="111111"/>
          <w:sz w:val="28"/>
          <w:sz w:val="28"/>
          <w:szCs w:val="28"/>
          <w:rtl w:val="true"/>
          <w:lang w:bidi="fa-IR"/>
        </w:rPr>
        <w:t>و ظاهر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 </w:t>
      </w:r>
      <w:r>
        <w:rPr>
          <w:rStyle w:val="FootnoteAnchor"/>
          <w:rtl w:val="true"/>
        </w:rPr>
        <w:footnoteReference w:id="3095"/>
      </w:r>
      <w:r>
        <w:rPr>
          <w:rFonts w:ascii="IRNazanin" w:hAnsi="IRNazanin" w:eastAsia="IRNazanin"/>
          <w:color w:val="111111"/>
          <w:sz w:val="28"/>
          <w:sz w:val="28"/>
          <w:szCs w:val="28"/>
          <w:rtl w:val="true"/>
          <w:lang w:bidi="fa-IR"/>
        </w:rPr>
        <w:t>بین العبد و الحرّ،فیجوز فی الثانی دون الأوّل،حیث ذکر بعد أن منع إجارة العبد المسلم الکافر مطلقاً،قال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جوّزها الفاضل،و الظاهر أنّه أراد إجارة الحرّ المسلم </w:t>
      </w:r>
      <w:r>
        <w:rPr>
          <w:rStyle w:val="FootnoteAnchor"/>
          <w:rtl w:val="true"/>
        </w:rPr>
        <w:footnoteReference w:id="309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ظاهر الفاضل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إجارة العبد المسلم مطلقاً و لو کانت علی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توجیه الفرق بأنّ ید المستأجر علی الملک الذی مَلِک منفعته،بخلاف الحرّ؛فإنّه لا یثبت للمستأجر ید علیه و لا علی منفعته، خصوصاً لو قلنا بأنّ إجارة الحرّ تملیک الانتفاع لا المنفعة،فتأمّل</w:t>
      </w:r>
      <w:r>
        <w:rPr>
          <w:rFonts w:eastAsia="IRNazanin" w:cs="IRNazanin"/>
          <w:color w:val="111111"/>
          <w:sz w:val="28"/>
          <w:szCs w:val="28"/>
          <w:rtl w:val="true"/>
          <w:lang w:bidi="fa-IR"/>
        </w:rPr>
        <w:t>.</w:t>
      </w:r>
    </w:p>
    <w:p>
      <w:pPr>
        <w:pStyle w:val="Heading6"/>
        <w:numPr>
          <w:ilvl w:val="5"/>
          <w:numId w:val="1"/>
        </w:numPr>
        <w:rPr/>
      </w:pPr>
      <w:bookmarkStart w:id="936" w:name="__RefHeading___Toc5083136_2314609296"/>
      <w:bookmarkStart w:id="937" w:name="_Toc359"/>
      <w:bookmarkEnd w:id="936"/>
      <w:r>
        <w:rPr>
          <w:rtl w:val="true"/>
        </w:rPr>
        <w:t>[</w:t>
      </w:r>
      <w:r>
        <w:rPr>
          <w:rtl w:val="true"/>
        </w:rPr>
        <w:t>ارتهان العبد المسلم عند الکافر</w:t>
      </w:r>
      <w:r>
        <w:rPr>
          <w:rtl w:val="true"/>
        </w:rPr>
        <w:t>]</w:t>
      </w:r>
      <w:bookmarkEnd w:id="937"/>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الارتهان عند الکافر،ففی جوازه مطلقاً،کما عن ظاهر نهایة الإحکام </w:t>
      </w:r>
      <w:r>
        <w:rPr>
          <w:rStyle w:val="FootnoteAnchor"/>
          <w:rtl w:val="true"/>
        </w:rPr>
        <w:footnoteReference w:id="3097"/>
      </w:r>
      <w:r>
        <w:rPr>
          <w:rFonts w:ascii="IRNazanin" w:hAnsi="IRNazanin" w:eastAsia="IRNazanin"/>
          <w:color w:val="111111"/>
          <w:sz w:val="28"/>
          <w:sz w:val="28"/>
          <w:szCs w:val="28"/>
          <w:rtl w:val="true"/>
          <w:lang w:bidi="fa-IR"/>
        </w:rPr>
        <w:t xml:space="preserve">،أو المنع،کما فی القواعد </w:t>
      </w:r>
      <w:r>
        <w:rPr>
          <w:rStyle w:val="FootnoteAnchor"/>
          <w:rtl w:val="true"/>
        </w:rPr>
        <w:footnoteReference w:id="3098"/>
      </w:r>
      <w:r>
        <w:rPr>
          <w:rFonts w:ascii="IRNazanin" w:hAnsi="IRNazanin" w:eastAsia="IRNazanin"/>
          <w:color w:val="111111"/>
          <w:sz w:val="28"/>
          <w:sz w:val="28"/>
          <w:szCs w:val="28"/>
          <w:rtl w:val="true"/>
          <w:lang w:bidi="fa-IR"/>
        </w:rPr>
        <w:t xml:space="preserve">و الإیضاح </w:t>
      </w:r>
      <w:r>
        <w:rPr>
          <w:rStyle w:val="FootnoteAnchor"/>
          <w:rtl w:val="true"/>
        </w:rPr>
        <w:footnoteReference w:id="3099"/>
      </w:r>
      <w:r>
        <w:rPr>
          <w:rFonts w:ascii="IRNazanin" w:hAnsi="IRNazanin" w:eastAsia="IRNazanin"/>
          <w:color w:val="111111"/>
          <w:sz w:val="28"/>
          <w:sz w:val="28"/>
          <w:szCs w:val="28"/>
          <w:rtl w:val="true"/>
          <w:lang w:bidi="fa-IR"/>
        </w:rPr>
        <w:t>،أو التفصیل بین ما لم یکن تحت ید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وضعاه عند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ظاهر المبسوط </w:t>
      </w:r>
      <w:r>
        <w:rPr>
          <w:rStyle w:val="FootnoteAnchor"/>
          <w:rtl w:val="true"/>
        </w:rPr>
        <w:footnoteReference w:id="3100"/>
      </w:r>
      <w:r>
        <w:rPr>
          <w:rFonts w:ascii="IRNazanin" w:hAnsi="IRNazanin" w:eastAsia="IRNazanin"/>
          <w:color w:val="111111"/>
          <w:sz w:val="28"/>
          <w:sz w:val="28"/>
          <w:szCs w:val="28"/>
          <w:rtl w:val="true"/>
          <w:lang w:bidi="fa-IR"/>
        </w:rPr>
        <w:t xml:space="preserve">و القواعد </w:t>
      </w:r>
      <w:r>
        <w:rPr>
          <w:rStyle w:val="FootnoteAnchor"/>
          <w:rtl w:val="true"/>
        </w:rPr>
        <w:footnoteReference w:id="3101"/>
      </w:r>
      <w:r>
        <w:rPr>
          <w:rFonts w:ascii="IRNazanin" w:hAnsi="IRNazanin" w:eastAsia="IRNazanin"/>
          <w:color w:val="111111"/>
          <w:sz w:val="28"/>
          <w:sz w:val="28"/>
          <w:szCs w:val="28"/>
          <w:rtl w:val="true"/>
          <w:lang w:bidi="fa-IR"/>
        </w:rPr>
        <w:t xml:space="preserve">و الإیضاح فی کتاب الرهن </w:t>
      </w:r>
      <w:r>
        <w:rPr>
          <w:rStyle w:val="FootnoteAnchor"/>
          <w:rtl w:val="true"/>
        </w:rPr>
        <w:footnoteReference w:id="3102"/>
      </w:r>
      <w:r>
        <w:rPr>
          <w:rFonts w:ascii="IRNazanin" w:hAnsi="IRNazanin" w:eastAsia="IRNazanin"/>
          <w:color w:val="111111"/>
          <w:sz w:val="28"/>
          <w:sz w:val="28"/>
          <w:szCs w:val="28"/>
          <w:rtl w:val="true"/>
          <w:lang w:bidi="fa-IR"/>
        </w:rPr>
        <w:t xml:space="preserve">و الدروس </w:t>
      </w:r>
      <w:r>
        <w:rPr>
          <w:rStyle w:val="FootnoteAnchor"/>
          <w:rtl w:val="true"/>
        </w:rPr>
        <w:footnoteReference w:id="3103"/>
      </w:r>
      <w:r>
        <w:rPr>
          <w:rFonts w:ascii="IRNazanin" w:hAnsi="IRNazanin" w:eastAsia="IRNazanin"/>
          <w:color w:val="111111"/>
          <w:sz w:val="28"/>
          <w:sz w:val="28"/>
          <w:szCs w:val="28"/>
          <w:rtl w:val="true"/>
          <w:lang w:bidi="fa-IR"/>
        </w:rPr>
        <w:t>و جامع</w:t>
      </w:r>
      <w:bookmarkStart w:id="938" w:name="pg19763_248335"/>
    </w:p>
    <w:p>
      <w:pPr>
        <w:pStyle w:val="BookText"/>
        <w:rPr/>
      </w:pPr>
      <w:bookmarkEnd w:id="938"/>
      <w:r>
        <w:rPr>
          <w:rFonts w:ascii="IRNazanin" w:hAnsi="IRNazanin" w:eastAsia="IRNazanin"/>
          <w:color w:val="111111"/>
          <w:sz w:val="28"/>
          <w:sz w:val="28"/>
          <w:szCs w:val="28"/>
          <w:rtl w:val="true"/>
          <w:lang w:bidi="fa-IR"/>
        </w:rPr>
        <w:t xml:space="preserve">المقاصد </w:t>
      </w:r>
      <w:r>
        <w:rPr>
          <w:rStyle w:val="FootnoteAnchor"/>
          <w:rtl w:val="true"/>
        </w:rPr>
        <w:footnoteReference w:id="3104"/>
      </w:r>
      <w:r>
        <w:rPr>
          <w:rFonts w:ascii="IRNazanin" w:hAnsi="IRNazanin" w:eastAsia="IRNazanin"/>
          <w:color w:val="111111"/>
          <w:sz w:val="28"/>
          <w:sz w:val="28"/>
          <w:szCs w:val="28"/>
          <w:rtl w:val="true"/>
          <w:lang w:bidi="fa-IR"/>
        </w:rPr>
        <w:t xml:space="preserve">و المسالک </w:t>
      </w:r>
      <w:r>
        <w:rPr>
          <w:rStyle w:val="FootnoteAnchor"/>
          <w:rtl w:val="true"/>
        </w:rPr>
        <w:footnoteReference w:id="3105"/>
      </w:r>
      <w:r>
        <w:rPr>
          <w:rFonts w:ascii="IRNazanin" w:hAnsi="IRNazanin" w:eastAsia="IRNazanin"/>
          <w:color w:val="111111"/>
          <w:sz w:val="28"/>
          <w:sz w:val="28"/>
          <w:szCs w:val="28"/>
          <w:rtl w:val="true"/>
          <w:lang w:bidi="fa-IR"/>
        </w:rPr>
        <w:t xml:space="preserve">،أو التردّد کما عن </w:t>
      </w:r>
      <w:r>
        <w:rPr>
          <w:rStyle w:val="FootnoteAnchor"/>
          <w:rtl w:val="true"/>
        </w:rPr>
        <w:footnoteReference w:id="3106"/>
      </w:r>
      <w:r>
        <w:rPr>
          <w:rFonts w:ascii="IRNazanin" w:hAnsi="IRNazanin" w:eastAsia="IRNazanin"/>
          <w:color w:val="111111"/>
          <w:sz w:val="28"/>
          <w:sz w:val="28"/>
          <w:szCs w:val="28"/>
          <w:rtl w:val="true"/>
          <w:lang w:bidi="fa-IR"/>
        </w:rPr>
        <w:t xml:space="preserve">التذکرة </w:t>
      </w:r>
      <w:r>
        <w:rPr>
          <w:rStyle w:val="FootnoteAnchor"/>
          <w:rtl w:val="true"/>
        </w:rPr>
        <w:footnoteReference w:id="3107"/>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أقواها الثالث؛لأنّ استحقاق الکافر لکون المسلم فی یده سبیل، بخلاف استحقاقه لأخذ حقّه من ثمنه</w:t>
      </w:r>
      <w:r>
        <w:rPr>
          <w:rFonts w:eastAsia="IRNazanin" w:cs="IRNazanin"/>
          <w:color w:val="111111"/>
          <w:sz w:val="28"/>
          <w:szCs w:val="28"/>
          <w:rtl w:val="true"/>
          <w:lang w:bidi="fa-IR"/>
        </w:rPr>
        <w:t>.</w:t>
      </w:r>
    </w:p>
    <w:p>
      <w:pPr>
        <w:pStyle w:val="Heading6"/>
        <w:numPr>
          <w:ilvl w:val="5"/>
          <w:numId w:val="1"/>
        </w:numPr>
        <w:rPr/>
      </w:pPr>
      <w:bookmarkStart w:id="939" w:name="__RefHeading___Toc5083138_2314609296"/>
      <w:bookmarkStart w:id="940" w:name="_Toc360"/>
      <w:bookmarkEnd w:id="939"/>
      <w:r>
        <w:rPr>
          <w:rtl w:val="true"/>
        </w:rPr>
        <w:t>[</w:t>
      </w:r>
      <w:r>
        <w:rPr>
          <w:rtl w:val="true"/>
        </w:rPr>
        <w:t>إعارة العبد المسلم و إیداعه من الکافر</w:t>
      </w:r>
      <w:r>
        <w:rPr>
          <w:rtl w:val="true"/>
        </w:rPr>
        <w:t>]</w:t>
      </w:r>
      <w:bookmarkEnd w:id="940"/>
    </w:p>
    <w:p>
      <w:pPr>
        <w:pStyle w:val="BookText"/>
        <w:rPr/>
      </w:pPr>
      <w:r>
        <w:rPr>
          <w:rFonts w:ascii="IRNazanin" w:hAnsi="IRNazanin" w:eastAsia="IRNazanin"/>
          <w:color w:val="111111"/>
          <w:sz w:val="28"/>
          <w:sz w:val="28"/>
          <w:szCs w:val="28"/>
          <w:rtl w:val="true"/>
          <w:lang w:bidi="fa-IR"/>
        </w:rPr>
        <w:t xml:space="preserve">و أمّا إعارته من کافر،فلا یبعد المنع،وفاقاً لعاریة القواعد </w:t>
      </w:r>
      <w:r>
        <w:rPr>
          <w:rStyle w:val="FootnoteAnchor"/>
          <w:rtl w:val="true"/>
        </w:rPr>
        <w:footnoteReference w:id="3108"/>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3109"/>
      </w:r>
      <w:r>
        <w:rPr>
          <w:rFonts w:ascii="IRNazanin" w:hAnsi="IRNazanin" w:eastAsia="IRNazanin"/>
          <w:color w:val="111111"/>
          <w:sz w:val="28"/>
          <w:sz w:val="28"/>
          <w:szCs w:val="28"/>
          <w:rtl w:val="true"/>
          <w:lang w:bidi="fa-IR"/>
        </w:rPr>
        <w:t xml:space="preserve">و المسالک </w:t>
      </w:r>
      <w:r>
        <w:rPr>
          <w:rStyle w:val="FootnoteAnchor"/>
          <w:rtl w:val="true"/>
        </w:rPr>
        <w:footnoteReference w:id="3110"/>
      </w:r>
      <w:r>
        <w:rPr>
          <w:rFonts w:ascii="IRNazanin" w:hAnsi="IRNazanin" w:eastAsia="IRNazanin"/>
          <w:color w:val="111111"/>
          <w:sz w:val="28"/>
          <w:sz w:val="28"/>
          <w:szCs w:val="28"/>
          <w:rtl w:val="true"/>
          <w:lang w:bidi="fa-IR"/>
        </w:rPr>
        <w:t>،بل عن حواشی الشهید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الإعارة و الإیداع أقوی منعاً من الارتهان </w:t>
      </w:r>
      <w:r>
        <w:rPr>
          <w:rStyle w:val="FootnoteAnchor"/>
          <w:rtl w:val="true"/>
        </w:rPr>
        <w:footnoteReference w:id="3111"/>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حسن فی العاریة؛لأنّها تسلیط علی الانتفاع،فیکون سبیلاً و علوّاً،و محلّ نظر فی الودیعة؛لأنّ التسلیط علی الحفظ و جعل نظره إلیه مشترک بین الرهن و الودیعة،مع زیادة فی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قیل من أجلها بالمنع </w:t>
      </w:r>
      <w:r>
        <w:rPr>
          <w:rStyle w:val="FootnoteAnchor"/>
          <w:rtl w:val="true"/>
        </w:rPr>
        <w:footnoteReference w:id="3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التسلّط علی منع المالک عن التصرّف فیه إلّا بإذنه و تسلّطه علی إلزام المالک ببیعه</w:t>
      </w:r>
      <w:r>
        <w:rPr>
          <w:rFonts w:eastAsia="IRNazanin" w:cs="IRNazanin"/>
          <w:color w:val="111111"/>
          <w:sz w:val="28"/>
          <w:szCs w:val="28"/>
          <w:rtl w:val="true"/>
          <w:lang w:bidi="fa-IR"/>
        </w:rPr>
        <w:t>.</w:t>
      </w:r>
      <w:bookmarkStart w:id="941" w:name="pg19763_248336"/>
    </w:p>
    <w:p>
      <w:pPr>
        <w:pStyle w:val="BookText"/>
        <w:rPr/>
      </w:pPr>
      <w:bookmarkEnd w:id="941"/>
      <w:r>
        <w:rPr>
          <w:rFonts w:ascii="IRNazanin" w:hAnsi="IRNazanin" w:eastAsia="IRNazanin"/>
          <w:color w:val="111111"/>
          <w:sz w:val="28"/>
          <w:sz w:val="28"/>
          <w:szCs w:val="28"/>
          <w:rtl w:val="true"/>
          <w:lang w:bidi="fa-IR"/>
        </w:rPr>
        <w:t xml:space="preserve">و قد صرّح فی التذکرة بالجواز فی کلیهما </w:t>
      </w:r>
      <w:r>
        <w:rPr>
          <w:rStyle w:val="FootnoteAnchor"/>
          <w:rtl w:val="true"/>
        </w:rPr>
        <w:footnoteReference w:id="3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 عدم صحّة وقف الکافر عبدَه المسلم علی أهل ملّته</w:t>
      </w:r>
      <w:r>
        <w:rPr>
          <w:rFonts w:eastAsia="IRNazanin" w:cs="IRNazanin"/>
          <w:color w:val="111111"/>
          <w:sz w:val="28"/>
          <w:szCs w:val="28"/>
          <w:rtl w:val="true"/>
          <w:lang w:bidi="fa-IR"/>
        </w:rPr>
        <w:t>.</w:t>
      </w:r>
    </w:p>
    <w:p>
      <w:pPr>
        <w:pStyle w:val="Heading6"/>
        <w:numPr>
          <w:ilvl w:val="5"/>
          <w:numId w:val="1"/>
        </w:numPr>
        <w:rPr/>
      </w:pPr>
      <w:bookmarkStart w:id="942" w:name="__RefHeading___Toc5083140_2314609296"/>
      <w:bookmarkStart w:id="943" w:name="_Toc361"/>
      <w:bookmarkEnd w:id="942"/>
      <w:r>
        <w:rPr>
          <w:rtl w:val="true"/>
        </w:rPr>
        <w:t>[</w:t>
      </w:r>
      <w:r>
        <w:rPr>
          <w:rtl w:val="true"/>
        </w:rPr>
        <w:t>الظاهر من الکافر</w:t>
      </w:r>
      <w:r>
        <w:rPr>
          <w:rtl w:val="true"/>
        </w:rPr>
        <w:t>]</w:t>
      </w:r>
      <w:bookmarkEnd w:id="943"/>
    </w:p>
    <w:p>
      <w:pPr>
        <w:pStyle w:val="BookText"/>
        <w:rPr/>
      </w:pPr>
      <w:r>
        <w:rPr>
          <w:rFonts w:ascii="IRNazanin" w:hAnsi="IRNazanin" w:eastAsia="IRNazanin"/>
          <w:color w:val="111111"/>
          <w:sz w:val="28"/>
          <w:sz w:val="28"/>
          <w:szCs w:val="28"/>
          <w:rtl w:val="true"/>
          <w:lang w:bidi="fa-IR"/>
        </w:rPr>
        <w:t>ثمّ إنّ الظاهر من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حکم بنجاسته و لو انتحل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کالنواصب و الغلاة و المرتدّ غایة الأمر عدم وجود هذه الأفراد فی زمان نزول الآیة؛و لذا استدلّ الحنفیّة </w:t>
      </w:r>
      <w:r>
        <w:rPr>
          <w:rStyle w:val="FootnoteAnchor"/>
          <w:rtl w:val="true"/>
        </w:rPr>
        <w:footnoteReference w:id="3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حکی عنهم </w:t>
      </w:r>
      <w:r>
        <w:rPr>
          <w:rStyle w:val="FootnoteAnchor"/>
          <w:rtl w:val="true"/>
        </w:rPr>
        <w:footnoteReference w:id="3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حصول </w:t>
      </w:r>
      <w:r>
        <w:rPr>
          <w:rStyle w:val="FootnoteAnchor"/>
          <w:rtl w:val="true"/>
        </w:rPr>
        <w:footnoteReference w:id="3116"/>
      </w:r>
      <w:r>
        <w:rPr>
          <w:rFonts w:ascii="IRNazanin" w:hAnsi="IRNazanin" w:eastAsia="IRNazanin"/>
          <w:color w:val="111111"/>
          <w:sz w:val="28"/>
          <w:sz w:val="28"/>
          <w:szCs w:val="28"/>
          <w:rtl w:val="true"/>
          <w:lang w:bidi="fa-IR"/>
        </w:rPr>
        <w:t xml:space="preserve">البینونة بارتداد الزوج </w:t>
      </w:r>
      <w:r>
        <w:rPr>
          <w:rStyle w:val="FootnoteAnchor"/>
          <w:rtl w:val="true"/>
        </w:rPr>
        <w:footnoteReference w:id="3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یلحق بذلک أطفال الکفّار؟فیه إشکال،و یعمّ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المخالف؛لأنّه مسلم فیعلو و لا یُعلی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المؤمن فی زمان نزول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به إلّا المقرّ بالشهادتین،و نفیه عن الأعراب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تعالی </w:t>
      </w:r>
      <w:r>
        <w:rPr>
          <w:rStyle w:val="FootnoteAnchor"/>
          <w:rtl w:val="true"/>
        </w:rPr>
        <w:footnoteReference w:id="3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یَدْخُلِ الْإِیمٰانُ فِی قُلُوبِکُمْ</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لعدم اعتقادهم بما أقرّوا، فالمراد بالإسلام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 نفسه للّٰه و رسوله فی الظاهر لا الباطن،</w:t>
      </w:r>
    </w:p>
    <w:p>
      <w:pPr>
        <w:pStyle w:val="BookText"/>
        <w:rPr/>
      </w:pPr>
      <w:r>
        <w:rPr>
          <w:rFonts w:ascii="Amiri" w:hAnsi="Amiri" w:eastAsia="Amiri" w:cs="Amiri"/>
          <w:color w:val="111111"/>
          <w:sz w:val="28"/>
          <w:sz w:val="28"/>
          <w:szCs w:val="28"/>
          <w:rtl w:val="true"/>
          <w:lang w:bidi="ar-SA"/>
        </w:rPr>
        <w:t>بل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یَدْخُلِ الْإِیمٰانُ فِی قُلُوبِکُمْ دلّ علی أنّ ما جری علی ألسنتهم من الإقرار بالشهادتین کان إیماناً فی خارج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الإسلام و الإیمان فی زمان الآیة کانا بمعنی واحد، و أمّا ما دلّ علی کفر المخالف بواسطة إنکار الولایة </w:t>
      </w:r>
      <w:r>
        <w:rPr>
          <w:rStyle w:val="FootnoteAnchor"/>
          <w:rtl w:val="true"/>
        </w:rPr>
        <w:footnoteReference w:id="3120"/>
      </w:r>
      <w:r>
        <w:rPr>
          <w:rFonts w:ascii="IRNazanin" w:hAnsi="IRNazanin" w:eastAsia="IRNazanin"/>
          <w:color w:val="111111"/>
          <w:sz w:val="28"/>
          <w:sz w:val="28"/>
          <w:szCs w:val="28"/>
          <w:rtl w:val="true"/>
          <w:lang w:bidi="fa-IR"/>
        </w:rPr>
        <w:t>،فهو لا یقاوم بظاهره،لما دلّ علی جریان جمیع أحکام الإسلام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التناکح و التوارث،و حقن الدماء،و عصمة الأموال،و أنّ الإسلام ما علیه جمهور الناس </w:t>
      </w:r>
      <w:r>
        <w:rPr>
          <w:rStyle w:val="FootnoteAnchor"/>
          <w:rtl w:val="true"/>
        </w:rPr>
        <w:footnoteReference w:id="3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روایة حمران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الإیمان ما استقرّ فی القلب،و أفضی به إلی اللّٰه تعالی و صدّقه العمل بالطاعة للّٰه و التسلیم لأمر اللّٰه،و الإسلام ما ظهر من قول أو </w:t>
      </w:r>
      <w:r>
        <w:rPr>
          <w:rStyle w:val="FootnoteAnchor"/>
          <w:rtl w:val="true"/>
        </w:rPr>
        <w:footnoteReference w:id="3122"/>
      </w:r>
      <w:r>
        <w:rPr>
          <w:rFonts w:ascii="IRNazanin" w:hAnsi="IRNazanin" w:eastAsia="IRNazanin"/>
          <w:color w:val="111111"/>
          <w:sz w:val="28"/>
          <w:sz w:val="28"/>
          <w:szCs w:val="28"/>
          <w:rtl w:val="true"/>
          <w:lang w:bidi="fa-IR"/>
        </w:rPr>
        <w:t xml:space="preserve">فعل، و هو الذی علیه جماعة الناس من الفرق کلّها،و به حقنت الدماء، و علیه جرت المواریث،و جاز </w:t>
      </w:r>
      <w:r>
        <w:rPr>
          <w:rStyle w:val="FootnoteAnchor"/>
          <w:rtl w:val="true"/>
        </w:rPr>
        <w:footnoteReference w:id="3123"/>
      </w:r>
      <w:r>
        <w:rPr>
          <w:rFonts w:ascii="IRNazanin" w:hAnsi="IRNazanin" w:eastAsia="IRNazanin"/>
          <w:color w:val="111111"/>
          <w:sz w:val="28"/>
          <w:sz w:val="28"/>
          <w:szCs w:val="28"/>
          <w:rtl w:val="true"/>
          <w:lang w:bidi="fa-IR"/>
        </w:rPr>
        <w:t>النکاح،و اجتمعوا علی الصلاة و الزکاة و الصوم و الحجّ فخرجوا بذلک من الکفر و أُضیفوا إلی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bookmarkStart w:id="944" w:name="pg19763_248338"/>
    </w:p>
    <w:p>
      <w:pPr>
        <w:pStyle w:val="BookText"/>
        <w:rPr/>
      </w:pPr>
      <w:bookmarkEnd w:id="94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للمؤمن فضل علی المسلم فی شیء من الفضائل و الأحکام و الحدود و غیر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لا،إنّهما </w:t>
      </w:r>
      <w:r>
        <w:rPr>
          <w:rStyle w:val="FootnoteAnchor"/>
          <w:rtl w:val="true"/>
        </w:rPr>
        <w:footnoteReference w:id="3124"/>
      </w:r>
      <w:r>
        <w:rPr>
          <w:rFonts w:ascii="IRNazanin" w:hAnsi="IRNazanin" w:eastAsia="IRNazanin"/>
          <w:color w:val="111111"/>
          <w:sz w:val="28"/>
          <w:sz w:val="28"/>
          <w:szCs w:val="28"/>
          <w:rtl w:val="true"/>
          <w:lang w:bidi="fa-IR"/>
        </w:rPr>
        <w:t>یجریان فی ذلک مجری واحد، و لکن للمؤمن فضل علی المسلم فی إعمالهما،و ما یتقرّبان به إلی اللّٰه تعالی</w:t>
      </w:r>
      <w:r>
        <w:rPr>
          <w:rFonts w:eastAsia="IRNazanin" w:cs="IRNazanin"/>
          <w:color w:val="111111"/>
          <w:sz w:val="28"/>
          <w:szCs w:val="28"/>
          <w:rtl w:val="true"/>
          <w:lang w:bidi="fa-IR"/>
        </w:rPr>
        <w:t xml:space="preserve">» </w:t>
      </w:r>
      <w:r>
        <w:rPr>
          <w:rStyle w:val="FootnoteAnchor"/>
          <w:rtl w:val="true"/>
        </w:rPr>
        <w:footnoteReference w:id="31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5" w:name="__RefHeading___Toc5083142_2314609296"/>
      <w:bookmarkStart w:id="946" w:name="_Toc362"/>
      <w:bookmarkEnd w:id="945"/>
      <w:r>
        <w:rPr>
          <w:rtl w:val="true"/>
        </w:rPr>
        <w:t>[</w:t>
      </w:r>
      <w:r>
        <w:rPr>
          <w:rtl w:val="true"/>
        </w:rPr>
        <w:t>بیع العبد المؤمن من المخالف</w:t>
      </w:r>
      <w:r>
        <w:rPr>
          <w:rtl w:val="true"/>
        </w:rPr>
        <w:t>]</w:t>
      </w:r>
      <w:bookmarkEnd w:id="946"/>
    </w:p>
    <w:p>
      <w:pPr>
        <w:pStyle w:val="BookText"/>
        <w:rPr/>
      </w:pPr>
      <w:r>
        <w:rPr>
          <w:rFonts w:ascii="IRNazanin" w:hAnsi="IRNazanin" w:eastAsia="IRNazanin"/>
          <w:color w:val="111111"/>
          <w:sz w:val="28"/>
          <w:sz w:val="28"/>
          <w:szCs w:val="28"/>
          <w:rtl w:val="true"/>
          <w:lang w:bidi="fa-IR"/>
        </w:rPr>
        <w:t>و من جمیع ما ذکرنا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بأس ببیع المسلم من المخالف و لو کان جاریة،إلّا إذا قلنا بحرمة تزویج المؤمنة من المخالف؛لأخبار دلّت علی ذلک </w:t>
      </w:r>
      <w:r>
        <w:rPr>
          <w:rStyle w:val="FootnoteAnchor"/>
          <w:rtl w:val="true"/>
        </w:rPr>
        <w:footnoteReference w:id="3126"/>
      </w:r>
      <w:r>
        <w:rPr>
          <w:rFonts w:ascii="IRNazanin" w:hAnsi="IRNazanin" w:eastAsia="IRNazanin"/>
          <w:color w:val="111111"/>
          <w:sz w:val="28"/>
          <w:sz w:val="28"/>
          <w:szCs w:val="28"/>
          <w:rtl w:val="true"/>
          <w:lang w:bidi="fa-IR"/>
        </w:rPr>
        <w:t>،فإنّ فحواها یدلّ علی المنع من بیع الجاریة المؤمنة،لکن الأقوی عدم التحریم</w:t>
      </w:r>
      <w:r>
        <w:rPr>
          <w:rFonts w:eastAsia="IRNazanin" w:cs="IRNazanin"/>
          <w:color w:val="111111"/>
          <w:sz w:val="28"/>
          <w:szCs w:val="28"/>
          <w:rtl w:val="true"/>
          <w:lang w:bidi="fa-IR"/>
        </w:rPr>
        <w:t>.</w:t>
      </w:r>
    </w:p>
    <w:p>
      <w:pPr>
        <w:pStyle w:val="Heading6"/>
        <w:numPr>
          <w:ilvl w:val="5"/>
          <w:numId w:val="1"/>
        </w:numPr>
        <w:rPr/>
      </w:pPr>
      <w:bookmarkStart w:id="947" w:name="__RefHeading___Toc5083144_2314609296"/>
      <w:bookmarkStart w:id="948" w:name="_Toc363"/>
      <w:bookmarkEnd w:id="947"/>
      <w:r>
        <w:rPr>
          <w:rtl w:val="true"/>
        </w:rPr>
        <w:t>[</w:t>
      </w:r>
      <w:r>
        <w:rPr>
          <w:rtl w:val="true"/>
        </w:rPr>
        <w:t>موارد جواز تملک الکافر للعبد المسلم</w:t>
      </w:r>
      <w:r>
        <w:rPr>
          <w:rtl w:val="true"/>
        </w:rPr>
        <w:t>]</w:t>
      </w:r>
      <w:bookmarkEnd w:id="948"/>
    </w:p>
    <w:p>
      <w:pPr>
        <w:pStyle w:val="BookText"/>
        <w:rPr/>
      </w:pPr>
      <w:r>
        <w:rPr>
          <w:rFonts w:ascii="IRNazanin" w:hAnsi="IRNazanin" w:eastAsia="IRNazanin"/>
          <w:color w:val="111111"/>
          <w:sz w:val="28"/>
          <w:sz w:val="28"/>
          <w:szCs w:val="28"/>
          <w:rtl w:val="true"/>
          <w:lang w:bidi="fa-IR"/>
        </w:rPr>
        <w:t>ثمّ إنّه قد استثنی من عدم جواز تملّک الکافر للعبد المسلم مواضع</w:t>
      </w:r>
      <w:r>
        <w:rPr>
          <w:rFonts w:eastAsia="IRNazanin" w:cs="IRNazanin"/>
          <w:color w:val="111111"/>
          <w:sz w:val="28"/>
          <w:szCs w:val="28"/>
          <w:rtl w:val="true"/>
          <w:lang w:bidi="fa-IR"/>
        </w:rPr>
        <w:t>:</w:t>
      </w:r>
    </w:p>
    <w:p>
      <w:pPr>
        <w:pStyle w:val="Heading6"/>
        <w:numPr>
          <w:ilvl w:val="5"/>
          <w:numId w:val="1"/>
        </w:numPr>
        <w:rPr/>
      </w:pPr>
      <w:bookmarkStart w:id="949" w:name="__RefHeading___Toc5083146_2314609296"/>
      <w:bookmarkStart w:id="950" w:name="_Toc364"/>
      <w:bookmarkEnd w:id="949"/>
      <w:r>
        <w:rPr>
          <w:rtl w:val="true"/>
        </w:rPr>
        <w:t>منها</w:t>
      </w:r>
      <w:r>
        <w:rPr>
          <w:rtl w:val="true"/>
        </w:rPr>
        <w:t xml:space="preserve">: </w:t>
      </w:r>
      <w:r>
        <w:rPr>
          <w:rtl w:val="true"/>
        </w:rPr>
        <w:t>ما إذا کان الشراء مستعقباً للانعتاق،</w:t>
      </w:r>
      <w:bookmarkEnd w:id="950"/>
    </w:p>
    <w:p>
      <w:pPr>
        <w:pStyle w:val="BookText"/>
        <w:rPr/>
      </w:pPr>
      <w:r>
        <w:rPr>
          <w:rFonts w:ascii="IRNazanin" w:hAnsi="IRNazanin" w:eastAsia="IRNazanin"/>
          <w:color w:val="111111"/>
          <w:sz w:val="28"/>
          <w:sz w:val="28"/>
          <w:szCs w:val="28"/>
          <w:rtl w:val="true"/>
          <w:lang w:bidi="fa-IR"/>
        </w:rPr>
        <w:t>بأن یکون ممّن ینعتق علی الکافر قهراً واقعاً کالأقارب،أو ظاهراً کمن أقرّ بحرّیة مسلمٍ ثمّ اشتراه،أو بأن یقول الکافر للمسلم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 بکذا،فأعتقه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ذلک العلّامة فی التذکرة </w:t>
      </w:r>
      <w:r>
        <w:rPr>
          <w:rStyle w:val="FootnoteAnchor"/>
          <w:rtl w:val="true"/>
        </w:rPr>
        <w:footnoteReference w:id="3127"/>
      </w:r>
      <w:r>
        <w:rPr>
          <w:rFonts w:ascii="IRNazanin" w:hAnsi="IRNazanin" w:eastAsia="IRNazanin"/>
          <w:color w:val="111111"/>
          <w:sz w:val="28"/>
          <w:sz w:val="28"/>
          <w:szCs w:val="28"/>
          <w:rtl w:val="true"/>
          <w:lang w:bidi="fa-IR"/>
        </w:rPr>
        <w:t xml:space="preserve">،و تبعه </w:t>
      </w:r>
      <w:r>
        <w:rPr>
          <w:rStyle w:val="FootnoteAnchor"/>
          <w:rtl w:val="true"/>
        </w:rPr>
        <w:footnoteReference w:id="3128"/>
      </w:r>
      <w:r>
        <w:rPr>
          <w:rFonts w:ascii="IRNazanin" w:hAnsi="IRNazanin" w:eastAsia="IRNazanin"/>
          <w:color w:val="111111"/>
          <w:sz w:val="28"/>
          <w:sz w:val="28"/>
          <w:szCs w:val="28"/>
          <w:rtl w:val="true"/>
          <w:lang w:bidi="fa-IR"/>
        </w:rPr>
        <w:t xml:space="preserve">جامع المقاصد </w:t>
      </w:r>
      <w:r>
        <w:rPr>
          <w:rStyle w:val="FootnoteAnchor"/>
          <w:rtl w:val="true"/>
        </w:rPr>
        <w:footnoteReference w:id="3129"/>
      </w:r>
      <w:r>
        <w:rPr>
          <w:rFonts w:ascii="IRNazanin" w:hAnsi="IRNazanin" w:eastAsia="IRNazanin"/>
          <w:color w:val="111111"/>
          <w:sz w:val="28"/>
          <w:sz w:val="28"/>
          <w:szCs w:val="28"/>
          <w:rtl w:val="true"/>
          <w:lang w:bidi="fa-IR"/>
        </w:rPr>
        <w:t xml:space="preserve">و المسالک </w:t>
      </w:r>
      <w:r>
        <w:rPr>
          <w:rStyle w:val="FootnoteAnchor"/>
          <w:rtl w:val="true"/>
        </w:rPr>
        <w:footnoteReference w:id="3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الوجه فی الأوّل واضح،وفاقاً للمحکیّ عن الفقیه </w:t>
      </w:r>
      <w:r>
        <w:rPr>
          <w:rStyle w:val="FootnoteAnchor"/>
          <w:rtl w:val="true"/>
        </w:rPr>
        <w:footnoteReference w:id="3131"/>
      </w:r>
      <w:r>
        <w:rPr>
          <w:rFonts w:ascii="IRNazanin" w:hAnsi="IRNazanin" w:eastAsia="IRNazanin"/>
          <w:color w:val="111111"/>
          <w:sz w:val="28"/>
          <w:sz w:val="28"/>
          <w:szCs w:val="28"/>
          <w:rtl w:val="true"/>
          <w:lang w:bidi="fa-IR"/>
        </w:rPr>
        <w:t xml:space="preserve">و النهایة </w:t>
      </w:r>
      <w:r>
        <w:rPr>
          <w:rStyle w:val="FootnoteAnchor"/>
          <w:rtl w:val="true"/>
        </w:rPr>
        <w:footnoteReference w:id="3132"/>
      </w:r>
      <w:r>
        <w:rPr>
          <w:rFonts w:ascii="IRNazanin" w:hAnsi="IRNazanin" w:eastAsia="IRNazanin"/>
          <w:color w:val="111111"/>
          <w:sz w:val="28"/>
          <w:sz w:val="28"/>
          <w:szCs w:val="28"/>
          <w:rtl w:val="true"/>
          <w:lang w:bidi="fa-IR"/>
        </w:rPr>
        <w:t>و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مدّعیاً علیه الإجماع </w:t>
      </w:r>
      <w:r>
        <w:rPr>
          <w:rStyle w:val="FootnoteAnchor"/>
          <w:rtl w:val="true"/>
        </w:rPr>
        <w:footnoteReference w:id="3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المتأخّرین کافّة </w:t>
      </w:r>
      <w:r>
        <w:rPr>
          <w:rStyle w:val="FootnoteAnchor"/>
          <w:rtl w:val="true"/>
        </w:rPr>
        <w:footnoteReference w:id="3134"/>
      </w:r>
      <w:r>
        <w:rPr>
          <w:rFonts w:ascii="Amiri" w:hAnsi="Amiri" w:eastAsia="Amiri" w:cs="Amiri"/>
          <w:color w:val="111111"/>
          <w:sz w:val="28"/>
          <w:sz w:val="28"/>
          <w:szCs w:val="28"/>
          <w:rtl w:val="true"/>
          <w:lang w:bidi="ar-SA"/>
        </w:rPr>
        <w:t>فإنّ مجرّد الملکیّة الغیر المستقرّة لا یعدّ سبیلاً،بل لم یعتبر الملکیّة إلّا مقدّمة للانعتاق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للمحکی عن المبسوط </w:t>
      </w:r>
      <w:r>
        <w:rPr>
          <w:rStyle w:val="FootnoteAnchor"/>
          <w:rtl w:val="true"/>
        </w:rPr>
        <w:footnoteReference w:id="3135"/>
      </w:r>
      <w:r>
        <w:rPr>
          <w:rFonts w:ascii="IRNazanin" w:hAnsi="IRNazanin" w:eastAsia="IRNazanin"/>
          <w:color w:val="111111"/>
          <w:sz w:val="28"/>
          <w:sz w:val="28"/>
          <w:szCs w:val="28"/>
          <w:rtl w:val="true"/>
          <w:lang w:bidi="fa-IR"/>
        </w:rPr>
        <w:t xml:space="preserve">و القاضی </w:t>
      </w:r>
      <w:r>
        <w:rPr>
          <w:rStyle w:val="FootnoteAnchor"/>
          <w:rtl w:val="true"/>
        </w:rPr>
        <w:footnoteReference w:id="3136"/>
      </w:r>
      <w:r>
        <w:rPr>
          <w:rFonts w:ascii="IRNazanin" w:hAnsi="IRNazanin" w:eastAsia="IRNazanin"/>
          <w:color w:val="111111"/>
          <w:sz w:val="28"/>
          <w:sz w:val="28"/>
          <w:szCs w:val="28"/>
          <w:rtl w:val="true"/>
          <w:lang w:bidi="fa-IR"/>
        </w:rPr>
        <w:t>،فمنعاه؛لأنّ الکافر لا یملک حتّی ینعتق؛لأنّ التملّک بمجرّده سبیل،و السیادة 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السلطنة غیر متحقّقة فی الخارج،و مجرّد الإقدام علی شرائه لینعتق،منّةٌ من الکافر علی المسلم،لکنّها غیر منفیّة </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الثانی،فیشکل بالعلم بفساد البیع علی تقدیری الصدق و الکذب؛لثبوت الخلل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فی المبیع لکونه حرّا،أو فی المشتری لکونه</w:t>
      </w:r>
      <w:bookmarkStart w:id="951" w:name="pg19763_248340"/>
    </w:p>
    <w:p>
      <w:pPr>
        <w:pStyle w:val="BookText"/>
        <w:rPr/>
      </w:pPr>
      <w:bookmarkEnd w:id="951"/>
      <w:r>
        <w:rPr>
          <w:rFonts w:ascii="IRNazanin" w:hAnsi="IRNazanin" w:eastAsia="IRNazanin"/>
          <w:color w:val="111111"/>
          <w:sz w:val="28"/>
          <w:sz w:val="28"/>
          <w:szCs w:val="28"/>
          <w:rtl w:val="true"/>
          <w:lang w:bidi="fa-IR"/>
        </w:rPr>
        <w:t xml:space="preserve">کافراً،فلا یُتصوّر صورة صحیحة لشراء من أقرّ بانعتاقه،إلّا أن نمنع </w:t>
      </w:r>
      <w:r>
        <w:rPr>
          <w:rStyle w:val="FootnoteAnchor"/>
          <w:rtl w:val="true"/>
        </w:rPr>
        <w:footnoteReference w:id="3138"/>
      </w:r>
      <w:r>
        <w:rPr>
          <w:rFonts w:ascii="IRNazanin" w:hAnsi="IRNazanin" w:eastAsia="IRNazanin"/>
          <w:color w:val="111111"/>
          <w:sz w:val="28"/>
          <w:sz w:val="28"/>
          <w:szCs w:val="28"/>
          <w:rtl w:val="true"/>
          <w:lang w:bidi="fa-IR"/>
        </w:rPr>
        <w:t>اعتبار مثل هذا العلم الإجمالی،فتأمّل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الثالث،فالمحکیّ عن المبسوط و الخلاف التصریح بالمنع </w:t>
      </w:r>
      <w:r>
        <w:rPr>
          <w:rStyle w:val="FootnoteAnchor"/>
          <w:rtl w:val="true"/>
        </w:rPr>
        <w:footnoteReference w:id="3139"/>
      </w:r>
      <w:r>
        <w:rPr>
          <w:rFonts w:ascii="IRNazanin" w:hAnsi="IRNazanin" w:eastAsia="IRNazanin"/>
          <w:color w:val="111111"/>
          <w:sz w:val="28"/>
          <w:sz w:val="28"/>
          <w:szCs w:val="28"/>
          <w:rtl w:val="true"/>
          <w:lang w:bidi="fa-IR"/>
        </w:rPr>
        <w:t>لما ذکر فی الأوّل</w:t>
      </w:r>
      <w:r>
        <w:rPr>
          <w:rFonts w:eastAsia="IRNazanin" w:cs="IRNazanin"/>
          <w:color w:val="111111"/>
          <w:sz w:val="28"/>
          <w:szCs w:val="28"/>
          <w:rtl w:val="true"/>
          <w:lang w:bidi="fa-IR"/>
        </w:rPr>
        <w:t>.</w:t>
      </w:r>
    </w:p>
    <w:p>
      <w:pPr>
        <w:pStyle w:val="Heading6"/>
        <w:numPr>
          <w:ilvl w:val="5"/>
          <w:numId w:val="1"/>
        </w:numPr>
        <w:rPr/>
      </w:pPr>
      <w:bookmarkStart w:id="952" w:name="__RefHeading___Toc5083148_2314609296"/>
      <w:bookmarkStart w:id="953" w:name="_Toc365"/>
      <w:bookmarkEnd w:id="952"/>
      <w:r>
        <w:rPr>
          <w:rtl w:val="true"/>
        </w:rPr>
        <w:t>و منها</w:t>
      </w:r>
      <w:r>
        <w:rPr>
          <w:rtl w:val="true"/>
        </w:rPr>
        <w:t xml:space="preserve">: </w:t>
      </w:r>
      <w:r>
        <w:rPr>
          <w:rtl w:val="true"/>
        </w:rPr>
        <w:t>ما لو اشترط البائع عتقه،</w:t>
      </w:r>
      <w:bookmarkEnd w:id="953"/>
    </w:p>
    <w:p>
      <w:pPr>
        <w:pStyle w:val="BookText"/>
        <w:rPr/>
      </w:pPr>
      <w:r>
        <w:rPr>
          <w:rFonts w:ascii="IRNazanin" w:hAnsi="IRNazanin" w:eastAsia="IRNazanin"/>
          <w:color w:val="111111"/>
          <w:sz w:val="28"/>
          <w:sz w:val="28"/>
          <w:szCs w:val="28"/>
          <w:rtl w:val="true"/>
          <w:lang w:bidi="fa-IR"/>
        </w:rPr>
        <w:t xml:space="preserve">فإنّ الجواز هنا محکیّ عن الدروس </w:t>
      </w:r>
      <w:r>
        <w:rPr>
          <w:rStyle w:val="FootnoteAnchor"/>
          <w:rtl w:val="true"/>
        </w:rPr>
        <w:footnoteReference w:id="3140"/>
      </w:r>
      <w:r>
        <w:rPr>
          <w:rFonts w:ascii="Amiri" w:hAnsi="Amiri" w:eastAsia="Amiri" w:cs="Amiri"/>
          <w:color w:val="111111"/>
          <w:sz w:val="28"/>
          <w:sz w:val="28"/>
          <w:szCs w:val="28"/>
          <w:rtl w:val="true"/>
          <w:lang w:bidi="ar-SA"/>
        </w:rPr>
        <w:t xml:space="preserve">و الروضة </w:t>
      </w:r>
      <w:r>
        <w:rPr>
          <w:rStyle w:val="FootnoteAnchor"/>
          <w:rtl w:val="true"/>
        </w:rPr>
        <w:footnoteReference w:id="3141"/>
      </w:r>
      <w:r>
        <w:rPr>
          <w:rFonts w:ascii="IRNazanin" w:hAnsi="IRNazanin" w:eastAsia="IRNazanin"/>
          <w:color w:val="111111"/>
          <w:sz w:val="28"/>
          <w:sz w:val="28"/>
          <w:szCs w:val="28"/>
          <w:rtl w:val="true"/>
          <w:lang w:bidi="fa-IR"/>
        </w:rPr>
        <w:t>،و فیه نظر؛فإنّ ملکیّته قبل الإعتاق سبیل و علوّ،بل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هذا،و بین إجباره علی بیعه،فی عدم انتفاء السبیل بمجرّد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حواشی الشهید </w:t>
      </w:r>
      <w:r>
        <w:rPr>
          <w:rStyle w:val="FootnoteAnchor"/>
          <w:rtl w:val="true"/>
        </w:rPr>
        <w:footnoteReference w:id="3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مجرّد الملک </w:t>
      </w:r>
      <w:r>
        <w:rPr>
          <w:rStyle w:val="FootnoteAnchor"/>
          <w:rtl w:val="true"/>
        </w:rPr>
        <w:footnoteReference w:id="3143"/>
      </w:r>
      <w:r>
        <w:rPr>
          <w:rFonts w:ascii="IRNazanin" w:hAnsi="IRNazanin" w:eastAsia="IRNazanin"/>
          <w:color w:val="111111"/>
          <w:sz w:val="28"/>
          <w:sz w:val="28"/>
          <w:szCs w:val="28"/>
          <w:rtl w:val="true"/>
          <w:lang w:bidi="fa-IR"/>
        </w:rPr>
        <w:t>،و یترتّب علیه عدم استثناء ما عدا صورة الإقرار بالحریّة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الملک المستقرّ و لو بالقابلیّة،کمشروط العتق،و یترتّب علیه استثناء ما عدا صورة اشتراط العتق</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bookmarkStart w:id="954" w:name="pg19763_248341"/>
    </w:p>
    <w:p>
      <w:pPr>
        <w:pStyle w:val="BookText"/>
        <w:rPr/>
      </w:pPr>
      <w:bookmarkEnd w:id="954"/>
      <w:r>
        <w:rPr>
          <w:rFonts w:ascii="IRNazanin" w:hAnsi="IRNazanin" w:eastAsia="IRNazanin"/>
          <w:color w:val="111111"/>
          <w:sz w:val="28"/>
          <w:sz w:val="28"/>
          <w:szCs w:val="28"/>
          <w:rtl w:val="true"/>
          <w:lang w:bidi="fa-IR"/>
        </w:rPr>
        <w:t>و المستقرّ فعلاً،و یترتّب علیه استثناء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 الأُمور أوسطها</w:t>
      </w:r>
      <w:r>
        <w:rPr>
          <w:rFonts w:eastAsia="IRNazanin" w:cs="IRNazanin"/>
          <w:color w:val="111111"/>
          <w:sz w:val="28"/>
          <w:szCs w:val="28"/>
          <w:rtl w:val="true"/>
          <w:lang w:bidi="fa-IR"/>
        </w:rPr>
        <w:t>.</w:t>
      </w:r>
    </w:p>
    <w:p>
      <w:pPr>
        <w:pStyle w:val="Heading6"/>
        <w:numPr>
          <w:ilvl w:val="5"/>
          <w:numId w:val="1"/>
        </w:numPr>
        <w:rPr/>
      </w:pPr>
      <w:bookmarkStart w:id="955" w:name="__RefHeading___Toc5083150_2314609296"/>
      <w:bookmarkStart w:id="956" w:name="_Toc366"/>
      <w:bookmarkEnd w:id="955"/>
      <w:r>
        <w:rPr>
          <w:rtl w:val="true"/>
        </w:rPr>
        <w:t>[</w:t>
      </w:r>
      <w:r>
        <w:rPr>
          <w:rtl w:val="true"/>
        </w:rPr>
        <w:t>حکم تملک الکافر للمسلم قهرا</w:t>
      </w:r>
      <w:r>
        <w:rPr>
          <w:rtl w:val="true"/>
        </w:rPr>
        <w:t>]</w:t>
      </w:r>
      <w:bookmarkEnd w:id="956"/>
    </w:p>
    <w:p>
      <w:pPr>
        <w:pStyle w:val="BookText"/>
        <w:rPr/>
      </w:pPr>
      <w:r>
        <w:rPr>
          <w:rFonts w:ascii="IRNazanin" w:hAnsi="IRNazanin" w:eastAsia="IRNazanin"/>
          <w:color w:val="111111"/>
          <w:sz w:val="28"/>
          <w:sz w:val="28"/>
          <w:szCs w:val="28"/>
          <w:rtl w:val="true"/>
          <w:lang w:bidi="fa-IR"/>
        </w:rPr>
        <w:t xml:space="preserve">ثمّ إنّ ما ذکرنا کلّه حکم ابتداء تملّک الکافر للمسلم </w:t>
      </w:r>
      <w:r>
        <w:rPr>
          <w:rStyle w:val="FootnoteAnchor"/>
          <w:rtl w:val="true"/>
        </w:rPr>
        <w:footnoteReference w:id="3144"/>
      </w:r>
      <w:r>
        <w:rPr>
          <w:rFonts w:ascii="IRNazanin" w:hAnsi="IRNazanin" w:eastAsia="IRNazanin"/>
          <w:color w:val="111111"/>
          <w:sz w:val="28"/>
          <w:sz w:val="28"/>
          <w:szCs w:val="28"/>
          <w:rtl w:val="true"/>
          <w:lang w:bidi="fa-IR"/>
        </w:rPr>
        <w:t xml:space="preserve">اختیاراً، أمّا التملّک القهری فیجوز ابتداءً،کما لو ورثه الکافر </w:t>
      </w:r>
      <w:r>
        <w:rPr>
          <w:rStyle w:val="FootnoteAnchor"/>
          <w:rtl w:val="true"/>
        </w:rPr>
        <w:footnoteReference w:id="3145"/>
      </w:r>
      <w:r>
        <w:rPr>
          <w:rFonts w:ascii="IRNazanin" w:hAnsi="IRNazanin" w:eastAsia="IRNazanin"/>
          <w:color w:val="111111"/>
          <w:sz w:val="28"/>
          <w:sz w:val="28"/>
          <w:szCs w:val="28"/>
          <w:rtl w:val="true"/>
          <w:lang w:bidi="fa-IR"/>
        </w:rPr>
        <w:t>من کافر اجبر علی البیع،فمات قبله،فإنّه لا ینعتق علیه و لا علی الکافر المیّت؛لأصالة بقاء رقّیته،بعد تعارض دلیل نفی السبیل و عموم أدلّة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 یثبت بهذا الأصل </w:t>
      </w:r>
      <w:r>
        <w:rPr>
          <w:rStyle w:val="FootnoteAnchor"/>
          <w:rtl w:val="true"/>
        </w:rPr>
        <w:footnoteReference w:id="3146"/>
      </w:r>
      <w:r>
        <w:rPr>
          <w:rFonts w:ascii="IRNazanin" w:hAnsi="IRNazanin" w:eastAsia="IRNazanin"/>
          <w:color w:val="111111"/>
          <w:sz w:val="28"/>
          <w:sz w:val="28"/>
          <w:szCs w:val="28"/>
          <w:rtl w:val="true"/>
          <w:lang w:bidi="fa-IR"/>
        </w:rPr>
        <w:t>تملّک الکافر،فیحتمل أن ینتقل إلی الإمام علیه السلام،بل هو مقتضی الجمع بین الأدلّة؛ضرورة أنّه إذا نُفی إرث الکافر بآیة نفی السبیل،کان المیّت بالنسبة إلی هذا المال ممّن لا وارث له فیرثه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التقریر یندفع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إرث الإمام علیه السلام منافٍ لعموم أدلّة ترتیب طبقات الإرث</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مقتضی نفی السبیل عدمَ إرث الکافر،یتحقّق نفی الوارث الذی هو مورد إرث الإمام علیه السلام،فإنّ الممنوع من الإرث کغیر الوارث</w:t>
      </w:r>
      <w:r>
        <w:rPr>
          <w:rFonts w:eastAsia="IRNazanin" w:cs="IRNazanin"/>
          <w:color w:val="111111"/>
          <w:sz w:val="28"/>
          <w:szCs w:val="28"/>
          <w:rtl w:val="true"/>
          <w:lang w:bidi="fa-IR"/>
        </w:rPr>
        <w:t>.</w:t>
      </w:r>
      <w:bookmarkStart w:id="957" w:name="pg19763_248342"/>
    </w:p>
    <w:p>
      <w:pPr>
        <w:pStyle w:val="BookText"/>
        <w:rPr/>
      </w:pPr>
      <w:bookmarkEnd w:id="957"/>
      <w:r>
        <w:rPr>
          <w:rFonts w:ascii="IRNazanin" w:hAnsi="IRNazanin" w:eastAsia="IRNazanin"/>
          <w:color w:val="111111"/>
          <w:sz w:val="28"/>
          <w:sz w:val="28"/>
          <w:szCs w:val="28"/>
          <w:rtl w:val="true"/>
          <w:lang w:bidi="fa-IR"/>
        </w:rPr>
        <w:t>فالعمدة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الاتّفاق المدّعی صریحاً فی جامع المقاصد </w:t>
      </w:r>
      <w:r>
        <w:rPr>
          <w:rStyle w:val="FootnoteAnchor"/>
          <w:rtl w:val="true"/>
        </w:rPr>
        <w:footnoteReference w:id="3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هل یلحق بالإرث کلّ مِلک قهریّ،أو لا یلحق،أو یفرّق بین ما کان سببه اختیاریاً و </w:t>
      </w:r>
      <w:r>
        <w:rPr>
          <w:rStyle w:val="FootnoteAnchor"/>
          <w:rtl w:val="true"/>
        </w:rPr>
        <w:footnoteReference w:id="3148"/>
      </w:r>
      <w:r>
        <w:rPr>
          <w:rFonts w:ascii="IRNazanin" w:hAnsi="IRNazanin" w:eastAsia="IRNazanin"/>
          <w:color w:val="111111"/>
          <w:sz w:val="28"/>
          <w:sz w:val="28"/>
          <w:szCs w:val="28"/>
          <w:rtl w:val="true"/>
          <w:lang w:bidi="fa-IR"/>
        </w:rPr>
        <w:t>غیره؟وجوه،خیرها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أوسطها،ثمّ أخیرها</w:t>
      </w:r>
      <w:r>
        <w:rPr>
          <w:rFonts w:eastAsia="IRNazanin" w:cs="IRNazanin"/>
          <w:color w:val="111111"/>
          <w:sz w:val="28"/>
          <w:szCs w:val="28"/>
          <w:rtl w:val="true"/>
          <w:lang w:bidi="fa-IR"/>
        </w:rPr>
        <w:t>.</w:t>
      </w:r>
    </w:p>
    <w:p>
      <w:pPr>
        <w:pStyle w:val="Heading6"/>
        <w:numPr>
          <w:ilvl w:val="5"/>
          <w:numId w:val="1"/>
        </w:numPr>
        <w:rPr/>
      </w:pPr>
      <w:bookmarkStart w:id="958" w:name="__RefHeading___Toc5083152_2314609296"/>
      <w:bookmarkStart w:id="959" w:name="_Toc367"/>
      <w:bookmarkEnd w:id="958"/>
      <w:r>
        <w:rPr>
          <w:rtl w:val="true"/>
        </w:rPr>
        <w:t>[</w:t>
      </w:r>
      <w:r>
        <w:rPr>
          <w:rtl w:val="true"/>
        </w:rPr>
        <w:t>عدم استقرار المسلم علی ملک الکافر و وجوب بیعه علیه</w:t>
      </w:r>
      <w:r>
        <w:rPr>
          <w:rtl w:val="true"/>
        </w:rPr>
        <w:t>]</w:t>
      </w:r>
      <w:bookmarkEnd w:id="959"/>
    </w:p>
    <w:p>
      <w:pPr>
        <w:pStyle w:val="BookText"/>
        <w:rPr/>
      </w:pPr>
      <w:r>
        <w:rPr>
          <w:rFonts w:ascii="IRNazanin" w:hAnsi="IRNazanin" w:eastAsia="IRNazanin"/>
          <w:color w:val="111111"/>
          <w:sz w:val="28"/>
          <w:sz w:val="28"/>
          <w:szCs w:val="28"/>
          <w:rtl w:val="true"/>
          <w:lang w:bidi="fa-IR"/>
        </w:rPr>
        <w:t>ثمّ إنّه لا إشکال و لا خلاف فی أنّه لا یقرّ المسلم علی ملک الکافر،بل یجب بیعه علیه؛لقوله علیه السلام فی عبدٍ کافرٍ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فبیعوه من المسلمین و ادفعوا إلیه ثمنه و لا تقرّوه عنده</w:t>
      </w:r>
      <w:r>
        <w:rPr>
          <w:rFonts w:eastAsia="IRNazanin" w:cs="IRNazanin"/>
          <w:color w:val="111111"/>
          <w:sz w:val="28"/>
          <w:szCs w:val="28"/>
          <w:rtl w:val="true"/>
          <w:lang w:bidi="fa-IR"/>
        </w:rPr>
        <w:t xml:space="preserve">» </w:t>
      </w:r>
      <w:r>
        <w:rPr>
          <w:rStyle w:val="FootnoteAnchor"/>
          <w:rtl w:val="true"/>
        </w:rPr>
        <w:footnoteReference w:id="3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لم یبعه باعه الحاکم،و یحتمل أن یکون ولایة البیع للحاکم مطلقاً؛لکون المالک غیر قابل للسلطنة علی هذا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أنّه دلّ النصّ و الفتوی علی تملّکه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ذکر فیها </w:t>
      </w:r>
      <w:r>
        <w:rPr>
          <w:rStyle w:val="FootnoteAnchor"/>
          <w:rtl w:val="true"/>
        </w:rPr>
        <w:footnoteReference w:id="3150"/>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یباع علیه </w:t>
      </w:r>
      <w:r>
        <w:rPr>
          <w:rStyle w:val="FootnoteAnchor"/>
          <w:rtl w:val="true"/>
        </w:rPr>
        <w:footnoteReference w:id="3151"/>
      </w:r>
      <w:r>
        <w:rPr>
          <w:rFonts w:ascii="IRNazanin" w:hAnsi="IRNazanin" w:eastAsia="IRNazanin"/>
          <w:color w:val="111111"/>
          <w:sz w:val="28"/>
          <w:sz w:val="28"/>
          <w:szCs w:val="28"/>
          <w:rtl w:val="true"/>
          <w:lang w:bidi="fa-IR"/>
        </w:rPr>
        <w:t xml:space="preserve">،بل صرّح فخر الدین قدّس سرّه فی الإیضاح بزوال ملک السیّد عنه،و یبقی له حقّ استیفاء الثمن منه </w:t>
      </w:r>
      <w:r>
        <w:rPr>
          <w:rStyle w:val="FootnoteAnchor"/>
          <w:rtl w:val="true"/>
        </w:rPr>
        <w:footnoteReference w:id="3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مخالف لظاهر النصّ و الفتوی،کما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کان،فإذا تولّاه المالک بنفسه </w:t>
      </w:r>
      <w:r>
        <w:rPr>
          <w:rStyle w:val="FootnoteAnchor"/>
          <w:rtl w:val="true"/>
        </w:rPr>
        <w:footnoteReference w:id="3153"/>
      </w:r>
      <w:r>
        <w:rPr>
          <w:rFonts w:ascii="IRNazanin" w:hAnsi="IRNazanin" w:eastAsia="IRNazanin"/>
          <w:color w:val="111111"/>
          <w:sz w:val="28"/>
          <w:sz w:val="28"/>
          <w:szCs w:val="28"/>
          <w:rtl w:val="true"/>
          <w:lang w:bidi="fa-IR"/>
        </w:rPr>
        <w:t xml:space="preserve">،فالظاهر أنّه لا خیار له و لا علیه،وفاقاً للمحکیّ عن الحواشی فی خیار المجلس و الشرط </w:t>
      </w:r>
      <w:r>
        <w:rPr>
          <w:rStyle w:val="FootnoteAnchor"/>
          <w:rtl w:val="true"/>
        </w:rPr>
        <w:footnoteReference w:id="3154"/>
      </w:r>
      <w:r>
        <w:rPr>
          <w:rFonts w:ascii="IRNazanin" w:hAnsi="IRNazanin" w:eastAsia="IRNazanin"/>
          <w:color w:val="111111"/>
          <w:sz w:val="28"/>
          <w:sz w:val="28"/>
          <w:szCs w:val="28"/>
          <w:rtl w:val="true"/>
          <w:lang w:bidi="fa-IR"/>
        </w:rPr>
        <w:t xml:space="preserve">لأنّه إحداث ملک فینتفی؛لعموم </w:t>
      </w:r>
      <w:r>
        <w:rPr>
          <w:rStyle w:val="FootnoteAnchor"/>
          <w:rtl w:val="true"/>
        </w:rPr>
        <w:footnoteReference w:id="3155"/>
      </w:r>
      <w:r>
        <w:rPr>
          <w:rFonts w:ascii="IRNazanin" w:hAnsi="IRNazanin" w:eastAsia="IRNazanin"/>
          <w:color w:val="111111"/>
          <w:sz w:val="28"/>
          <w:sz w:val="28"/>
          <w:szCs w:val="28"/>
          <w:rtl w:val="true"/>
          <w:lang w:bidi="fa-IR"/>
        </w:rPr>
        <w:t>نفی السبیل؛لتقدیمه علی أدلّة الخیار کما یقدّم علی أدلّة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یبتنی علی أنّ الزائل العائد کالذی لم یزل،أو کالذی لم یعد؟فإن قلنا بالأوّل،ثبت الخیار؛لأنّ فسخ العقد یجعل الملکیّة السابقة کأن لم تزل،و قد أمضاها الشارع و أمر بإزالتها،بخلاف ما لو کان الملکیّة الحاصلة غیر </w:t>
      </w:r>
      <w:r>
        <w:rPr>
          <w:rStyle w:val="FootnoteAnchor"/>
          <w:rtl w:val="true"/>
        </w:rPr>
        <w:footnoteReference w:id="3156"/>
      </w:r>
      <w:r>
        <w:rPr>
          <w:rFonts w:ascii="IRNazanin" w:hAnsi="IRNazanin" w:eastAsia="IRNazanin"/>
          <w:color w:val="111111"/>
          <w:sz w:val="28"/>
          <w:sz w:val="28"/>
          <w:szCs w:val="28"/>
          <w:rtl w:val="true"/>
          <w:lang w:bidi="fa-IR"/>
        </w:rPr>
        <w:t>السابقة،فإنّ الشارع لم یمضها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المبنی لیس بشیء؛لوجوب الاقتصار فی تخصیص نفی السبیل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نعم،یحکم بالأرش لو کان العبد أو ثمنه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فی الخیارات الناشئة عن الضرر؛من جهة قوّة أدلّة نفی الضرر،فلا یبعد الحکم بثبوت الخیار للمسلم المتضرّر من لزوم البیع، بخلاف ما لو تضرّر الکافر،فإنّ هذا الضرر إنّما حصل من کفره الموجب لعدم قابلیّته تملّک المسلم إلّا فیما خرج بالنصّ</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ممّا ذکرنا،حکم الرجوع فی العقد الجائز،کالهبة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فی ذلک کلّه جامع المقاصد،فحکم بثبوت الخیار و الردّ بالعیب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للدروس </w:t>
      </w:r>
      <w:r>
        <w:rPr>
          <w:rStyle w:val="FootnoteAnchor"/>
          <w:rtl w:val="true"/>
        </w:rPr>
        <w:footnoteReference w:id="3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العقد لا یخرج عن مقتضاه بکون المبیع عبداً مسلماً لکافر؛لانتفاء المقتضی؛لأنّ نفی السبیل لو اقتضی ذلک لاقتضی خروجه عن ملکه،فعلی هذا،لو کان البیع معاطاة فهی علی حکمها،و لو أخرجه عن ملکه بالهبة جرت فیه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للحاکم إلزامه بإسقاط نحو خیار المجلس أو مطالبته بسببٍ ناقلٍ یمنع الرجوع إذا </w:t>
      </w:r>
      <w:r>
        <w:rPr>
          <w:rStyle w:val="FootnoteAnchor"/>
          <w:rtl w:val="true"/>
        </w:rPr>
        <w:footnoteReference w:id="3158"/>
      </w:r>
      <w:r>
        <w:rPr>
          <w:rFonts w:ascii="IRNazanin" w:hAnsi="IRNazanin" w:eastAsia="IRNazanin"/>
          <w:color w:val="111111"/>
          <w:sz w:val="28"/>
          <w:sz w:val="28"/>
          <w:szCs w:val="28"/>
          <w:rtl w:val="true"/>
          <w:lang w:bidi="fa-IR"/>
        </w:rPr>
        <w:t xml:space="preserve">لم یلزم منه تخسیر للمال </w:t>
      </w:r>
      <w:r>
        <w:rPr>
          <w:rStyle w:val="FootnoteAnchor"/>
          <w:rtl w:val="true"/>
        </w:rPr>
        <w:footnoteReference w:id="315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ذکره </w:t>
      </w:r>
      <w:r>
        <w:rPr>
          <w:rStyle w:val="FootnoteAnchor"/>
          <w:rtl w:val="true"/>
        </w:rPr>
        <w:footnoteReference w:id="3160"/>
      </w:r>
      <w:r>
        <w:rPr>
          <w:rFonts w:ascii="IRNazanin" w:hAnsi="IRNazanin" w:eastAsia="IRNazanin"/>
          <w:color w:val="111111"/>
          <w:sz w:val="28"/>
          <w:sz w:val="28"/>
          <w:szCs w:val="28"/>
          <w:rtl w:val="true"/>
          <w:lang w:bidi="fa-IR"/>
        </w:rPr>
        <w:t xml:space="preserve">نظر؛لأنّ نفی السبیل لا یخرج منه إلّا الملک الابتدائی،و خروجه لا یستلزم خروج عود الملک إلیه بالفسخ،و استلزام البیع للخیارات لیس عقلیاً،بل تابع لدلیله الذی هو أضعف من دلیل صحّة العقد الذی خصّ بنفی السبیل،فهذا </w:t>
      </w:r>
      <w:r>
        <w:rPr>
          <w:rStyle w:val="FootnoteAnchor"/>
          <w:rtl w:val="true"/>
        </w:rPr>
        <w:footnoteReference w:id="3161"/>
      </w:r>
      <w:r>
        <w:rPr>
          <w:rFonts w:ascii="IRNazanin" w:hAnsi="IRNazanin" w:eastAsia="IRNazanin"/>
          <w:color w:val="111111"/>
          <w:sz w:val="28"/>
          <w:sz w:val="28"/>
          <w:szCs w:val="28"/>
          <w:rtl w:val="true"/>
          <w:lang w:bidi="fa-IR"/>
        </w:rPr>
        <w:t>أولی بالتخصیص به،مع أنّه علی تقدیر المقاومة یرجع إلی أصالة الملک و عدم زواله بالفسخ و الرجوع،فتأمّل</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أخیراً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إلزامه بما ذکر لیس بأولی من الحکم بعدم جواز الرجوع،فیکون </w:t>
      </w:r>
      <w:r>
        <w:rPr>
          <w:rStyle w:val="FootnoteAnchor"/>
          <w:rtl w:val="true"/>
        </w:rPr>
        <w:footnoteReference w:id="3162"/>
      </w:r>
      <w:r>
        <w:rPr>
          <w:rFonts w:ascii="IRNazanin" w:hAnsi="IRNazanin" w:eastAsia="IRNazanin"/>
          <w:color w:val="111111"/>
          <w:sz w:val="28"/>
          <w:sz w:val="28"/>
          <w:szCs w:val="28"/>
          <w:rtl w:val="true"/>
          <w:lang w:bidi="fa-IR"/>
        </w:rPr>
        <w:t>خروج المسلم من</w:t>
      </w:r>
    </w:p>
    <w:p>
      <w:pPr>
        <w:pStyle w:val="BookText"/>
        <w:rPr/>
      </w:pPr>
      <w:r>
        <w:rPr>
          <w:rFonts w:ascii="IRNazanin" w:hAnsi="IRNazanin" w:eastAsia="IRNazanin"/>
          <w:color w:val="111111"/>
          <w:sz w:val="28"/>
          <w:sz w:val="28"/>
          <w:szCs w:val="28"/>
          <w:rtl w:val="true"/>
          <w:lang w:bidi="fa-IR"/>
        </w:rPr>
        <w:t xml:space="preserve">ملک الکافر إلی ملک المسلم </w:t>
      </w:r>
      <w:r>
        <w:rPr>
          <w:rStyle w:val="FootnoteAnchor"/>
          <w:rtl w:val="true"/>
        </w:rPr>
        <w:footnoteReference w:id="3163"/>
      </w:r>
      <w:r>
        <w:rPr>
          <w:rFonts w:ascii="Amiri" w:hAnsi="Amiri" w:eastAsia="Amiri" w:cs="Amiri"/>
          <w:color w:val="111111"/>
          <w:sz w:val="28"/>
          <w:sz w:val="28"/>
          <w:szCs w:val="28"/>
          <w:rtl w:val="true"/>
          <w:lang w:bidi="ar-SA"/>
        </w:rPr>
        <w:t xml:space="preserve">بمنزلة التصرّف </w:t>
      </w:r>
      <w:r>
        <w:rPr>
          <w:rStyle w:val="FootnoteAnchor"/>
          <w:rtl w:val="true"/>
        </w:rPr>
        <w:footnoteReference w:id="3164"/>
      </w:r>
      <w:r>
        <w:rPr>
          <w:rFonts w:ascii="IRNazanin" w:hAnsi="IRNazanin" w:eastAsia="IRNazanin"/>
          <w:color w:val="111111"/>
          <w:sz w:val="28"/>
          <w:sz w:val="28"/>
          <w:szCs w:val="28"/>
          <w:rtl w:val="true"/>
          <w:lang w:bidi="fa-IR"/>
        </w:rPr>
        <w:t>المانع من الفسخ و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باعه من مسلم </w:t>
      </w:r>
      <w:r>
        <w:rPr>
          <w:rStyle w:val="FootnoteAnchor"/>
          <w:rtl w:val="true"/>
        </w:rPr>
        <w:footnoteReference w:id="3165"/>
      </w:r>
      <w:r>
        <w:rPr>
          <w:rFonts w:ascii="IRNazanin" w:hAnsi="IRNazanin" w:eastAsia="IRNazanin"/>
          <w:color w:val="111111"/>
          <w:sz w:val="28"/>
          <w:sz w:val="28"/>
          <w:szCs w:val="28"/>
          <w:rtl w:val="true"/>
          <w:lang w:bidi="fa-IR"/>
        </w:rPr>
        <w:t xml:space="preserve">بثوب ثمّ وجد فی الثمن </w:t>
      </w:r>
      <w:r>
        <w:rPr>
          <w:rStyle w:val="FootnoteAnchor"/>
          <w:rtl w:val="true"/>
        </w:rPr>
        <w:footnoteReference w:id="3166"/>
      </w:r>
      <w:r>
        <w:rPr>
          <w:rFonts w:ascii="Amiri" w:hAnsi="Amiri" w:eastAsia="Amiri" w:cs="Amiri"/>
          <w:color w:val="111111"/>
          <w:sz w:val="28"/>
          <w:sz w:val="28"/>
          <w:szCs w:val="28"/>
          <w:rtl w:val="true"/>
          <w:lang w:bidi="ar-SA"/>
        </w:rPr>
        <w:t xml:space="preserve">عیباً،جاز ردّ الثمن </w:t>
      </w:r>
      <w:r>
        <w:rPr>
          <w:rStyle w:val="FootnoteAnchor"/>
          <w:rtl w:val="true"/>
        </w:rPr>
        <w:footnoteReference w:id="3167"/>
      </w:r>
      <w:r>
        <w:rPr>
          <w:rFonts w:ascii="IRNazanin" w:hAnsi="IRNazanin" w:eastAsia="IRNazanin"/>
          <w:color w:val="111111"/>
          <w:sz w:val="28"/>
          <w:sz w:val="28"/>
          <w:szCs w:val="28"/>
          <w:rtl w:val="true"/>
          <w:lang w:bidi="fa-IR"/>
        </w:rPr>
        <w:t xml:space="preserve">،و هل یستردّ العبد أو القیمة؟فیه نظر ینشأ من کون الاسترداد تملّکاً للمسلم اختیاراً،و </w:t>
      </w:r>
      <w:r>
        <w:rPr>
          <w:rStyle w:val="FootnoteAnchor"/>
          <w:rtl w:val="true"/>
        </w:rPr>
        <w:footnoteReference w:id="3168"/>
      </w:r>
      <w:r>
        <w:rPr>
          <w:rFonts w:ascii="IRNazanin" w:hAnsi="IRNazanin" w:eastAsia="IRNazanin"/>
          <w:color w:val="111111"/>
          <w:sz w:val="28"/>
          <w:sz w:val="28"/>
          <w:szCs w:val="28"/>
          <w:rtl w:val="true"/>
          <w:lang w:bidi="fa-IR"/>
        </w:rPr>
        <w:t xml:space="preserve">من کون الردّ بالعیب موضوعاً علی القهر کالإرث </w:t>
      </w:r>
      <w:r>
        <w:rPr>
          <w:rStyle w:val="FootnoteAnchor"/>
          <w:rtl w:val="true"/>
        </w:rPr>
        <w:footnoteReference w:id="316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تأمّل،إلّا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الجمع بین أدلّة الخیار،و نفی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الخیار و الحکم بالقیمة،فیکون نفی السبیل مانعاً شرعیّاً من استرداد المثمن </w:t>
      </w:r>
      <w:r>
        <w:rPr>
          <w:rStyle w:val="FootnoteAnchor"/>
          <w:rtl w:val="true"/>
        </w:rPr>
        <w:footnoteReference w:id="3170"/>
      </w:r>
      <w:r>
        <w:rPr>
          <w:rFonts w:ascii="IRNazanin" w:hAnsi="IRNazanin" w:eastAsia="IRNazanin"/>
          <w:color w:val="111111"/>
          <w:sz w:val="28"/>
          <w:sz w:val="28"/>
          <w:szCs w:val="28"/>
          <w:rtl w:val="true"/>
          <w:lang w:bidi="fa-IR"/>
        </w:rPr>
        <w:t>،کنقل المبیع فی زمن الخیار،و کالتلف الذی هو مانع عقلیّ</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حسن إن لم یحصل السبیل بمجرّد استحقاق الکافر للمسلم</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المنکشف باستحقاق بدله؛و لذا حکموا بسقوط الخیار فی من ینعتق علی المشتری </w:t>
      </w:r>
      <w:r>
        <w:rPr>
          <w:rStyle w:val="FootnoteAnchor"/>
          <w:rtl w:val="true"/>
        </w:rPr>
        <w:footnoteReference w:id="317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960" w:name="pg19763_248347"/>
    </w:p>
    <w:p>
      <w:pPr>
        <w:pStyle w:val="Heading6"/>
        <w:numPr>
          <w:ilvl w:val="5"/>
          <w:numId w:val="1"/>
        </w:numPr>
        <w:rPr/>
      </w:pPr>
      <w:bookmarkStart w:id="961" w:name="__RefHeading___Toc5083154_2314609296"/>
      <w:bookmarkStart w:id="962" w:name="_Toc368"/>
      <w:bookmarkEnd w:id="960"/>
      <w:bookmarkEnd w:id="961"/>
      <w:r>
        <w:rPr>
          <w:rtl w:val="true"/>
        </w:rPr>
        <w:t>مسألة المشهور عدم جواز نقل المصحف إلی الکافر،</w:t>
      </w:r>
      <w:bookmarkEnd w:id="962"/>
    </w:p>
    <w:p>
      <w:pPr>
        <w:pStyle w:val="BookText"/>
        <w:rPr/>
      </w:pPr>
      <w:r>
        <w:rPr>
          <w:rFonts w:ascii="IRNazanin" w:hAnsi="IRNazanin" w:eastAsia="IRNazanin"/>
          <w:color w:val="111111"/>
          <w:sz w:val="28"/>
          <w:sz w:val="28"/>
          <w:szCs w:val="28"/>
          <w:rtl w:val="true"/>
          <w:lang w:bidi="fa-IR"/>
        </w:rPr>
        <w:t xml:space="preserve">ذکره الشیخ </w:t>
      </w:r>
      <w:r>
        <w:rPr>
          <w:rStyle w:val="FootnoteAnchor"/>
          <w:rtl w:val="true"/>
        </w:rPr>
        <w:footnoteReference w:id="3172"/>
      </w:r>
      <w:r>
        <w:rPr>
          <w:rFonts w:ascii="Amiri" w:hAnsi="Amiri" w:eastAsia="Amiri" w:cs="Amiri"/>
          <w:color w:val="111111"/>
          <w:sz w:val="28"/>
          <w:sz w:val="28"/>
          <w:szCs w:val="28"/>
          <w:rtl w:val="true"/>
          <w:lang w:bidi="ar-SA"/>
        </w:rPr>
        <w:t xml:space="preserve">و المحقّق </w:t>
      </w:r>
      <w:r>
        <w:rPr>
          <w:rStyle w:val="FootnoteAnchor"/>
          <w:rtl w:val="true"/>
        </w:rPr>
        <w:footnoteReference w:id="3173"/>
      </w:r>
      <w:r>
        <w:rPr>
          <w:rFonts w:ascii="IRNazanin" w:hAnsi="IRNazanin" w:eastAsia="IRNazanin"/>
          <w:color w:val="111111"/>
          <w:sz w:val="28"/>
          <w:sz w:val="28"/>
          <w:szCs w:val="28"/>
          <w:rtl w:val="true"/>
          <w:lang w:bidi="fa-IR"/>
        </w:rPr>
        <w:t xml:space="preserve">فی الجهاد،و العلّامة فی کتبه </w:t>
      </w:r>
      <w:r>
        <w:rPr>
          <w:rStyle w:val="FootnoteAnchor"/>
          <w:rtl w:val="true"/>
        </w:rPr>
        <w:footnoteReference w:id="3174"/>
      </w:r>
      <w:r>
        <w:rPr>
          <w:rFonts w:ascii="IRNazanin" w:hAnsi="IRNazanin" w:eastAsia="IRNazanin"/>
          <w:color w:val="111111"/>
          <w:sz w:val="28"/>
          <w:sz w:val="28"/>
          <w:szCs w:val="28"/>
          <w:rtl w:val="true"/>
          <w:lang w:bidi="fa-IR"/>
        </w:rPr>
        <w:t xml:space="preserve">و جمهور من تأخّر عنه </w:t>
      </w:r>
      <w:r>
        <w:rPr>
          <w:rStyle w:val="FootnoteAnchor"/>
          <w:rtl w:val="true"/>
        </w:rPr>
        <w:footnoteReference w:id="3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الإسکافی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أختار أن یرهن الکافر مصحفاً، و ما یجب </w:t>
      </w:r>
      <w:r>
        <w:rPr>
          <w:rStyle w:val="FootnoteAnchor"/>
          <w:rtl w:val="true"/>
        </w:rPr>
        <w:footnoteReference w:id="3176"/>
      </w:r>
      <w:r>
        <w:rPr>
          <w:rFonts w:ascii="IRNazanin" w:hAnsi="IRNazanin" w:eastAsia="IRNazanin"/>
          <w:color w:val="111111"/>
          <w:sz w:val="28"/>
          <w:sz w:val="28"/>
          <w:szCs w:val="28"/>
          <w:rtl w:val="true"/>
          <w:lang w:bidi="fa-IR"/>
        </w:rPr>
        <w:t xml:space="preserve">علی المسلم تعظیمه،و لا صغیراً من الأطفال </w:t>
      </w:r>
      <w:r>
        <w:rPr>
          <w:rStyle w:val="FootnoteAnchor"/>
          <w:rtl w:val="true"/>
        </w:rPr>
        <w:footnoteReference w:id="31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استدلّوا </w:t>
      </w:r>
      <w:r>
        <w:rPr>
          <w:rStyle w:val="FootnoteAnchor"/>
          <w:rtl w:val="true"/>
        </w:rPr>
        <w:footnoteReference w:id="3178"/>
      </w:r>
      <w:r>
        <w:rPr>
          <w:rFonts w:ascii="IRNazanin" w:hAnsi="IRNazanin" w:eastAsia="IRNazanin"/>
          <w:color w:val="111111"/>
          <w:sz w:val="28"/>
          <w:sz w:val="28"/>
          <w:szCs w:val="28"/>
          <w:rtl w:val="true"/>
          <w:lang w:bidi="fa-IR"/>
        </w:rPr>
        <w:t>علیه بوجوب احترام المصحف،و فحوی المنع من بیع</w:t>
      </w:r>
    </w:p>
    <w:p>
      <w:pPr>
        <w:pStyle w:val="BookText"/>
        <w:rPr/>
      </w:pPr>
      <w:r>
        <w:rPr>
          <w:rFonts w:ascii="IRNazanin" w:hAnsi="IRNazanin" w:eastAsia="IRNazanin"/>
          <w:color w:val="111111"/>
          <w:sz w:val="28"/>
          <w:sz w:val="28"/>
          <w:szCs w:val="28"/>
          <w:rtl w:val="true"/>
          <w:lang w:bidi="fa-IR"/>
        </w:rPr>
        <w:t>العبد المسلم من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ذکروه حسن و إن کان وجهه لا یخلو عن تأمّل أو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الأحادیث النبویّة بالمصحف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فی المبسوط </w:t>
      </w:r>
      <w:r>
        <w:rPr>
          <w:rStyle w:val="FootnoteAnchor"/>
          <w:rtl w:val="true"/>
        </w:rPr>
        <w:footnoteReference w:id="3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الکراهة کما هو صریح الشرائع </w:t>
      </w:r>
      <w:r>
        <w:rPr>
          <w:rStyle w:val="FootnoteAnchor"/>
          <w:rtl w:val="true"/>
        </w:rPr>
        <w:footnoteReference w:id="3180"/>
      </w:r>
      <w:r>
        <w:rPr>
          <w:rFonts w:ascii="IRNazanin" w:hAnsi="IRNazanin" w:eastAsia="IRNazanin"/>
          <w:color w:val="111111"/>
          <w:sz w:val="28"/>
          <w:sz w:val="28"/>
          <w:szCs w:val="28"/>
          <w:rtl w:val="true"/>
          <w:lang w:bidi="fa-IR"/>
        </w:rPr>
        <w:t xml:space="preserve">،و نسبه الصیمری إلی المشهور </w:t>
      </w:r>
      <w:r>
        <w:rPr>
          <w:rStyle w:val="FootnoteAnchor"/>
          <w:rtl w:val="true"/>
        </w:rPr>
        <w:footnoteReference w:id="3181"/>
      </w:r>
      <w:r>
        <w:rPr>
          <w:rFonts w:ascii="IRNazanin" w:hAnsi="IRNazanin" w:eastAsia="IRNazanin"/>
          <w:color w:val="111111"/>
          <w:sz w:val="28"/>
          <w:sz w:val="28"/>
          <w:szCs w:val="28"/>
          <w:rtl w:val="true"/>
          <w:lang w:bidi="fa-IR"/>
        </w:rPr>
        <w:t xml:space="preserve">،قولان،تردّد بینهما العلّامة فی التذکرة </w:t>
      </w:r>
      <w:r>
        <w:rPr>
          <w:rStyle w:val="FootnoteAnchor"/>
          <w:rtl w:val="true"/>
        </w:rPr>
        <w:footnoteReference w:id="3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یبعد أن یکون الأحادیث المنسوبة إلی النبیّ صلّی اللّٰه علیه و آله و سلم من طرق الآحاد،حکمها حکم ما علم صدوره منه صلّی اللّٰه علیه و آله و سلم،و إن کان ظاهر ما ألحقوه بالمصحف هو أقوال النبیّ صلّی اللّٰه علیه و آله و سلم المعلوم صدورها عنه صلّی اللّٰه علیه و آله و سلم</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کان،فحکم أحادیث الأئمة صلوات اللّٰه علیهم حکم أحادیث النبیّ صلّی اللّٰه علیه و آله و سلم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الجزء الثالث و یلیه الجزء الرابع و أوّله القول فی شرائط العوضین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تعیّن العوض و المعوّض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قدّس سرّه فی المبسوط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12:250</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عقد البیع و شروطه،الحدیث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12:275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الشیخ الکبیر قدّس سرّه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الوحید البهبهانی قدّس سرّه فی رسالته العملیة الموسومة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التجارة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الشهیدی فی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لم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کحقّ الحضانة و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من صاحب الجواهر،انظر الجواهر </w:t>
      </w:r>
      <w:r>
        <w:rPr>
          <w:rFonts w:eastAsia="IRNazanin" w:cs="IRNazanin"/>
          <w:b w:val="false"/>
          <w:bCs w:val="false"/>
          <w:i w:val="false"/>
          <w:iCs w:val="false"/>
          <w:color w:val="333333"/>
          <w:sz w:val="20"/>
          <w:szCs w:val="20"/>
        </w:rPr>
        <w:t>22:209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هذا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متشرّعة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غیرهما،انظر القواعد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و الفاضل المقداد فی التنقیح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بعینه،نعم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ذکر شرط التصریح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انعقاده بمثل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أدخلته فی ملکک أو جعلته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عند المحقّق الثانی،راجع جامع المقاصد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لأنّه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یشتمل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یعقل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ذمّة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ذمّته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شرح الإرشاد،علی ما حکاه عنه السیّد العاملی فی مفتاح الکرامة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ملکیّته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ادّعاه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المواضع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بالهبة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تملّکاً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ذکرنا تقدر علی إخراج القرض من التعریف؛إذ لیس المقصود الأصلی منه المعاوضة و المقابلة،فتأمّل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22:246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النسخ،إلّا أنّها زیدت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تصحیحاً أو استظهاراً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 فی حکم جریان المعاطاة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الضمان للمثل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المعاوضات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 القرض إلی 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عبارةٍ عن بعض النسخ ترتبط بإخراج القرض،و الظاهر أنّ المؤلف قدّس سرّه کتب أوّلاً تلک العبارة ثمّ أعرض عنها و بیّنها هنا بلفظٍ أوفی،فصار ذلک منشأً لاختلاف النسخ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ما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علیه،و لعلّه المحقّق النراقی،انظر المستند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التعقیب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اختاره العلّامة فی المختلف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بعض من قارب عصر المؤلّف قدّس سرّه،المشار إلیه آنفاً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ینقل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وردت العبارة فی سائر النسخ مع اختلاف غیر مخلّ فی التقدیم و التأخیر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ظاهراً الشیخ أسد اللّه التستری،راجع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یوجد له أثر فی اللغة و لا العرف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نفس الآمر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 فی أکثر النسخ بما فی المتن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جُمع بین ما أثبتناه و 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الثانی فی 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الروضة البهیّة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صاحب الجواهر فی الجواهر </w:t>
      </w:r>
      <w:r>
        <w:rPr>
          <w:rFonts w:eastAsia="IRNazanin" w:cs="IRNazanin"/>
          <w:b w:val="false"/>
          <w:bCs w:val="false"/>
          <w:i w:val="false"/>
          <w:iCs w:val="false"/>
          <w:color w:val="333333"/>
          <w:sz w:val="20"/>
          <w:szCs w:val="20"/>
        </w:rPr>
        <w:t>22:226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فیدفعه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بعض</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عن الحلبی،و الشیخ،و ابن زهرة،و ابن إدریس،و العلّامة فی التذکرة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الثانی فی 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خلافاً للمفید رحمه اللّه فإنّه جعلها کالعقد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 فی 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ظاهر عبارة المفید،و نحوه فی مجمع الفائدة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اشتهر نقل هذا عن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قال بعد أسطر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فیما وصل إلینا من کلام المفید تصریح بما نسب إلیه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صاحب الجواهر فی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أحمد و مالک،و أُنظر المغنی لابن قدامة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المختلف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لا یکاد یوجد کلام منهم یقبل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 فی الصفحة السابقة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صنعه بعض المعاصرین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یوجد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هنا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صراحة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التعاطی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الفتاوی الهندیة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التعریف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رکنه، فنوعان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الإیجاب و القبول،و الثانی التعاطی و هو الأخذ و الإعطاء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بتوقّفه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أنّه صحّح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فی المتن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النبیّ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المصدر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اشترط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یُقصد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بقوله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یقصده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اختلاف النسخ فی هذه العبارة،انظر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الأصحاب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تعالی أَحَلَّ اللّٰهُ الْبَیْعَ یتناولها؛لأنّها بیع بالاتّفاق حتی من القائلین بفسادها؛لأنّهم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بیع فاسد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هو</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فاسدة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الصراحة کالأقوال،و إنّما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یتحقّق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إحداهما فی مقابل الأُخری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لهذه الوجوه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زکاة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الشیخ فی 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الجاریة لا تملک بالهدیة العاریة عن الإیجاب و القبول،و لا یحلّ وطؤها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المامقانی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العبارة بتمامها قد 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المصنّف قدّس سرّه فی نسخته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الشیخ قدّس سرّه فی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یکون بیعاً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الحلّی فی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یکون بیعاً و لا عقداً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 فی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توجیه المحقّق الثانی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مصرّح بذلک،نعم قال العلّامة قدّس سرّه فی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 البیع اللزوم،و إنّما یخرج عن أصله بأمرین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خیار،و ظهور عیب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،و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،و تقدّم کلامهما فی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الشهیدی فی شرحه بعد ذکر توجیهٍ للعبارة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فالظاهر بل المتعیّن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بالصیغة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غلط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هو المعروف بین المتأخّرین من أنّ المعاطاة لیست بیعاً حقیقة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ظاهر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عن ظاهر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ظاهر عن المفید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حسن بن السیّد جعفر،علی ما فی مفتاح الکرامة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،و قد حکاه الشهید الثانی عنه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کان بعض مشایخنا المعاصرین یذهب إلی ذلک،المسالک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المحدّث البحرانی فی الحدائق </w:t>
      </w:r>
      <w:r>
        <w:rPr>
          <w:rFonts w:eastAsia="IRNazanin" w:cs="IRNazanin"/>
          <w:b w:val="false"/>
          <w:bCs w:val="false"/>
          <w:i w:val="false"/>
          <w:iCs w:val="false"/>
          <w:color w:val="333333"/>
          <w:sz w:val="20"/>
          <w:szCs w:val="20"/>
        </w:rPr>
        <w:t>18:355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حاشیة منه قدّس سرّه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عباراتهم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من أجاز المعاطاة سوّغ أنواع التصرّفات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،حیث قرّب فیها کون حکم المعاطاة حکم المقبوض بالعقود الفاسدة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عن التحریر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العبارة لا تخلو من تأمّل،و المعنی واضح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الأردبیلی فی مجمع الفائدة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المحدّث الکاشانی فی المفاتیح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18:350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المحقّق النراقی فی المستند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 نفی عنه البُعد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دالّة بالمطابقة عرفاً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 فی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استدراکاً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التزمه المحقّق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فیقال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ترتّب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فیوجّه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للفقیه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فیملک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صحّح بعضها طبقاً لما أثبتناه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المقاصّة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یتعلّق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صحّح بعضها طبقاً لما أثبتناه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التفریط</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فعجیب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علمٍ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شمول العین له غیر خفیّ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تملیک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 للشیخ الکبیر 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الوجوه المذکورة لا تنهض</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المعاملات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المبایعات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عدم ترتّب الأثر علیه یحکم به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بالقیمة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صحّحت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المختلف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غیرها،و المحقّق الثانی فی جامع المقاصد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،و الفاضل المقداد فی التنقیح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 انظر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شبههما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دفعها بمخالفتها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،الباب الأوّل من کتاب الودیعة،الحدیث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بوقوعه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التالف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13:303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الأوّل، و انظر الوسائل </w:t>
      </w:r>
      <w:r>
        <w:rPr>
          <w:rFonts w:eastAsia="IRNazanin" w:cs="IRNazanin"/>
          <w:b w:val="false"/>
          <w:bCs w:val="false"/>
          <w:i w:val="false"/>
          <w:iCs w:val="false"/>
          <w:color w:val="333333"/>
          <w:sz w:val="20"/>
          <w:szCs w:val="20"/>
        </w:rPr>
        <w:t>12:358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التالف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البائع،إلّا أنّه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فی المتن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التملیک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شرح الشهیدی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 أنّ نسخة المصنّف رحمه اللّه صحّحت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بالأخذ</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ممّا ذکرنا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إنّک ممّا ذکرنا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قواعد الشهید،کما تقدّم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کالمحدّث البحرانی فی الحدائق </w:t>
      </w:r>
      <w:r>
        <w:rPr>
          <w:rFonts w:eastAsia="IRNazanin" w:cs="IRNazanin"/>
          <w:b w:val="false"/>
          <w:bCs w:val="false"/>
          <w:i w:val="false"/>
          <w:iCs w:val="false"/>
          <w:color w:val="333333"/>
          <w:sz w:val="20"/>
          <w:szCs w:val="20"/>
        </w:rPr>
        <w:t>18:355</w:t>
      </w:r>
      <w:r>
        <w:rPr>
          <w:rFonts w:ascii="IRNazanin" w:hAnsi="IRNazanin" w:eastAsia="IRNazanin"/>
          <w:b w:val="false"/>
          <w:b w:val="false"/>
          <w:bCs w:val="false"/>
          <w:i w:val="false"/>
          <w:i w:val="false"/>
          <w:iCs w:val="false"/>
          <w:color w:val="333333"/>
          <w:sz w:val="20"/>
          <w:sz w:val="20"/>
          <w:szCs w:val="20"/>
          <w:rtl w:val="true"/>
        </w:rPr>
        <w:t xml:space="preserve">،و لم نعثر علی غیره،و قد تقدّم فی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متأخری المحدّثین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التفصیل فی أقسام التملیک بین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تشمل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الملکیة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ملکه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أشار بذلک إلی ما أفاده فی التذکرة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 بیع کلّ ما فیه منفعة؛لأنّ الملک سبب لإطلاق التصرّف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إلی ما أفاده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فائدة الملک استباحة وجوه الانتفاعات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یحلّ مال امرئ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فی تحف العقول مرسلاً عن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یحلّ لمؤمنٍ مال أخیه إلّا عن طیب نفسٍ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 عند دفع التوهّم عن الاستدلال بقوله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مسلّطون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النسخ،و وردت فی هامش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استظهاراً، و قد أیّد الشهیدی قدّس سرّه ضرورة هذه الزیادة،انظر 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التسلّط</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النواقل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12:345</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الخیار،الحدیث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،و تفسیر العیاشی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16:206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النذر و العهد،الحدیث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9:309</w:t>
      </w:r>
      <w:r>
        <w:rPr>
          <w:rFonts w:ascii="IRNazanin" w:hAnsi="IRNazanin" w:eastAsia="IRNazanin"/>
          <w:b w:val="false"/>
          <w:b w:val="false"/>
          <w:bCs w:val="false"/>
          <w:i w:val="false"/>
          <w:i w:val="false"/>
          <w:iCs w:val="false"/>
          <w:color w:val="333333"/>
          <w:sz w:val="20"/>
          <w:sz w:val="20"/>
          <w:szCs w:val="20"/>
          <w:rtl w:val="true"/>
        </w:rPr>
        <w:t xml:space="preserve">،و القاموس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البحرین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 إلزام الشیء و التزامه فی البیع و نحوه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الأردبیلی فی مجمع الفائدة </w:t>
      </w:r>
      <w:r>
        <w:rPr>
          <w:rFonts w:eastAsia="IRNazanin" w:cs="IRNazanin"/>
          <w:b w:val="false"/>
          <w:bCs w:val="false"/>
          <w:i w:val="false"/>
          <w:iCs w:val="false"/>
          <w:color w:val="333333"/>
          <w:sz w:val="20"/>
          <w:szCs w:val="20"/>
        </w:rPr>
        <w:t>8:144</w:t>
      </w:r>
      <w:r>
        <w:rPr>
          <w:rFonts w:ascii="IRNazanin" w:hAnsi="IRNazanin" w:eastAsia="IRNazanin"/>
          <w:b w:val="false"/>
          <w:b w:val="false"/>
          <w:bCs w:val="false"/>
          <w:i w:val="false"/>
          <w:i w:val="false"/>
          <w:iCs w:val="false"/>
          <w:color w:val="333333"/>
          <w:sz w:val="20"/>
          <w:sz w:val="20"/>
          <w:szCs w:val="20"/>
          <w:rtl w:val="true"/>
        </w:rPr>
        <w:t xml:space="preserve">،و المحدّث الکاشانی فی مفاتیح الشرائع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المحکیّة عن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،و فیه بعد نقل عبارة 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 هذا تصریح بصحّته إلّا أنّه موهم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المحکیّ عنه أنّه قال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5:309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النطق معتبر فی العقود اللازمة بالإجماع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حکاه عنه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الأردبیلی فی مجمع الفائدة </w:t>
      </w:r>
      <w:r>
        <w:rPr>
          <w:rFonts w:eastAsia="IRNazanin" w:cs="IRNazanin"/>
          <w:b w:val="false"/>
          <w:bCs w:val="false"/>
          <w:i w:val="false"/>
          <w:iCs w:val="false"/>
          <w:color w:val="333333"/>
          <w:sz w:val="20"/>
          <w:szCs w:val="20"/>
        </w:rPr>
        <w:t>8:139</w:t>
      </w:r>
      <w:r>
        <w:rPr>
          <w:rFonts w:ascii="IRNazanin" w:hAnsi="IRNazanin" w:eastAsia="IRNazanin"/>
          <w:b w:val="false"/>
          <w:b w:val="false"/>
          <w:bCs w:val="false"/>
          <w:i w:val="false"/>
          <w:i w:val="false"/>
          <w:iCs w:val="false"/>
          <w:color w:val="333333"/>
          <w:sz w:val="20"/>
          <w:sz w:val="20"/>
          <w:szCs w:val="20"/>
          <w:rtl w:val="true"/>
        </w:rPr>
        <w:t xml:space="preserve">،و غیره،راجع الصفحة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منتفیة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یعتبر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أمتن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ینعقد الإجماع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التملیک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12:114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به،و الصفحة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قد یظهر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أکثر النسخ فی المتن و فی بعضها فی الهامش،لکن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باللزوم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التهذیب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لا وجه له؛لأنّ الخبر مذکور بتمامه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12:376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العقود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التحریم و التحلیل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حرمة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هذا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و المساقاة،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خالد بن جریر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7:194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13:201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 أنّ الحدیث ورد مختلفاً فی النسخ،و مع تقدیمٍ و تأخیر فی بعضها،فلذلک أثبتناه طبقاً 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هی مطابقة مع المصدر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تحریمه و تحلیله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العقود،الحدیث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وجوداً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اُرابحک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المحدّث الکاشانی قدّس سرّه فی الوافی </w:t>
      </w:r>
      <w:r>
        <w:rPr>
          <w:rFonts w:eastAsia="IRNazanin" w:cs="IRNazanin"/>
          <w:b w:val="false"/>
          <w:bCs w:val="false"/>
          <w:i w:val="false"/>
          <w:iCs w:val="false"/>
          <w:color w:val="333333"/>
          <w:sz w:val="20"/>
          <w:szCs w:val="20"/>
        </w:rPr>
        <w:t>18:693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18131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العقود،الحدیث الأوّل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الظاهر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الملک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تقدّم عن الخلاف فی الصفحة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عن السرائر و الغنیة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إجماعهم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الصفحتین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التملیک ظ،و هکذا أثبته المامقانی قدّس سرّه فی حاشیته، انظر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قدّس سرّه،انظر الجواهر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یقصد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للإباحة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لیشترط</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العامّة و الخاصّة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مقروءة،و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أفتی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استکمل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18:356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البیع مطلقاً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لخیار أو لتقایل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صریح فی قوله بعدم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باعتبار الشرط المذکور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من یراها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بعدها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إلحاق منه 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إلحاق منه رحمه اللّه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فیجری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الأمر السابع،الصفحة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 علی المشیئة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الثانی فی 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 الشیخ الکبیر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22:238</w:t>
      </w:r>
      <w:r>
        <w:rPr>
          <w:rFonts w:ascii="IRNazanin" w:hAnsi="IRNazanin" w:eastAsia="IRNazanin"/>
          <w:b w:val="false"/>
          <w:b w:val="false"/>
          <w:bCs w:val="false"/>
          <w:i w:val="false"/>
          <w:i w:val="false"/>
          <w:iCs w:val="false"/>
          <w:color w:val="333333"/>
          <w:sz w:val="20"/>
          <w:sz w:val="20"/>
          <w:szCs w:val="20"/>
          <w:rtl w:val="true"/>
        </w:rPr>
        <w:t xml:space="preserve">،و یظهر من المحدّث البحرانی و السید العاملی أیضاً،انظر الحدائق </w:t>
      </w:r>
      <w:r>
        <w:rPr>
          <w:rFonts w:eastAsia="IRNazanin" w:cs="IRNazanin"/>
          <w:b w:val="false"/>
          <w:bCs w:val="false"/>
          <w:i w:val="false"/>
          <w:iCs w:val="false"/>
          <w:color w:val="333333"/>
          <w:sz w:val="20"/>
          <w:szCs w:val="20"/>
        </w:rPr>
        <w:t>18:364</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فی المتن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إباحة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البیع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الفعلیّین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کالخضریات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قصد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المثمن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7:103</w:t>
      </w:r>
      <w:r>
        <w:rPr>
          <w:rFonts w:ascii="IRNazanin" w:hAnsi="IRNazanin" w:eastAsia="IRNazanin"/>
          <w:b w:val="false"/>
          <w:b w:val="false"/>
          <w:bCs w:val="false"/>
          <w:i w:val="false"/>
          <w:i w:val="false"/>
          <w:iCs w:val="false"/>
          <w:color w:val="333333"/>
          <w:sz w:val="20"/>
          <w:sz w:val="20"/>
          <w:szCs w:val="20"/>
          <w:rtl w:val="true"/>
        </w:rPr>
        <w:t xml:space="preserve">،و القاموس </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بصفة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تأنیث الضمیر باعتبار الخبر،کما هی طریقة المصنّف قدّس سرّه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الصلح،الحدیث الأوّل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استدلّوا بالروایة المذکورة علی صحّة المصالحة مع جهالة المصطلحین بما وقعت فیه المنازعة،انظر المسالک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26:216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لآخر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مملّکاً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مملّکاً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 تملیک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الإیجاب و القبول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أنشأ نفسه بإزاء ما تملّکه،فیکون تملیک،بل دفعٌ لما التزمه علی الإیجاب و القبول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تملیک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لداعی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لا یتصوّر أن یبیع ملک غیره لنفسه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مفقودان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 توکیل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 الشهیدی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بعض النسخ المصحّحة،انظر 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 قبوله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 قبولٍ له،کما صرّح به فی التذکرة بأن یقول الرجل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التملیک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الشرعی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الأحکام؛للآمدی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الوافیة فی 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 المبیع فی ملکه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هکذا فی سائر النسخ مع اختلافٍ یسیر،إلّا أنّه صُحّح فی بعضها بما فی المتن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قدّس سرّه،انظر الجواهر </w:t>
      </w:r>
      <w:r>
        <w:rPr>
          <w:rFonts w:eastAsia="IRNazanin" w:cs="IRNazanin"/>
          <w:b w:val="false"/>
          <w:bCs w:val="false"/>
          <w:i w:val="false"/>
          <w:iCs w:val="false"/>
          <w:color w:val="333333"/>
          <w:sz w:val="20"/>
          <w:szCs w:val="20"/>
        </w:rPr>
        <w:t>23:174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علی التصریح بذلک إلّا فی موردٍ واحد،و هو حکم التسلیم و القبض، انظر القواعد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هذا التعلیل فی المورد المتقدّم،نعم قال فی کتاب الرهن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بعه لنفسک بطل الإذن؛لأنّه لا یتصوّر أن یبیع ملک غیره لنفسه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سیأتی نقل المؤلف لهذا المطلب بعینه من کتب العلّامة لا خصوص القواعد،فی الصفحة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بمال غیره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یکفی فی الدلالة مجرّد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العتق،و </w:t>
      </w:r>
      <w:r>
        <w:rPr>
          <w:rFonts w:eastAsia="IRNazanin" w:cs="IRNazanin"/>
          <w:b w:val="false"/>
          <w:bCs w:val="false"/>
          <w:i w:val="false"/>
          <w:iCs w:val="false"/>
          <w:color w:val="333333"/>
          <w:sz w:val="20"/>
          <w:szCs w:val="20"/>
        </w:rPr>
        <w:t>12:248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البیع،و عوالی اللآلی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الحجّ،و 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النحل،و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الإسراء،و من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ورد فی الوسائل </w:t>
      </w:r>
      <w:r>
        <w:rPr>
          <w:rFonts w:eastAsia="IRNazanin" w:cs="IRNazanin"/>
          <w:b w:val="false"/>
          <w:bCs w:val="false"/>
          <w:i w:val="false"/>
          <w:iCs w:val="false"/>
          <w:color w:val="333333"/>
          <w:sz w:val="20"/>
          <w:szCs w:val="20"/>
        </w:rPr>
        <w:t>16:182</w:t>
      </w:r>
      <w:r>
        <w:rPr>
          <w:rFonts w:ascii="IRNazanin" w:hAnsi="IRNazanin" w:eastAsia="IRNazanin"/>
          <w:b w:val="false"/>
          <w:b w:val="false"/>
          <w:bCs w:val="false"/>
          <w:i w:val="false"/>
          <w:i w:val="false"/>
          <w:iCs w:val="false"/>
          <w:color w:val="333333"/>
          <w:sz w:val="20"/>
          <w:sz w:val="20"/>
          <w:szCs w:val="20"/>
          <w:rtl w:val="true"/>
        </w:rPr>
        <w:t>،کتاب النذر و العهد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مؤثّرة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محمد الرازی البویهی،من تلامذة العلّامة الحلّی قدّس سرّه،و روی عنه الشهید قدّس سرّه،و هو من أولاد أبی جعفر ابن بابویه،ذکره الشهید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 إجازاته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ریاض العلماء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المثمن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ذلک ممّا قالاه فی حاشیتهما علی القواعد،علی ما حکاه عنهما السیّد العاملی فی مفتاح الکرامة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لعلّ تذکیر الضمیر باعتبار عوده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النحو</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الإباحة المعوضة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لمناسبته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الصلح،الحدیث الأوّل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عمله،و استحقّ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عمله استحقّ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ملخّص</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یرضی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بکون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 أمّا الجواز</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یرتبط بالأوّلین فی الصفحة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أمّا بالنسبة إلی القرض فلیراجع جامع المقاصد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قدّس سرّه فی کتاب الرهن من الدروس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فَرِهٰانٌ مَقْبُوضَةٌ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 مثل ما ورد فی الوسائل </w:t>
      </w:r>
      <w:r>
        <w:rPr>
          <w:rFonts w:eastAsia="IRNazanin" w:cs="IRNazanin"/>
          <w:b w:val="false"/>
          <w:bCs w:val="false"/>
          <w:i w:val="false"/>
          <w:iCs w:val="false"/>
          <w:color w:val="333333"/>
          <w:sz w:val="20"/>
          <w:szCs w:val="20"/>
        </w:rPr>
        <w:t>13:121</w:t>
      </w:r>
      <w:r>
        <w:rPr>
          <w:rFonts w:ascii="IRNazanin" w:hAnsi="IRNazanin" w:eastAsia="IRNazanin"/>
          <w:b w:val="false"/>
          <w:b w:val="false"/>
          <w:bCs w:val="false"/>
          <w:i w:val="false"/>
          <w:i w:val="false"/>
          <w:iCs w:val="false"/>
          <w:color w:val="333333"/>
          <w:sz w:val="20"/>
          <w:sz w:val="20"/>
          <w:szCs w:val="20"/>
          <w:rtl w:val="true"/>
        </w:rPr>
        <w:t>،کتاب الرهن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بعدم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المحدّث البحرانی فی الحدائق </w:t>
      </w:r>
      <w:r>
        <w:rPr>
          <w:rFonts w:eastAsia="IRNazanin" w:cs="IRNazanin"/>
          <w:b w:val="false"/>
          <w:bCs w:val="false"/>
          <w:i w:val="false"/>
          <w:iCs w:val="false"/>
          <w:color w:val="333333"/>
          <w:sz w:val="20"/>
          <w:szCs w:val="20"/>
        </w:rPr>
        <w:t>18:362</w:t>
      </w:r>
      <w:r>
        <w:rPr>
          <w:rFonts w:ascii="IRNazanin" w:hAnsi="IRNazanin" w:eastAsia="IRNazanin"/>
          <w:b w:val="false"/>
          <w:b w:val="false"/>
          <w:bCs w:val="false"/>
          <w:i w:val="false"/>
          <w:i w:val="false"/>
          <w:iCs w:val="false"/>
          <w:color w:val="333333"/>
          <w:sz w:val="20"/>
          <w:sz w:val="20"/>
          <w:szCs w:val="20"/>
          <w:rtl w:val="true"/>
        </w:rPr>
        <w:t xml:space="preserve">،و الشیخ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التمسّک بعموم علی الید هنا فی غیر محلّه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للجواز</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الفاضل النراقی فی المستند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یمکن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یمکن أن یمنع أصالة عدم الضمان بالمثل أو القیمة؛لأنّ ضمان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العینین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عائداً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استظهار ذلک عن قطب الدین و الشهید قدّس سرّهما فی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للکشف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سائر النسخ،ففی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لانتقال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انتقال العین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عوده إلی مالکه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عاد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یفسد،و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فیفسد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القائلین بلزوم المعاطاة کما تقدّم عنهم فی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فیلغو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ینبغی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شرح الشهیدی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یلغی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لا إشکال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 یتحقّق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الفاضل النراقی فی المستند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حکی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الصیغة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ظاهره کصریح جماعة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هو السیّد العاملی فی مفتاح الکرامة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لترتّبها،و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 فی المتن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العلم به و بالرجوع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مع ثبوت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لمال الآخر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 فی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بالتراضی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صُحّح فی الأخیر بما أثبتناه فی المتن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یستحقّه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تملیک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لاعتقاده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رضاه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المحقّق التستری،انظر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ما أفاده السیّد العاملی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إذا علم الرضا من أوّل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المباحات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فیها عبارة الترحیم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التقابض</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أربابها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 أکثرها ما أثبتناه فی المتن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 ذی المقدّمة فی الصفحة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عرفت هذا فلنذکر ألفاظ الإیجاب و القبول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شطب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السیّد ابن زهرة فی الصفحة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عن المحقّق الکرکی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یُحلّل الکلام و یحرّم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العقود،الحدیث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غیر ذلک،و راجع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15:299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الطلاق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للملکیة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15:299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الطلاق،الحدیث الأوّل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الکبیر کاشف الغطاء،انظر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صحیحة البزنطی المشار إلیها فی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حیث اللغة المستعملة فی معنی المعاملة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الصریح</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یزد إلّا مثالاً واحداً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أعطیتک إیّاه بکذا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ذلک السیّد العاملی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أُستاذه الشریف السیّد 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بعدم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الجواهر، انظر الجواهر </w:t>
      </w:r>
      <w:r>
        <w:rPr>
          <w:rFonts w:eastAsia="IRNazanin" w:cs="IRNazanin"/>
          <w:b w:val="false"/>
          <w:bCs w:val="false"/>
          <w:i w:val="false"/>
          <w:iCs w:val="false"/>
          <w:color w:val="333333"/>
          <w:sz w:val="20"/>
          <w:szCs w:val="20"/>
        </w:rPr>
        <w:t>22:249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المحقّقین فی إیضاح الفوائد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انعقاد النکاح و ألفاظه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ألفاظ الطلاق</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تقدّمت الإشارة إلیها فی المعاطاة،راجع الصفحة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نصّ فتاوی بعضهم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،و قد تقدّمت ترجمة الشخص المذکور فی الصفحة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حکاه عنهما السیّد العاملی فی مفتاح الکرامة </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،لکنّ الموجود فیهما لا یوافقه،انظر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یوجد لدینا،لکن حکاه عنه السیّد العاملی فی مفتاح الکرامة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یدّعی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الثانی قدّس سرّه فی المسالک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صرّح بذلک العلّامة قدّس سرّه فی التذکرة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،و الشهید الأوّل فی الدروس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من صرّح بانعقاده بهذه الصیغة،إلّا أنّ الشهیدین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ولّیتک السلعة،احتمل الجواز،انظر الدروس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الشهیدان فی الدروس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،و اللمعة و شرحها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تقبیل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الروضة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،و نسبه فی المسالک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ظاهر الأصحاب،و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 إلی صریح جماعة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،و الشهیدان فی الدروس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،و العلّامة فی التحریر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،و الشهیدان فی اللمعة و شرحها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،و المحقّق 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التذکرة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الفاضل المقداد فی التنقیح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مفتاح الکرامة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،و أُنظر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الأردبیلی فی مجمع الفائدة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،لکن قیّده بانضمام شیء یدلّ علی الإجارة،و صاحب الروض علی ما نقله السیّد العاملی فی مفتاح الکرامة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27:205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،و الشهید فی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،و العلّامة فی التذکرة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7:299</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،و الشهیدین فی اللمعة و شرحها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xml:space="preserve">،و انظر مفتاح الکرامة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المسالک </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فی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،و فیه بعد التردّد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جوازه أرجح،و العلّامة فی القواعد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الشهید فی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فی المتن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للقرینة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حکایته عن العلّامة بحر العلوم فی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xml:space="preserve">،و انظر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الأولی أن یراد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تفاهم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الوجه الأوّل من الوجوه الأربعة فی معنی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یحلّل الکلام و یحرّم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التوجیه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بما یرادفها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کانت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 الاستمتاع</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عقد لازم وضع له الشارع صیغة مخصوصة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کلامه فی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المخاطب لا یدری بِمَ خوطب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بالمنقولة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ألفاظ ثلاثة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تمیّز</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کثرة استعماله فی البیع وصلت إلی حدّ تغنیها عن القرینة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إشکال فی وقوع البیع به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6:2391</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7:103</w:t>
      </w:r>
      <w:r>
        <w:rPr>
          <w:rFonts w:ascii="IRNazanin" w:hAnsi="IRNazanin" w:eastAsia="IRNazanin"/>
          <w:b w:val="false"/>
          <w:b w:val="false"/>
          <w:bCs w:val="false"/>
          <w:i w:val="false"/>
          <w:i w:val="false"/>
          <w:iCs w:val="false"/>
          <w:color w:val="333333"/>
          <w:sz w:val="20"/>
          <w:sz w:val="20"/>
          <w:szCs w:val="20"/>
          <w:rtl w:val="true"/>
        </w:rPr>
        <w:t xml:space="preserve">،و القاموس المحیط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ملکه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کاشتراه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اشتراه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شرح الإرشاد،علی ما حکاه عنه السیّد العاملی فی مفتاح الکرامة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الثانی فی الروضة البهیة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التحریر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،و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فتعیّن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المتقدّمة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یستشکل فیه بقلّة استعماله عرفاً فی البیع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بذلک إلی ما ذکره فی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الاعتماد علیه فی متفاهم المتعاقدین رجوع عمّا بنی علیه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بغلبته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السیّد العاملی فی مفتاح الکرامة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،لکنّ الموجود فی الجامع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3:1189</w:t>
      </w:r>
      <w:r>
        <w:rPr>
          <w:rFonts w:ascii="IRNazanin" w:hAnsi="IRNazanin" w:eastAsia="IRNazanin"/>
          <w:b w:val="false"/>
          <w:b w:val="false"/>
          <w:bCs w:val="false"/>
          <w:i w:val="false"/>
          <w:i w:val="false"/>
          <w:iCs w:val="false"/>
          <w:color w:val="333333"/>
          <w:sz w:val="20"/>
          <w:sz w:val="20"/>
          <w:szCs w:val="20"/>
          <w:rtl w:val="true"/>
        </w:rPr>
        <w:t>،و 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القاموس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،و انظر نهایة الإحکام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حواشیه،علی ما فی مفتاح الکرامة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،و کنز العرفان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التمکّن من العربی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عن فخر الدین علی ما فی مفتاح الکرامة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 الثانی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یعتبر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النسخ،إلّا أنّها زیدت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الأقوی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صُحّح فی بعضها بما فی المتن،و الظاهر أنّ الکلمة وردت فی النسخة الأصلیة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الفاضل المامقانی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أثبتها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کأنّه سهو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یخفی، انظر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شرح الشهیدی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یقصد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یکتفی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تعیینه نظراً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الأردبیلی فی مجمع الفائدة </w:t>
      </w:r>
      <w:r>
        <w:rPr>
          <w:rFonts w:eastAsia="IRNazanin" w:cs="IRNazanin"/>
          <w:b w:val="false"/>
          <w:bCs w:val="false"/>
          <w:i w:val="false"/>
          <w:iCs w:val="false"/>
          <w:color w:val="333333"/>
          <w:sz w:val="20"/>
          <w:szCs w:val="20"/>
        </w:rPr>
        <w:t>8:145</w:t>
      </w:r>
      <w:r>
        <w:rPr>
          <w:rFonts w:ascii="IRNazanin" w:hAnsi="IRNazanin" w:eastAsia="IRNazanin"/>
          <w:b w:val="false"/>
          <w:b w:val="false"/>
          <w:bCs w:val="false"/>
          <w:i w:val="false"/>
          <w:i w:val="false"/>
          <w:iCs w:val="false"/>
          <w:color w:val="333333"/>
          <w:sz w:val="20"/>
          <w:sz w:val="20"/>
          <w:szCs w:val="20"/>
          <w:rtl w:val="true"/>
        </w:rPr>
        <w:t xml:space="preserve">،و المحدّث الکاشانی فی مفاتیح الشرائع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العلّامة فی المختلف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الکامل فلا یوجد لدینا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المهذّب فلم نقف فیه علی ما یدلّ علی المطلب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12:262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14:197</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عقد النکاح،الحدیث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المتعة،و غیرهما من الأبواب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المختلف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أَوْفُوا بِالْعُقُودِ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المحقّق الثانی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القبول مبنیّ علی الإیجاب،انظر جامع المقاصد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صحّح فی بعضها بما فی المتن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،و حاشیة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الأردبیلی فی مجمع الفائدة </w:t>
      </w:r>
      <w:r>
        <w:rPr>
          <w:rFonts w:eastAsia="IRNazanin" w:cs="IRNazanin"/>
          <w:b w:val="false"/>
          <w:bCs w:val="false"/>
          <w:i w:val="false"/>
          <w:iCs w:val="false"/>
          <w:color w:val="333333"/>
          <w:sz w:val="20"/>
          <w:szCs w:val="20"/>
        </w:rPr>
        <w:t>8:145</w:t>
      </w:r>
      <w:r>
        <w:rPr>
          <w:rFonts w:ascii="IRNazanin" w:hAnsi="IRNazanin" w:eastAsia="IRNazanin"/>
          <w:b w:val="false"/>
          <w:b w:val="false"/>
          <w:bCs w:val="false"/>
          <w:i w:val="false"/>
          <w:i w:val="false"/>
          <w:iCs w:val="false"/>
          <w:color w:val="333333"/>
          <w:sz w:val="20"/>
          <w:sz w:val="20"/>
          <w:szCs w:val="20"/>
          <w:rtl w:val="true"/>
        </w:rPr>
        <w:t>،و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18:349</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22:254</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رسوله،و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المتعة،الحدیث الأوّل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الثانی فی المسالک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7:242</w:t>
      </w:r>
      <w:r>
        <w:rPr>
          <w:rFonts w:ascii="IRNazanin" w:hAnsi="IRNazanin" w:eastAsia="IRNazanin"/>
          <w:b w:val="false"/>
          <w:b w:val="false"/>
          <w:bCs w:val="false"/>
          <w:i w:val="false"/>
          <w:i w:val="false"/>
          <w:iCs w:val="false"/>
          <w:color w:val="333333"/>
          <w:sz w:val="20"/>
          <w:sz w:val="20"/>
          <w:szCs w:val="20"/>
          <w:rtl w:val="true"/>
        </w:rPr>
        <w:t xml:space="preserve">،باب النکاح علی تعلیم القرآن،و انظر الکافی </w:t>
      </w:r>
      <w:r>
        <w:rPr>
          <w:rFonts w:eastAsia="IRNazanin" w:cs="IRNazanin"/>
          <w:b w:val="false"/>
          <w:bCs w:val="false"/>
          <w:i w:val="false"/>
          <w:iCs w:val="false"/>
          <w:color w:val="333333"/>
          <w:sz w:val="20"/>
          <w:szCs w:val="20"/>
        </w:rPr>
        <w:t>5:380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7:354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عرفت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لدینا،و حکاه السیّد العاملی فی مفتاح الکرامة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ذلک عنهما السیّد العاملی فی مفتاح الکرامة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xml:space="preserve">،و أُنظر نهایة الإحکام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،و کشف اللثام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العاملی فی مفتاح الکرامة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،و السیّد المجاهد فی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إلیه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باب النکاح،لکن لم نقف فی مسألة تقدیم الإیجاب علی القبول علی ما یظهر منه الإجماع،و الموجود فیه أنّه نقل المنع عن أحمد و نفی عنه البأس،انظر التذکرة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رکنٌ للعقد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فی سائر النسخ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 الرضا بالإیجاب سواء تحقّق قبل ذلک أم لا،حیث إنّ الرضا بشیءٍ لا یستلزم تحقّقه فی الماضی،فقد یرضی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بعض الکلمات و صُحّحت العبارة بنحو ما أثبتناه فی المتن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الإیجاب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،لکن إلی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قد ذکره الأُستاذ دام ظلّه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 قبل الرضا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 من شرحی المامقانی و الشهیدی أنّ الموجود فی نسختیهما هو ما أثبتناه،انظر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 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،و قد تقدّم فی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إلیها فی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فی الوسیلة علی هذا التفصیل،و لکن عدّ فیها من شرائط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الإیجاب علی القبول،انظر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،نعم صرّح بذلک العلّامة فی نهایة الإحکام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،و لعلّ التشابه بین رمز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رمز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منشأً لاشتباه النسّاخ،و یؤیّد هذا الاحتمال تأخیر ذکرها عن السرائر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الغنیة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،و التردید من السیّد العاملی فی مفتاح الکرامة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الإیجاب و القبول و الماضویة فیهما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 إلینا مشعراً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الرجل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عوالی اللآلی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7:242</w:t>
      </w:r>
      <w:r>
        <w:rPr>
          <w:rFonts w:ascii="IRNazanin" w:hAnsi="IRNazanin" w:eastAsia="IRNazanin"/>
          <w:b w:val="false"/>
          <w:b w:val="false"/>
          <w:bCs w:val="false"/>
          <w:i w:val="false"/>
          <w:i w:val="false"/>
          <w:iCs w:val="false"/>
          <w:color w:val="333333"/>
          <w:sz w:val="20"/>
          <w:sz w:val="20"/>
          <w:szCs w:val="20"/>
          <w:rtl w:val="true"/>
        </w:rPr>
        <w:t>،باب النکاح علی تعلیم القرآن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المغنی؛لابن قدامة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اخترناه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ما إذا خلت المعاملة عن الإنشاء،و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کالتبایع</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،و انظر نهایة الإحکام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مرادهم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عقد البیع</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،هکذا وردت الکلمة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 أو تصحیف،فإنّه قد تقدّم آنفاً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الحلبی أطلق،و لم یذکر تقدیم الإیجاب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الأوّل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،کما تقدّم فی صدر المسألة، و الشهید الثانی فی المسالک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سقوط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،کتاب البیوع،ذیل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قبولها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نکحت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لشیء</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التزاماً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مستقبل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الإیجاب إنشاء للنقل، و القبول إنشاء للانتقال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القبول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نحوهما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الالتزام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محیت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الإقراض</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،فی النکاح و الخلع</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الشهید الأوّل فقد صرّح بذلک فی کتاب الوقف من الدروس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و قال فی کتاب البیع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یقدح تخلّل آنٍ أو تنفّسٍ أو سعال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الشهید الثانی فقد صرّح بذلک فی الهبة و الخلع من المسالک، انظر المسالک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9:384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،فی الخلع،و جامع المقاصد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،فی البیع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المستثنی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النووی،انظر المجموع </w:t>
      </w:r>
      <w:r>
        <w:rPr>
          <w:rFonts w:eastAsia="IRNazanin" w:cs="IRNazanin"/>
          <w:b w:val="false"/>
          <w:bCs w:val="false"/>
          <w:i w:val="false"/>
          <w:iCs w:val="false"/>
          <w:color w:val="333333"/>
          <w:sz w:val="20"/>
          <w:szCs w:val="20"/>
        </w:rPr>
        <w:t>17:307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الإرشاد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خلالها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یصدق</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استأنف،و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استؤنف</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المعاقدة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مطابق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أفاده فی القاعدة المشار إلیها آنفاً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مأخوذة من اعتبار الاتّصال بین الاستثناء و المستثنی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منها قوله فی القاعدة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مأخوذ من قاعدة المقتضی فی أُصول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منها قوله فی القاعدة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لعلّهما مأخوذان من قاعدة جواز النسخ قبل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منها قوله فی القاعدة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أصله الأخذ بالاحتیاط غالباً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ککونه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،کتاب الوکالة،المسألة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و شرحها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8:180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الحلیّ فی الشرائع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المحقّق 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المحدّث الکاشانی فی مفاتیح الشرائع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7:526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الاتّفاق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حکاه السیّد العاملی فی مفتاح الکرامة </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التحریر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،و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المحدّث الکاشانی فی مفاتیح الشرائع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صحّة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وکیلی فی أن تبیع عبدی یوم الجمعة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 عدم صحّة،و شطب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،و العبارة منقولة بالمعنی،کما صرّح بذلک المحقّق المامقانی، انظر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المسالک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تبعه السیّد العاملی فی مفتاح الکرامة </w:t>
      </w:r>
      <w:r>
        <w:rPr>
          <w:rFonts w:eastAsia="IRNazanin" w:cs="IRNazanin"/>
          <w:b w:val="false"/>
          <w:bCs w:val="false"/>
          <w:i w:val="false"/>
          <w:iCs w:val="false"/>
          <w:color w:val="333333"/>
          <w:sz w:val="20"/>
          <w:szCs w:val="20"/>
        </w:rPr>
        <w:t>7:527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نیطت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الشرط</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8:305</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الوکیل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 بکذا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القول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النقل عن هؤلاء الأعلام فی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بأیدینا من کتابه و لا علی الحاکی عنه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الحاکی هو السیّد العاملی فی مفتاح الکرامة </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کإلزام بعض</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التزامه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بصورة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صحّحت بما أثبتناه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 الفوائد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23:198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أَحَلَّ اللّٰهُ الْبَیْعَ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مسلّطون علی أموالهم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الشرط المشکوک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بالتوقیف</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التنجّز</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محلّلة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أمته ابنه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دنانیر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تحقّقه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فی الأمر الظاهری الشرعی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غیرها من کتب الأُصول فی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إجزاء الأمر الظاهری عن الواقعی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بالاختلال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ذلک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الکبیر کاشف الغطاء فی 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التمیّز</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إنمائها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کالمتلف</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القبوض</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الشیخ علی فی حواشی الروضة فی تفسیر القاعدة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 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لعلّ المراد من الشیخ علی المذکور هو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حفید صاحب المعالم،انظر الذریعة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المحقّق الثانی فی جامع المقاصد </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 الکلمة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اشترط</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 و غیرها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المامقانی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تعریض بما فی شرح القواعد،انظر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 شرح القواعد للشیخ الکبیر 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21:489</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غیرها،و سوف یجیء الکلام فی المسألة عند التعرّض للإشکال فی اطّراد القاعدة فی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الریاض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رتب</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الثانی فی جامع المقاصد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xml:space="preserve">،عن حواشی الشهید،و لکنّها لا توجد لدینا،و نقله الشهید الثانی أیضاً فی المسالک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حسن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الشهید الثانی فی المسالک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القیمة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عنهما فی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الید ما أخذت حتی تؤدّی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17:309</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الغصب،الحدیث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عوالی اللآلی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امرئ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،مع اختلافٍ فی اللفظ،و عوالی اللآلی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8:599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یصحّ</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13:390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ورد فی الوسائل </w:t>
      </w:r>
      <w:r>
        <w:rPr>
          <w:rFonts w:eastAsia="IRNazanin" w:cs="IRNazanin"/>
          <w:b w:val="false"/>
          <w:bCs w:val="false"/>
          <w:i w:val="false"/>
          <w:iCs w:val="false"/>
          <w:color w:val="333333"/>
          <w:sz w:val="20"/>
          <w:szCs w:val="20"/>
        </w:rPr>
        <w:t>17:340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اللتین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النقض،فهو ما أفاده فی الصفحة السابقة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فدلیل الإقدام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منقوض طرداً و عکساً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الاعتراض،فهو ما ذکره فی الصفحة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لأنّهما إنّما أقدما و تراضیا و تواطئا بالعقد الفاسد علی ضمان خاص لا الضمان بالمثل أو القیمة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،لکنّه نفی فیه استحقاق المسمّی،و أمّا اجرة المثل فقد نسب إلی قومٍ ثبوته و إلی آخرین سقوطه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،و ولده فخر المحقّقین فی الإیضاح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وجوب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 لا 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المشتری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،هذا و قد وردت الکلمة فی أکثر النسخ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لکنّنا لم نقف علیه فی السرائر،فراجع</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المحقّق فی الشرائع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،و الشهیدین فی اللمعة و شرحها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الأردبیلی فی مجمع الفائدة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،و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شرط الدخول فی المبیع</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الأولویة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 استدراکاً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یجری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تقریبه فی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واضحة،و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استأمنه به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الشهیدی فی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بهذا الدلیل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الظاهر من عبارة المصنّف فیما بعد عدم عثوره علیه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13:227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الودیعة،و الصفحة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الإجارة،الحدیث الأوّل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الودیعة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لیس لک أن تتّهمه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سائر النسخ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القیمة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 إلی عدم جواز التصرّف،لا إلی نفی الخلاف، کما صرّح به المحقّق المامقانی،انظر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17:309</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الغصب،الحدیث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،باختلافٍ فی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فی عوالی اللآلی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جواب الشرط،و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انتفی الإذن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قبضه معلّلاً بأنّه قبضه بإذن مالکه،و قد تقدّم أیضاً من التحریر التصریح بعدم الإثم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لعلّها کانت حاشیة خلطت بالمتن،و یشهد لذلک عدم تقدّم کلام من التحریر فی المسألة،و لم نقف فی التحریر أیضاً علی التصریح بعدم الإثم فی الإمساک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لأخیه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لفظ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رأیت لو أنّ الدار احترقت من مال من کانت تکون الدار،دار المشتری؟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فی الدلالة الحدیث الأوّل من هذا الباب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الرهن،الحدیث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النبوی المرسل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 بالضمان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14:591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الغصب،الحدیث الأوّل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بدایة المجتهد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إلیک نصّها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البیع الفاسد یجری عند المحصّلین مجری الغصب فی الضمان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إشکال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لقبض</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المؤلّف قدّس سرّه إلی بعض من کتب علی الشرائع،انظر الصفحة الآتیة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من المعلوم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المصدر،الحدیث الأوّل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فیحصل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ثوباً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بقیت تحت یده مدّة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غلبته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الغصب،الحدیث الأوّل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6:131</w:t>
      </w:r>
      <w:r>
        <w:rPr>
          <w:rFonts w:ascii="IRNazanin" w:hAnsi="IRNazanin" w:eastAsia="IRNazanin"/>
          <w:b w:val="false"/>
          <w:b w:val="false"/>
          <w:bCs w:val="false"/>
          <w:i w:val="false"/>
          <w:i w:val="false"/>
          <w:iCs w:val="false"/>
          <w:color w:val="333333"/>
          <w:sz w:val="20"/>
          <w:sz w:val="20"/>
          <w:szCs w:val="20"/>
          <w:rtl w:val="true"/>
        </w:rPr>
        <w:t>،و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الفاضل الآبی فی کشف الرموز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أبی العباس فی المهذّب البارع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،و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الشهید الثانی فی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،و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لعلّه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یساوی،لکن عن الأزهری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عربیّاً صحیحاً،انظر المصباح المنیر،مادّة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لعلّه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یساوی،لکن عن الأزهری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عربیّاً صحیحاً،انظر المصباح المنیر،مادّة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الشهید الثانی فی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 قیمة نصفیه عن قیمة المجموع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 قیمة نصفه عن قیمة المجموع</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الحنطة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الأردبیلی فی مجمع الفائدة </w:t>
      </w:r>
      <w:r>
        <w:rPr>
          <w:rFonts w:eastAsia="IRNazanin" w:cs="IRNazanin"/>
          <w:b w:val="false"/>
          <w:bCs w:val="false"/>
          <w:i w:val="false"/>
          <w:iCs w:val="false"/>
          <w:color w:val="333333"/>
          <w:sz w:val="20"/>
          <w:szCs w:val="20"/>
        </w:rPr>
        <w:t>10:522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للأجزاء</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متساویة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الصنف الآخر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بعینه،و لعلّه ینظر إلی ما قاله الشهید الثانی و غیره فی المثلی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المثل ما یتساوی قیمة أجزائه،أی أجزاء النوع الواحد منه،انظر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،و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قلّما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حکی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xml:space="preserve">،و انظر التحریر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یتفاوت صفاته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نقف علی غیره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اللفظ للأخیر،و حکاه عنهما السیّد العاملی فی مفتاح الکرامة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تتساوی</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،و المغنی؛لابن قدامة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،و المحلّی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مغنی المحتاج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ما بأیدینا من کتب العامّة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متشرّعة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6:245</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،و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،و العلّامة فی التحریر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،و نسبه الشهید الثانی إلی المشهور،انظر المسالک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،و مثله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هکذا الکلام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المحقّق القمیّ فی جامع الشتات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6:249</w:t>
      </w:r>
      <w:r>
        <w:rPr>
          <w:rFonts w:ascii="IRNazanin" w:hAnsi="IRNazanin" w:eastAsia="IRNazanin"/>
          <w:b w:val="false"/>
          <w:b w:val="false"/>
          <w:bCs w:val="false"/>
          <w:i w:val="false"/>
          <w:i w:val="false"/>
          <w:iCs w:val="false"/>
          <w:color w:val="333333"/>
          <w:sz w:val="20"/>
          <w:sz w:val="20"/>
          <w:szCs w:val="20"/>
          <w:rtl w:val="true"/>
        </w:rPr>
        <w:t xml:space="preserve">،و انظر جامع المقاصد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6:243</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10:522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تعیین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،کتاب الغصب،المسألة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المناقشة من السیّد الطباطبائی فی الریاض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استظهار الضمان بالمثل عرفاً من إطلاقات أدلّة الضمان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یمکن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،کتاب السلم،المسألة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القیمیة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الاستظهار العرفی و الآیة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یخفی،انظر 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لاقتضائها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الشهید قدّس سرّه فی الدروس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،و لکنّه فیما لو خرج المثلی عن القیمة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فی القواعد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مثالی إتلاف الکرباس و إتلاف العبد،المتقدّمین فی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لو فرض نقصان قیمة المثل عن قیمة التالف نقصاناً فاحشاً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إلیه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یمکن أن یقال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أنّ اللازم علی مَن علیه دراهم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الشهیدی بعد نقل هذه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فی النسخ المصحّحة،انظر 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استدراکاً،و یشهد علی وجودها فی الأصل أنّ المامقانی و الشهیدی قدّس سرّهما نقلاها فی شرحهما و علّقا علیها،انظر غایة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 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 فی الأمر السابع</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ذمّة المالک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کاللحوم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الحبوب</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فی القواعد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عبارته فی صدر المسألة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فحینئذٍ</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أفاده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وجهه عموم النصّ و الفتوی بوجوب المثل فی المثلی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السیّد العاملی فی مفتاح الکرامة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ذکرنا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الإیضاح</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المثلی</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،قال بعد نقل أقوال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یبعد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الأحوط هو القول الأوّل؛لأنّ القائل به أکثر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به العلّامة فی المختلف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المشهور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العبرة بقیمة یوم دفع قیمة المثل المتعذّر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المثلی</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الأصحّ أنّ المعتبر أقصی قیمةٍ من وقت الغصب إلی تعذّر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،و انظر التذکرة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بیانها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 الأکثر المحقّق فی الشرائع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،و العلّامة فی التحریر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فی المبسوط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غیرهم،انظر مفتاح الکرامة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دفع قیمة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الشهیدی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جعله فی القواعد رابع الاحتمالات؛فإنّه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أقصی القیم من وقت الغصب إلی وقت دفع القیمة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یُعلم أنّ الصواب فی عبارة المصنّف 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دفع القیمة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دفع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تقدیر صحّة النسخة فلا بدّ من الالتزام بتقدیر القیمة مضافة إلی المثل،یعنی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قیمة المثل المفروض تعذّره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المثلی</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ثمن المثل یوم الإعواز،راجع السرائر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التخریج عنهم فی الصفحة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أدائها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 تعذّر أدائه المتدارک لارتفاع القیم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زائد،و ورد فی هامشها تصحیحاً العبارة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التلف فی القیمی،کذلک ارتفاع القیمة مع بقاء العین أو المثل مضمون بشرط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هذه العبارة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یشترط</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فحیث</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أداء مثله عند تلفه کردّ عینه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إنّ تلف العین یسقط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شطب علیها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،و انظر مغنی المحتاج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طرأ فیه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وجود المثل</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استدامته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یقال</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ذکر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ما فی الوسائل </w:t>
      </w:r>
      <w:r>
        <w:rPr>
          <w:rFonts w:eastAsia="IRNazanin" w:cs="IRNazanin"/>
          <w:b w:val="false"/>
          <w:bCs w:val="false"/>
          <w:i w:val="false"/>
          <w:iCs w:val="false"/>
          <w:color w:val="333333"/>
          <w:sz w:val="20"/>
          <w:szCs w:val="20"/>
        </w:rPr>
        <w:t>17:308</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الغصب، و مستدرک الوسائل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،الباب الأوّل من أبواب الغصب</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المتعذّر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یبذل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بمقدار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المقاصد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الشهید فی الدروس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الشهید الثانی فی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 لا إشکال فی أنّه إذا ارتفع تعذّر ردّ العین و صار ممکناً وجب ردّها إلی مالکها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حکایة الاتّفاق،نعم استظهر السیّد المجاهد عدم الخلاف بین الأصحاب،راجع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17:372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اللقطة،الحدیث الأوّل، و </w:t>
      </w:r>
      <w:r>
        <w:rPr>
          <w:rFonts w:eastAsia="IRNazanin" w:cs="IRNazanin"/>
          <w:b w:val="false"/>
          <w:bCs w:val="false"/>
          <w:i w:val="false"/>
          <w:iCs w:val="false"/>
          <w:color w:val="333333"/>
          <w:sz w:val="20"/>
          <w:szCs w:val="20"/>
        </w:rPr>
        <w:t>18:538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الحدود و التعزیرات،الحدیث الأوّل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أبی جمهور فی عوالی اللآلی عن النبیّ صلّی اللّه علیه و آله و سلم مع اختلافٍ فی اللفظ،انظر عوالی اللآلی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عنه فی مستدرک الوسائل </w:t>
      </w:r>
      <w:r>
        <w:rPr>
          <w:rFonts w:eastAsia="IRNazanin" w:cs="IRNazanin"/>
          <w:b w:val="false"/>
          <w:bCs w:val="false"/>
          <w:i w:val="false"/>
          <w:iCs w:val="false"/>
          <w:color w:val="333333"/>
          <w:sz w:val="20"/>
          <w:szCs w:val="20"/>
        </w:rPr>
        <w:t>15:461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لفظ الحدیث موجود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التعارف</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 مواردها فی الصفحة السابقة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،کتاب الغصب،المسألة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السرائر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مماثل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و عن ظاهر الشیخ و المحقّق،السیّد العاملی فی مفتاح الکرامة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،لکنّه استحسن ضمان المثل بعد أن أفتی بضمان القیمة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6:243</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ظاهراً ما تقدّم فی 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أعتق شقصاً من عبد قُوّم علیه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13:129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الرهن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إلیها فی هامش الصفحة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الإسکافی و الشیخ و المحقّق قدّس سرّهم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،و انظر الجواهر </w:t>
      </w:r>
      <w:r>
        <w:rPr>
          <w:rFonts w:eastAsia="IRNazanin" w:cs="IRNazanin"/>
          <w:b w:val="false"/>
          <w:bCs w:val="false"/>
          <w:i w:val="false"/>
          <w:iCs w:val="false"/>
          <w:color w:val="333333"/>
          <w:sz w:val="20"/>
          <w:szCs w:val="20"/>
        </w:rPr>
        <w:t>37:105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المورد،نعم أورده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یقال</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یکون عند التلف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المبیع</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الالتزام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النسخ مختلفة اختلافاً کثیراً فی نقل الروایة،آثرنا نقلها من التهذیب</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ابن هبیرة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الموافق لما فی معجم البلدان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یأتی توضیحه فی هامش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7:215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،و أورده فی الوسائل </w:t>
      </w:r>
      <w:r>
        <w:rPr>
          <w:rFonts w:eastAsia="IRNazanin" w:cs="IRNazanin"/>
          <w:b w:val="false"/>
          <w:bCs w:val="false"/>
          <w:i w:val="false"/>
          <w:iCs w:val="false"/>
          <w:color w:val="333333"/>
          <w:sz w:val="20"/>
          <w:szCs w:val="20"/>
        </w:rPr>
        <w:t>13:255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الإجارة،الحدیث الأوّل،عن الکافی</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العاملی فی مفتاح الکرامة </w:t>
      </w:r>
      <w:r>
        <w:rPr>
          <w:rFonts w:eastAsia="IRNazanin" w:cs="IRNazanin"/>
          <w:b w:val="false"/>
          <w:bCs w:val="false"/>
          <w:i w:val="false"/>
          <w:iCs w:val="false"/>
          <w:color w:val="333333"/>
          <w:sz w:val="20"/>
          <w:szCs w:val="20"/>
        </w:rPr>
        <w:t>6:244</w:t>
      </w:r>
      <w:r>
        <w:rPr>
          <w:rFonts w:ascii="IRNazanin" w:hAnsi="IRNazanin" w:eastAsia="IRNazanin"/>
          <w:b w:val="false"/>
          <w:b w:val="false"/>
          <w:bCs w:val="false"/>
          <w:i w:val="false"/>
          <w:i w:val="false"/>
          <w:iCs w:val="false"/>
          <w:color w:val="333333"/>
          <w:sz w:val="20"/>
          <w:sz w:val="20"/>
          <w:szCs w:val="20"/>
          <w:rtl w:val="true"/>
        </w:rPr>
        <w:t xml:space="preserve">،و المحقّق النراقی فی المستند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37:101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قدّس سرّه أشار بهذا الکلام إلی ما حکاه صاحب الجواهر رحمه اللّه فی کتاب الغصب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نعم،ربما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ظاهر فیه،یعنی فی تعلّق الظرف بالفعل المدلول علیه بقوله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أفاده العلّامة المامقانی فی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،و انظر الجواهر </w:t>
      </w:r>
      <w:r>
        <w:rPr>
          <w:rFonts w:eastAsia="IRNazanin" w:cs="IRNazanin"/>
          <w:b w:val="false"/>
          <w:bCs w:val="false"/>
          <w:i w:val="false"/>
          <w:iCs w:val="false"/>
          <w:color w:val="333333"/>
          <w:sz w:val="20"/>
          <w:szCs w:val="20"/>
        </w:rPr>
        <w:t>37:102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مقتضی الفتوی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قیمة یوم الصحّة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شرح الشهیدی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أن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بناءً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بالضمیر،و أمّا بناء علی عدمه کما فی بعض النسخ المصحّحة من جهة حک الضمیر فیه،فالمعنی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الموجود فی ذیل الروایة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اکتری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المؤلّف قدّس سرّه نقل ذلک بالمعنی</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 بدل علی القیمة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الحلف حقّا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حکم خصوص الدابة أو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الحکم مخصوصاً فی الدابة المغصوبة أو مطلقاً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18:170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و الدعوی و غیره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المنکر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،هذا فی الإجارة،و لم نعثر علیه فی الغصب</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حکاه السیّد العاملی فی مفتاح الکرامة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استدلّ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المقداد فی التنقیح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،و ابن فهد الحلّی فی المهذّب البارع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،و انظر مفتاح الکرامة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،و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خاله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العلّامة الأکبر الآقا محمد باقر الوحید البهبهانی قدّس سرّه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صاحب الجواهر قدّس سرّه فی الجواهر </w:t>
      </w:r>
      <w:r>
        <w:rPr>
          <w:rFonts w:eastAsia="IRNazanin" w:cs="IRNazanin"/>
          <w:b w:val="false"/>
          <w:bCs w:val="false"/>
          <w:i w:val="false"/>
          <w:iCs w:val="false"/>
          <w:color w:val="333333"/>
          <w:sz w:val="20"/>
          <w:szCs w:val="20"/>
        </w:rPr>
        <w:t>37:105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تمیّز</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لاشتغال ذمّة المالک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عنها بذلک فی الجواهر </w:t>
      </w:r>
      <w:r>
        <w:rPr>
          <w:rFonts w:eastAsia="IRNazanin" w:cs="IRNazanin"/>
          <w:b w:val="false"/>
          <w:bCs w:val="false"/>
          <w:i w:val="false"/>
          <w:iCs w:val="false"/>
          <w:color w:val="333333"/>
          <w:sz w:val="20"/>
          <w:szCs w:val="20"/>
        </w:rPr>
        <w:t>37:106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ورد عنه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الید ما أخذت حتّی تؤدّی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،و لم نعثر علیه فی الکافی و المهذّب،و الظاهر أنّ المؤلّف قدّس سرّه أخذ ذلک عن العلّامة قدّس سرّه فی المختلف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،حیث نقل عن الشیخ فی النهایة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اشتری شیئاً بحکم نفسه و لم یذکر الثمن بعینه کان البیع باطلاً،فإن هلک فی ید المبتاع کان علیه قیمته یوم ابتیاعه إلی أن قال و کذا قال المفید و ابن البرّاج و أبو الصلاح</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الثانی فی الروضة البهیّة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الثانی قدّس سرّه فی عکس المسألة،و هو ما إذا استند نقص القیمة إلی نقصٍ فی العین،انظر المسالک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،و قرّره فی الجواهر </w:t>
      </w:r>
      <w:r>
        <w:rPr>
          <w:rFonts w:eastAsia="IRNazanin" w:cs="IRNazanin"/>
          <w:b w:val="false"/>
          <w:bCs w:val="false"/>
          <w:i w:val="false"/>
          <w:iCs w:val="false"/>
          <w:color w:val="333333"/>
          <w:sz w:val="20"/>
          <w:szCs w:val="20"/>
        </w:rPr>
        <w:t>37:107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المؤلّف قدّس سرّه أراد من الزیادة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الزیادة الفائتة، بدلیل قوله فیما سیأتی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النازلة منزلة الجزء الفائت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یجری الخلاف المتقدّم فی قیمة هذه الزیادة الفائتة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الرهن،الحدیث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السرقة و الغرق و الضیاع و الإباق</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العلّامة فی القواعد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،و نسبه السیّد العاملی إلی صریح جامع المقاصد و المسالک و الروضة و ظاهر غیرها،راجع مفتاح الکرامة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الأمر السادس،الصفحة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غیرهما،و الشهید فی الدروس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،و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یجوز للمالک الامتناع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ثبوت</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یمنع</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،کتاب الغصب،المسألة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الروایات الواردة فی الموارد الخاصّة،المتقدّمة فی الصفحات السابقة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6:261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هنا إشکالاً؛فإنّه کیف تجب القیمة و یملکها بالأخذ و یبقی العبد علی ملکه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 مقابلها من ماله مقامها،لرجوع الضمیر إلی العین،و کذا الکلام فی الضمائر فی الفقرة الآتیة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استظهر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الروضة البهیّة </w:t>
      </w:r>
      <w:r>
        <w:rPr>
          <w:rFonts w:eastAsia="IRNazanin" w:cs="IRNazanin"/>
          <w:b w:val="false"/>
          <w:bCs w:val="false"/>
          <w:i w:val="false"/>
          <w:iCs w:val="false"/>
          <w:color w:val="333333"/>
          <w:sz w:val="20"/>
          <w:szCs w:val="20"/>
        </w:rPr>
        <w:t>9:311</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الأولی 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الأجزاء</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المظنون بل المقطوع أنّ ما صدر عن قلمه الشریف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سائر النسخ؛بدلیل قوله فیما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عطف علی ذلک فی محکی جامع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رأی أنّ المنقول لم یکن بتمامه فی القواعد،أضاف إلیه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محکیّ جامع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استوعب</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،و انظر القواعد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فی الجواهر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ملکیّتها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،و العبارة منقولة بالمعنی</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یکن المالک أولی إلّا به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العاملی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 إلیه فی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المختصر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،و العلّامة فی التحریر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 إلی مالکه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إحضاره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فوق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لازم ظ</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ملکها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مالکیّته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مالکیّة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 کما أثبته المامقانی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الجملة عطف علی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دفع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الضمیر المنصوب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 إلی العین،غایة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أثبتها الشهیدی کما فی سائر النسخ،لکنّه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یدفعها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الضمیر راجع إلی العین،هدایة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،و حکاه عنه السیّد العاملی فی مفتاح الکرامة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استُظهر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لغرامة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؛لعود الضمیر إلی العین،و کذا الکلام فیما یأتی من الضمائر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بقیمته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،لکنّه نسبه إلی الأشهر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حکاه عنه و عن الدروس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العرفان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،و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الحدائق </w:t>
      </w:r>
      <w:r>
        <w:rPr>
          <w:rFonts w:eastAsia="IRNazanin" w:cs="IRNazanin"/>
          <w:b w:val="false"/>
          <w:bCs w:val="false"/>
          <w:i w:val="false"/>
          <w:iCs w:val="false"/>
          <w:color w:val="333333"/>
          <w:sz w:val="20"/>
          <w:szCs w:val="20"/>
        </w:rPr>
        <w:t>18:369</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،و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22:261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البیع</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شروطه،الحدیث الأوّل،و ذیله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13:143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الحجر،الحدیث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12:267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الحجر،و 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الوصایا و غیرها</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روایة ابن سنان المتقدّمة و الروایتین الأُخریین عنه أیضاً فی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حکایته عن الغنیة و التذکرة فی أوّل المسألة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المحقّق التستری فی مقابس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الموجود فی الإیضاح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عبارة والده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الأقوی عدم 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نعثر فیه علی غیره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الحاکی عنه بهذا النحو،نعم فی المقابس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مال المقدّس الأردبیلی فی کتابه إلی جواز بیعه مع الرشد و إذن الولیّ،انظر مجمع الفائدة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شراؤه بإذن الولیّ</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المحقّق التستری فی مقابس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نقله العلّامة عن القاضی،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مقتضاه صحّة شراء الصبی و بیعه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6:188</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هو صاحب الجواهر،انظر الجواهر </w:t>
      </w:r>
      <w:r>
        <w:rPr>
          <w:rFonts w:eastAsia="IRNazanin" w:cs="IRNazanin"/>
          <w:b w:val="false"/>
          <w:bCs w:val="false"/>
          <w:i w:val="false"/>
          <w:iCs w:val="false"/>
          <w:color w:val="333333"/>
          <w:sz w:val="20"/>
          <w:szCs w:val="20"/>
        </w:rPr>
        <w:t>22:261</w:t>
      </w:r>
      <w:r>
        <w:rPr>
          <w:rFonts w:ascii="IRNazanin" w:hAnsi="IRNazanin" w:eastAsia="IRNazanin"/>
          <w:b w:val="false"/>
          <w:b w:val="false"/>
          <w:bCs w:val="false"/>
          <w:i w:val="false"/>
          <w:i w:val="false"/>
          <w:iCs w:val="false"/>
          <w:color w:val="333333"/>
          <w:sz w:val="20"/>
          <w:sz w:val="20"/>
          <w:szCs w:val="20"/>
          <w:rtl w:val="true"/>
        </w:rPr>
        <w:t>،و انظر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السیّد ابن زهرة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أوّل المسألة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غیرهم 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کلامهم فی الصفحة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فالعمل علی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فیمکن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القصاص فی النفس،الحدیث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الکفارة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جمع بینهما بجعل أحدهما أصلاً و الآخر بدلاً،و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بینهما مع عدم الإشارة إلی ذلک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المذکور هنا هو المذکور فی المصدر بتمامه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یکون معلولاً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 تذکیر الضمیر؛لرجوعه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القلم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المعلولیّة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بعد البلوغ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أثر له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المسألة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السیّد العاملی فی مفتاح الکرامة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فروع من التذکرة و نهایة الإحکام،و لم یفرزها،و لکنّ المؤلّف قدّس سرّه نسبها جمیعاً إلی التذکرة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للمولی</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للسیّد العاملی فی مفتاح الکرامة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الفرع ذکره العلّامة فی النهایة،و نقله السیّد العاملی بتصرّف</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،و نهایة الإحکام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 فی المتن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 سنتین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المتمیّزین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المعاطاة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المسألة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التستری قدّس سرّه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،و تقدّم عنه فی الصفحة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یکتفی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یکتفی</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تملّکاً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بصحّتها</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یکفی</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ذکره کاشف الغطاء و تلمیذه المحقّق التستری قدّس سرّهما فی تصحیح معاملات الصبیّ</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نصّ کلامه فی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الشخصین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الشخصین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قابلاً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،نقلاً بالمعنی</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التستری</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الانتقال</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التلفّظ</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 للمصدر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الشریعة إلی بعدمه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اشتری</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أحوطها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المعیّن إذا ما</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الترحیم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تکون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فتعیّن</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تعیین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اعتبار</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تفصیل صاحب المقابس،و المراد من الشقّ الأوّل هو ما أفاده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توقّف تعیّن المالک علی التعیین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ذکره صاحب المقابس فی الشقّ الثانی من تفصیله،و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ففی وجوب التعیین أو الإطلاق المنصرف إلیه،أو عدمه مطلقاً،أو التفصیل بین التصریح بالخلاف فیبطل،و عدمه فیصحّ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القائل به کثیر،منهم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القمّی فی الغنائم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ناسباً إلی الأکثر،و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 فی شرحه علی القواعد،حیث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کلام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لو باع مال غیره ثمّ ملکه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الأقوی عدم الاشتراط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مال الغیر لغیره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علی تنزیل الغیر إلی المعاوضة الحقیقیة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فبیع</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الشهید فی الدروس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اعتباره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الأقوی</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یبعد أن تکون مصحّفة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باختلافها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یصلح</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الهبة و الوکالة و الوصیّة،علی ما تقدّم فی الصفحة السابقة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بعینه،نعم حکی السیّد العاملی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الإرشاد لفخر 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بعت فی لغة العرب بمعنی ملّکت غیری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تقدّم فی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الموکّل</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إلی ما ذکره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فالأولی فی الفرق ما ذکرنا من أنّ الغالب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تقدّم فی الصفحة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یقال فی الفرق بین البیع و شبهه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من الاعتراض علیه ما تقدّم فی الصفحة السابقة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الوجه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معنی بعتک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اعترضنا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الأوّل،و </w:t>
      </w:r>
      <w:r>
        <w:rPr>
          <w:rFonts w:eastAsia="IRNazanin" w:cs="IRNazanin"/>
          <w:b w:val="false"/>
          <w:bCs w:val="false"/>
          <w:i w:val="false"/>
          <w:iCs w:val="false"/>
          <w:color w:val="333333"/>
          <w:sz w:val="20"/>
          <w:szCs w:val="20"/>
        </w:rPr>
        <w:t>16:144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الأیمان،الحدیث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بعموم</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الأیمان،الحدیث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الطلاق،و الصفحة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الأبواب،الحدیث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فالمراد عدم وقوع مضمونه فی الخارج</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یستقیم</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توهمه عبارة الجماعة،منهم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و الشهیدان،و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لا تستقیم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البهیّة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،و نهایة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ادّعی الاتّفاق ظاهراً فی الحدائق </w:t>
      </w:r>
      <w:r>
        <w:rPr>
          <w:rFonts w:eastAsia="IRNazanin" w:cs="IRNazanin"/>
          <w:b w:val="false"/>
          <w:bCs w:val="false"/>
          <w:i w:val="false"/>
          <w:iCs w:val="false"/>
          <w:color w:val="333333"/>
          <w:sz w:val="20"/>
          <w:szCs w:val="20"/>
        </w:rPr>
        <w:t>18:373</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مفتاح الکرامة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نسبتها إلی المشهور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استدلّ به المحقّق النراقی فی المستند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15:331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فی ذلک أبو حنیفة و أصحابه،انظر بدایة المجتهد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عنه فی الصفحة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أثبتناه،إلّا أنّه شطب فیها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یعتمد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بیاض</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المسالک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25:159</w:t>
      </w:r>
      <w:r>
        <w:rPr>
          <w:rFonts w:ascii="IRNazanin" w:hAnsi="IRNazanin" w:eastAsia="IRNazanin"/>
          <w:b w:val="false"/>
          <w:b w:val="false"/>
          <w:bCs w:val="false"/>
          <w:i w:val="false"/>
          <w:i w:val="false"/>
          <w:iCs w:val="false"/>
          <w:color w:val="333333"/>
          <w:sz w:val="20"/>
          <w:sz w:val="20"/>
          <w:szCs w:val="20"/>
          <w:rtl w:val="true"/>
        </w:rPr>
        <w:t xml:space="preserve">،و المحقّق النراقی فی المستند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حدیث الرفع المتقدّم فی الصفحة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العتق</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یمین فی غضب و لا فی قطیعة رحم</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لا وجه له؛لأنّ الحدیث مذکور بتمامه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الأیمان،الحدیث الأوّل</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أمرین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استدراکاً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الأیمان</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11:476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العلّامة فی التحریر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الروضة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،و السیّد السند فی نهایة المرام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بیاض</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فی تلک الروایة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22:265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15:285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خصوص</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15:332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استشکل فیه العلّامة فی التحریر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لم نعثر علی مستشکلٍ غیره،نعم فی المسالک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25:162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یفید هذا</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الخصوصیّین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مصحّحتی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 غیرها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الإکراه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الأجلّة،و لکن لم نتحقّقه من هو</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،و سبطه فی نهایة المرام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25:163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جنس الشرب</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لو أکرهه إلی جنس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المالک،إلّا أنّه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مستمرّ بالنقل و الانتقال</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مورّیاً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فباعهما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الإکراه علی الکلّ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أنّه أُشیر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زیادتها</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 غیرها،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یبیع</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مقابس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متحقّق</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حکاه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تمّ ما أفاده بعض الأجلّة،و هو الفاضل الأصبهانی قدّس سرّه فی کشف اللثام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،و باقی الکلمات من الحاکی</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 علی الإکراه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یحمل علی الإکراه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قدّس سرّه فی الجواهر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الفرع عن المسالک فی الصفحة السابقة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یظهر من النصوص و الفتاوی</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الفرع المنقول عن التحریر</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الشهیدی فی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بصیغة الماضی،لا المصدر،هدایة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تقدّم عن أبی حنیفة و أصحابه فی هامش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ظاهرهم الاتّفاق</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18:373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الاتّفاق</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 ذلک صاحب الجواهر،انظر الجواهر </w:t>
      </w:r>
      <w:r>
        <w:rPr>
          <w:rFonts w:eastAsia="IRNazanin" w:cs="IRNazanin"/>
          <w:b w:val="false"/>
          <w:bCs w:val="false"/>
          <w:i w:val="false"/>
          <w:iCs w:val="false"/>
          <w:color w:val="333333"/>
          <w:sz w:val="20"/>
          <w:szCs w:val="20"/>
        </w:rPr>
        <w:t>22:267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عقده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صرّح به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المصرّح بذلک هو صاحب الجواهر، انظر الجواهر </w:t>
      </w:r>
      <w:r>
        <w:rPr>
          <w:rFonts w:eastAsia="IRNazanin" w:cs="IRNazanin"/>
          <w:b w:val="false"/>
          <w:bCs w:val="false"/>
          <w:i w:val="false"/>
          <w:iCs w:val="false"/>
          <w:color w:val="333333"/>
          <w:sz w:val="20"/>
          <w:szCs w:val="20"/>
        </w:rPr>
        <w:t>22:267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فالمسألة محلّ إشکال</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8:156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 الصحّة عن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نعرف لها دلیلاً</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فللنظر فیها مجال</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نعثر علی هذا البعض</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مسألة بیع الفضولی فی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التصریح به فیما تقدّم</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مستقلّ</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المفروض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بالإکراه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غیر مرتفع بالإکراه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یدلّ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سببیّته المستقلّة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لو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تصحیحاً</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المقیّدة</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المفیدة للسببیّة المستقلّة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استدراکاً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مقتضی الأدلّة الأربعة بمدخلیّته للرضا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تقتضی الأدلّة الأربعة مدخلیّةً للرضا</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المکره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عقلیّ غیر مجعول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الإکراه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کتب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زائد،و هذا المقدار لم یرد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باستثناء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ترفع السببیّة المستقلّة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ادّعی ذلک صریحاً،نعم فی الریاض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اختیاره ذلک فی الفضولی و جعله موافقاً للأشهر،قال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 بمقتضی الإجازة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فی الإجازة و الردّ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،فی بحث الثمرة بین النقل و الکشف</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فی الإجازة و الردّ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،فی بحث الثمرة بین النقل و الکشف</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بعض نسخ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فشیء</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4860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15:343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شیء</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وقع له</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الإماء،الحدیث الأوّل،و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أجازه فهو له جائز</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تشتمل</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14:524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المغنی؛لابن قدامة </w:t>
      </w:r>
      <w:r>
        <w:rPr>
          <w:rFonts w:eastAsia="IRNazanin" w:cs="IRNazanin"/>
          <w:b w:val="false"/>
          <w:bCs w:val="false"/>
          <w:i w:val="false"/>
          <w:iCs w:val="false"/>
          <w:color w:val="333333"/>
          <w:sz w:val="20"/>
          <w:szCs w:val="20"/>
        </w:rPr>
        <w:t>6:515</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17:249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22:271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أنّ</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مراجعته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ذلک یعرف أنّ استشهاد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قادحة</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14:522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و الصفحة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الأبواب،الحدیث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الصیمری فی 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صاحب الجواهر، انظر الجواهر </w:t>
      </w:r>
      <w:r>
        <w:rPr>
          <w:rFonts w:eastAsia="IRNazanin" w:cs="IRNazanin"/>
          <w:b w:val="false"/>
          <w:bCs w:val="false"/>
          <w:i w:val="false"/>
          <w:iCs w:val="false"/>
          <w:color w:val="333333"/>
          <w:sz w:val="20"/>
          <w:szCs w:val="20"/>
        </w:rPr>
        <w:t>22:271</w:t>
      </w:r>
      <w:r>
        <w:rPr>
          <w:rFonts w:ascii="IRNazanin" w:hAnsi="IRNazanin" w:eastAsia="IRNazanin"/>
          <w:b w:val="false"/>
          <w:b w:val="false"/>
          <w:bCs w:val="false"/>
          <w:i w:val="false"/>
          <w:i w:val="false"/>
          <w:iCs w:val="false"/>
          <w:color w:val="333333"/>
          <w:sz w:val="20"/>
          <w:sz w:val="20"/>
          <w:szCs w:val="20"/>
          <w:rtl w:val="true"/>
        </w:rPr>
        <w:t>،و لکن لم نعثر علیه فیما بأیدینا من کتب القاضی قدّس سرّه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،و حکاه عنهما و عن غیرهما صاحب الجواهر فی الجواهر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22:271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هکذا نقله المامقانی فی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المرام،و الاتّفاق المدّعی موجود فیما أثبتناه،انظر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 الفضولی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عبّر به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 التعبیر بالبکر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الباء و سکون الکاف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الذی ضبطه أهل اللغة مرادفاً للعذراء،و قد صرّح فی شرح القاموس بأنّ التعبیر عن هذا المعنی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بفساد</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14:205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13:245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بترتیب،و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یترتّب</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أَوْفُوا بِالْعُقُودِ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14:525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لأنه</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للفضولی فی موضعین من التذکرة حسب ما تتبّعناه،و لم نعثر علی نسبة ذلک إلی علمائنا،انظر التذکرة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الناصریّات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،و ولده فی الإیضاح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،و ابن فهد فی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غیره،و ابن سعید الحلیّ فی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 العلّامة فی کتبه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آنفاً عن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8:158</w:t>
      </w:r>
      <w:r>
        <w:rPr>
          <w:rFonts w:ascii="IRNazanin" w:hAnsi="IRNazanin" w:eastAsia="IRNazanin"/>
          <w:b w:val="false"/>
          <w:b w:val="false"/>
          <w:bCs w:val="false"/>
          <w:i w:val="false"/>
          <w:i w:val="false"/>
          <w:iCs w:val="false"/>
          <w:color w:val="333333"/>
          <w:sz w:val="20"/>
          <w:sz w:val="20"/>
          <w:szCs w:val="20"/>
          <w:rtl w:val="true"/>
        </w:rPr>
        <w:t>،و زبدة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ضوابط الرضاع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المحقّقین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المحدّث البحرانی فی الحدائق </w:t>
      </w:r>
      <w:r>
        <w:rPr>
          <w:rFonts w:eastAsia="IRNazanin" w:cs="IRNazanin"/>
          <w:b w:val="false"/>
          <w:bCs w:val="false"/>
          <w:i w:val="false"/>
          <w:iCs w:val="false"/>
          <w:color w:val="333333"/>
          <w:sz w:val="20"/>
          <w:szCs w:val="20"/>
        </w:rPr>
        <w:t>18:378</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،و انظر المهذّب البارع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و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یکتفی،إلّا أنّها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 و استظهرها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الکبری للبیهقی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،و عوالی اللآلی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مستدرک الوسائل </w:t>
      </w:r>
      <w:r>
        <w:rPr>
          <w:rFonts w:eastAsia="IRNazanin" w:cs="IRNazanin"/>
          <w:b w:val="false"/>
          <w:bCs w:val="false"/>
          <w:i w:val="false"/>
          <w:iCs w:val="false"/>
          <w:color w:val="333333"/>
          <w:sz w:val="20"/>
          <w:szCs w:val="20"/>
        </w:rPr>
        <w:t>13:245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الفروض،إلّا أنّها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الفضولیّین</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الریاض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،و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الإماء،الحدیث الأوّل،و الحدیث منقول فی الکتب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نقله المؤلّف قدّس سرّه أوفق بما فی الکافی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علی ما ذکرها المحقّق المامقانی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بتعیّن</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ابنها</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الولید،و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الولیدة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فی بیع الحیوان کما تقدّم التخریج فی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22:276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14:211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الناصریات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کشف اللثام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14:193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الریاض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الوکالة،الحدیث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أثبته العلّامة المامقانی قدّس سرّه فی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أثبتناه فی المتن</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13:182</w:t>
      </w:r>
      <w:r>
        <w:rPr>
          <w:rFonts w:ascii="IRNazanin" w:hAnsi="IRNazanin" w:eastAsia="IRNazanin"/>
          <w:b w:val="false"/>
          <w:b w:val="false"/>
          <w:bCs w:val="false"/>
          <w:i w:val="false"/>
          <w:i w:val="false"/>
          <w:iCs w:val="false"/>
          <w:color w:val="333333"/>
          <w:sz w:val="20"/>
          <w:sz w:val="20"/>
          <w:szCs w:val="20"/>
          <w:rtl w:val="true"/>
        </w:rPr>
        <w:t xml:space="preserve">،الباب الأوّل من کتاب المضاربة،الحدیث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تلک،و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بعینه،نعم قال السیّد الطباطبائی قدّس سرّه فی الریاض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ذکر 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النصوص مع اعتبار أسانیدها و استفاضتها و اعتضادها بعمل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ولده السیّد المجاهد فی المناهل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 وجوه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الاتّفاق علیه</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21:207</w:t>
      </w:r>
      <w:r>
        <w:rPr>
          <w:rFonts w:ascii="IRNazanin" w:hAnsi="IRNazanin" w:eastAsia="IRNazanin"/>
          <w:b w:val="false"/>
          <w:b w:val="false"/>
          <w:bCs w:val="false"/>
          <w:i w:val="false"/>
          <w:i w:val="false"/>
          <w:iCs w:val="false"/>
          <w:color w:val="333333"/>
          <w:sz w:val="20"/>
          <w:sz w:val="20"/>
          <w:szCs w:val="20"/>
          <w:rtl w:val="true"/>
        </w:rPr>
        <w:t>،و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بمقتضی</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تَکُونَ تِجٰارَةً عَنْ تَرٰاضٍ ،و قوله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یحلّ مال امرئ مسلم إلّا عن طیب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غیرهما ممّا تقدّم فی الصفحة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تَأْکُلُوا أَمْوٰالَکُمْ بَیْنَکُمْ بِالْبٰاطِلِ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المدارک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المحقّق فی الشرائع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غیرها،و العلّامة فی القواعد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غیرها،و قال السیّد الطباطبائی فی الریاض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أطلق الماتن و کثیر أنّ الربح للیتیم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یستأنس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یستأنس بها للمسألة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یستأنس بها المسألة</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النسخ،لکنّ الموجود فی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عن أبی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لقومٍ،مأذون له فی التجارة،دفع إلیه رجل ألف درهم،فقال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 بها نسمة و أعتقها عنّی و حجّ عنّی بالباقی،ثمّ مات صاحب الألف،فانطلق العبد فاشتری أباه فأعتقه عن المیّت و دفع إلیه الباقی یحجّ عن المیّت،فحجّ عنه،فبلغ ذلک موالی أبیه و موالیه و ورثة المیّت،فاختصموا جمیعاً فی الألف</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عبد الرحمن بن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الموثّقة بابن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لیشتری،و العبارة فی سائر النسخ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 لیشتری المتاع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 بعضها بما أثبتناه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12:394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الاشتراء الصادر من السمسار،و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اشتراء السمسار</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فیوفّیه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المانع الذی لا یرجی زواله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التبیان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الکشّاف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لکونه</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لیکون،و هو سهو</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یصیر</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بالتصرّف</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5:267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9:641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27779</w:t>
      </w:r>
      <w:r>
        <w:rPr>
          <w:rFonts w:ascii="IRNazanin" w:hAnsi="IRNazanin" w:eastAsia="IRNazanin"/>
          <w:b w:val="false"/>
          <w:b w:val="false"/>
          <w:bCs w:val="false"/>
          <w:i w:val="false"/>
          <w:i w:val="false"/>
          <w:iCs w:val="false"/>
          <w:color w:val="333333"/>
          <w:sz w:val="20"/>
          <w:sz w:val="20"/>
          <w:szCs w:val="20"/>
          <w:rtl w:val="true"/>
        </w:rPr>
        <w:t xml:space="preserve">،و راجع المستدرک </w:t>
      </w:r>
      <w:r>
        <w:rPr>
          <w:rFonts w:eastAsia="IRNazanin" w:cs="IRNazanin"/>
          <w:b w:val="false"/>
          <w:bCs w:val="false"/>
          <w:i w:val="false"/>
          <w:iCs w:val="false"/>
          <w:color w:val="333333"/>
          <w:sz w:val="20"/>
          <w:szCs w:val="20"/>
        </w:rPr>
        <w:t>13:230</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عقد البیع و شروطه،الحدیث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12:251</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عقد البیع و شروطه،الحدیث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بلیدة فی سواد الکوفة یخترقها خلیج کبیر یتخلّج من الفرات الکبیر،حفره الحجّاج بن یوسف و سمّاه بنیل مصر،معجم البلدان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أرضهم</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 و التهذیب و مصحّحة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مطابق لما نقله الشهید عن بعض النسخ المصحّحة فی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ما نقله الشهیدی أقرب إلی الصواب؛لأنّ الأسیاف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ساحل البحر و ساحل الوادی،أو کلّ ساحل،فأصحاب السیف هم أصحاب ساحل النیل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تقدّم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یؤیّده قول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بفم النیل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فم الخلیج</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12:249</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عقد البیع و شروطه،الحدیث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المصادر الحدیثیة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صحّح فی بعضها بما أثبتناه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،لکنّها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أثبتناه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قضت المال و لم تقضه</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12:249</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عقد البیع و شروطه،الحدیث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،و حکاه عنه السیّد العاملی فی مفتاح الکرامة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تأتیان فی الصفحة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بإجازة</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فی الصفحة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الروایتان عبارة عن توقیع العسکری علیه السلام إلی الصفّار،و ما عن الحمیری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استظهر السیّد الیزدی قدّس سرّه أنّ المراد بهما روایتا خالد و یحیی الآتیتان فی بیع الفضولی لنفسه،ثمّ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دعوی أنّ المراد بهما التوقیعان،فهی کما 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الشهیدی قدّس سرّه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بهما روایتی خالد و یحیی الآتیتین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النبویّان السابقان،کما قاله المامقانی قدّس سرّه فی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تخصیصها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فی المصادر الحدیثیة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یؤیّد</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وجب الشراء من البائع علی ما یملک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12:252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شروطه،الحدیث الأوّل</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التخریج عنهم جمیعاً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6:377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الإیضاح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،و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المالک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 إن شاء اللّٰه فی الجزء الرابع من طبعتنا هذه عند قول المؤلف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 من شروط العوضین القدرة علی التسلیم</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8:293</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 و غیرهما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موثّقة جمیل المتقدّمة فی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ذکره</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المسألة الأُولی و الثانیة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بیع</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أثبتها المامقانی قدّس سرّه فی متن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یقتضیها السیاق أیضاً</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فی غیرها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أجاب عن هذا المحقّق القمّی رحمه اللّه</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،و غنائم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الشتات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بعدها،و غنائم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بکونه</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الشتات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،و فی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نقل هذا القول عن صاحب کشف الرموز وفاقاً لشیخه المحقّق،و انظر أیضاً غنائم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قبوله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یحکِ ذلک عن شیخه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المحقّق الحلّی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حکم نفسه بالملازمة بین القول بعدم لزوم اللفظ فی البیع و کون الإجازة بمثابة عقد ثانٍ فقط</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مستقلّ بغیر لفظ البیع و هو 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قائم</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الرموز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بدّ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فکذا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فکذا لا بدّ من</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تملیک</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بتملّک،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تملّک</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التملیک</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توقّف</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للمثمن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للمثمن</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المثمن</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المثمن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یملکه</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بتملّکه</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المعاوضة</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المبدل</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صاحب الجواهر فی الجواهر </w:t>
      </w:r>
      <w:r>
        <w:rPr>
          <w:rFonts w:eastAsia="IRNazanin" w:cs="IRNazanin"/>
          <w:b w:val="false"/>
          <w:bCs w:val="false"/>
          <w:i w:val="false"/>
          <w:iCs w:val="false"/>
          <w:color w:val="333333"/>
          <w:sz w:val="20"/>
          <w:szCs w:val="20"/>
        </w:rPr>
        <w:t>23:174</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فی المهذّب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،و انظر مفتاح الکرامة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صحّح فی أکثر النسخ بما أثبتناه</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للمثمن</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ذلک عنهم الفخر فی الإیضاح کما تقدّم آنفاً،و أُنظر مفتاح الکرامة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فیکون البیع بلا 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صحّح فی أکثر النسخ بما أثبتناه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للمالک</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،و تقدّمت عبارة التذکرة فی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ملکیّته</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بوقوع</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التنقیح</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،و انظر المسالک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أیضاً،و حکاه عنهم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من المواضع</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الناسب،انظر الشرائع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26:384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لغیره</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المغنی؛لابن قدامة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المجموع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8:122</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Pr>
        <w:t>9:260</w:t>
      </w:r>
      <w:r>
        <w:rPr>
          <w:rFonts w:ascii="IRNazanin" w:hAnsi="IRNazanin" w:eastAsia="IRNazanin"/>
          <w:b w:val="false"/>
          <w:b w:val="false"/>
          <w:bCs w:val="false"/>
          <w:i w:val="false"/>
          <w:i w:val="false"/>
          <w:iCs w:val="false"/>
          <w:color w:val="333333"/>
          <w:sz w:val="20"/>
          <w:sz w:val="20"/>
          <w:szCs w:val="20"/>
          <w:rtl w:val="true"/>
        </w:rPr>
        <w:t xml:space="preserve">،و فتح العزیز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حلیة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فی المتن</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صحّحت فی أکثر النسخ بما فی المتن</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فی الصفحة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فی الصفحة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نقله العلّامة عن علمائنا فی الصفحة السابقة،بقوله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ردّ نفذ عن المباشر</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علی ذلک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المسالک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 الفوائد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الفتاوی الهندیة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تحقیق ذلک فی أوائل المسألة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بمالکیة</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وصولها،إلّا أنّه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فی المتن</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انکشف،و 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،و حکاه عنهما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فوجب</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بهذا السیّد الطباطبائی فی الریاض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،و المحقّق القمی فی جامع الشتات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،و غنائم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کونها</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قرّره الشهید فی الروضة البهیة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قوّاه النراقی فی المستند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للأدلّة</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رضا إلی طیب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رضا المالک فی زمان التصرّف و أنّه لا یحلّ بدون طیب النفس</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احتمله صاحب الجواهر علی ما ذکره السیّد الیزدی فی حاشیته علی 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انظر الجواهر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4:190</w:t>
      </w:r>
      <w:r>
        <w:rPr>
          <w:rFonts w:ascii="IRNazanin" w:hAnsi="IRNazanin" w:eastAsia="IRNazanin"/>
          <w:b w:val="false"/>
          <w:b w:val="false"/>
          <w:bCs w:val="false"/>
          <w:i w:val="false"/>
          <w:i w:val="false"/>
          <w:iCs w:val="false"/>
          <w:color w:val="333333"/>
          <w:sz w:val="20"/>
          <w:sz w:val="20"/>
          <w:szCs w:val="20"/>
          <w:rtl w:val="true"/>
        </w:rPr>
        <w:t xml:space="preserve">،و المستند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22:288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الوجه الثانی من وجوه الاستدلال علی کون الإجازة کاشفة،و هو ما ذکره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بأنّ الإجازة متعلّقة بالعقد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إمضاء</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المجرّد</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ثانیاً فلأنا</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جاعلة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جاعله</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صحّحت فی أکثر النسخ بما أثبتناه</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لحلّیة الإجازة</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صار العقد بالإجازة مؤثّراً ماضیاً</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إمضائه</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فوق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اعترض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حاشیة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،و حکاه عنه السیّد العاملی فی مفتاح الکرامة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 من الفخر فی الإیضاح</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الرموز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التصریح بذلک فیه،لکن قال السیّد العاملی فی مفتاح الکرامة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إلیه مال صاحب کشف اللثام فی باب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کشف اللثام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روایات تقدّمت فی الصفحات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بعدها</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الأزواج،الحدیث الأوّل</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باقیاً</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یظهر</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عدم وروده فی النسخة الأصلیة،حیث کتب فوقه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قیمته</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تظهر الفائدة فی النماء،فإن جعلناها کاشفة،فالنماء المنفصل المتخلّل بین العقد و الإجازة الحاصل من المبیع للمشتری،و نماء الثمن المعیّن للبائع،و لو جعلناها ناقلة فهما للمالک المجیز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وجّهه جمال الدین فی حاشیة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بکون العقد فضولیاً من الطرفین</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ظاهراً صاحب مفتاح الکرامة و بعض من 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4:190</w:t>
      </w:r>
      <w:r>
        <w:rPr>
          <w:rFonts w:ascii="IRNazanin" w:hAnsi="IRNazanin" w:eastAsia="IRNazanin"/>
          <w:b w:val="false"/>
          <w:b w:val="false"/>
          <w:bCs w:val="false"/>
          <w:i w:val="false"/>
          <w:i w:val="false"/>
          <w:iCs w:val="false"/>
          <w:color w:val="333333"/>
          <w:sz w:val="20"/>
          <w:sz w:val="20"/>
          <w:szCs w:val="20"/>
          <w:rtl w:val="true"/>
        </w:rPr>
        <w:t>،و غنائم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 جامع الشتات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الاعتراض المحقّق القمی فی غنائم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،و 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الفوائد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تنافی</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ترکاً</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،و الشهید الأوّل فی الدروس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و الشهید الثانی فی الروضة البهیة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10:306</w:t>
      </w:r>
      <w:r>
        <w:rPr>
          <w:rFonts w:ascii="IRNazanin" w:hAnsi="IRNazanin" w:eastAsia="IRNazanin"/>
          <w:b w:val="false"/>
          <w:b w:val="false"/>
          <w:bCs w:val="false"/>
          <w:i w:val="false"/>
          <w:i w:val="false"/>
          <w:iCs w:val="false"/>
          <w:color w:val="333333"/>
          <w:sz w:val="20"/>
          <w:sz w:val="20"/>
          <w:szCs w:val="20"/>
          <w:rtl w:val="true"/>
        </w:rPr>
        <w:t>، و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یقع</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زیدت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تصحیحاً</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فرّع علیه المحقّق الثانی فی جامع المقاصد </w:t>
      </w:r>
      <w:r>
        <w:rPr>
          <w:rFonts w:eastAsia="IRNazanin" w:cs="IRNazanin"/>
          <w:b w:val="false"/>
          <w:bCs w:val="false"/>
          <w:i w:val="false"/>
          <w:iCs w:val="false"/>
          <w:color w:val="333333"/>
          <w:sz w:val="20"/>
          <w:szCs w:val="20"/>
        </w:rPr>
        <w:t>12:159</w:t>
      </w:r>
      <w:r>
        <w:rPr>
          <w:rFonts w:ascii="IRNazanin" w:hAnsi="IRNazanin" w:eastAsia="IRNazanin"/>
          <w:b w:val="false"/>
          <w:b w:val="false"/>
          <w:bCs w:val="false"/>
          <w:i w:val="false"/>
          <w:i w:val="false"/>
          <w:iCs w:val="false"/>
          <w:color w:val="333333"/>
          <w:sz w:val="20"/>
          <w:sz w:val="20"/>
          <w:szCs w:val="20"/>
          <w:rtl w:val="true"/>
        </w:rPr>
        <w:t xml:space="preserve">،و البحرانی فی الحدائق </w:t>
      </w:r>
      <w:r>
        <w:rPr>
          <w:rFonts w:eastAsia="IRNazanin" w:cs="IRNazanin"/>
          <w:b w:val="false"/>
          <w:bCs w:val="false"/>
          <w:i w:val="false"/>
          <w:iCs w:val="false"/>
          <w:color w:val="333333"/>
          <w:sz w:val="20"/>
          <w:szCs w:val="20"/>
        </w:rPr>
        <w:t>23:288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للتنبّه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ینتهی ما ذکره بعض متأخّری المتأخرین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کاشف الغطاء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تغییر فی العبارة</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علیه صاحب الجواهر فی الجواهر </w:t>
      </w:r>
      <w:r>
        <w:rPr>
          <w:rFonts w:eastAsia="IRNazanin" w:cs="IRNazanin"/>
          <w:b w:val="false"/>
          <w:bCs w:val="false"/>
          <w:i w:val="false"/>
          <w:iCs w:val="false"/>
          <w:color w:val="333333"/>
          <w:sz w:val="20"/>
          <w:szCs w:val="20"/>
        </w:rPr>
        <w:t>22:291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،و غنائم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،و جامع الشتات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22:292</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روایة ابن أشیم،المتقدّمة فی الصفحة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ذبحها و إتلافها</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کاشف الغطاء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تکون باللفظ الدالّ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استظهره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الأمر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فی المجاز</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اعتبره الفاضل المقداد فی التنقیح الرائع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العاملی فی مفتاح الکرامة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علیه الفاضل المقداد فی التنقیح الرائع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ذکره المقدّس الأردبیلی فی مجمع الفائدة </w:t>
      </w:r>
      <w:r>
        <w:rPr>
          <w:rFonts w:eastAsia="IRNazanin" w:cs="IRNazanin"/>
          <w:b w:val="false"/>
          <w:bCs w:val="false"/>
          <w:i w:val="false"/>
          <w:iCs w:val="false"/>
          <w:color w:val="333333"/>
          <w:sz w:val="20"/>
          <w:szCs w:val="20"/>
        </w:rPr>
        <w:t>8:160</w:t>
      </w:r>
      <w:r>
        <w:rPr>
          <w:rFonts w:ascii="IRNazanin" w:hAnsi="IRNazanin" w:eastAsia="IRNazanin"/>
          <w:b w:val="false"/>
          <w:b w:val="false"/>
          <w:bCs w:val="false"/>
          <w:i w:val="false"/>
          <w:i w:val="false"/>
          <w:iCs w:val="false"/>
          <w:color w:val="333333"/>
          <w:sz w:val="20"/>
          <w:sz w:val="20"/>
          <w:szCs w:val="20"/>
          <w:rtl w:val="true"/>
        </w:rPr>
        <w:t>،و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22:294</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کالنصوص الآتیة فی إجازة البکر و إجازة المولی و غیرهما</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نهایة الإحکام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الروضة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22:293</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الغنیة و المختصر النافع و الشرائع و الإرشاد و القواعد و غیرها،و انظر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،و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27:403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المشهور بین الأصحاب کما صرّح به الشهید الثانی فی المسالک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23:263</w:t>
      </w:r>
      <w:r>
        <w:rPr>
          <w:rFonts w:ascii="IRNazanin" w:hAnsi="IRNazanin" w:eastAsia="IRNazanin"/>
          <w:b w:val="false"/>
          <w:b w:val="false"/>
          <w:bCs w:val="false"/>
          <w:i w:val="false"/>
          <w:i w:val="false"/>
          <w:iCs w:val="false"/>
          <w:color w:val="333333"/>
          <w:sz w:val="20"/>
          <w:sz w:val="20"/>
          <w:szCs w:val="20"/>
          <w:rtl w:val="true"/>
        </w:rPr>
        <w:t xml:space="preserve">،و الأشهر الأظهر،کما قال فی الریاض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 نسب الخلاف فیها إلی الحلیّ فقط</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و الشهید فی الدروس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14:525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14:526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ما فی الوسائل </w:t>
      </w:r>
      <w:r>
        <w:rPr>
          <w:rFonts w:eastAsia="IRNazanin" w:cs="IRNazanin"/>
          <w:b w:val="false"/>
          <w:bCs w:val="false"/>
          <w:i w:val="false"/>
          <w:iCs w:val="false"/>
          <w:color w:val="333333"/>
          <w:sz w:val="20"/>
          <w:szCs w:val="20"/>
        </w:rPr>
        <w:t>14:523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رضی</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فاسخاً</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یبقی ما یلحقه الإجازة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تقع قابلاً</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صاحب الجواهر فی الجواهر </w:t>
      </w:r>
      <w:r>
        <w:rPr>
          <w:rFonts w:eastAsia="IRNazanin" w:cs="IRNazanin"/>
          <w:b w:val="false"/>
          <w:bCs w:val="false"/>
          <w:i w:val="false"/>
          <w:iCs w:val="false"/>
          <w:color w:val="333333"/>
          <w:sz w:val="20"/>
          <w:szCs w:val="20"/>
        </w:rPr>
        <w:t>22:278</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یقوم</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تقرّر فی شروط</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الأصحاب</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فلتطرح أو تؤوّل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بینهما یظهر فی إرث الزوجة،و تعدّد الورثة،انظر هدایة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،المقام السادس من مقامات بیع المغصوب،و انظر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أحد الأمرین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 الأخیرین مثل ما أثبتناه</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مجرّداً عن الشرط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استدرکت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المستدلّ هو المحقّق الثانی فی جامع المقاصد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ذکرناه</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فتدارکه</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14:207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 المراد من الولیّ فی الروایة غیر الأب و الجدّ کما قاله الشهید الثانی فی المسالک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عندنا کتابه،و لم نعثر علی الحاکی،نعم حکاه السیّد العاملی فی مفتاح الکرامة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غیره</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الفاضل المقداد فی التنقیح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22:299</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القائل</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،عن حواشی الشهید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الانتصار بتمامه،نعم انتصر المحقّق القمی للمعترض فی جامع الشتات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غنائم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 النائب</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شأنه</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ینبغی الإشکال فی صحّة الإجازة</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،و التنقیح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المالک</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یعلم</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نصابه</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یصحّ</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مملوکة له</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الزکاة بالعین تعلّق</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راجع غایة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 حکی عنه ذلک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22:298</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 سائر النسخ،نعم فی بعض النسخ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بعضها الآخر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،استظهاراً أو کنسخة بدل</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یکفی بحصولها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یکفی حصولها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نکتفی بحصولها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نضایق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احتمله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مستلزمة،کما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إدامة کلام المحقّق التستری قدّس سرّه</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المستلزمة</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للید</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ینتهی کلام المحقّق التستری،و سوف تأتی تتمّته فی الصفحة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ممنوعة</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الفعلی</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استظهره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المشتری</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ملکیّة</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ملکیّة</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فیما عدا الأخیر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إجازته</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الظاهری</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الید</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تتمّة کلام المحقّق التستری فی المقابس</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و الإجازة</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الأصیل</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زاد الأوّل مع زیادة؛لانکشاف</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إیضاح الفوائد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لوازمها</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الوجوه التی ذکرها المحقّق التستری هی الستّة المتقدّمة،و ما نقله عنه المؤلف قدّس سرّه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عداد الوجوه المذکورة،بل هو استدلال من المحقّق التستری قدّس سرّه علی ما اختاره،راجع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العبارات الآتیة أیضاً تغایر عبارة صاحب المقابس بنحوٍ یشکل إطلاق النقل بالمعنی علیه أیضاً</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العبارة من المصنّف،و لیست عبارة المقابس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یظهر وجه لتغییر المصنّف رحمه اللّه عبارته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المصحّحة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بین یحیی بن الحجّاج و بین أبی عبد اللّه علیه السلام واسطة أصلاً فکیف بالواسطة الغیر المعتبرة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مؤدّاها إلّا کون الواسطة بینهما ممّن لا یوصف روایته بالصحّة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تواجبه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تواجبها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لکن صحّح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18:700</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18144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أنّهما مصحّحتان،و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یجتمع</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مبیعاً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وجد بیعاً هو</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یستطیع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مختلفة فی النسخ،و ما أثبتناه من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 للوسائل</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إلیها فی الصفحة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یحیی بن الحجّاج،المتقدّمة فی الصفحة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مورد روایة ابن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الرجل یأتینی یرید منی طعاماً أو بیعاً نسیاً و لیس عندی،أ یصلح أن أبیعه إیّاه و أقطع له سعره ثمّ أشتریه من مکان آخر فأدفعه إلیه؟قال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القائل</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خبر یحیی بن الحجّاج،المتقدّم فی الصفحة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عدم وقوع</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الخدشة بعینها،نعم فی جامع الشتات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غنائم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من تلک الأخبار البیع فی الذمّة،و هو کلیّ</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دلالة الروایات علی عدم وقوع البیع قبل التملّک للبائع</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الأخبار المتقدّمة فی الصفحة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بسیاقها</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المشتری</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علیه السلام فی ذیل صحیحة ابن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یشتریه منه بعد ما یملکه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علیه السلام فی صحیحة منصور بن حازم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البیع بعد ما یشتریه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أعتقنی اللّه</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العبید و الإماء،الحدیث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کان حالاً أو مؤجّلاً؛فإنّه جائز و کذا لو اشتری عیناً شخصیة غائبة مملوکة للبائع موصوفة بما ترفع الجهالة فإنّه جائز إجماعاً</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بعینه،نعم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،بعد نقل عبارة التذکرة، و نسبة البطلان إلی ظاهر التحریر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 من المختلف</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النسخ،لکن شطب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أرادا</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راجع المختلف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فأجاز</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تعلّق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یتعلّق بها</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بکون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بکونه</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إیضاح الفوائد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المولی</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البائع</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انکشف</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5:435</w:t>
      </w:r>
      <w:r>
        <w:rPr>
          <w:rFonts w:ascii="IRNazanin" w:hAnsi="IRNazanin" w:eastAsia="IRNazanin"/>
          <w:b w:val="false"/>
          <w:b w:val="false"/>
          <w:bCs w:val="false"/>
          <w:i w:val="false"/>
          <w:i w:val="false"/>
          <w:iCs w:val="false"/>
          <w:color w:val="333333"/>
          <w:sz w:val="20"/>
          <w:sz w:val="20"/>
          <w:szCs w:val="20"/>
          <w:rtl w:val="true"/>
        </w:rPr>
        <w:t>،و لم نعثر علیه فی المهذّب و غیره من کتب القاضی</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الولی</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،ذیل القاعدة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 فی الصفحة الآتیة</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،عن ظاهر الشهید و غیره</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القابلة للزوم القصد</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نفسه</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صوابه</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حواشی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حکاه عنه المحقّق الثانی فی جامع المقاصد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فی الجواهر </w:t>
      </w:r>
      <w:r>
        <w:rPr>
          <w:rFonts w:eastAsia="IRNazanin" w:cs="IRNazanin"/>
          <w:b w:val="false"/>
          <w:bCs w:val="false"/>
          <w:i w:val="false"/>
          <w:iCs w:val="false"/>
          <w:color w:val="333333"/>
          <w:sz w:val="20"/>
          <w:szCs w:val="20"/>
        </w:rPr>
        <w:t>22:298</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متوقّف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یغرم المثمن و إن کان جاهلاً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،فی الخامس من موارد بیع الفضولی</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شروطها</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المالکین</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إجماعاتهم،کما استظهره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یجتمع،کما استظهره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یتوقّف لزومها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فیما یلوح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المعوّض</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 الأخیر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المعوض</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،و حکی ذلک عنهما المحقّق الثانی فی جامع المقاصد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 السیّد العاملی فی مفتاح الکرامة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هنا</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کتابه،و حکاه عنه السیّد العاملی فی مفتاح الکرامة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؛وفاقاً للمحکی عن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المبیع</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البیع؛وفاقاً للمحکی عن المصدر</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السیّد العاملی فی مفتاح الکرامة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المصدر،و استظهر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أشقّها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بأحسن</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مالکه</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بمقتضاه</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نصّ عبارته فی الصفحة السابقة</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،لکنّها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صحّحت العبارة بتبدیل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متناقض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أنّها مصحّحة</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کتعریض المبیع و البیع الفاسد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کتعریض المبیع للبیع الفاسد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ماله</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14:523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لکیفیة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الشیخ فی المبسوط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 الحلی فی السرائر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فتوقّفهما</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العقد</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عدم اعتبار صدق الردّ</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مثال للمنفیّ،لا النفی</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الأولویة فی الصفحة السابقة</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المنشئ لمفهوم</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 من الأُمور المتفرّعة علی المقبوض بالعقد الفاسد</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،و الشهید الثانی فی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،و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اعترف</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،و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الحاکی بعینه،نعم حکی السیّد العاملی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یظهر منه هذا،و راجع الجواهر </w:t>
      </w:r>
      <w:r>
        <w:rPr>
          <w:rFonts w:eastAsia="IRNazanin" w:cs="IRNazanin"/>
          <w:b w:val="false"/>
          <w:bCs w:val="false"/>
          <w:i w:val="false"/>
          <w:iCs w:val="false"/>
          <w:color w:val="333333"/>
          <w:sz w:val="20"/>
          <w:szCs w:val="20"/>
        </w:rPr>
        <w:t>22:305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المحدّث البحرانی فی الحدائق </w:t>
      </w:r>
      <w:r>
        <w:rPr>
          <w:rFonts w:eastAsia="IRNazanin" w:cs="IRNazanin"/>
          <w:b w:val="false"/>
          <w:bCs w:val="false"/>
          <w:i w:val="false"/>
          <w:iCs w:val="false"/>
          <w:color w:val="333333"/>
          <w:sz w:val="20"/>
          <w:szCs w:val="20"/>
        </w:rPr>
        <w:t>18:392</w:t>
      </w:r>
      <w:r>
        <w:rPr>
          <w:rFonts w:ascii="IRNazanin" w:hAnsi="IRNazanin" w:eastAsia="IRNazanin"/>
          <w:b w:val="false"/>
          <w:b w:val="false"/>
          <w:bCs w:val="false"/>
          <w:i w:val="false"/>
          <w:i w:val="false"/>
          <w:iCs w:val="false"/>
          <w:color w:val="333333"/>
          <w:sz w:val="20"/>
          <w:sz w:val="20"/>
          <w:szCs w:val="20"/>
          <w:rtl w:val="true"/>
        </w:rPr>
        <w:t>،و کاشف الغطاء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الإحکام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الشهید الثانی فی المسالک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،و انظر الجواهر </w:t>
      </w:r>
      <w:r>
        <w:rPr>
          <w:rFonts w:eastAsia="IRNazanin" w:cs="IRNazanin"/>
          <w:b w:val="false"/>
          <w:bCs w:val="false"/>
          <w:i w:val="false"/>
          <w:iCs w:val="false"/>
          <w:color w:val="333333"/>
          <w:sz w:val="20"/>
          <w:szCs w:val="20"/>
        </w:rPr>
        <w:t>22:305</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آخر</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تقدّم فی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6:324</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13:227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الودیعة</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کالعاریة</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العاریة</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13:281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و غیره من الأبواب</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فی الهبة الفاسدة علی شیء من الشهید و لا من غیره،و أمّا فی البیع بلا ثمن و فی الإجارة بلا اجرة فقد تقدّم فی مبحث المقبوض بالعقد الفاسد عن الشهیدین و العلّامة عدم الضمان،راجع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تسلیطه</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المبادلة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المبادلة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 و اختلفت النسخ فی هذه الکلمة فی السطور الآتیة أیضاً،أعرضنا عن الإشارة إلیها اعتماداً علی صحّة ما أثبتناه</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لملکیّة</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السلطنة علی إتلافه</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إبطاله فی مسألة المقبوض بالعقد الفاسد،راجع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المحقّق فی الشرائع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،و فی المستند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المصرّح به فی کلام الأصحاب بل نفی الخلاف بیننا علیه</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الشهیدین فی مبحث المقبوض بالعقد الفاسد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استحسنه السیّد الطباطبائی فی الریاض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لو اشترط عدم الأُجرة</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و غیرهما من الأبواب</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المصرّح بهذا،نعم نسبه فی جامع المقاصد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الأصحاب،و فی الجواهر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جواز التصرّف إلی ظاهر المحقّق الکرکی و غیره</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نقله عنه السیّد العاملی فی مفتاح الکرامة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لدینا،لکن حکاه عنه السیّد العاملی فی مفتاح الکرامة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التحریر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التحریر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استظهر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لعلّیة</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أخذ</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فولد منها</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الوثیقة التی یُذکر فیها الدین،انظر لسان العرب </w:t>
      </w:r>
      <w:r>
        <w:rPr>
          <w:rFonts w:eastAsia="IRNazanin" w:cs="IRNazanin"/>
          <w:b w:val="false"/>
          <w:bCs w:val="false"/>
          <w:i w:val="false"/>
          <w:iCs w:val="false"/>
          <w:color w:val="333333"/>
          <w:sz w:val="20"/>
          <w:szCs w:val="20"/>
        </w:rPr>
        <w:t>7:379</w:t>
      </w:r>
      <w:r>
        <w:rPr>
          <w:rFonts w:ascii="IRNazanin" w:hAnsi="IRNazanin" w:eastAsia="IRNazanin"/>
          <w:b w:val="false"/>
          <w:b w:val="false"/>
          <w:bCs w:val="false"/>
          <w:i w:val="false"/>
          <w:i w:val="false"/>
          <w:iCs w:val="false"/>
          <w:color w:val="333333"/>
          <w:sz w:val="20"/>
          <w:sz w:val="20"/>
          <w:szCs w:val="20"/>
          <w:rtl w:val="true"/>
        </w:rPr>
        <w:t>، و الإفصاح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 بالحقّ</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الوسائل،و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أحدث فیها بناء و غرس</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یردّ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الوسائل،و قد استدرکت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الوسائل،و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الوسائل،و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أنّه لا وجه له،لأنّ الحدیث مذکور بتمامه، انظر الوسائل </w:t>
      </w:r>
      <w:r>
        <w:rPr>
          <w:rFonts w:eastAsia="IRNazanin" w:cs="IRNazanin"/>
          <w:b w:val="false"/>
          <w:bCs w:val="false"/>
          <w:i w:val="false"/>
          <w:iCs w:val="false"/>
          <w:color w:val="333333"/>
          <w:sz w:val="20"/>
          <w:szCs w:val="20"/>
        </w:rPr>
        <w:t>12:253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غارماً</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لعلّ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أقواهما</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موضع من المبسوط،و لم نعثر علیه فیه،و فی الإیضاح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للشیخ قولین،و لکنّ الشهید الثانی فی المسالک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 حکی عن الشیخ فی 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العدم،و مثله المحقّق 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الشهید الثانی فی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غیرهما عن متاجر الشرائع،انظر الشرائع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6:301</w:t>
      </w:r>
      <w:r>
        <w:rPr>
          <w:rFonts w:ascii="IRNazanin" w:hAnsi="IRNazanin" w:eastAsia="IRNazanin"/>
          <w:b w:val="false"/>
          <w:b w:val="false"/>
          <w:bCs w:val="false"/>
          <w:i w:val="false"/>
          <w:i w:val="false"/>
          <w:iCs w:val="false"/>
          <w:color w:val="333333"/>
          <w:sz w:val="20"/>
          <w:sz w:val="20"/>
          <w:szCs w:val="20"/>
          <w:rtl w:val="true"/>
        </w:rPr>
        <w:t xml:space="preserve">،عن ظاهر القواعد فی المتاجر،و انظر القواعد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کفخر المحقّقین فی إیضاح الفوائد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،و المحقّق الأردبیلی فی مجمع الفائدة </w:t>
      </w:r>
      <w:r>
        <w:rPr>
          <w:rFonts w:eastAsia="IRNazanin" w:cs="IRNazanin"/>
          <w:b w:val="false"/>
          <w:bCs w:val="false"/>
          <w:i w:val="false"/>
          <w:iCs w:val="false"/>
          <w:color w:val="333333"/>
          <w:sz w:val="20"/>
          <w:szCs w:val="20"/>
        </w:rPr>
        <w:t>8:164</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37:183</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صاحب الجواهر فی الجواهر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فی الصفحة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لشهادته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فی الجواهر </w:t>
      </w:r>
      <w:r>
        <w:rPr>
          <w:rFonts w:eastAsia="IRNazanin" w:cs="IRNazanin"/>
          <w:b w:val="false"/>
          <w:bCs w:val="false"/>
          <w:i w:val="false"/>
          <w:iCs w:val="false"/>
          <w:color w:val="333333"/>
          <w:sz w:val="20"/>
          <w:szCs w:val="20"/>
        </w:rPr>
        <w:t>37:183</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إتلاف</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الأخیرة مکتوب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بعشرین</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یغرمه</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المشتری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37:179</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توضیح</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الصفحة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،و راجع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،أیضاً،فی مبحث المقبوض بالعقد الفاسد</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الصفحة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،و راجع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،أیضاً،فی مبحث المقبوض بالعقد الفاسد</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تلخّص</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الضمان</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وجه 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یعقل الاستقرار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یعقل استقراره</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الخروج</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 و فی نسختی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أنّها کانت فی أصل النسخ مثنّاة،ثمّ أُضیف إلیها فی بعض النسخ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قبلها تصحیحاً أو استظهاراً</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تقدیر صحّة النسخة راجع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بلحاظ المعنی،فإنّ المراد منه الأبدال،و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التصحیح،و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أثبتناه،و الضمیر راجع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المستفاد من الکلام</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المغنی؛لابن قدامة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ضمان الأعیان المضمونة و العهدة إشکال،أقربه عندی جواز مطالبة کلٍّ من الضامن و المضمون عنه بالعین المغصوبة</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کتبه و لا علی من حکی عنه</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دروسه</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فوات المتدارک</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یشتغل</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تدارکه</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لشیء</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فی الجواهر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من تلف فی 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ما قاله صاحب الجواهر</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ذمّته،لکن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الأیدی</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بمن</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استردادها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الشهیدی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هی فی 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عهدته</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لیباشره</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استدراکاً أو کنسخة بدل</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السیّد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 کاشف الغطاء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فی الریاض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ظاهرهم الإجماع علیه</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شروطه،و قد تقدّمت فی الصفحة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من صرّح بهذا من القائلین بالبطلان فی الفضولی،نعم یظهر من المحدّث البحرانی فی الحدائق </w:t>
      </w:r>
      <w:r>
        <w:rPr>
          <w:rFonts w:eastAsia="IRNazanin" w:cs="IRNazanin"/>
          <w:b w:val="false"/>
          <w:bCs w:val="false"/>
          <w:i w:val="false"/>
          <w:iCs w:val="false"/>
          <w:color w:val="333333"/>
          <w:sz w:val="20"/>
          <w:szCs w:val="20"/>
        </w:rPr>
        <w:t>18:399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19:315</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الخلاف و لا علی من حکاه عنه،بل أنکره الشیخ فی الخلاف،راجع الخلاف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،نعم قوّاه فی المبسوط کما هو المحکی فی الجواهر،راجع المبسوط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إلیها آنفاً</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4:207</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قیّده صاحب الجواهر فی الجواهر </w:t>
      </w:r>
      <w:r>
        <w:rPr>
          <w:rFonts w:eastAsia="IRNazanin" w:cs="IRNazanin"/>
          <w:b w:val="false"/>
          <w:bCs w:val="false"/>
          <w:i w:val="false"/>
          <w:iCs w:val="false"/>
          <w:color w:val="333333"/>
          <w:sz w:val="20"/>
          <w:szCs w:val="20"/>
        </w:rPr>
        <w:t>22:309</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أنّ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استُظهر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ثمنها</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إلی</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الشهید الثانی فی المسالک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18:402</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،و انظر مفتاح الکرامة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یراد</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25:140</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فی العبارة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قیمتهما مجتمعتین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نبّه علیه بعض المحشّین،انظر 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العبارة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 علیه سلطان العلماء فی حاشیته علی الروضة البهیة ذیل قول الشارح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یعتبر قیمتهما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حکاه عنه المحقّق الخوانساری فی حواشیه علی الروضة، انظر حاشیة سلطان العلماء علی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حاشیة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هیئته</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فوق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هیئته الاجتماعیة</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متعدّداً</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استظهره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یؤخذ</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الشهیدی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بیانیة،و لو ترک المضاف لکان 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فبقی</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المبیع،و استظهره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معلومة،کما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،المسألة العاشرة،و لم نعثر علیه فی کتب العلّامة،نعم ذکره فی القواعد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أحد الاحتمالین</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5:367</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فخر المحقّقین فی الإیضاح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،و المحقّق 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إجمالاً</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العلّامة فی القواعد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8:255</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متساویاً</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إنّهم</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المحقّق فی الشرائع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،و راجع لتفصیل الأقوال مفتاح الکرامة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منّا،بدل منهما</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المقام</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زیادتها؛لعدم وجود جواب لها فی العبارة</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 و تلف</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حصّته</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الشیخ الکلینی فی الکافی </w:t>
      </w:r>
      <w:r>
        <w:rPr>
          <w:rFonts w:eastAsia="IRNazanin" w:cs="IRNazanin"/>
          <w:b w:val="false"/>
          <w:bCs w:val="false"/>
          <w:i w:val="false"/>
          <w:iCs w:val="false"/>
          <w:color w:val="333333"/>
          <w:sz w:val="20"/>
          <w:szCs w:val="20"/>
        </w:rPr>
        <w:t>7:166</w:t>
      </w:r>
      <w:r>
        <w:rPr>
          <w:rFonts w:ascii="IRNazanin" w:hAnsi="IRNazanin" w:eastAsia="IRNazanin"/>
          <w:b w:val="false"/>
          <w:b w:val="false"/>
          <w:bCs w:val="false"/>
          <w:i w:val="false"/>
          <w:i w:val="false"/>
          <w:iCs w:val="false"/>
          <w:color w:val="333333"/>
          <w:sz w:val="20"/>
          <w:sz w:val="20"/>
          <w:szCs w:val="20"/>
          <w:rtl w:val="true"/>
        </w:rPr>
        <w:t>،فی باب الإقرار بوارث آخر</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کروایة،لکن صحّحت فی أکثرها بما أثبتناه</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9:356</w:t>
      </w:r>
      <w:r>
        <w:rPr>
          <w:rFonts w:ascii="IRNazanin" w:hAnsi="IRNazanin" w:eastAsia="IRNazanin"/>
          <w:b w:val="false"/>
          <w:b w:val="false"/>
          <w:bCs w:val="false"/>
          <w:i w:val="false"/>
          <w:i w:val="false"/>
          <w:iCs w:val="false"/>
          <w:color w:val="333333"/>
          <w:sz w:val="20"/>
          <w:sz w:val="20"/>
          <w:szCs w:val="20"/>
          <w:rtl w:val="true"/>
        </w:rPr>
        <w:t>،و المحقّق الخراسانی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 ما یتعلّق بهذا المبحث من نهایة المرام</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وهب بن وهب أبی البختری</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أُجیز ذلک علی الورثة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،لکنّها استدرکت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حقّهما</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 ما ورثا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عنهما الوسائل </w:t>
      </w:r>
      <w:r>
        <w:rPr>
          <w:rFonts w:eastAsia="IRNazanin" w:cs="IRNazanin"/>
          <w:b w:val="false"/>
          <w:bCs w:val="false"/>
          <w:i w:val="false"/>
          <w:iCs w:val="false"/>
          <w:color w:val="333333"/>
          <w:sz w:val="20"/>
          <w:szCs w:val="20"/>
        </w:rPr>
        <w:t>13:402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المیراث</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صریحاً،و لعلّه یستفاد ممّا قاله فی مسألة ما لو باع المملوک و غیر المملوک،حیث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سبیل إلی القول بالبطلان فی الأخیر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مکاتبة الصفّار المشار إلیها آنفاً</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،و راجع قول الشافعی فی المجموع </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نسختی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8:163</w:t>
      </w:r>
      <w:r>
        <w:rPr>
          <w:rFonts w:ascii="IRNazanin" w:hAnsi="IRNazanin" w:eastAsia="IRNazanin"/>
          <w:b w:val="false"/>
          <w:b w:val="false"/>
          <w:bCs w:val="false"/>
          <w:i w:val="false"/>
          <w:i w:val="false"/>
          <w:iCs w:val="false"/>
          <w:color w:val="333333"/>
          <w:sz w:val="20"/>
          <w:sz w:val="20"/>
          <w:szCs w:val="20"/>
          <w:rtl w:val="true"/>
        </w:rPr>
        <w:t xml:space="preserve">، و مفتاح الکرامة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22:321</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الخنزیر</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فی الوسائل </w:t>
      </w:r>
      <w:r>
        <w:rPr>
          <w:rFonts w:eastAsia="IRNazanin" w:cs="IRNazanin"/>
          <w:b w:val="false"/>
          <w:bCs w:val="false"/>
          <w:i w:val="false"/>
          <w:iCs w:val="false"/>
          <w:color w:val="333333"/>
          <w:sz w:val="20"/>
          <w:szCs w:val="20"/>
        </w:rPr>
        <w:t>12:194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و أولیاء العقد</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xml:space="preserve">،و حکاه عنه السیّد العاملی فی مفتاح الکرامة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الوسیلة،و لا علی من حکی عنه،نعم اشترط فی تصرّف الولیّ کونه ثقة و فی الوصیّ أن یکون عادلاً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11:275</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سائر النسخ 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11:276</w:t>
      </w:r>
      <w:r>
        <w:rPr>
          <w:rFonts w:ascii="IRNazanin" w:hAnsi="IRNazanin" w:eastAsia="IRNazanin"/>
          <w:b w:val="false"/>
          <w:b w:val="false"/>
          <w:bCs w:val="false"/>
          <w:i w:val="false"/>
          <w:i w:val="false"/>
          <w:iCs w:val="false"/>
          <w:color w:val="333333"/>
          <w:sz w:val="20"/>
          <w:sz w:val="20"/>
          <w:szCs w:val="20"/>
          <w:rtl w:val="true"/>
        </w:rPr>
        <w:t>،مع تفاوت فی بعض الکلمات</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الأصحّ؛لرجوع الضمیر إلی الأب و الجدّ</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12:196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فی علل محمد بن سنان</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12:197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الآیة من 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12:195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النبیّ</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کان</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نحبّ</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الآیة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الأب یتمّ</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الحکم إجماعی علی الظاهر</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قول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المصلحة للمولّی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ظاهرهم الإجماع علی ذلک</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للأب</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الأردبیلی فی مجمع الفائدة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،و المحقّق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،فی ذیل قول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لو اتجر الولی أو مأذونه للطفل</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کاشف الغطاء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28:297</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فی الصفحة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تَقْرَبُوا مٰالَ الْیَتِیمِ إِلاّٰ بِالَّتِی هِیَ أَحْسَنُ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الأخیر کتب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الأحادیث المتقدّمة آنفاً</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26:102</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آنفاً</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استدرک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تقدّم فی الصفحة السابقة</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 الأوّل من إطلاق الشرائع و النافع</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فینفی</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بالأجر</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بعینه،نعم فی جامع المقاصد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یکون للجدّ الأعلی مع وجود الأولی ولایة؟فیه نظر</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الکفایة</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کتاب النکاح و کتاب الحجر</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لأخذ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صحّحت العبارة فی بعضها بما أثبتناه،و فی بعضها الآخر ورد ما أثبتناه فی الهامش، و صحّحها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لأحد علی أحد فی شیء</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الجریرة و الإمامة،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من المتواترات بین الخاصّة و العامّة،انظر کتاب الغدیر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الصفحة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طاعته</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،باب أنّ أهل الذکر الذین أمر اللّٰه الخلق بسؤالهم هم الأئمة،و البحار </w:t>
      </w:r>
      <w:r>
        <w:rPr>
          <w:rFonts w:eastAsia="IRNazanin" w:cs="IRNazanin"/>
          <w:b w:val="false"/>
          <w:bCs w:val="false"/>
          <w:i w:val="false"/>
          <w:iCs w:val="false"/>
          <w:color w:val="333333"/>
          <w:sz w:val="20"/>
          <w:szCs w:val="20"/>
        </w:rPr>
        <w:t>23:172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الإمامة،و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 کذا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ولاة الأمر،و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الإمامة</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التوقیع الآتی فی الصفحة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عاشوا و لا بقوا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بقوا و عاشوا</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لا بدّ لهم من أمر</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یعلم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رئیس و هو یعلم</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الدعوی،الحدیث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الأبواب،و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المحارب،و المستدرک </w:t>
      </w:r>
      <w:r>
        <w:rPr>
          <w:rFonts w:eastAsia="IRNazanin" w:cs="IRNazanin"/>
          <w:b w:val="false"/>
          <w:bCs w:val="false"/>
          <w:i w:val="false"/>
          <w:iCs w:val="false"/>
          <w:color w:val="333333"/>
          <w:sz w:val="20"/>
          <w:szCs w:val="20"/>
        </w:rPr>
        <w:t>17:241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القاضی،و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 غیرها</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إنّما تنفع مع عدم التمکّن</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 فی الأخیر بما أثبتناه</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بهذا اللفظ فی مجامیعنا الحدیثیة،بل ورد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 أُمناء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الفقهاء أُمناء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ورد بهذا اللفظ فی کنز العمّال </w:t>
      </w:r>
      <w:r>
        <w:rPr>
          <w:rFonts w:eastAsia="IRNazanin" w:cs="IRNazanin"/>
          <w:b w:val="false"/>
          <w:bCs w:val="false"/>
          <w:i w:val="false"/>
          <w:iCs w:val="false"/>
          <w:color w:val="333333"/>
          <w:sz w:val="20"/>
          <w:szCs w:val="20"/>
        </w:rPr>
        <w:t>10:183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29083</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،و عنه فی البحار </w:t>
      </w:r>
      <w:r>
        <w:rPr>
          <w:rFonts w:eastAsia="IRNazanin" w:cs="IRNazanin"/>
          <w:b w:val="false"/>
          <w:bCs w:val="false"/>
          <w:i w:val="false"/>
          <w:iCs w:val="false"/>
          <w:color w:val="333333"/>
          <w:sz w:val="20"/>
          <w:szCs w:val="20"/>
        </w:rPr>
        <w:t>100:80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نقله فی المستدرک </w:t>
      </w:r>
      <w:r>
        <w:rPr>
          <w:rFonts w:eastAsia="IRNazanin" w:cs="IRNazanin"/>
          <w:b w:val="false"/>
          <w:bCs w:val="false"/>
          <w:i w:val="false"/>
          <w:iCs w:val="false"/>
          <w:color w:val="333333"/>
          <w:sz w:val="20"/>
          <w:szCs w:val="20"/>
        </w:rPr>
        <w:t>17:320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العلّامة فی التحریر</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الروایة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فی البحار </w:t>
      </w:r>
      <w:r>
        <w:rPr>
          <w:rFonts w:eastAsia="IRNazanin" w:cs="IRNazanin"/>
          <w:b w:val="false"/>
          <w:bCs w:val="false"/>
          <w:i w:val="false"/>
          <w:iCs w:val="false"/>
          <w:color w:val="333333"/>
          <w:sz w:val="20"/>
          <w:szCs w:val="20"/>
        </w:rPr>
        <w:t>78:346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هذا النصّ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،باب المختار من حِکَم أمیر المؤمنین علیه السلام،الحکمة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الآیة من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18:100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مصادره فی الصفحة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 الناس</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إرادة العامّ من الجهة</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التوقیع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 الواو</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،و عن المصادر المتقدّمة الوسائل </w:t>
      </w:r>
      <w:r>
        <w:rPr>
          <w:rFonts w:eastAsia="IRNazanin" w:cs="IRNazanin"/>
          <w:b w:val="false"/>
          <w:bCs w:val="false"/>
          <w:i w:val="false"/>
          <w:iCs w:val="false"/>
          <w:color w:val="333333"/>
          <w:sz w:val="20"/>
          <w:szCs w:val="20"/>
        </w:rPr>
        <w:t>18:101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فورد التوقیع</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11:521</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فعل المعروف،الحدیث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عونک</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أَطِیعُوا اللّٰهَ ،و تقدّم فی الصفحة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الأمر</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نیابته للفقیه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7:147</w:t>
      </w:r>
      <w:r>
        <w:rPr>
          <w:rFonts w:ascii="IRNazanin" w:hAnsi="IRNazanin" w:eastAsia="IRNazanin"/>
          <w:b w:val="false"/>
          <w:b w:val="false"/>
          <w:bCs w:val="false"/>
          <w:i w:val="false"/>
          <w:i w:val="false"/>
          <w:iCs w:val="false"/>
          <w:color w:val="333333"/>
          <w:sz w:val="20"/>
          <w:sz w:val="20"/>
          <w:szCs w:val="20"/>
          <w:rtl w:val="true"/>
        </w:rPr>
        <w:t>،و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،ذیل العائدة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29:188</w:t>
      </w:r>
      <w:r>
        <w:rPr>
          <w:rFonts w:ascii="IRNazanin" w:hAnsi="IRNazanin" w:eastAsia="IRNazanin"/>
          <w:b w:val="false"/>
          <w:b w:val="false"/>
          <w:bCs w:val="false"/>
          <w:i w:val="false"/>
          <w:i w:val="false"/>
          <w:iCs w:val="false"/>
          <w:color w:val="333333"/>
          <w:sz w:val="20"/>
          <w:sz w:val="20"/>
          <w:szCs w:val="20"/>
          <w:rtl w:val="true"/>
        </w:rPr>
        <w:t xml:space="preserve">،و راجع الحدیث فی کنز العمّال </w:t>
      </w:r>
      <w:r>
        <w:rPr>
          <w:rFonts w:eastAsia="IRNazanin" w:cs="IRNazanin"/>
          <w:b w:val="false"/>
          <w:bCs w:val="false"/>
          <w:i w:val="false"/>
          <w:iCs w:val="false"/>
          <w:color w:val="333333"/>
          <w:sz w:val="20"/>
          <w:szCs w:val="20"/>
        </w:rPr>
        <w:t>16:309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44644</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التردید هو الشکّ فی أنّ المتداول فی الألسنة متن الروایة و نقلت باللفظ،أو مضمونها و نقلت بالمعنی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،ذیل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إلی نوّابه و هم الفقهاء</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المعروف تسمیتها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قاطعة اللجاج</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للشکّ</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قاطعة اللجاج فی تحقیق حلّ الخراج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فثبتت</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للذی</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علیه</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العدول</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تولیته</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لْتَکُنْ منْکُمْ امَّةٌ یَأمُرونَ بِالمَعْروفِ وَ یَنْهَوْنَ عَنِ المُنْکَرِ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غیرها من الآیات،و راجع الوسائل </w:t>
      </w:r>
      <w:r>
        <w:rPr>
          <w:rFonts w:eastAsia="IRNazanin" w:cs="IRNazanin"/>
          <w:b w:val="false"/>
          <w:bCs w:val="false"/>
          <w:i w:val="false"/>
          <w:iCs w:val="false"/>
          <w:color w:val="333333"/>
          <w:sz w:val="20"/>
          <w:szCs w:val="20"/>
        </w:rPr>
        <w:t>11:393</w:t>
      </w:r>
      <w:r>
        <w:rPr>
          <w:rFonts w:ascii="IRNazanin" w:hAnsi="IRNazanin" w:eastAsia="IRNazanin"/>
          <w:b w:val="false"/>
          <w:b w:val="false"/>
          <w:bCs w:val="false"/>
          <w:i w:val="false"/>
          <w:i w:val="false"/>
          <w:iCs w:val="false"/>
          <w:color w:val="333333"/>
          <w:sz w:val="20"/>
          <w:sz w:val="20"/>
          <w:szCs w:val="20"/>
          <w:rtl w:val="true"/>
        </w:rPr>
        <w:t>،الباب الأوّل من أبواب الأمر و النهی</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الإمام</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الحَرَج</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الآیة من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الصلاة و السلام</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12:429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انظر الوسائل </w:t>
      </w:r>
      <w:r>
        <w:rPr>
          <w:rFonts w:eastAsia="IRNazanin" w:cs="IRNazanin"/>
          <w:b w:val="false"/>
          <w:bCs w:val="false"/>
          <w:i w:val="false"/>
          <w:iCs w:val="false"/>
          <w:color w:val="333333"/>
          <w:sz w:val="20"/>
          <w:szCs w:val="20"/>
        </w:rPr>
        <w:t>11:586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أخیه</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11:522</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فعل المعروف،الحدیث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مستحقّه</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استدرکها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المصالح</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6:259</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الجواری</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فذکرت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استدرکت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احتمال</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یتّخذها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یتخذها</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 الواو</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یجدها،و لکن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وجه لها إذ الحدیث مذکور بتمامه،راجع الوسائل </w:t>
      </w:r>
      <w:r>
        <w:rPr>
          <w:rFonts w:eastAsia="IRNazanin" w:cs="IRNazanin"/>
          <w:b w:val="false"/>
          <w:bCs w:val="false"/>
          <w:i w:val="false"/>
          <w:iCs w:val="false"/>
          <w:color w:val="333333"/>
          <w:sz w:val="20"/>
          <w:szCs w:val="20"/>
        </w:rPr>
        <w:t>12:269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استدرکت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 للمصادر الحدیثیة،و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عقر،و لم ترد الکلمة فی سائر النسخ</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الحدیثیة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استدرکت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متاعهم،و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خدمهم و متاعهم</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یستأمره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التهذیب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یستعمله</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البیع،الحدیث الأوّل</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عونک للضعیف</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ترتفع</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استظهره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یجوز</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للیتیم،و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للصغیر</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شخصه،و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یزاحمه</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الأزمان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الأزمان</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أقبض</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جواز</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فی التعبیر ما لا یخفی</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و الفوائد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سیأتی نصّ کلامه فی الصفحة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استدرکت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السیّد العاملی فی مفتاح الکرامة </w:t>
      </w:r>
      <w:r>
        <w:rPr>
          <w:rFonts w:eastAsia="IRNazanin" w:cs="IRNazanin"/>
          <w:b w:val="false"/>
          <w:bCs w:val="false"/>
          <w:i w:val="false"/>
          <w:iCs w:val="false"/>
          <w:color w:val="333333"/>
          <w:sz w:val="20"/>
          <w:szCs w:val="20"/>
        </w:rPr>
        <w:t>5:260</w:t>
      </w:r>
      <w:r>
        <w:rPr>
          <w:rFonts w:ascii="IRNazanin" w:hAnsi="IRNazanin" w:eastAsia="IRNazanin"/>
          <w:b w:val="false"/>
          <w:b w:val="false"/>
          <w:bCs w:val="false"/>
          <w:i w:val="false"/>
          <w:i w:val="false"/>
          <w:iCs w:val="false"/>
          <w:color w:val="333333"/>
          <w:sz w:val="20"/>
          <w:sz w:val="20"/>
          <w:szCs w:val="20"/>
          <w:rtl w:val="true"/>
        </w:rPr>
        <w:t xml:space="preserve">،و انظر التذکرة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التقلّب</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البقاء</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حاله و عند</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الارتکاب</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کان الأولی الإتیان بکلمة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أشار إلیه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فأحد</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لندخل</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یصرفون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نبّه علیه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یوصل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استظهره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یعطی</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إلیه</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إلیه</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یجب مراعاة الأصلح،أم لا؟وجهان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النفی لم یرد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فی سائر النسخ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کان بیعه فی بلد آخر مع إعطاء</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الخسارة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تصحیحاً</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الصفحة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عدم جواز إعارة العبد المسلم للکافر،و منها عدم ولایة الکافر علی المسلم، و غیرهما ممّا یقف علیها المتتبّع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12:107</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موانع الإرث،الحدیث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عن الغنیة فی الصفحة السابقة</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المعتضدة</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زبدة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احتجّ به أصحابنا</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الدلیل الأوّل ممّا استدلّ به للمشهور</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کون</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البیع،الحدیث الأوّل</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النهی عن إبقائه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زیادتها،لأنّه لا معنی لأن یکون النهی عن الإبقاء داعیاً علی الأمر بالبیع،قال الشهیدی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تقدیم هذه الجملة علی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إزالة ملک الکافر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لعلّها مقدّمة فی أصل النسخة و الاشتباه من النسّاخ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یَحْکُمُ بَیْنَکُمْ یَوْمَ الْقِیٰامَةِ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44:271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 رسوله و علیهما و علی أولادهما</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أحَلَّ اللّٰهُ البَیْعَ،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أشار بذلک إلی الملک القهری کالإرث،و من غیر القهری مثل بیعه علی من ینعتق علیه،و مثل ما لو قال الکافر للمسلم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 عبدک عنّی،و مثل ما لو اشترط عند بیعه علی الکافر عتقه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،الفرع الخامس</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xml:space="preserve">،و راجع الخلاف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کتاب البیوع،المسألة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لدینا،و لکن حکاه عنه السیّد العاملی فی مفتاح الکرامة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عن ظاهر 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الدروس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ظاهر القواعد و محکیّ الإیضاح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إیضاح الفوائد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نقله عن مفتاح الکرامة فی الصفحة السابقة</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 فی الصفحة السابقة</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من حکاه عن التذکرة،بل المحکی عنه فی مفتاح الکرامة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المنع،نعم جاء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وجهان للشافعی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،الشرط الثالث</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القائل</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بالآیة</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لن یجعل </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صحّحت فی بعض النسخ بما أثبتناه،و فی بعضها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لحصول</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الفقه علی المذاهب الأربعة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استدرکت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ما فی الوسائل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ما ورد فی کتاب الحجّة من الکافی،انظر الکافی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ما فی الکافی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 و نحوه،الحدیث الأوّل</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 من الکافی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لا،بل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هما</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14:423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 و نحوه</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المحقّق فی</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من حکاه عن الفقیه،نعم حکی ذلک عن المقنعة صاحب الجواهر فی الجواهر </w:t>
      </w:r>
      <w:r>
        <w:rPr>
          <w:rFonts w:eastAsia="IRNazanin" w:cs="IRNazanin"/>
          <w:b w:val="false"/>
          <w:bCs w:val="false"/>
          <w:i w:val="false"/>
          <w:iCs w:val="false"/>
          <w:color w:val="333333"/>
          <w:sz w:val="20"/>
          <w:szCs w:val="20"/>
        </w:rPr>
        <w:t>22:340</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و 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ذلک فی مفتاح الکرامة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22:340</w:t>
      </w:r>
      <w:r>
        <w:rPr>
          <w:rFonts w:ascii="IRNazanin" w:hAnsi="IRNazanin" w:eastAsia="IRNazanin"/>
          <w:b w:val="false"/>
          <w:b w:val="false"/>
          <w:bCs w:val="false"/>
          <w:i w:val="false"/>
          <w:i w:val="false"/>
          <w:iCs w:val="false"/>
          <w:color w:val="333333"/>
          <w:sz w:val="20"/>
          <w:sz w:val="20"/>
          <w:szCs w:val="20"/>
          <w:rtl w:val="true"/>
        </w:rPr>
        <w:t>،و انظر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ذلک فی مفتاح الکرامة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22:340</w:t>
      </w:r>
      <w:r>
        <w:rPr>
          <w:rFonts w:ascii="IRNazanin" w:hAnsi="IRNazanin" w:eastAsia="IRNazanin"/>
          <w:b w:val="false"/>
          <w:b w:val="false"/>
          <w:bCs w:val="false"/>
          <w:i w:val="false"/>
          <w:i w:val="false"/>
          <w:iCs w:val="false"/>
          <w:color w:val="333333"/>
          <w:sz w:val="20"/>
          <w:sz w:val="20"/>
          <w:szCs w:val="20"/>
          <w:rtl w:val="true"/>
        </w:rPr>
        <w:t xml:space="preserve">،و انظر السرائر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ذلک فی مفتاح الکرامة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22:340</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،و حکاه عنه و عن القاضی،العلّامة فی المختلف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الإنصاف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یمنع</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،و حکی ذلک عنهما السیّد العاملی فی مفتاح الکرامة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لدینا،نعم حکاه السیّد العاملی فی مفتاح الکرامة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الملکیة</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لمّا ثبت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لا یثبت بها 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أثبتناه،و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یثبت بها أصل</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 سائر النسخ، 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تولّاه المالک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حواشی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یوجد لدینا،نعم حکاه عنه السیّد العاملی فی مفتاح الکرامة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بعموم</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ذکرا</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لیکون</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التصرّف</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باعه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باعه لمسلم</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ینشأ من کون الاسترداد تملّکاً للمسلم اختیاراً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المصدر،و لم ترد فی سائر النسخ،و استدرکه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من القواعد</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4:548</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،و نسب فی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خیار المشتری إلی المشهور</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،و نهایة الإحکام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الشهیدان فی الدروس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،و اللمعة الدمشقیة و شرحها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،و المحقّق الأردبیلی فی مجمع الفائدة </w:t>
      </w:r>
      <w:r>
        <w:rPr>
          <w:rFonts w:eastAsia="IRNazanin" w:cs="IRNazanin"/>
          <w:b w:val="false"/>
          <w:bCs w:val="false"/>
          <w:i w:val="false"/>
          <w:iCs w:val="false"/>
          <w:color w:val="333333"/>
          <w:sz w:val="20"/>
          <w:szCs w:val="20"/>
        </w:rPr>
        <w:t>8:161</w:t>
      </w:r>
      <w:r>
        <w:rPr>
          <w:rFonts w:ascii="IRNazanin" w:hAnsi="IRNazanin" w:eastAsia="IRNazanin"/>
          <w:b w:val="false"/>
          <w:b w:val="false"/>
          <w:bCs w:val="false"/>
          <w:i w:val="false"/>
          <w:i w:val="false"/>
          <w:iCs w:val="false"/>
          <w:color w:val="333333"/>
          <w:sz w:val="20"/>
          <w:sz w:val="20"/>
          <w:szCs w:val="20"/>
          <w:rtl w:val="true"/>
        </w:rPr>
        <w:t xml:space="preserve">، و انظر مفتاح الکرامة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یجب</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استدلّ بالأوّل الشیخ فی المبسوط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المحقّق الأردبیلی فی مجمع الفائدة </w:t>
      </w:r>
      <w:r>
        <w:rPr>
          <w:rFonts w:eastAsia="IRNazanin" w:cs="IRNazanin"/>
          <w:b w:val="false"/>
          <w:bCs w:val="false"/>
          <w:i w:val="false"/>
          <w:iCs w:val="false"/>
          <w:color w:val="333333"/>
          <w:sz w:val="20"/>
          <w:szCs w:val="20"/>
        </w:rPr>
        <w:t>8:161</w:t>
      </w:r>
      <w:r>
        <w:rPr>
          <w:rFonts w:ascii="IRNazanin" w:hAnsi="IRNazanin" w:eastAsia="IRNazanin"/>
          <w:b w:val="false"/>
          <w:b w:val="false"/>
          <w:bCs w:val="false"/>
          <w:i w:val="false"/>
          <w:i w:val="false"/>
          <w:iCs w:val="false"/>
          <w:color w:val="333333"/>
          <w:sz w:val="20"/>
          <w:sz w:val="20"/>
          <w:szCs w:val="20"/>
          <w:rtl w:val="true"/>
        </w:rPr>
        <w:t xml:space="preserve">،و استدلّ بالثانی صاحب الجواهر فی الجواهر </w:t>
      </w:r>
      <w:r>
        <w:rPr>
          <w:rFonts w:eastAsia="IRNazanin" w:cs="IRNazanin"/>
          <w:b w:val="false"/>
          <w:bCs w:val="false"/>
          <w:i w:val="false"/>
          <w:iCs w:val="false"/>
          <w:color w:val="333333"/>
          <w:sz w:val="20"/>
          <w:szCs w:val="20"/>
        </w:rPr>
        <w:t>22:338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 المنع عن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المشهور الکراهیة؛لأصالة الجواز،و لأنّ حرمتها أقلّ من حرمة المصاحف فلا یتعدّی حکم المصاحف إلیها</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image" Target="media/image2.jpeg"/><Relationship Id="rId601" Type="http://schemas.openxmlformats.org/officeDocument/2006/relationships/image" Target="media/image2.jpeg"/><Relationship Id="rId602" Type="http://schemas.openxmlformats.org/officeDocument/2006/relationships/footer" Target="footer595.xml"/><Relationship Id="rId603" Type="http://schemas.openxmlformats.org/officeDocument/2006/relationships/footnotes" Target="footnotes.xml"/><Relationship Id="rId604" Type="http://schemas.openxmlformats.org/officeDocument/2006/relationships/numbering" Target="numbering.xml"/><Relationship Id="rId605" Type="http://schemas.openxmlformats.org/officeDocument/2006/relationships/fontTable" Target="fontTable.xml"/><Relationship Id="rId606" Type="http://schemas.openxmlformats.org/officeDocument/2006/relationships/settings" Target="settings.xml"/><Relationship Id="rId6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605</Pages>
  <Words>31382</Words>
  <Characters>141411</Characters>
  <CharactersWithSpaces>171744</CharactersWithSpaces>
  <Paragraphs>1050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2026-08-26T02:16:46Z</dcterms:created>
  <dc:creator>ghaemiyeh.com</dc:creator>
  <dc:description/>
  <dc:language>en-US</dc:language>
  <cp:lastModifiedBy/>
  <dcterms:modified xsi:type="dcterms:W3CDTF">2026-08-26T05:47:12Z</dcterms:modified>
  <cp:revision>1</cp:revision>
  <dc:subject/>
  <dc:title>المکاسب جلد 3</dc:title>
</cp:coreProperties>
</file>

<file path=docProps/custom.xml><?xml version="1.0" encoding="utf-8"?>
<Properties xmlns="http://schemas.openxmlformats.org/officeDocument/2006/custom-properties" xmlns:vt="http://schemas.openxmlformats.org/officeDocument/2006/docPropsVTypes"/>
</file>