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03436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003438_231460929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003440_2314609296">
            <w:r>
              <w:rPr>
                <w:webHidden/>
                <w:rStyle w:val="IndexLink"/>
                <w:rtl w:val="true"/>
              </w:rPr>
              <w:t xml:space="preserve">فی المکاسب </w:t>
            </w:r>
            <w:r>
              <w:rPr>
                <w:rStyle w:val="IndexLink"/>
                <w:rtl w:val="true"/>
              </w:rPr>
              <w:t>[</w:t>
            </w:r>
            <w:r>
              <w:rPr>
                <w:rStyle w:val="IndexLink"/>
                <w:rtl w:val="true"/>
              </w:rPr>
              <w:t>المحرمة</w:t>
            </w:r>
            <w:r>
              <w:rPr>
                <w:rStyle w:val="IndexLink"/>
                <w:rtl w:val="true"/>
              </w:rPr>
              <w:t>]</w:t>
              <w:tab/>
            </w:r>
            <w:r>
              <w:rPr>
                <w:rStyle w:val="IndexLink"/>
              </w:rPr>
              <w:t>10</w:t>
            </w:r>
          </w:hyperlink>
        </w:p>
        <w:p>
          <w:pPr>
            <w:pStyle w:val="Contents3"/>
            <w:tabs>
              <w:tab w:val="clear" w:pos="8459"/>
              <w:tab w:val="right" w:pos="9026" w:leader="dot"/>
            </w:tabs>
            <w:rPr/>
          </w:pPr>
          <w:hyperlink w:anchor="__RefHeading___Toc5003442_2314609296">
            <w:r>
              <w:rPr>
                <w:webHidden/>
                <w:rStyle w:val="IndexLink"/>
                <w:rtl w:val="true"/>
              </w:rPr>
              <w:t>و ینبغی أوّلاً التیمّن بذکر بعض الأخبار الواردة علی سبیل الضابطة للمکاسب،</w:t>
            </w:r>
            <w:r>
              <w:rPr>
                <w:rStyle w:val="IndexLink"/>
                <w:rtl w:val="true"/>
              </w:rPr>
              <w:tab/>
            </w:r>
            <w:r>
              <w:rPr>
                <w:rStyle w:val="IndexLink"/>
              </w:rPr>
              <w:t>10</w:t>
            </w:r>
          </w:hyperlink>
        </w:p>
        <w:p>
          <w:pPr>
            <w:pStyle w:val="Contents3"/>
            <w:tabs>
              <w:tab w:val="clear" w:pos="8459"/>
              <w:tab w:val="right" w:pos="9026" w:leader="dot"/>
            </w:tabs>
            <w:rPr/>
          </w:pPr>
          <w:hyperlink w:anchor="__RefHeading___Toc5003444_2314609296">
            <w:r>
              <w:rPr>
                <w:webHidden/>
                <w:rStyle w:val="IndexLink"/>
                <w:rtl w:val="true"/>
              </w:rPr>
              <w:t>النوع الأوّل الاکتساب بالأعیان النجسة عدا ما استثنی</w:t>
            </w:r>
            <w:r>
              <w:rPr>
                <w:rStyle w:val="IndexLink"/>
                <w:rtl w:val="true"/>
              </w:rPr>
              <w:tab/>
            </w:r>
            <w:r>
              <w:rPr>
                <w:rStyle w:val="IndexLink"/>
              </w:rPr>
              <w:t>20</w:t>
            </w:r>
          </w:hyperlink>
        </w:p>
        <w:p>
          <w:pPr>
            <w:pStyle w:val="Contents4"/>
            <w:tabs>
              <w:tab w:val="clear" w:pos="8176"/>
              <w:tab w:val="right" w:pos="9026" w:leader="dot"/>
            </w:tabs>
            <w:rPr/>
          </w:pPr>
          <w:hyperlink w:anchor="__RefHeading___Toc5003446_2314609296">
            <w:r>
              <w:rPr>
                <w:webHidden/>
                <w:rStyle w:val="IndexLink"/>
                <w:rtl w:val="true"/>
              </w:rPr>
              <w:t>و فیه مسائل ثمان</w:t>
            </w:r>
            <w:r>
              <w:rPr>
                <w:rStyle w:val="IndexLink"/>
                <w:rtl w:val="true"/>
              </w:rPr>
              <w:t>:</w:t>
              <w:tab/>
            </w:r>
            <w:r>
              <w:rPr>
                <w:rStyle w:val="IndexLink"/>
              </w:rPr>
              <w:t>20</w:t>
            </w:r>
          </w:hyperlink>
        </w:p>
        <w:p>
          <w:pPr>
            <w:pStyle w:val="Contents5"/>
            <w:tabs>
              <w:tab w:val="clear" w:pos="7892"/>
              <w:tab w:val="right" w:pos="9026" w:leader="dot"/>
            </w:tabs>
            <w:rPr/>
          </w:pPr>
          <w:hyperlink w:anchor="__RefHeading___Toc5003448_2314609296">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5003450_2314609296">
            <w:r>
              <w:rPr>
                <w:webHidden/>
                <w:rStyle w:val="IndexLink"/>
                <w:rtl w:val="true"/>
              </w:rPr>
              <w:t>المسألة الأُولی یحرم المعاوضة علی بول غیر مأکول اللحم</w:t>
            </w:r>
            <w:r>
              <w:rPr>
                <w:rStyle w:val="IndexLink"/>
                <w:rtl w:val="true"/>
              </w:rPr>
              <w:tab/>
            </w:r>
            <w:r>
              <w:rPr>
                <w:rStyle w:val="IndexLink"/>
              </w:rPr>
              <w:t>21</w:t>
            </w:r>
          </w:hyperlink>
        </w:p>
        <w:p>
          <w:pPr>
            <w:pStyle w:val="Contents6"/>
            <w:tabs>
              <w:tab w:val="clear" w:pos="7609"/>
              <w:tab w:val="right" w:pos="9026" w:leader="dot"/>
            </w:tabs>
            <w:rPr/>
          </w:pPr>
          <w:hyperlink w:anchor="__RefHeading___Toc5003452_2314609296">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5003454_2314609296">
            <w:r>
              <w:rPr>
                <w:webHidden/>
                <w:rStyle w:val="IndexLink"/>
                <w:rtl w:val="true"/>
              </w:rPr>
              <w:t>«</w:t>
            </w:r>
            <w:r>
              <w:rPr>
                <w:rStyle w:val="IndexLink"/>
                <w:rtl w:val="true"/>
              </w:rPr>
              <w:t>فرعان</w:t>
            </w:r>
            <w:r>
              <w:rPr>
                <w:rStyle w:val="IndexLink"/>
                <w:rtl w:val="true"/>
              </w:rPr>
              <w:t>»</w:t>
              <w:tab/>
            </w:r>
            <w:r>
              <w:rPr>
                <w:rStyle w:val="IndexLink"/>
              </w:rPr>
              <w:t>21</w:t>
            </w:r>
          </w:hyperlink>
        </w:p>
        <w:p>
          <w:pPr>
            <w:pStyle w:val="Contents6"/>
            <w:tabs>
              <w:tab w:val="clear" w:pos="7609"/>
              <w:tab w:val="right" w:pos="9026" w:leader="dot"/>
            </w:tabs>
            <w:rPr/>
          </w:pPr>
          <w:hyperlink w:anchor="__RefHeading___Toc5003456_2314609296">
            <w:r>
              <w:rPr>
                <w:webHidden/>
                <w:rStyle w:val="IndexLink"/>
                <w:rtl w:val="true"/>
              </w:rPr>
              <w:t>الأوّل</w:t>
            </w:r>
            <w:r>
              <w:rPr>
                <w:rStyle w:val="IndexLink"/>
                <w:rtl w:val="true"/>
              </w:rPr>
              <w:t>:</w:t>
              <w:tab/>
            </w:r>
            <w:r>
              <w:rPr>
                <w:rStyle w:val="IndexLink"/>
              </w:rPr>
              <w:t>21</w:t>
            </w:r>
          </w:hyperlink>
        </w:p>
        <w:p>
          <w:pPr>
            <w:pStyle w:val="Contents6"/>
            <w:tabs>
              <w:tab w:val="clear" w:pos="7609"/>
              <w:tab w:val="right" w:pos="9026" w:leader="dot"/>
            </w:tabs>
            <w:rPr/>
          </w:pPr>
          <w:hyperlink w:anchor="__RefHeading___Toc5003458_2314609296">
            <w:r>
              <w:rPr>
                <w:webHidden/>
                <w:rStyle w:val="IndexLink"/>
                <w:rtl w:val="true"/>
              </w:rPr>
              <w:t>الثانی</w:t>
            </w:r>
            <w:r>
              <w:rPr>
                <w:rStyle w:val="IndexLink"/>
                <w:rtl w:val="true"/>
              </w:rPr>
              <w:t>:</w:t>
              <w:tab/>
            </w:r>
            <w:r>
              <w:rPr>
                <w:rStyle w:val="IndexLink"/>
              </w:rPr>
              <w:t>25</w:t>
            </w:r>
          </w:hyperlink>
        </w:p>
        <w:p>
          <w:pPr>
            <w:pStyle w:val="Contents5"/>
            <w:tabs>
              <w:tab w:val="clear" w:pos="7892"/>
              <w:tab w:val="right" w:pos="9026" w:leader="dot"/>
            </w:tabs>
            <w:rPr/>
          </w:pPr>
          <w:hyperlink w:anchor="__RefHeading___Toc5003460_2314609296">
            <w:r>
              <w:rPr>
                <w:webHidden/>
                <w:rStyle w:val="IndexLink"/>
                <w:rtl w:val="true"/>
              </w:rPr>
              <w:t>المسألة</w:t>
            </w:r>
            <w:r>
              <w:rPr>
                <w:rStyle w:val="IndexLink"/>
                <w:rtl w:val="true"/>
              </w:rPr>
              <w:t>]</w:t>
            </w:r>
            <w:r>
              <w:rPr>
                <w:rStyle w:val="IndexLink"/>
                <w:rtl w:val="true"/>
              </w:rPr>
              <w:t>الثانیة یحرم بیع العذرة النجسة</w:t>
            </w:r>
            <w:r>
              <w:rPr>
                <w:rStyle w:val="IndexLink"/>
                <w:rtl w:val="true"/>
              </w:rPr>
              <w:tab/>
            </w:r>
            <w:r>
              <w:rPr>
                <w:rStyle w:val="IndexLink"/>
              </w:rPr>
              <w:t>27</w:t>
            </w:r>
          </w:hyperlink>
        </w:p>
        <w:p>
          <w:pPr>
            <w:pStyle w:val="Contents6"/>
            <w:tabs>
              <w:tab w:val="clear" w:pos="7609"/>
              <w:tab w:val="right" w:pos="9026" w:leader="dot"/>
            </w:tabs>
            <w:rPr/>
          </w:pPr>
          <w:hyperlink w:anchor="__RefHeading___Toc5003462_2314609296">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5003464_2314609296">
            <w:r>
              <w:rPr>
                <w:webHidden/>
                <w:rStyle w:val="IndexLink"/>
                <w:rtl w:val="true"/>
              </w:rPr>
              <w:t>«</w:t>
            </w:r>
            <w:r>
              <w:rPr>
                <w:rStyle w:val="IndexLink"/>
                <w:rtl w:val="true"/>
              </w:rPr>
              <w:t>فرع</w:t>
            </w:r>
            <w:r>
              <w:rPr>
                <w:rStyle w:val="IndexLink"/>
                <w:rtl w:val="true"/>
              </w:rPr>
              <w:t xml:space="preserve">» </w:t>
            </w:r>
            <w:r>
              <w:rPr>
                <w:rStyle w:val="IndexLink"/>
                <w:rtl w:val="true"/>
              </w:rPr>
              <w:t>الأقوی جواز بیع الأرواث الطاهرة التی ینتفع بها منفعة محلّلة مقصودة،</w:t>
            </w:r>
            <w:r>
              <w:rPr>
                <w:rStyle w:val="IndexLink"/>
                <w:rtl w:val="true"/>
              </w:rPr>
              <w:tab/>
            </w:r>
            <w:r>
              <w:rPr>
                <w:rStyle w:val="IndexLink"/>
              </w:rPr>
              <w:t>30</w:t>
            </w:r>
          </w:hyperlink>
        </w:p>
        <w:p>
          <w:pPr>
            <w:pStyle w:val="Contents5"/>
            <w:tabs>
              <w:tab w:val="clear" w:pos="7892"/>
              <w:tab w:val="right" w:pos="9026" w:leader="dot"/>
            </w:tabs>
            <w:rPr/>
          </w:pPr>
          <w:hyperlink w:anchor="__RefHeading___Toc5003466_2314609296">
            <w:r>
              <w:rPr>
                <w:webHidden/>
                <w:rStyle w:val="IndexLink"/>
                <w:rtl w:val="true"/>
              </w:rPr>
              <w:t>المسألة</w:t>
            </w:r>
            <w:r>
              <w:rPr>
                <w:rStyle w:val="IndexLink"/>
                <w:rtl w:val="true"/>
              </w:rPr>
              <w:t>]</w:t>
            </w:r>
            <w:r>
              <w:rPr>
                <w:rStyle w:val="IndexLink"/>
                <w:rtl w:val="true"/>
              </w:rPr>
              <w:t>الثالثة یحرم المعاوضة علی الدم بلا خلاف،</w:t>
            </w:r>
            <w:r>
              <w:rPr>
                <w:rStyle w:val="IndexLink"/>
                <w:rtl w:val="true"/>
              </w:rPr>
              <w:tab/>
            </w:r>
            <w:r>
              <w:rPr>
                <w:rStyle w:val="IndexLink"/>
              </w:rPr>
              <w:t>31</w:t>
            </w:r>
          </w:hyperlink>
        </w:p>
        <w:p>
          <w:pPr>
            <w:pStyle w:val="Contents6"/>
            <w:tabs>
              <w:tab w:val="clear" w:pos="7609"/>
              <w:tab w:val="right" w:pos="9026" w:leader="dot"/>
            </w:tabs>
            <w:rPr/>
          </w:pPr>
          <w:hyperlink w:anchor="__RefHeading___Toc5003468_2314609296">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5003470_2314609296">
            <w:r>
              <w:rPr>
                <w:webHidden/>
                <w:rStyle w:val="IndexLink"/>
                <w:rtl w:val="true"/>
              </w:rPr>
              <w:t>«</w:t>
            </w:r>
            <w:r>
              <w:rPr>
                <w:rStyle w:val="IndexLink"/>
                <w:rtl w:val="true"/>
              </w:rPr>
              <w:t>فرع</w:t>
            </w:r>
            <w:r>
              <w:rPr>
                <w:rStyle w:val="IndexLink"/>
                <w:rtl w:val="true"/>
              </w:rPr>
              <w:t xml:space="preserve">» </w:t>
            </w:r>
            <w:r>
              <w:rPr>
                <w:rStyle w:val="IndexLink"/>
                <w:rtl w:val="true"/>
              </w:rPr>
              <w:t>و أمّا الدم الطاهر إذا فرضت له منفعة محلّلة کالصبغ لو قلنا بجوازه</w:t>
            </w:r>
            <w:r>
              <w:rPr>
                <w:rStyle w:val="IndexLink"/>
                <w:rtl w:val="true"/>
              </w:rPr>
              <w:tab/>
            </w:r>
            <w:r>
              <w:rPr>
                <w:rStyle w:val="IndexLink"/>
              </w:rPr>
              <w:t>31</w:t>
            </w:r>
          </w:hyperlink>
        </w:p>
        <w:p>
          <w:pPr>
            <w:pStyle w:val="Contents5"/>
            <w:tabs>
              <w:tab w:val="clear" w:pos="7892"/>
              <w:tab w:val="right" w:pos="9026" w:leader="dot"/>
            </w:tabs>
            <w:rPr/>
          </w:pPr>
          <w:hyperlink w:anchor="__RefHeading___Toc5003472_2314609296">
            <w:r>
              <w:rPr>
                <w:webHidden/>
                <w:rStyle w:val="IndexLink"/>
                <w:rtl w:val="true"/>
              </w:rPr>
              <w:t>المسألة</w:t>
            </w:r>
            <w:r>
              <w:rPr>
                <w:rStyle w:val="IndexLink"/>
                <w:rtl w:val="true"/>
              </w:rPr>
              <w:t>]</w:t>
            </w:r>
            <w:r>
              <w:rPr>
                <w:rStyle w:val="IndexLink"/>
                <w:rtl w:val="true"/>
              </w:rPr>
              <w:t>الرابعة لا إشکال فی حرمة بیع المنی؛لنجاسته،</w:t>
            </w:r>
            <w:r>
              <w:rPr>
                <w:rStyle w:val="IndexLink"/>
                <w:rtl w:val="true"/>
              </w:rPr>
              <w:tab/>
            </w:r>
            <w:r>
              <w:rPr>
                <w:rStyle w:val="IndexLink"/>
              </w:rPr>
              <w:t>33</w:t>
            </w:r>
          </w:hyperlink>
        </w:p>
        <w:p>
          <w:pPr>
            <w:pStyle w:val="Contents5"/>
            <w:tabs>
              <w:tab w:val="clear" w:pos="7892"/>
              <w:tab w:val="right" w:pos="9026" w:leader="dot"/>
            </w:tabs>
            <w:rPr/>
          </w:pPr>
          <w:hyperlink w:anchor="__RefHeading___Toc5003474_2314609296">
            <w:r>
              <w:rPr>
                <w:webHidden/>
                <w:rStyle w:val="IndexLink"/>
                <w:rtl w:val="true"/>
              </w:rPr>
              <w:t>المسألة</w:t>
            </w:r>
            <w:r>
              <w:rPr>
                <w:rStyle w:val="IndexLink"/>
                <w:rtl w:val="true"/>
              </w:rPr>
              <w:t>]</w:t>
            </w:r>
            <w:r>
              <w:rPr>
                <w:rStyle w:val="IndexLink"/>
                <w:rtl w:val="true"/>
              </w:rPr>
              <w:t>الخامسة تحرم المعاوضة علی المیتة و أجزائها التی تحلّها الحیاة من ذی النفس السائلة</w:t>
            </w:r>
            <w:r>
              <w:rPr>
                <w:rStyle w:val="IndexLink"/>
                <w:rtl w:val="true"/>
              </w:rPr>
              <w:tab/>
            </w:r>
            <w:r>
              <w:rPr>
                <w:rStyle w:val="IndexLink"/>
              </w:rPr>
              <w:t>35</w:t>
            </w:r>
          </w:hyperlink>
        </w:p>
        <w:p>
          <w:pPr>
            <w:pStyle w:val="Contents6"/>
            <w:tabs>
              <w:tab w:val="clear" w:pos="7609"/>
              <w:tab w:val="right" w:pos="9026" w:leader="dot"/>
            </w:tabs>
            <w:rPr/>
          </w:pPr>
          <w:hyperlink w:anchor="__RefHeading___Toc5003476_2314609296">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5003478_2314609296">
            <w:r>
              <w:rPr>
                <w:webHidden/>
                <w:rStyle w:val="IndexLink"/>
                <w:rtl w:val="true"/>
              </w:rPr>
              <w:t>«</w:t>
            </w:r>
            <w:r>
              <w:rPr>
                <w:rStyle w:val="IndexLink"/>
                <w:rtl w:val="true"/>
              </w:rPr>
              <w:t>فرعان</w:t>
            </w:r>
            <w:r>
              <w:rPr>
                <w:rStyle w:val="IndexLink"/>
                <w:rtl w:val="true"/>
              </w:rPr>
              <w:t>»</w:t>
              <w:tab/>
            </w:r>
            <w:r>
              <w:rPr>
                <w:rStyle w:val="IndexLink"/>
              </w:rPr>
              <w:t>40</w:t>
            </w:r>
          </w:hyperlink>
        </w:p>
        <w:p>
          <w:pPr>
            <w:pStyle w:val="Contents6"/>
            <w:tabs>
              <w:tab w:val="clear" w:pos="7609"/>
              <w:tab w:val="right" w:pos="9026" w:leader="dot"/>
            </w:tabs>
            <w:rPr/>
          </w:pPr>
          <w:hyperlink w:anchor="__RefHeading___Toc5003480_2314609296">
            <w:r>
              <w:rPr>
                <w:webHidden/>
                <w:rStyle w:val="IndexLink"/>
                <w:rtl w:val="true"/>
              </w:rPr>
              <w:t>الأوّل</w:t>
            </w:r>
            <w:r>
              <w:rPr>
                <w:rStyle w:val="IndexLink"/>
                <w:rtl w:val="true"/>
              </w:rPr>
              <w:t>:</w:t>
              <w:tab/>
            </w:r>
            <w:r>
              <w:rPr>
                <w:rStyle w:val="IndexLink"/>
              </w:rPr>
              <w:t>40</w:t>
            </w:r>
          </w:hyperlink>
        </w:p>
        <w:p>
          <w:pPr>
            <w:pStyle w:val="Contents6"/>
            <w:tabs>
              <w:tab w:val="clear" w:pos="7609"/>
              <w:tab w:val="right" w:pos="9026" w:leader="dot"/>
            </w:tabs>
            <w:rPr/>
          </w:pPr>
          <w:hyperlink w:anchor="__RefHeading___Toc5003482_2314609296">
            <w:r>
              <w:rPr>
                <w:webHidden/>
                <w:rStyle w:val="IndexLink"/>
                <w:rtl w:val="true"/>
              </w:rPr>
              <w:t>الثانی</w:t>
            </w:r>
            <w:r>
              <w:rPr>
                <w:rStyle w:val="IndexLink"/>
                <w:rtl w:val="true"/>
              </w:rPr>
              <w:t>:</w:t>
              <w:tab/>
            </w:r>
            <w:r>
              <w:rPr>
                <w:rStyle w:val="IndexLink"/>
              </w:rPr>
              <w:t>44</w:t>
            </w:r>
          </w:hyperlink>
        </w:p>
        <w:p>
          <w:pPr>
            <w:pStyle w:val="Contents5"/>
            <w:tabs>
              <w:tab w:val="clear" w:pos="7892"/>
              <w:tab w:val="right" w:pos="9026" w:leader="dot"/>
            </w:tabs>
            <w:rPr/>
          </w:pPr>
          <w:hyperlink w:anchor="__RefHeading___Toc5003484_2314609296">
            <w:r>
              <w:rPr>
                <w:webHidden/>
                <w:rStyle w:val="IndexLink"/>
                <w:rtl w:val="true"/>
              </w:rPr>
              <w:t>المسألة</w:t>
            </w:r>
            <w:r>
              <w:rPr>
                <w:rStyle w:val="IndexLink"/>
                <w:rtl w:val="true"/>
              </w:rPr>
              <w:t>]</w:t>
            </w:r>
            <w:r>
              <w:rPr>
                <w:rStyle w:val="IndexLink"/>
                <w:rtl w:val="true"/>
              </w:rPr>
              <w:t>السادسة یحرم التکسّب بالکلب الهراش و الخنزیر البرّیّین</w:t>
            </w:r>
            <w:r>
              <w:rPr>
                <w:rStyle w:val="IndexLink"/>
                <w:rtl w:val="true"/>
              </w:rPr>
              <w:tab/>
            </w:r>
            <w:r>
              <w:rPr>
                <w:rStyle w:val="IndexLink"/>
              </w:rPr>
              <w:t>45</w:t>
            </w:r>
          </w:hyperlink>
        </w:p>
        <w:p>
          <w:pPr>
            <w:pStyle w:val="Contents5"/>
            <w:tabs>
              <w:tab w:val="clear" w:pos="7892"/>
              <w:tab w:val="right" w:pos="9026" w:leader="dot"/>
            </w:tabs>
            <w:rPr/>
          </w:pPr>
          <w:hyperlink w:anchor="__RefHeading___Toc5003486_2314609296">
            <w:r>
              <w:rPr>
                <w:webHidden/>
                <w:rStyle w:val="IndexLink"/>
                <w:rtl w:val="true"/>
              </w:rPr>
              <w:t>المسألة</w:t>
            </w:r>
            <w:r>
              <w:rPr>
                <w:rStyle w:val="IndexLink"/>
                <w:rtl w:val="true"/>
              </w:rPr>
              <w:t>]</w:t>
            </w:r>
            <w:r>
              <w:rPr>
                <w:rStyle w:val="IndexLink"/>
                <w:rtl w:val="true"/>
              </w:rPr>
              <w:t>السابعة یحرم التکسّب بالخمر و کلّ مسکر مائع و الفقّاع</w:t>
            </w:r>
            <w:r>
              <w:rPr>
                <w:rStyle w:val="IndexLink"/>
                <w:rtl w:val="true"/>
              </w:rPr>
              <w:tab/>
            </w:r>
            <w:r>
              <w:rPr>
                <w:rStyle w:val="IndexLink"/>
              </w:rPr>
              <w:t>46</w:t>
            </w:r>
          </w:hyperlink>
        </w:p>
        <w:p>
          <w:pPr>
            <w:pStyle w:val="Contents5"/>
            <w:tabs>
              <w:tab w:val="clear" w:pos="7892"/>
              <w:tab w:val="right" w:pos="9026" w:leader="dot"/>
            </w:tabs>
            <w:rPr/>
          </w:pPr>
          <w:hyperlink w:anchor="__RefHeading___Toc5003488_2314609296">
            <w:r>
              <w:rPr>
                <w:webHidden/>
                <w:rStyle w:val="IndexLink"/>
                <w:rtl w:val="true"/>
              </w:rPr>
              <w:t>المسألة</w:t>
            </w:r>
            <w:r>
              <w:rPr>
                <w:rStyle w:val="IndexLink"/>
                <w:rtl w:val="true"/>
              </w:rPr>
              <w:t>]</w:t>
            </w:r>
            <w:r>
              <w:rPr>
                <w:rStyle w:val="IndexLink"/>
                <w:rtl w:val="true"/>
              </w:rPr>
              <w:t>الثامنة یحرم المعاوضة علی الأعیان المتنجّسة الغیر القابلة للطهارة إذا توقّف منافعها المحلّلة المعتدّ بها علی الطهارة؛</w:t>
            </w:r>
            <w:r>
              <w:rPr>
                <w:rStyle w:val="IndexLink"/>
                <w:rtl w:val="true"/>
              </w:rPr>
              <w:tab/>
            </w:r>
            <w:r>
              <w:rPr>
                <w:rStyle w:val="IndexLink"/>
              </w:rPr>
              <w:t>47</w:t>
            </w:r>
          </w:hyperlink>
        </w:p>
        <w:p>
          <w:pPr>
            <w:pStyle w:val="Contents4"/>
            <w:tabs>
              <w:tab w:val="clear" w:pos="8176"/>
              <w:tab w:val="right" w:pos="9026" w:leader="dot"/>
            </w:tabs>
            <w:rPr/>
          </w:pPr>
          <w:hyperlink w:anchor="__RefHeading___Toc5003490_2314609296">
            <w:r>
              <w:rPr>
                <w:webHidden/>
                <w:rStyle w:val="IndexLink"/>
                <w:rtl w:val="true"/>
              </w:rPr>
              <w:t>و أمّا المستثنی من الأعیان المتقدّمة فهی أربعة</w:t>
            </w:r>
            <w:r>
              <w:rPr>
                <w:rStyle w:val="IndexLink"/>
                <w:rtl w:val="true"/>
              </w:rPr>
              <w:tab/>
            </w:r>
            <w:r>
              <w:rPr>
                <w:rStyle w:val="IndexLink"/>
              </w:rPr>
              <w:t>50</w:t>
            </w:r>
          </w:hyperlink>
        </w:p>
        <w:p>
          <w:pPr>
            <w:pStyle w:val="Contents5"/>
            <w:tabs>
              <w:tab w:val="clear" w:pos="7892"/>
              <w:tab w:val="right" w:pos="9026" w:leader="dot"/>
            </w:tabs>
            <w:rPr/>
          </w:pPr>
          <w:hyperlink w:anchor="__RefHeading___Toc5003492_2314609296">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5003494_2314609296">
            <w:r>
              <w:rPr>
                <w:webHidden/>
                <w:rStyle w:val="IndexLink"/>
                <w:rtl w:val="true"/>
              </w:rPr>
              <w:t>الأُولی یجوز بیع المملوک الکافر،أصلیّاً کان أم مرتدّاً مِلّیّاً،</w:t>
            </w:r>
            <w:r>
              <w:rPr>
                <w:rStyle w:val="IndexLink"/>
                <w:rtl w:val="true"/>
              </w:rPr>
              <w:tab/>
            </w:r>
            <w:r>
              <w:rPr>
                <w:rStyle w:val="IndexLink"/>
              </w:rPr>
              <w:t>50</w:t>
            </w:r>
          </w:hyperlink>
        </w:p>
        <w:p>
          <w:pPr>
            <w:pStyle w:val="Contents5"/>
            <w:tabs>
              <w:tab w:val="clear" w:pos="7892"/>
              <w:tab w:val="right" w:pos="9026" w:leader="dot"/>
            </w:tabs>
            <w:rPr/>
          </w:pPr>
          <w:hyperlink w:anchor="__RefHeading___Toc5003496_2314609296">
            <w:r>
              <w:rPr>
                <w:webHidden/>
                <w:rStyle w:val="IndexLink"/>
                <w:rtl w:val="true"/>
              </w:rPr>
              <w:t>المسألة</w:t>
            </w:r>
            <w:r>
              <w:rPr>
                <w:rStyle w:val="IndexLink"/>
                <w:rtl w:val="true"/>
              </w:rPr>
              <w:t>]</w:t>
            </w:r>
            <w:r>
              <w:rPr>
                <w:rStyle w:val="IndexLink"/>
                <w:rtl w:val="true"/>
              </w:rPr>
              <w:t>الثانیة یجوز المعاوضة علی غیر کلب الهراش فی الجملة</w:t>
            </w:r>
            <w:r>
              <w:rPr>
                <w:rStyle w:val="IndexLink"/>
                <w:rtl w:val="true"/>
              </w:rPr>
              <w:tab/>
            </w:r>
            <w:r>
              <w:rPr>
                <w:rStyle w:val="IndexLink"/>
              </w:rPr>
              <w:t>54</w:t>
            </w:r>
          </w:hyperlink>
        </w:p>
        <w:p>
          <w:pPr>
            <w:pStyle w:val="Contents5"/>
            <w:tabs>
              <w:tab w:val="clear" w:pos="7892"/>
              <w:tab w:val="right" w:pos="9026" w:leader="dot"/>
            </w:tabs>
            <w:rPr/>
          </w:pPr>
          <w:hyperlink w:anchor="__RefHeading___Toc5003498_2314609296">
            <w:r>
              <w:rPr>
                <w:webHidden/>
                <w:rStyle w:val="IndexLink"/>
                <w:rtl w:val="true"/>
              </w:rPr>
              <w:t>[</w:t>
            </w:r>
            <w:r>
              <w:rPr>
                <w:rStyle w:val="IndexLink"/>
                <w:rtl w:val="true"/>
              </w:rPr>
              <w:t>المسألة</w:t>
            </w:r>
            <w:r>
              <w:rPr>
                <w:rStyle w:val="IndexLink"/>
                <w:rtl w:val="true"/>
              </w:rPr>
              <w:t>]</w:t>
            </w:r>
            <w:r>
              <w:rPr>
                <w:rStyle w:val="IndexLink"/>
                <w:rtl w:val="true"/>
              </w:rPr>
              <w:t>الثالثة الأقوی جواز المعاوضة علی العصیر العنبی إذا غلی و لم یذهب ثلثاه و إن کان نجساً؛</w:t>
            </w:r>
            <w:r>
              <w:rPr>
                <w:rStyle w:val="IndexLink"/>
                <w:rtl w:val="true"/>
              </w:rPr>
              <w:tab/>
            </w:r>
            <w:r>
              <w:rPr>
                <w:rStyle w:val="IndexLink"/>
              </w:rPr>
              <w:t>64</w:t>
            </w:r>
          </w:hyperlink>
        </w:p>
        <w:p>
          <w:pPr>
            <w:pStyle w:val="Contents5"/>
            <w:tabs>
              <w:tab w:val="clear" w:pos="7892"/>
              <w:tab w:val="right" w:pos="9026" w:leader="dot"/>
            </w:tabs>
            <w:rPr/>
          </w:pPr>
          <w:hyperlink w:anchor="__RefHeading___Toc5003500_2314609296">
            <w:r>
              <w:rPr>
                <w:webHidden/>
                <w:rStyle w:val="IndexLink"/>
                <w:rtl w:val="true"/>
              </w:rPr>
              <w:t>المسألة</w:t>
            </w:r>
            <w:r>
              <w:rPr>
                <w:rStyle w:val="IndexLink"/>
                <w:rtl w:val="true"/>
              </w:rPr>
              <w:t>]</w:t>
            </w:r>
            <w:r>
              <w:rPr>
                <w:rStyle w:val="IndexLink"/>
                <w:rtl w:val="true"/>
              </w:rPr>
              <w:t>الرابعة یجوز المعاوضة علی الدهن المتنجّس</w:t>
            </w:r>
            <w:r>
              <w:rPr>
                <w:rStyle w:val="IndexLink"/>
                <w:rtl w:val="true"/>
              </w:rPr>
              <w:tab/>
            </w:r>
            <w:r>
              <w:rPr>
                <w:rStyle w:val="IndexLink"/>
              </w:rPr>
              <w:t>68</w:t>
            </w:r>
          </w:hyperlink>
        </w:p>
        <w:p>
          <w:pPr>
            <w:pStyle w:val="Contents6"/>
            <w:tabs>
              <w:tab w:val="clear" w:pos="7609"/>
              <w:tab w:val="right" w:pos="9026" w:leader="dot"/>
            </w:tabs>
            <w:rPr/>
          </w:pPr>
          <w:hyperlink w:anchor="__RefHeading___Toc5003502_2314609296">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5003504_2314609296">
            <w:r>
              <w:rPr>
                <w:webHidden/>
                <w:rStyle w:val="IndexLink"/>
                <w:rtl w:val="true"/>
              </w:rPr>
              <w:t>فالإشکال یقع فی مواضع</w:t>
            </w:r>
            <w:r>
              <w:rPr>
                <w:rStyle w:val="IndexLink"/>
                <w:rtl w:val="true"/>
              </w:rPr>
              <w:t>:</w:t>
              <w:tab/>
            </w:r>
            <w:r>
              <w:rPr>
                <w:rStyle w:val="IndexLink"/>
              </w:rPr>
              <w:t>70</w:t>
            </w:r>
          </w:hyperlink>
        </w:p>
        <w:p>
          <w:pPr>
            <w:pStyle w:val="Contents6"/>
            <w:tabs>
              <w:tab w:val="clear" w:pos="7609"/>
              <w:tab w:val="right" w:pos="9026" w:leader="dot"/>
            </w:tabs>
            <w:rPr/>
          </w:pPr>
          <w:hyperlink w:anchor="__RefHeading___Toc5003506_2314609296">
            <w:r>
              <w:rPr>
                <w:webHidden/>
                <w:rStyle w:val="IndexLink"/>
                <w:rtl w:val="true"/>
              </w:rPr>
              <w:t>الأوّل</w:t>
            </w:r>
            <w:r>
              <w:rPr>
                <w:rStyle w:val="IndexLink"/>
                <w:rtl w:val="true"/>
              </w:rPr>
              <w:t>:</w:t>
              <w:tab/>
            </w:r>
            <w:r>
              <w:rPr>
                <w:rStyle w:val="IndexLink"/>
              </w:rPr>
              <w:t>71</w:t>
            </w:r>
          </w:hyperlink>
        </w:p>
        <w:p>
          <w:pPr>
            <w:pStyle w:val="Contents6"/>
            <w:tabs>
              <w:tab w:val="clear" w:pos="7609"/>
              <w:tab w:val="right" w:pos="9026" w:leader="dot"/>
            </w:tabs>
            <w:rPr/>
          </w:pPr>
          <w:hyperlink w:anchor="__RefHeading___Toc5003508_2314609296">
            <w:r>
              <w:rPr>
                <w:webHidden/>
                <w:rStyle w:val="IndexLink"/>
                <w:rtl w:val="true"/>
              </w:rPr>
              <w:t>الثانی</w:t>
            </w:r>
            <w:r>
              <w:rPr>
                <w:rStyle w:val="IndexLink"/>
                <w:rtl w:val="true"/>
              </w:rPr>
              <w:t>:</w:t>
              <w:tab/>
            </w:r>
            <w:r>
              <w:rPr>
                <w:rStyle w:val="IndexLink"/>
              </w:rPr>
              <w:t>76</w:t>
            </w:r>
          </w:hyperlink>
        </w:p>
        <w:p>
          <w:pPr>
            <w:pStyle w:val="Contents6"/>
            <w:tabs>
              <w:tab w:val="clear" w:pos="7609"/>
              <w:tab w:val="right" w:pos="9026" w:leader="dot"/>
            </w:tabs>
            <w:rPr/>
          </w:pPr>
          <w:hyperlink w:anchor="__RefHeading___Toc5003510_2314609296">
            <w:r>
              <w:rPr>
                <w:webHidden/>
                <w:rStyle w:val="IndexLink"/>
                <w:rtl w:val="true"/>
              </w:rPr>
              <w:t>الثالث</w:t>
            </w:r>
            <w:r>
              <w:rPr>
                <w:rStyle w:val="IndexLink"/>
                <w:rtl w:val="true"/>
              </w:rPr>
              <w:t>:</w:t>
              <w:tab/>
            </w:r>
            <w:r>
              <w:rPr>
                <w:rStyle w:val="IndexLink"/>
              </w:rPr>
              <w:t>81</w:t>
            </w:r>
          </w:hyperlink>
        </w:p>
        <w:p>
          <w:pPr>
            <w:pStyle w:val="Contents6"/>
            <w:tabs>
              <w:tab w:val="clear" w:pos="7609"/>
              <w:tab w:val="right" w:pos="9026" w:leader="dot"/>
            </w:tabs>
            <w:rPr/>
          </w:pPr>
          <w:hyperlink w:anchor="__RefHeading___Toc5003512_2314609296">
            <w:r>
              <w:rPr>
                <w:webHidden/>
                <w:rStyle w:val="IndexLink"/>
                <w:rtl w:val="true"/>
              </w:rPr>
              <w:t>الرابع</w:t>
            </w:r>
            <w:r>
              <w:rPr>
                <w:rStyle w:val="IndexLink"/>
                <w:rtl w:val="true"/>
              </w:rPr>
              <w:t>:</w:t>
              <w:tab/>
            </w:r>
            <w:r>
              <w:rPr>
                <w:rStyle w:val="IndexLink"/>
              </w:rPr>
              <w:t>83</w:t>
            </w:r>
          </w:hyperlink>
        </w:p>
        <w:p>
          <w:pPr>
            <w:pStyle w:val="Contents6"/>
            <w:tabs>
              <w:tab w:val="clear" w:pos="7609"/>
              <w:tab w:val="right" w:pos="9026" w:leader="dot"/>
            </w:tabs>
            <w:rPr/>
          </w:pPr>
          <w:hyperlink w:anchor="__RefHeading___Toc5003514_2314609296">
            <w:r>
              <w:rPr>
                <w:webHidden/>
                <w:rStyle w:val="IndexLink"/>
                <w:rtl w:val="true"/>
              </w:rPr>
              <w:t>[</w:t>
            </w:r>
            <w:r>
              <w:rPr>
                <w:rStyle w:val="IndexLink"/>
                <w:rtl w:val="true"/>
              </w:rPr>
              <w:t>کلمات الفقهاء فی المسألة</w:t>
            </w:r>
            <w:r>
              <w:rPr>
                <w:rStyle w:val="IndexLink"/>
                <w:rtl w:val="true"/>
              </w:rPr>
              <w:t>]</w:t>
              <w:tab/>
            </w:r>
            <w:r>
              <w:rPr>
                <w:rStyle w:val="IndexLink"/>
              </w:rPr>
              <w:t>83</w:t>
            </w:r>
          </w:hyperlink>
        </w:p>
        <w:p>
          <w:pPr>
            <w:pStyle w:val="Contents6"/>
            <w:tabs>
              <w:tab w:val="clear" w:pos="7609"/>
              <w:tab w:val="right" w:pos="9026" w:leader="dot"/>
            </w:tabs>
            <w:rPr/>
          </w:pPr>
          <w:hyperlink w:anchor="__RefHeading___Toc5003516_2314609296">
            <w:r>
              <w:rPr>
                <w:webHidden/>
                <w:rStyle w:val="IndexLink"/>
                <w:rtl w:val="true"/>
              </w:rPr>
              <w:t>[</w:t>
            </w:r>
            <w:r>
              <w:rPr>
                <w:rStyle w:val="IndexLink"/>
                <w:rtl w:val="true"/>
              </w:rPr>
              <w:t>الأقوی جواز الانتفاع إلا ما خرج بالدلیل</w:t>
            </w:r>
            <w:r>
              <w:rPr>
                <w:rStyle w:val="IndexLink"/>
                <w:rtl w:val="true"/>
              </w:rPr>
              <w:t>]</w:t>
              <w:tab/>
            </w:r>
            <w:r>
              <w:rPr>
                <w:rStyle w:val="IndexLink"/>
              </w:rPr>
              <w:t>85</w:t>
            </w:r>
          </w:hyperlink>
        </w:p>
        <w:p>
          <w:pPr>
            <w:pStyle w:val="Contents6"/>
            <w:tabs>
              <w:tab w:val="clear" w:pos="7609"/>
              <w:tab w:val="right" w:pos="9026" w:leader="dot"/>
            </w:tabs>
            <w:rPr/>
          </w:pPr>
          <w:hyperlink w:anchor="__RefHeading___Toc5003518_2314609296">
            <w:r>
              <w:rPr>
                <w:webHidden/>
                <w:rStyle w:val="IndexLink"/>
                <w:rtl w:val="true"/>
              </w:rPr>
              <w:t>[</w:t>
            </w:r>
            <w:r>
              <w:rPr>
                <w:rStyle w:val="IndexLink"/>
                <w:rtl w:val="true"/>
              </w:rPr>
              <w:t>الاستدلال علی المنع بالآیات و الجواب عنه</w:t>
            </w:r>
            <w:r>
              <w:rPr>
                <w:rStyle w:val="IndexLink"/>
                <w:rtl w:val="true"/>
              </w:rPr>
              <w:t>]</w:t>
              <w:tab/>
            </w:r>
            <w:r>
              <w:rPr>
                <w:rStyle w:val="IndexLink"/>
              </w:rPr>
              <w:t>86</w:t>
            </w:r>
          </w:hyperlink>
        </w:p>
        <w:p>
          <w:pPr>
            <w:pStyle w:val="Contents6"/>
            <w:tabs>
              <w:tab w:val="clear" w:pos="7609"/>
              <w:tab w:val="right" w:pos="9026" w:leader="dot"/>
            </w:tabs>
            <w:rPr/>
          </w:pPr>
          <w:hyperlink w:anchor="__RefHeading___Toc5003520_2314609296">
            <w:r>
              <w:rPr>
                <w:webHidden/>
                <w:rStyle w:val="IndexLink"/>
                <w:rtl w:val="true"/>
              </w:rPr>
              <w:t>[</w:t>
            </w:r>
            <w:r>
              <w:rPr>
                <w:rStyle w:val="IndexLink"/>
                <w:rtl w:val="true"/>
              </w:rPr>
              <w:t>الاستدلال بالأخبار و الجواب عنه</w:t>
            </w:r>
            <w:r>
              <w:rPr>
                <w:rStyle w:val="IndexLink"/>
                <w:rtl w:val="true"/>
              </w:rPr>
              <w:t>]</w:t>
              <w:tab/>
            </w:r>
            <w:r>
              <w:rPr>
                <w:rStyle w:val="IndexLink"/>
              </w:rPr>
              <w:t>87</w:t>
            </w:r>
          </w:hyperlink>
        </w:p>
        <w:p>
          <w:pPr>
            <w:pStyle w:val="Contents6"/>
            <w:tabs>
              <w:tab w:val="clear" w:pos="7609"/>
              <w:tab w:val="right" w:pos="9026" w:leader="dot"/>
            </w:tabs>
            <w:rPr/>
          </w:pPr>
          <w:hyperlink w:anchor="__RefHeading___Toc5003522_2314609296">
            <w:r>
              <w:rPr>
                <w:webHidden/>
                <w:rStyle w:val="IndexLink"/>
                <w:rtl w:val="true"/>
              </w:rPr>
              <w:t>[</w:t>
            </w:r>
            <w:r>
              <w:rPr>
                <w:rStyle w:val="IndexLink"/>
                <w:rtl w:val="true"/>
              </w:rPr>
              <w:t>الإجماعات المدعاة علی المنع،و النظر فی دلالتها</w:t>
            </w:r>
            <w:r>
              <w:rPr>
                <w:rStyle w:val="IndexLink"/>
                <w:rtl w:val="true"/>
              </w:rPr>
              <w:t>]</w:t>
              <w:tab/>
            </w:r>
            <w:r>
              <w:rPr>
                <w:rStyle w:val="IndexLink"/>
              </w:rPr>
              <w:t>88</w:t>
            </w:r>
          </w:hyperlink>
        </w:p>
        <w:p>
          <w:pPr>
            <w:pStyle w:val="Contents6"/>
            <w:tabs>
              <w:tab w:val="clear" w:pos="7609"/>
              <w:tab w:val="right" w:pos="9026" w:leader="dot"/>
            </w:tabs>
            <w:rPr/>
          </w:pPr>
          <w:hyperlink w:anchor="__RefHeading___Toc5003524_2314609296">
            <w:r>
              <w:rPr>
                <w:webHidden/>
                <w:rStyle w:val="IndexLink"/>
                <w:rtl w:val="true"/>
              </w:rPr>
              <w:t>[</w:t>
            </w:r>
            <w:r>
              <w:rPr>
                <w:rStyle w:val="IndexLink"/>
                <w:rtl w:val="true"/>
              </w:rPr>
              <w:t>جواز بیعه لغیر الاستصباح من الانتفاعات بناء علی جوازها</w:t>
            </w:r>
            <w:r>
              <w:rPr>
                <w:rStyle w:val="IndexLink"/>
                <w:rtl w:val="true"/>
              </w:rPr>
              <w:t>]</w:t>
              <w:tab/>
            </w:r>
            <w:r>
              <w:rPr>
                <w:rStyle w:val="IndexLink"/>
              </w:rPr>
              <w:t>94</w:t>
            </w:r>
          </w:hyperlink>
        </w:p>
        <w:p>
          <w:pPr>
            <w:pStyle w:val="Contents6"/>
            <w:tabs>
              <w:tab w:val="clear" w:pos="7609"/>
              <w:tab w:val="right" w:pos="9026" w:leader="dot"/>
            </w:tabs>
            <w:rPr/>
          </w:pPr>
          <w:hyperlink w:anchor="__RefHeading___Toc5003526_2314609296">
            <w:r>
              <w:rPr>
                <w:webHidden/>
                <w:rStyle w:val="IndexLink"/>
                <w:rtl w:val="true"/>
              </w:rPr>
              <w:t>[</w:t>
            </w:r>
            <w:r>
              <w:rPr>
                <w:rStyle w:val="IndexLink"/>
                <w:rtl w:val="true"/>
              </w:rPr>
              <w:t>حکم بیع غیر الدهن من المتنجسات</w:t>
            </w:r>
            <w:r>
              <w:rPr>
                <w:rStyle w:val="IndexLink"/>
                <w:rtl w:val="true"/>
              </w:rPr>
              <w:t>]</w:t>
              <w:tab/>
            </w:r>
            <w:r>
              <w:rPr>
                <w:rStyle w:val="IndexLink"/>
              </w:rPr>
              <w:t>95</w:t>
            </w:r>
          </w:hyperlink>
        </w:p>
        <w:p>
          <w:pPr>
            <w:pStyle w:val="Contents6"/>
            <w:tabs>
              <w:tab w:val="clear" w:pos="7609"/>
              <w:tab w:val="right" w:pos="9026" w:leader="dot"/>
            </w:tabs>
            <w:rPr/>
          </w:pPr>
          <w:hyperlink w:anchor="__RefHeading___Toc5003528_2314609296">
            <w:r>
              <w:rPr>
                <w:webHidden/>
                <w:rStyle w:val="IndexLink"/>
                <w:rtl w:val="true"/>
              </w:rPr>
              <w:t>بقی الکلام فی حکم نجس العین،من حیث أصالة حلّ الانتفاع به فی غیر ما ثبتت حرمته،أو أصالة العکس</w:t>
            </w:r>
            <w:r>
              <w:rPr>
                <w:rStyle w:val="IndexLink"/>
                <w:rtl w:val="true"/>
              </w:rPr>
              <w:t>.</w:t>
              <w:tab/>
            </w:r>
            <w:r>
              <w:rPr>
                <w:rStyle w:val="IndexLink"/>
              </w:rPr>
              <w:t>100</w:t>
            </w:r>
          </w:hyperlink>
        </w:p>
        <w:p>
          <w:pPr>
            <w:pStyle w:val="Contents3"/>
            <w:tabs>
              <w:tab w:val="clear" w:pos="8459"/>
              <w:tab w:val="right" w:pos="9026" w:leader="dot"/>
            </w:tabs>
            <w:rPr/>
          </w:pPr>
          <w:hyperlink w:anchor="__RefHeading___Toc5003530_2314609296">
            <w:r>
              <w:rPr>
                <w:webHidden/>
                <w:rStyle w:val="IndexLink"/>
                <w:rtl w:val="true"/>
              </w:rPr>
              <w:t>النوع الثانی ممّا یحرم التکسّب به ما یحرم لتحریم ما یقصد به</w:t>
            </w:r>
            <w:r>
              <w:rPr>
                <w:rStyle w:val="IndexLink"/>
                <w:rtl w:val="true"/>
              </w:rPr>
              <w:tab/>
            </w:r>
            <w:r>
              <w:rPr>
                <w:rStyle w:val="IndexLink"/>
              </w:rPr>
              <w:t>111</w:t>
            </w:r>
          </w:hyperlink>
        </w:p>
        <w:p>
          <w:pPr>
            <w:pStyle w:val="Contents4"/>
            <w:tabs>
              <w:tab w:val="clear" w:pos="8176"/>
              <w:tab w:val="right" w:pos="9026" w:leader="dot"/>
            </w:tabs>
            <w:rPr/>
          </w:pPr>
          <w:hyperlink w:anchor="__RefHeading___Toc5003532_231460929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003534_2314609296">
            <w:r>
              <w:rPr>
                <w:webHidden/>
                <w:rStyle w:val="IndexLink"/>
                <w:rtl w:val="true"/>
              </w:rPr>
              <w:t>الأوّل ما لا یقصد من وجوده علی نحوه الخاصّ إلّا الحرام</w:t>
            </w:r>
            <w:r>
              <w:rPr>
                <w:rStyle w:val="IndexLink"/>
                <w:rtl w:val="true"/>
              </w:rPr>
              <w:tab/>
            </w:r>
            <w:r>
              <w:rPr>
                <w:rStyle w:val="IndexLink"/>
              </w:rPr>
              <w:t>112</w:t>
            </w:r>
          </w:hyperlink>
        </w:p>
        <w:p>
          <w:pPr>
            <w:pStyle w:val="Contents5"/>
            <w:tabs>
              <w:tab w:val="clear" w:pos="7892"/>
              <w:tab w:val="right" w:pos="9026" w:leader="dot"/>
            </w:tabs>
            <w:rPr/>
          </w:pPr>
          <w:hyperlink w:anchor="__RefHeading___Toc5003536_2314609296">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5003538_2314609296">
            <w:r>
              <w:rPr>
                <w:webHidden/>
                <w:rStyle w:val="IndexLink"/>
                <w:rtl w:val="true"/>
              </w:rPr>
              <w:t>منها</w:t>
            </w:r>
            <w:r>
              <w:rPr>
                <w:rStyle w:val="IndexLink"/>
                <w:rtl w:val="true"/>
              </w:rPr>
              <w:t>:</w:t>
              <w:tab/>
            </w:r>
            <w:r>
              <w:rPr>
                <w:rStyle w:val="IndexLink"/>
              </w:rPr>
              <w:t>112</w:t>
            </w:r>
          </w:hyperlink>
        </w:p>
        <w:p>
          <w:pPr>
            <w:pStyle w:val="Contents5"/>
            <w:tabs>
              <w:tab w:val="clear" w:pos="7892"/>
              <w:tab w:val="right" w:pos="9026" w:leader="dot"/>
            </w:tabs>
            <w:rPr/>
          </w:pPr>
          <w:hyperlink w:anchor="__RefHeading___Toc5003540_2314609296">
            <w:r>
              <w:rPr>
                <w:webHidden/>
                <w:rStyle w:val="IndexLink"/>
                <w:rtl w:val="true"/>
              </w:rPr>
              <w:t>و منها</w:t>
            </w:r>
            <w:r>
              <w:rPr>
                <w:rStyle w:val="IndexLink"/>
                <w:rtl w:val="true"/>
              </w:rPr>
              <w:t>:</w:t>
              <w:tab/>
            </w:r>
            <w:r>
              <w:rPr>
                <w:rStyle w:val="IndexLink"/>
              </w:rPr>
              <w:t>117</w:t>
            </w:r>
          </w:hyperlink>
        </w:p>
        <w:p>
          <w:pPr>
            <w:pStyle w:val="Contents5"/>
            <w:tabs>
              <w:tab w:val="clear" w:pos="7892"/>
              <w:tab w:val="right" w:pos="9026" w:leader="dot"/>
            </w:tabs>
            <w:rPr/>
          </w:pPr>
          <w:hyperlink w:anchor="__RefHeading___Toc5003542_2314609296">
            <w:r>
              <w:rPr>
                <w:webHidden/>
                <w:rStyle w:val="IndexLink"/>
                <w:rtl w:val="true"/>
              </w:rPr>
              <w:t>و منها</w:t>
            </w:r>
            <w:r>
              <w:rPr>
                <w:rStyle w:val="IndexLink"/>
                <w:rtl w:val="true"/>
              </w:rPr>
              <w:t>:</w:t>
              <w:tab/>
            </w:r>
            <w:r>
              <w:rPr>
                <w:rStyle w:val="IndexLink"/>
              </w:rPr>
              <w:t>118</w:t>
            </w:r>
          </w:hyperlink>
        </w:p>
        <w:p>
          <w:pPr>
            <w:pStyle w:val="Contents5"/>
            <w:tabs>
              <w:tab w:val="clear" w:pos="7892"/>
              <w:tab w:val="right" w:pos="9026" w:leader="dot"/>
            </w:tabs>
            <w:rPr/>
          </w:pPr>
          <w:hyperlink w:anchor="__RefHeading___Toc5003544_2314609296">
            <w:r>
              <w:rPr>
                <w:webHidden/>
                <w:rStyle w:val="IndexLink"/>
                <w:rtl w:val="true"/>
              </w:rPr>
              <w:t>و منها</w:t>
            </w:r>
            <w:r>
              <w:rPr>
                <w:rStyle w:val="IndexLink"/>
                <w:rtl w:val="true"/>
              </w:rPr>
              <w:t>:</w:t>
              <w:tab/>
            </w:r>
            <w:r>
              <w:rPr>
                <w:rStyle w:val="IndexLink"/>
              </w:rPr>
              <w:t>119</w:t>
            </w:r>
          </w:hyperlink>
        </w:p>
        <w:p>
          <w:pPr>
            <w:pStyle w:val="Contents5"/>
            <w:tabs>
              <w:tab w:val="clear" w:pos="7892"/>
              <w:tab w:val="right" w:pos="9026" w:leader="dot"/>
            </w:tabs>
            <w:rPr/>
          </w:pPr>
          <w:hyperlink w:anchor="__RefHeading___Toc5003546_2314609296">
            <w:r>
              <w:rPr>
                <w:webHidden/>
                <w:rStyle w:val="IndexLink"/>
                <w:rtl w:val="true"/>
              </w:rPr>
              <w:t>و منها</w:t>
            </w:r>
            <w:r>
              <w:rPr>
                <w:rStyle w:val="IndexLink"/>
                <w:rtl w:val="true"/>
              </w:rPr>
              <w:t>:</w:t>
              <w:tab/>
            </w:r>
            <w:r>
              <w:rPr>
                <w:rStyle w:val="IndexLink"/>
              </w:rPr>
              <w:t>119</w:t>
            </w:r>
          </w:hyperlink>
        </w:p>
        <w:p>
          <w:pPr>
            <w:pStyle w:val="Contents4"/>
            <w:tabs>
              <w:tab w:val="clear" w:pos="8176"/>
              <w:tab w:val="right" w:pos="9026" w:leader="dot"/>
            </w:tabs>
            <w:rPr/>
          </w:pPr>
          <w:hyperlink w:anchor="__RefHeading___Toc5003548_2314609296">
            <w:r>
              <w:rPr>
                <w:webHidden/>
                <w:rStyle w:val="IndexLink"/>
                <w:rtl w:val="true"/>
              </w:rPr>
              <w:t>القسم الثانی ما یقصد منه المتعاملان المنفعة المحرّمة</w:t>
            </w:r>
            <w:r>
              <w:rPr>
                <w:rStyle w:val="IndexLink"/>
                <w:rtl w:val="true"/>
              </w:rPr>
              <w:tab/>
            </w:r>
            <w:r>
              <w:rPr>
                <w:rStyle w:val="IndexLink"/>
              </w:rPr>
              <w:t>122</w:t>
            </w:r>
          </w:hyperlink>
        </w:p>
        <w:p>
          <w:pPr>
            <w:pStyle w:val="Contents5"/>
            <w:tabs>
              <w:tab w:val="clear" w:pos="7892"/>
              <w:tab w:val="right" w:pos="9026" w:leader="dot"/>
            </w:tabs>
            <w:rPr/>
          </w:pPr>
          <w:hyperlink w:anchor="__RefHeading___Toc5003550_2314609296">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5003552_2314609296">
            <w:r>
              <w:rPr>
                <w:webHidden/>
                <w:rStyle w:val="IndexLink"/>
                <w:rtl w:val="true"/>
              </w:rPr>
              <w:t>فهنا مسائل ثلاث</w:t>
            </w:r>
            <w:r>
              <w:rPr>
                <w:rStyle w:val="IndexLink"/>
                <w:rtl w:val="true"/>
              </w:rPr>
              <w:t>:</w:t>
              <w:tab/>
            </w:r>
            <w:r>
              <w:rPr>
                <w:rStyle w:val="IndexLink"/>
              </w:rPr>
              <w:t>123</w:t>
            </w:r>
          </w:hyperlink>
        </w:p>
        <w:p>
          <w:pPr>
            <w:pStyle w:val="Contents6"/>
            <w:tabs>
              <w:tab w:val="clear" w:pos="7609"/>
              <w:tab w:val="right" w:pos="9026" w:leader="dot"/>
            </w:tabs>
            <w:rPr/>
          </w:pPr>
          <w:hyperlink w:anchor="__RefHeading___Toc5003554_2314609296">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5003556_2314609296">
            <w:r>
              <w:rPr>
                <w:webHidden/>
                <w:rStyle w:val="IndexLink"/>
                <w:rtl w:val="true"/>
              </w:rPr>
              <w:t>المسالة الاُولی بیع العنب علی أن یُعمل خمراً،و الخشب علی أن یُعمل صنماً،</w:t>
            </w:r>
            <w:r>
              <w:rPr>
                <w:rStyle w:val="IndexLink"/>
                <w:rtl w:val="true"/>
              </w:rPr>
              <w:tab/>
            </w:r>
            <w:r>
              <w:rPr>
                <w:rStyle w:val="IndexLink"/>
              </w:rPr>
              <w:t>124</w:t>
            </w:r>
          </w:hyperlink>
        </w:p>
        <w:p>
          <w:pPr>
            <w:pStyle w:val="Contents6"/>
            <w:tabs>
              <w:tab w:val="clear" w:pos="7609"/>
              <w:tab w:val="right" w:pos="9026" w:leader="dot"/>
            </w:tabs>
            <w:rPr/>
          </w:pPr>
          <w:hyperlink w:anchor="__RefHeading___Toc5003558_2314609296">
            <w:r>
              <w:rPr>
                <w:webHidden/>
                <w:rStyle w:val="IndexLink"/>
                <w:rtl w:val="true"/>
              </w:rPr>
              <w:t>المسألة الثانیة یحرم المعاوضة علی الجاریة المغنّیة،و کلّ عین مشتملة علی صفة یُقصد منها الحرام</w:t>
            </w:r>
            <w:r>
              <w:rPr>
                <w:rStyle w:val="IndexLink"/>
                <w:rtl w:val="true"/>
              </w:rPr>
              <w:tab/>
            </w:r>
            <w:r>
              <w:rPr>
                <w:rStyle w:val="IndexLink"/>
              </w:rPr>
              <w:t>128</w:t>
            </w:r>
          </w:hyperlink>
        </w:p>
        <w:p>
          <w:pPr>
            <w:pStyle w:val="Contents6"/>
            <w:tabs>
              <w:tab w:val="clear" w:pos="7609"/>
              <w:tab w:val="right" w:pos="9026" w:leader="dot"/>
            </w:tabs>
            <w:rPr/>
          </w:pPr>
          <w:hyperlink w:anchor="__RefHeading___Toc5003560_2314609296">
            <w:r>
              <w:rPr>
                <w:webHidden/>
                <w:rStyle w:val="IndexLink"/>
                <w:rtl w:val="true"/>
              </w:rPr>
              <w:t>المسألة الثالثة یحرم بیع العنب ممّن یعمله خمراً بقصد أن یعمله،</w:t>
            </w:r>
            <w:r>
              <w:rPr>
                <w:rStyle w:val="IndexLink"/>
                <w:rtl w:val="true"/>
              </w:rPr>
              <w:tab/>
            </w:r>
            <w:r>
              <w:rPr>
                <w:rStyle w:val="IndexLink"/>
              </w:rPr>
              <w:t>130</w:t>
            </w:r>
          </w:hyperlink>
        </w:p>
        <w:p>
          <w:pPr>
            <w:pStyle w:val="Contents4"/>
            <w:tabs>
              <w:tab w:val="clear" w:pos="8176"/>
              <w:tab w:val="right" w:pos="9026" w:leader="dot"/>
            </w:tabs>
            <w:rPr/>
          </w:pPr>
          <w:hyperlink w:anchor="__RefHeading___Toc5003562_2314609296">
            <w:r>
              <w:rPr>
                <w:webHidden/>
                <w:rStyle w:val="IndexLink"/>
                <w:rtl w:val="true"/>
              </w:rPr>
              <w:t>القسم الثالث ما یحرم لتحریم ما یقصد منه شأناً</w:t>
            </w:r>
            <w:r>
              <w:rPr>
                <w:rStyle w:val="IndexLink"/>
                <w:rtl w:val="true"/>
              </w:rPr>
              <w:tab/>
            </w:r>
            <w:r>
              <w:rPr>
                <w:rStyle w:val="IndexLink"/>
              </w:rPr>
              <w:t>147</w:t>
            </w:r>
          </w:hyperlink>
        </w:p>
        <w:p>
          <w:pPr>
            <w:pStyle w:val="Contents5"/>
            <w:tabs>
              <w:tab w:val="clear" w:pos="7892"/>
              <w:tab w:val="right" w:pos="9026" w:leader="dot"/>
            </w:tabs>
            <w:rPr/>
          </w:pPr>
          <w:hyperlink w:anchor="__RefHeading___Toc5003564_2314609296">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5003566_2314609296">
            <w:r>
              <w:rPr>
                <w:webHidden/>
                <w:rStyle w:val="IndexLink"/>
                <w:rtl w:val="true"/>
              </w:rPr>
              <w:t>و الأخبار بها مستفیضة</w:t>
            </w:r>
            <w:r>
              <w:rPr>
                <w:rStyle w:val="IndexLink"/>
                <w:rtl w:val="true"/>
              </w:rPr>
              <w:t>:</w:t>
              <w:tab/>
            </w:r>
            <w:r>
              <w:rPr>
                <w:rStyle w:val="IndexLink"/>
              </w:rPr>
              <w:t>147</w:t>
            </w:r>
          </w:hyperlink>
        </w:p>
        <w:p>
          <w:pPr>
            <w:pStyle w:val="Contents6"/>
            <w:tabs>
              <w:tab w:val="clear" w:pos="7609"/>
              <w:tab w:val="right" w:pos="9026" w:leader="dot"/>
            </w:tabs>
            <w:rPr/>
          </w:pPr>
          <w:hyperlink w:anchor="__RefHeading___Toc5003568_2314609296">
            <w:r>
              <w:rPr>
                <w:webHidden/>
                <w:rStyle w:val="IndexLink"/>
                <w:rtl w:val="true"/>
              </w:rPr>
              <w:t>منها</w:t>
            </w:r>
            <w:r>
              <w:rPr>
                <w:rStyle w:val="IndexLink"/>
                <w:rtl w:val="true"/>
              </w:rPr>
              <w:t>:</w:t>
            </w:r>
            <w:r>
              <w:rPr>
                <w:rStyle w:val="IndexLink"/>
                <w:rtl w:val="true"/>
              </w:rPr>
              <w:t>روایة الحضرمی،</w:t>
            </w:r>
            <w:r>
              <w:rPr>
                <w:rStyle w:val="IndexLink"/>
                <w:rtl w:val="true"/>
              </w:rPr>
              <w:tab/>
            </w:r>
            <w:r>
              <w:rPr>
                <w:rStyle w:val="IndexLink"/>
              </w:rPr>
              <w:t>147</w:t>
            </w:r>
          </w:hyperlink>
        </w:p>
        <w:p>
          <w:pPr>
            <w:pStyle w:val="Contents6"/>
            <w:tabs>
              <w:tab w:val="clear" w:pos="7609"/>
              <w:tab w:val="right" w:pos="9026" w:leader="dot"/>
            </w:tabs>
            <w:rPr/>
          </w:pPr>
          <w:hyperlink w:anchor="__RefHeading___Toc5003570_2314609296">
            <w:r>
              <w:rPr>
                <w:webHidden/>
                <w:rStyle w:val="IndexLink"/>
                <w:rtl w:val="true"/>
              </w:rPr>
              <w:t>و منها</w:t>
            </w:r>
            <w:r>
              <w:rPr>
                <w:rStyle w:val="IndexLink"/>
                <w:rtl w:val="true"/>
              </w:rPr>
              <w:t>:</w:t>
            </w:r>
            <w:r>
              <w:rPr>
                <w:rStyle w:val="IndexLink"/>
                <w:rtl w:val="true"/>
              </w:rPr>
              <w:t>روایة هند السرّاج،</w:t>
            </w:r>
            <w:r>
              <w:rPr>
                <w:rStyle w:val="IndexLink"/>
                <w:rtl w:val="true"/>
              </w:rPr>
              <w:tab/>
            </w:r>
            <w:r>
              <w:rPr>
                <w:rStyle w:val="IndexLink"/>
              </w:rPr>
              <w:t>148</w:t>
            </w:r>
          </w:hyperlink>
        </w:p>
        <w:p>
          <w:pPr>
            <w:pStyle w:val="Contents6"/>
            <w:tabs>
              <w:tab w:val="clear" w:pos="7609"/>
              <w:tab w:val="right" w:pos="9026" w:leader="dot"/>
            </w:tabs>
            <w:rPr/>
          </w:pPr>
          <w:hyperlink w:anchor="__RefHeading___Toc5003572_2314609296">
            <w:r>
              <w:rPr>
                <w:webHidden/>
                <w:rStyle w:val="IndexLink"/>
                <w:rtl w:val="true"/>
              </w:rPr>
              <w:t>[</w:t>
            </w:r>
            <w:r>
              <w:rPr>
                <w:rStyle w:val="IndexLink"/>
                <w:rtl w:val="true"/>
              </w:rPr>
              <w:t>منها روایة علیّ بن جعفر</w:t>
            </w:r>
            <w:r>
              <w:rPr>
                <w:rStyle w:val="IndexLink"/>
                <w:rtl w:val="true"/>
              </w:rPr>
              <w:t>]</w:t>
              <w:tab/>
            </w:r>
            <w:r>
              <w:rPr>
                <w:rStyle w:val="IndexLink"/>
              </w:rPr>
              <w:t>148</w:t>
            </w:r>
          </w:hyperlink>
        </w:p>
        <w:p>
          <w:pPr>
            <w:pStyle w:val="Contents6"/>
            <w:tabs>
              <w:tab w:val="clear" w:pos="7609"/>
              <w:tab w:val="right" w:pos="9026" w:leader="dot"/>
            </w:tabs>
            <w:rPr/>
          </w:pPr>
          <w:hyperlink w:anchor="__RefHeading___Toc5003574_2314609296">
            <w:r>
              <w:rPr>
                <w:webHidden/>
                <w:rStyle w:val="IndexLink"/>
                <w:rtl w:val="true"/>
              </w:rPr>
              <w:t>[</w:t>
            </w:r>
            <w:r>
              <w:rPr>
                <w:rStyle w:val="IndexLink"/>
                <w:rtl w:val="true"/>
              </w:rPr>
              <w:t>منها ما فی وصیّة النبیّ صلّی اللّه علیه و آله و سلم لعلیّ علیه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5003576_2314609296">
            <w:r>
              <w:rPr>
                <w:webHidden/>
                <w:rStyle w:val="IndexLink"/>
                <w:rtl w:val="true"/>
              </w:rPr>
              <w:t>النوع الثالث ممّا یحرم الاکتساب به ما لا منفعةَ فیه محلّلةً معتدّاً بها عند العقلاء</w:t>
            </w:r>
            <w:r>
              <w:rPr>
                <w:rStyle w:val="IndexLink"/>
                <w:rtl w:val="true"/>
              </w:rPr>
              <w:tab/>
            </w:r>
            <w:r>
              <w:rPr>
                <w:rStyle w:val="IndexLink"/>
              </w:rPr>
              <w:t>153</w:t>
            </w:r>
          </w:hyperlink>
        </w:p>
        <w:p>
          <w:pPr>
            <w:pStyle w:val="Contents3"/>
            <w:tabs>
              <w:tab w:val="clear" w:pos="8459"/>
              <w:tab w:val="right" w:pos="9026" w:leader="dot"/>
            </w:tabs>
            <w:rPr/>
          </w:pPr>
          <w:hyperlink w:anchor="__RefHeading___Toc5003578_2314609296">
            <w:r>
              <w:rPr>
                <w:webHidden/>
                <w:rStyle w:val="IndexLink"/>
                <w:rtl w:val="true"/>
              </w:rPr>
              <w:t>النوع الرابع ما یَحرم الاکتساب به لکونه عملاً محرَّماً فی نفسه</w:t>
            </w:r>
            <w:r>
              <w:rPr>
                <w:rStyle w:val="IndexLink"/>
                <w:rtl w:val="true"/>
              </w:rPr>
              <w:tab/>
            </w:r>
            <w:r>
              <w:rPr>
                <w:rStyle w:val="IndexLink"/>
              </w:rPr>
              <w:t>161</w:t>
            </w:r>
          </w:hyperlink>
        </w:p>
        <w:p>
          <w:pPr>
            <w:pStyle w:val="Contents4"/>
            <w:tabs>
              <w:tab w:val="clear" w:pos="8176"/>
              <w:tab w:val="right" w:pos="9026" w:leader="dot"/>
            </w:tabs>
            <w:rPr/>
          </w:pPr>
          <w:hyperlink w:anchor="__RefHeading___Toc5003580_2314609296">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5003582_2314609296">
            <w:r>
              <w:rPr>
                <w:webHidden/>
                <w:rStyle w:val="IndexLink"/>
                <w:rtl w:val="true"/>
              </w:rPr>
              <w:t>المسألة الأُولی تدلیس الماشطة المرأة التی یراد تزویجها أو الأمة التی یراد بیعها</w:t>
            </w:r>
            <w:r>
              <w:rPr>
                <w:rStyle w:val="IndexLink"/>
                <w:rtl w:val="true"/>
              </w:rPr>
              <w:tab/>
            </w:r>
            <w:r>
              <w:rPr>
                <w:rStyle w:val="IndexLink"/>
              </w:rPr>
              <w:t>163</w:t>
            </w:r>
          </w:hyperlink>
        </w:p>
        <w:p>
          <w:pPr>
            <w:pStyle w:val="Contents4"/>
            <w:tabs>
              <w:tab w:val="clear" w:pos="8176"/>
              <w:tab w:val="right" w:pos="9026" w:leader="dot"/>
            </w:tabs>
            <w:rPr/>
          </w:pPr>
          <w:hyperlink w:anchor="__RefHeading___Toc5003584_2314609296">
            <w:r>
              <w:rPr>
                <w:webHidden/>
                <w:rStyle w:val="IndexLink"/>
                <w:rtl w:val="true"/>
              </w:rPr>
              <w:t>المسألة الثانیة تزیین الرجل بما یحرم علیه من لبس الحریر و الذهب</w:t>
            </w:r>
            <w:r>
              <w:rPr>
                <w:rStyle w:val="IndexLink"/>
                <w:rtl w:val="true"/>
              </w:rPr>
              <w:tab/>
            </w:r>
            <w:r>
              <w:rPr>
                <w:rStyle w:val="IndexLink"/>
              </w:rPr>
              <w:t>171</w:t>
            </w:r>
          </w:hyperlink>
        </w:p>
        <w:p>
          <w:pPr>
            <w:pStyle w:val="Contents4"/>
            <w:tabs>
              <w:tab w:val="clear" w:pos="8176"/>
              <w:tab w:val="right" w:pos="9026" w:leader="dot"/>
            </w:tabs>
            <w:rPr/>
          </w:pPr>
          <w:hyperlink w:anchor="__RefHeading___Toc5003586_2314609296">
            <w:r>
              <w:rPr>
                <w:webHidden/>
                <w:rStyle w:val="IndexLink"/>
                <w:rtl w:val="true"/>
              </w:rPr>
              <w:t>المسألة الثالثة التشبیب بالمرأة المعروفة المؤمنة المحترمة</w:t>
            </w:r>
            <w:r>
              <w:rPr>
                <w:rStyle w:val="IndexLink"/>
                <w:rtl w:val="true"/>
              </w:rPr>
              <w:tab/>
            </w:r>
            <w:r>
              <w:rPr>
                <w:rStyle w:val="IndexLink"/>
              </w:rPr>
              <w:t>175</w:t>
            </w:r>
          </w:hyperlink>
        </w:p>
        <w:p>
          <w:pPr>
            <w:pStyle w:val="Contents4"/>
            <w:tabs>
              <w:tab w:val="clear" w:pos="8176"/>
              <w:tab w:val="right" w:pos="9026" w:leader="dot"/>
            </w:tabs>
            <w:rPr/>
          </w:pPr>
          <w:hyperlink w:anchor="__RefHeading___Toc5003588_2314609296">
            <w:r>
              <w:rPr>
                <w:webHidden/>
                <w:rStyle w:val="IndexLink"/>
                <w:rtl w:val="true"/>
              </w:rPr>
              <w:t>المسألة الرابعة تصویر صور ذوات الأرواح</w:t>
            </w:r>
            <w:r>
              <w:rPr>
                <w:rStyle w:val="IndexLink"/>
                <w:rtl w:val="true"/>
              </w:rPr>
              <w:tab/>
            </w:r>
            <w:r>
              <w:rPr>
                <w:rStyle w:val="IndexLink"/>
              </w:rPr>
              <w:t>181</w:t>
            </w:r>
          </w:hyperlink>
        </w:p>
        <w:p>
          <w:pPr>
            <w:pStyle w:val="Contents4"/>
            <w:tabs>
              <w:tab w:val="clear" w:pos="8176"/>
              <w:tab w:val="right" w:pos="9026" w:leader="dot"/>
            </w:tabs>
            <w:rPr/>
          </w:pPr>
          <w:hyperlink w:anchor="__RefHeading___Toc5003590_2314609296">
            <w:r>
              <w:rPr>
                <w:webHidden/>
                <w:rStyle w:val="IndexLink"/>
                <w:rtl w:val="true"/>
              </w:rPr>
              <w:t>المسألة</w:t>
            </w:r>
            <w:r>
              <w:rPr>
                <w:rStyle w:val="IndexLink"/>
                <w:rtl w:val="true"/>
              </w:rPr>
              <w:t>]</w:t>
            </w:r>
            <w:r>
              <w:rPr>
                <w:rStyle w:val="IndexLink"/>
                <w:rtl w:val="true"/>
              </w:rPr>
              <w:t>الخامسة التطفیف</w:t>
            </w:r>
            <w:r>
              <w:rPr>
                <w:rStyle w:val="IndexLink"/>
                <w:rtl w:val="true"/>
              </w:rPr>
              <w:tab/>
            </w:r>
            <w:r>
              <w:rPr>
                <w:rStyle w:val="IndexLink"/>
              </w:rPr>
              <w:t>197</w:t>
            </w:r>
          </w:hyperlink>
        </w:p>
        <w:p>
          <w:pPr>
            <w:pStyle w:val="Contents4"/>
            <w:tabs>
              <w:tab w:val="clear" w:pos="8176"/>
              <w:tab w:val="right" w:pos="9026" w:leader="dot"/>
            </w:tabs>
            <w:rPr/>
          </w:pPr>
          <w:hyperlink w:anchor="__RefHeading___Toc5003592_2314609296">
            <w:r>
              <w:rPr>
                <w:webHidden/>
                <w:rStyle w:val="IndexLink"/>
                <w:rtl w:val="true"/>
              </w:rPr>
              <w:t>المسألة</w:t>
            </w:r>
            <w:r>
              <w:rPr>
                <w:rStyle w:val="IndexLink"/>
                <w:rtl w:val="true"/>
              </w:rPr>
              <w:t>]</w:t>
            </w:r>
            <w:r>
              <w:rPr>
                <w:rStyle w:val="IndexLink"/>
                <w:rtl w:val="true"/>
              </w:rPr>
              <w:t>السادسة التنجیم</w:t>
            </w:r>
            <w:r>
              <w:rPr>
                <w:rStyle w:val="IndexLink"/>
                <w:rtl w:val="true"/>
              </w:rPr>
              <w:tab/>
            </w:r>
            <w:r>
              <w:rPr>
                <w:rStyle w:val="IndexLink"/>
              </w:rPr>
              <w:t>199</w:t>
            </w:r>
          </w:hyperlink>
        </w:p>
        <w:p>
          <w:pPr>
            <w:pStyle w:val="Contents5"/>
            <w:tabs>
              <w:tab w:val="clear" w:pos="7892"/>
              <w:tab w:val="right" w:pos="9026" w:leader="dot"/>
            </w:tabs>
            <w:rPr/>
          </w:pPr>
          <w:hyperlink w:anchor="__RefHeading___Toc5003594_2314609296">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5003596_2314609296">
            <w:r>
              <w:rPr>
                <w:webHidden/>
                <w:rStyle w:val="IndexLink"/>
                <w:rtl w:val="true"/>
              </w:rPr>
              <w:t>و توضیح المطلب یتوقف علی الکلام فی مقامات</w:t>
            </w:r>
            <w:r>
              <w:rPr>
                <w:rStyle w:val="IndexLink"/>
                <w:rtl w:val="true"/>
              </w:rPr>
              <w:t>:</w:t>
              <w:tab/>
            </w:r>
            <w:r>
              <w:rPr>
                <w:rStyle w:val="IndexLink"/>
              </w:rPr>
              <w:t>199</w:t>
            </w:r>
          </w:hyperlink>
        </w:p>
        <w:p>
          <w:pPr>
            <w:pStyle w:val="Contents6"/>
            <w:tabs>
              <w:tab w:val="clear" w:pos="7609"/>
              <w:tab w:val="right" w:pos="9026" w:leader="dot"/>
            </w:tabs>
            <w:rPr/>
          </w:pPr>
          <w:hyperlink w:anchor="__RefHeading___Toc5003598_2314609296">
            <w:r>
              <w:rPr>
                <w:webHidden/>
                <w:rStyle w:val="IndexLink"/>
                <w:rtl w:val="true"/>
              </w:rPr>
              <w:t>الأوّل</w:t>
            </w:r>
            <w:r>
              <w:rPr>
                <w:rStyle w:val="IndexLink"/>
                <w:rtl w:val="true"/>
              </w:rPr>
              <w:t>:</w:t>
              <w:tab/>
            </w:r>
            <w:r>
              <w:rPr>
                <w:rStyle w:val="IndexLink"/>
              </w:rPr>
              <w:t>199</w:t>
            </w:r>
          </w:hyperlink>
        </w:p>
        <w:p>
          <w:pPr>
            <w:pStyle w:val="Contents6"/>
            <w:tabs>
              <w:tab w:val="clear" w:pos="7609"/>
              <w:tab w:val="right" w:pos="9026" w:leader="dot"/>
            </w:tabs>
            <w:rPr/>
          </w:pPr>
          <w:hyperlink w:anchor="__RefHeading___Toc5003600_2314609296">
            <w:r>
              <w:rPr>
                <w:webHidden/>
                <w:rStyle w:val="IndexLink"/>
                <w:rtl w:val="true"/>
              </w:rPr>
              <w:t>الثانی</w:t>
            </w:r>
            <w:r>
              <w:rPr>
                <w:rStyle w:val="IndexLink"/>
                <w:rtl w:val="true"/>
              </w:rPr>
              <w:t>:</w:t>
              <w:tab/>
            </w:r>
            <w:r>
              <w:rPr>
                <w:rStyle w:val="IndexLink"/>
              </w:rPr>
              <w:t>201</w:t>
            </w:r>
          </w:hyperlink>
        </w:p>
        <w:p>
          <w:pPr>
            <w:pStyle w:val="Contents6"/>
            <w:tabs>
              <w:tab w:val="clear" w:pos="7609"/>
              <w:tab w:val="right" w:pos="9026" w:leader="dot"/>
            </w:tabs>
            <w:rPr/>
          </w:pPr>
          <w:hyperlink w:anchor="__RefHeading___Toc5003602_2314609296">
            <w:r>
              <w:rPr>
                <w:webHidden/>
                <w:rStyle w:val="IndexLink"/>
                <w:rtl w:val="true"/>
              </w:rPr>
              <w:t>الثالث</w:t>
            </w:r>
            <w:r>
              <w:rPr>
                <w:rStyle w:val="IndexLink"/>
                <w:rtl w:val="true"/>
              </w:rPr>
              <w:t>:</w:t>
              <w:tab/>
            </w:r>
            <w:r>
              <w:rPr>
                <w:rStyle w:val="IndexLink"/>
              </w:rPr>
              <w:t>202</w:t>
            </w:r>
          </w:hyperlink>
        </w:p>
        <w:p>
          <w:pPr>
            <w:pStyle w:val="Contents6"/>
            <w:tabs>
              <w:tab w:val="clear" w:pos="7609"/>
              <w:tab w:val="right" w:pos="9026" w:leader="dot"/>
            </w:tabs>
            <w:rPr/>
          </w:pPr>
          <w:hyperlink w:anchor="__RefHeading___Toc5003604_2314609296">
            <w:r>
              <w:rPr>
                <w:webHidden/>
                <w:rStyle w:val="IndexLink"/>
                <w:rtl w:val="true"/>
              </w:rPr>
              <w:t>الرابع</w:t>
            </w:r>
            <w:r>
              <w:rPr>
                <w:rStyle w:val="IndexLink"/>
                <w:rtl w:val="true"/>
              </w:rPr>
              <w:t>:</w:t>
              <w:tab/>
            </w:r>
            <w:r>
              <w:rPr>
                <w:rStyle w:val="IndexLink"/>
              </w:rPr>
              <w:t>207</w:t>
            </w:r>
          </w:hyperlink>
        </w:p>
        <w:p>
          <w:pPr>
            <w:pStyle w:val="Contents6"/>
            <w:tabs>
              <w:tab w:val="clear" w:pos="7609"/>
              <w:tab w:val="right" w:pos="9026" w:leader="dot"/>
            </w:tabs>
            <w:rPr/>
          </w:pPr>
          <w:hyperlink w:anchor="__RefHeading___Toc5003606_2314609296">
            <w:r>
              <w:rPr>
                <w:webHidden/>
                <w:rStyle w:val="IndexLink"/>
                <w:rtl w:val="true"/>
              </w:rPr>
              <w:t>الأوّل</w:t>
            </w:r>
            <w:r>
              <w:rPr>
                <w:rStyle w:val="IndexLink"/>
                <w:rtl w:val="true"/>
              </w:rPr>
              <w:t>:</w:t>
              <w:tab/>
            </w:r>
            <w:r>
              <w:rPr>
                <w:rStyle w:val="IndexLink"/>
              </w:rPr>
              <w:t>207</w:t>
            </w:r>
          </w:hyperlink>
        </w:p>
        <w:p>
          <w:pPr>
            <w:pStyle w:val="Contents6"/>
            <w:tabs>
              <w:tab w:val="clear" w:pos="7609"/>
              <w:tab w:val="right" w:pos="9026" w:leader="dot"/>
            </w:tabs>
            <w:rPr/>
          </w:pPr>
          <w:hyperlink w:anchor="__RefHeading___Toc5003608_2314609296">
            <w:r>
              <w:rPr>
                <w:webHidden/>
                <w:rStyle w:val="IndexLink"/>
                <w:rtl w:val="true"/>
              </w:rPr>
              <w:t>الثانی</w:t>
            </w:r>
            <w:r>
              <w:rPr>
                <w:rStyle w:val="IndexLink"/>
                <w:rtl w:val="true"/>
              </w:rPr>
              <w:tab/>
            </w:r>
            <w:r>
              <w:rPr>
                <w:rStyle w:val="IndexLink"/>
              </w:rPr>
              <w:t>213</w:t>
            </w:r>
          </w:hyperlink>
        </w:p>
        <w:p>
          <w:pPr>
            <w:pStyle w:val="Contents6"/>
            <w:tabs>
              <w:tab w:val="clear" w:pos="7609"/>
              <w:tab w:val="right" w:pos="9026" w:leader="dot"/>
            </w:tabs>
            <w:rPr/>
          </w:pPr>
          <w:hyperlink w:anchor="__RefHeading___Toc5003610_2314609296">
            <w:r>
              <w:rPr>
                <w:webHidden/>
                <w:rStyle w:val="IndexLink"/>
                <w:rtl w:val="true"/>
              </w:rPr>
              <w:t>الثالث</w:t>
            </w:r>
            <w:r>
              <w:rPr>
                <w:rStyle w:val="IndexLink"/>
                <w:rtl w:val="true"/>
              </w:rPr>
              <w:t>:</w:t>
              <w:tab/>
            </w:r>
            <w:r>
              <w:rPr>
                <w:rStyle w:val="IndexLink"/>
              </w:rPr>
              <w:t>216</w:t>
            </w:r>
          </w:hyperlink>
        </w:p>
        <w:p>
          <w:pPr>
            <w:pStyle w:val="Contents6"/>
            <w:tabs>
              <w:tab w:val="clear" w:pos="7609"/>
              <w:tab w:val="right" w:pos="9026" w:leader="dot"/>
            </w:tabs>
            <w:rPr/>
          </w:pPr>
          <w:hyperlink w:anchor="__RefHeading___Toc5003612_2314609296">
            <w:r>
              <w:rPr>
                <w:webHidden/>
                <w:rStyle w:val="IndexLink"/>
                <w:rtl w:val="true"/>
              </w:rPr>
              <w:t>الرابع</w:t>
            </w:r>
            <w:r>
              <w:rPr>
                <w:rStyle w:val="IndexLink"/>
                <w:rtl w:val="true"/>
              </w:rPr>
              <w:t>:</w:t>
              <w:tab/>
            </w:r>
            <w:r>
              <w:rPr>
                <w:rStyle w:val="IndexLink"/>
              </w:rPr>
              <w:t>219</w:t>
            </w:r>
          </w:hyperlink>
        </w:p>
        <w:p>
          <w:pPr>
            <w:pStyle w:val="Contents5"/>
            <w:tabs>
              <w:tab w:val="clear" w:pos="7892"/>
              <w:tab w:val="right" w:pos="9026" w:leader="dot"/>
            </w:tabs>
            <w:rPr/>
          </w:pPr>
          <w:hyperlink w:anchor="__RefHeading___Toc5003614_2314609296">
            <w:r>
              <w:rPr>
                <w:webHidden/>
                <w:rStyle w:val="IndexLink"/>
                <w:rtl w:val="true"/>
              </w:rPr>
              <w:t>و أمّا ما دلّ علی کثرة الخطأ و الغلط فی حساب المنجّمین،</w:t>
            </w:r>
            <w:r>
              <w:rPr>
                <w:rStyle w:val="IndexLink"/>
                <w:rtl w:val="true"/>
              </w:rPr>
              <w:tab/>
            </w:r>
            <w:r>
              <w:rPr>
                <w:rStyle w:val="IndexLink"/>
              </w:rPr>
              <w:t>228</w:t>
            </w:r>
          </w:hyperlink>
        </w:p>
        <w:p>
          <w:pPr>
            <w:pStyle w:val="Contents6"/>
            <w:tabs>
              <w:tab w:val="clear" w:pos="7609"/>
              <w:tab w:val="right" w:pos="9026" w:leader="dot"/>
            </w:tabs>
            <w:rPr/>
          </w:pPr>
          <w:hyperlink w:anchor="__RefHeading___Toc5003616_2314609296">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5003618_2314609296">
            <w:r>
              <w:rPr>
                <w:webHidden/>
                <w:rStyle w:val="IndexLink"/>
                <w:rtl w:val="true"/>
              </w:rPr>
              <w:t>منها</w:t>
            </w:r>
            <w:r>
              <w:rPr>
                <w:rStyle w:val="IndexLink"/>
                <w:rtl w:val="true"/>
              </w:rPr>
              <w:t>:</w:t>
            </w:r>
            <w:r>
              <w:rPr>
                <w:rStyle w:val="IndexLink"/>
                <w:rtl w:val="true"/>
              </w:rPr>
              <w:t>ما تقدم فی الروایات السابقة،</w:t>
            </w:r>
            <w:r>
              <w:rPr>
                <w:rStyle w:val="IndexLink"/>
                <w:rtl w:val="true"/>
              </w:rPr>
              <w:tab/>
            </w:r>
            <w:r>
              <w:rPr>
                <w:rStyle w:val="IndexLink"/>
              </w:rPr>
              <w:t>228</w:t>
            </w:r>
          </w:hyperlink>
        </w:p>
        <w:p>
          <w:pPr>
            <w:pStyle w:val="Contents6"/>
            <w:tabs>
              <w:tab w:val="clear" w:pos="7609"/>
              <w:tab w:val="right" w:pos="9026" w:leader="dot"/>
            </w:tabs>
            <w:rPr/>
          </w:pPr>
          <w:hyperlink w:anchor="__RefHeading___Toc5003620_2314609296">
            <w:r>
              <w:rPr>
                <w:webHidden/>
                <w:rStyle w:val="IndexLink"/>
                <w:rtl w:val="true"/>
              </w:rPr>
              <w:t>و منها</w:t>
            </w:r>
            <w:r>
              <w:rPr>
                <w:rStyle w:val="IndexLink"/>
                <w:rtl w:val="true"/>
              </w:rPr>
              <w:t>:</w:t>
            </w:r>
            <w:r>
              <w:rPr>
                <w:rStyle w:val="IndexLink"/>
                <w:rtl w:val="true"/>
              </w:rPr>
              <w:t>خبر عبد الرحمن بن سیابة،</w:t>
            </w:r>
            <w:r>
              <w:rPr>
                <w:rStyle w:val="IndexLink"/>
                <w:rtl w:val="true"/>
              </w:rPr>
              <w:tab/>
            </w:r>
            <w:r>
              <w:rPr>
                <w:rStyle w:val="IndexLink"/>
              </w:rPr>
              <w:t>228</w:t>
            </w:r>
          </w:hyperlink>
        </w:p>
        <w:p>
          <w:pPr>
            <w:pStyle w:val="Contents6"/>
            <w:tabs>
              <w:tab w:val="clear" w:pos="7609"/>
              <w:tab w:val="right" w:pos="9026" w:leader="dot"/>
            </w:tabs>
            <w:rPr/>
          </w:pPr>
          <w:hyperlink w:anchor="__RefHeading___Toc5003622_2314609296">
            <w:r>
              <w:rPr>
                <w:webHidden/>
                <w:rStyle w:val="IndexLink"/>
                <w:rtl w:val="true"/>
              </w:rPr>
              <w:t>و منها</w:t>
            </w:r>
            <w:r>
              <w:rPr>
                <w:rStyle w:val="IndexLink"/>
                <w:rtl w:val="true"/>
              </w:rPr>
              <w:t>:</w:t>
            </w:r>
            <w:r>
              <w:rPr>
                <w:rStyle w:val="IndexLink"/>
                <w:rtl w:val="true"/>
              </w:rPr>
              <w:t>خبر هشام،</w:t>
            </w:r>
            <w:r>
              <w:rPr>
                <w:rStyle w:val="IndexLink"/>
                <w:rtl w:val="true"/>
              </w:rPr>
              <w:tab/>
            </w:r>
            <w:r>
              <w:rPr>
                <w:rStyle w:val="IndexLink"/>
              </w:rPr>
              <w:t>229</w:t>
            </w:r>
          </w:hyperlink>
        </w:p>
        <w:p>
          <w:pPr>
            <w:pStyle w:val="Contents6"/>
            <w:tabs>
              <w:tab w:val="clear" w:pos="7609"/>
              <w:tab w:val="right" w:pos="9026" w:leader="dot"/>
            </w:tabs>
            <w:rPr/>
          </w:pPr>
          <w:hyperlink w:anchor="__RefHeading___Toc5003624_2314609296">
            <w:r>
              <w:rPr>
                <w:webHidden/>
                <w:rStyle w:val="IndexLink"/>
                <w:rtl w:val="true"/>
              </w:rPr>
              <w:t>و منها</w:t>
            </w:r>
            <w:r>
              <w:rPr>
                <w:rStyle w:val="IndexLink"/>
                <w:rtl w:val="true"/>
              </w:rPr>
              <w:t>:</w:t>
            </w:r>
            <w:r>
              <w:rPr>
                <w:rStyle w:val="IndexLink"/>
                <w:rtl w:val="true"/>
              </w:rPr>
              <w:t>المروی فی الاحتجاج،</w:t>
            </w:r>
            <w:r>
              <w:rPr>
                <w:rStyle w:val="IndexLink"/>
                <w:rtl w:val="true"/>
              </w:rPr>
              <w:tab/>
            </w:r>
            <w:r>
              <w:rPr>
                <w:rStyle w:val="IndexLink"/>
              </w:rPr>
              <w:t>229</w:t>
            </w:r>
          </w:hyperlink>
        </w:p>
        <w:p>
          <w:pPr>
            <w:pStyle w:val="Contents4"/>
            <w:tabs>
              <w:tab w:val="clear" w:pos="8176"/>
              <w:tab w:val="right" w:pos="9026" w:leader="dot"/>
            </w:tabs>
            <w:rPr/>
          </w:pPr>
          <w:hyperlink w:anchor="__RefHeading___Toc5003626_2314609296">
            <w:r>
              <w:rPr>
                <w:webHidden/>
                <w:rStyle w:val="IndexLink"/>
                <w:rtl w:val="true"/>
              </w:rPr>
              <w:t>المسألة</w:t>
            </w:r>
            <w:r>
              <w:rPr>
                <w:rStyle w:val="IndexLink"/>
                <w:rtl w:val="true"/>
              </w:rPr>
              <w:t>]</w:t>
            </w:r>
            <w:r>
              <w:rPr>
                <w:rStyle w:val="IndexLink"/>
                <w:rtl w:val="true"/>
              </w:rPr>
              <w:t>السابعة حفظ کتب الضلال</w:t>
            </w:r>
            <w:r>
              <w:rPr>
                <w:rStyle w:val="IndexLink"/>
                <w:rtl w:val="true"/>
              </w:rPr>
              <w:tab/>
            </w:r>
            <w:r>
              <w:rPr>
                <w:rStyle w:val="IndexLink"/>
              </w:rPr>
              <w:t>231</w:t>
            </w:r>
          </w:hyperlink>
        </w:p>
        <w:p>
          <w:pPr>
            <w:pStyle w:val="Contents4"/>
            <w:tabs>
              <w:tab w:val="clear" w:pos="8176"/>
              <w:tab w:val="right" w:pos="9026" w:leader="dot"/>
            </w:tabs>
            <w:rPr/>
          </w:pPr>
          <w:hyperlink w:anchor="__RefHeading___Toc5003628_2314609296">
            <w:r>
              <w:rPr>
                <w:webHidden/>
                <w:rStyle w:val="IndexLink"/>
                <w:rtl w:val="true"/>
              </w:rPr>
              <w:t>المسألة</w:t>
            </w:r>
            <w:r>
              <w:rPr>
                <w:rStyle w:val="IndexLink"/>
                <w:rtl w:val="true"/>
              </w:rPr>
              <w:t>]</w:t>
            </w:r>
            <w:r>
              <w:rPr>
                <w:rStyle w:val="IndexLink"/>
                <w:rtl w:val="true"/>
              </w:rPr>
              <w:t>الثامنة الرشوة</w:t>
            </w:r>
            <w:r>
              <w:rPr>
                <w:rStyle w:val="IndexLink"/>
                <w:rtl w:val="true"/>
              </w:rPr>
              <w:tab/>
            </w:r>
            <w:r>
              <w:rPr>
                <w:rStyle w:val="IndexLink"/>
              </w:rPr>
              <w:t>237</w:t>
            </w:r>
          </w:hyperlink>
        </w:p>
        <w:p>
          <w:pPr>
            <w:pStyle w:val="Contents5"/>
            <w:tabs>
              <w:tab w:val="clear" w:pos="7892"/>
              <w:tab w:val="right" w:pos="9026" w:leader="dot"/>
            </w:tabs>
            <w:rPr/>
          </w:pPr>
          <w:hyperlink w:anchor="__RefHeading___Toc5003630_2314609296">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5003632_2314609296">
            <w:r>
              <w:rPr>
                <w:webHidden/>
                <w:rStyle w:val="IndexLink"/>
                <w:rtl w:val="true"/>
              </w:rPr>
              <w:t>«</w:t>
            </w:r>
            <w:r>
              <w:rPr>
                <w:rStyle w:val="IndexLink"/>
                <w:rtl w:val="true"/>
              </w:rPr>
              <w:t>فروع</w:t>
            </w:r>
            <w:r>
              <w:rPr>
                <w:rStyle w:val="IndexLink"/>
                <w:rtl w:val="true"/>
              </w:rPr>
              <w:t xml:space="preserve">» </w:t>
            </w:r>
            <w:r>
              <w:rPr>
                <w:rStyle w:val="IndexLink"/>
                <w:rtl w:val="true"/>
              </w:rPr>
              <w:t>فی اختلاف الدافع و القابض</w:t>
            </w:r>
            <w:r>
              <w:rPr>
                <w:rStyle w:val="IndexLink"/>
                <w:rtl w:val="true"/>
              </w:rPr>
              <w:tab/>
            </w:r>
            <w:r>
              <w:rPr>
                <w:rStyle w:val="IndexLink"/>
              </w:rPr>
              <w:t>249</w:t>
            </w:r>
          </w:hyperlink>
        </w:p>
        <w:p>
          <w:pPr>
            <w:pStyle w:val="Contents4"/>
            <w:tabs>
              <w:tab w:val="clear" w:pos="8176"/>
              <w:tab w:val="right" w:pos="9026" w:leader="dot"/>
            </w:tabs>
            <w:rPr/>
          </w:pPr>
          <w:hyperlink w:anchor="__RefHeading___Toc5003634_2314609296">
            <w:r>
              <w:rPr>
                <w:webHidden/>
                <w:rStyle w:val="IndexLink"/>
                <w:rtl w:val="true"/>
              </w:rPr>
              <w:t>المسألة</w:t>
            </w:r>
            <w:r>
              <w:rPr>
                <w:rStyle w:val="IndexLink"/>
                <w:rtl w:val="true"/>
              </w:rPr>
              <w:t>]</w:t>
            </w:r>
            <w:r>
              <w:rPr>
                <w:rStyle w:val="IndexLink"/>
                <w:rtl w:val="true"/>
              </w:rPr>
              <w:t>التاسعة سبّ المؤمنین</w:t>
            </w:r>
            <w:r>
              <w:rPr>
                <w:rStyle w:val="IndexLink"/>
                <w:rtl w:val="true"/>
              </w:rPr>
              <w:tab/>
            </w:r>
            <w:r>
              <w:rPr>
                <w:rStyle w:val="IndexLink"/>
              </w:rPr>
              <w:t>251</w:t>
            </w:r>
          </w:hyperlink>
        </w:p>
        <w:p>
          <w:pPr>
            <w:pStyle w:val="Contents4"/>
            <w:tabs>
              <w:tab w:val="clear" w:pos="8176"/>
              <w:tab w:val="right" w:pos="9026" w:leader="dot"/>
            </w:tabs>
            <w:rPr/>
          </w:pPr>
          <w:hyperlink w:anchor="__RefHeading___Toc5003636_2314609296">
            <w:r>
              <w:rPr>
                <w:webHidden/>
                <w:rStyle w:val="IndexLink"/>
                <w:rtl w:val="true"/>
              </w:rPr>
              <w:t>المسألة</w:t>
            </w:r>
            <w:r>
              <w:rPr>
                <w:rStyle w:val="IndexLink"/>
                <w:rtl w:val="true"/>
              </w:rPr>
              <w:t>]</w:t>
            </w:r>
            <w:r>
              <w:rPr>
                <w:rStyle w:val="IndexLink"/>
                <w:rtl w:val="true"/>
              </w:rPr>
              <w:t>العاشرة السحر</w:t>
            </w:r>
            <w:r>
              <w:rPr>
                <w:rStyle w:val="IndexLink"/>
                <w:rtl w:val="true"/>
              </w:rPr>
              <w:tab/>
            </w:r>
            <w:r>
              <w:rPr>
                <w:rStyle w:val="IndexLink"/>
              </w:rPr>
              <w:t>255</w:t>
            </w:r>
          </w:hyperlink>
        </w:p>
        <w:p>
          <w:pPr>
            <w:pStyle w:val="Contents5"/>
            <w:tabs>
              <w:tab w:val="clear" w:pos="7892"/>
              <w:tab w:val="right" w:pos="9026" w:leader="dot"/>
            </w:tabs>
            <w:rPr/>
          </w:pPr>
          <w:hyperlink w:anchor="__RefHeading___Toc5003638_2314609296">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5003640_2314609296">
            <w:r>
              <w:rPr>
                <w:webHidden/>
                <w:rStyle w:val="IndexLink"/>
                <w:rtl w:val="true"/>
              </w:rPr>
              <w:t>ثم إنّ الکلام هنا یقع فی مقامین</w:t>
            </w:r>
            <w:r>
              <w:rPr>
                <w:rStyle w:val="IndexLink"/>
                <w:rtl w:val="true"/>
              </w:rPr>
              <w:t>:</w:t>
              <w:tab/>
            </w:r>
            <w:r>
              <w:rPr>
                <w:rStyle w:val="IndexLink"/>
              </w:rPr>
              <w:t>256</w:t>
            </w:r>
          </w:hyperlink>
        </w:p>
        <w:p>
          <w:pPr>
            <w:pStyle w:val="Contents6"/>
            <w:tabs>
              <w:tab w:val="clear" w:pos="7609"/>
              <w:tab w:val="right" w:pos="9026" w:leader="dot"/>
            </w:tabs>
            <w:rPr/>
          </w:pPr>
          <w:hyperlink w:anchor="__RefHeading___Toc5003642_2314609296">
            <w:r>
              <w:rPr>
                <w:webHidden/>
                <w:rStyle w:val="IndexLink"/>
                <w:rtl w:val="true"/>
              </w:rPr>
              <w:t>الأوّل</w:t>
            </w:r>
            <w:r>
              <w:rPr>
                <w:rStyle w:val="IndexLink"/>
                <w:rtl w:val="true"/>
              </w:rPr>
              <w:t>:</w:t>
            </w:r>
            <w:r>
              <w:rPr>
                <w:rStyle w:val="IndexLink"/>
                <w:rtl w:val="true"/>
              </w:rPr>
              <w:t>فی المراد بالسحر</w:t>
            </w:r>
            <w:r>
              <w:rPr>
                <w:rStyle w:val="IndexLink"/>
                <w:rtl w:val="true"/>
              </w:rPr>
              <w:t>.</w:t>
              <w:tab/>
            </w:r>
            <w:r>
              <w:rPr>
                <w:rStyle w:val="IndexLink"/>
              </w:rPr>
              <w:t>256</w:t>
            </w:r>
          </w:hyperlink>
        </w:p>
        <w:p>
          <w:pPr>
            <w:pStyle w:val="Contents6"/>
            <w:tabs>
              <w:tab w:val="clear" w:pos="7609"/>
              <w:tab w:val="right" w:pos="9026" w:leader="dot"/>
            </w:tabs>
            <w:rPr/>
          </w:pPr>
          <w:hyperlink w:anchor="__RefHeading___Toc5003644_2314609296">
            <w:r>
              <w:rPr>
                <w:webHidden/>
                <w:rStyle w:val="IndexLink"/>
                <w:rtl w:val="true"/>
              </w:rPr>
              <w:t>أنّ السحر علی أقسام</w:t>
            </w:r>
            <w:r>
              <w:rPr>
                <w:rStyle w:val="IndexLink"/>
                <w:rtl w:val="true"/>
              </w:rPr>
              <w:t>:</w:t>
              <w:tab/>
            </w:r>
            <w:r>
              <w:rPr>
                <w:rStyle w:val="IndexLink"/>
              </w:rPr>
              <w:t>259</w:t>
            </w:r>
          </w:hyperlink>
        </w:p>
        <w:p>
          <w:pPr>
            <w:pStyle w:val="Contents6"/>
            <w:tabs>
              <w:tab w:val="clear" w:pos="7609"/>
              <w:tab w:val="right" w:pos="9026" w:leader="dot"/>
            </w:tabs>
            <w:rPr/>
          </w:pPr>
          <w:hyperlink w:anchor="__RefHeading___Toc5003646_2314609296">
            <w:r>
              <w:rPr>
                <w:webHidden/>
                <w:rStyle w:val="IndexLink"/>
                <w:rtl w:val="true"/>
              </w:rPr>
              <w:t>الأوّل سحر الکلدانیین</w:t>
            </w:r>
            <w:r>
              <w:rPr>
                <w:rStyle w:val="IndexLink"/>
                <w:rtl w:val="true"/>
              </w:rPr>
              <w:tab/>
            </w:r>
            <w:r>
              <w:rPr>
                <w:rStyle w:val="IndexLink"/>
              </w:rPr>
              <w:t>260</w:t>
            </w:r>
          </w:hyperlink>
        </w:p>
        <w:p>
          <w:pPr>
            <w:pStyle w:val="Contents6"/>
            <w:tabs>
              <w:tab w:val="clear" w:pos="7609"/>
              <w:tab w:val="right" w:pos="9026" w:leader="dot"/>
            </w:tabs>
            <w:rPr/>
          </w:pPr>
          <w:hyperlink w:anchor="__RefHeading___Toc5003648_2314609296">
            <w:r>
              <w:rPr>
                <w:webHidden/>
                <w:rStyle w:val="IndexLink"/>
                <w:rtl w:val="true"/>
              </w:rPr>
              <w:t>الثانی</w:t>
            </w:r>
            <w:r>
              <w:rPr>
                <w:rStyle w:val="IndexLink"/>
                <w:rtl w:val="true"/>
              </w:rPr>
              <w:tab/>
            </w:r>
            <w:r>
              <w:rPr>
                <w:rStyle w:val="IndexLink"/>
              </w:rPr>
              <w:t>260</w:t>
            </w:r>
          </w:hyperlink>
        </w:p>
        <w:p>
          <w:pPr>
            <w:pStyle w:val="Contents6"/>
            <w:tabs>
              <w:tab w:val="clear" w:pos="7609"/>
              <w:tab w:val="right" w:pos="9026" w:leader="dot"/>
            </w:tabs>
            <w:rPr/>
          </w:pPr>
          <w:hyperlink w:anchor="__RefHeading___Toc5003650_2314609296">
            <w:r>
              <w:rPr>
                <w:webHidden/>
                <w:rStyle w:val="IndexLink"/>
                <w:rtl w:val="true"/>
              </w:rPr>
              <w:t>الثالث الاستعانة بالأرواح الأرضیة،</w:t>
            </w:r>
            <w:r>
              <w:rPr>
                <w:rStyle w:val="IndexLink"/>
                <w:rtl w:val="true"/>
              </w:rPr>
              <w:tab/>
            </w:r>
            <w:r>
              <w:rPr>
                <w:rStyle w:val="IndexLink"/>
              </w:rPr>
              <w:t>260</w:t>
            </w:r>
          </w:hyperlink>
        </w:p>
        <w:p>
          <w:pPr>
            <w:pStyle w:val="Contents6"/>
            <w:tabs>
              <w:tab w:val="clear" w:pos="7609"/>
              <w:tab w:val="right" w:pos="9026" w:leader="dot"/>
            </w:tabs>
            <w:rPr/>
          </w:pPr>
          <w:hyperlink w:anchor="__RefHeading___Toc5003652_2314609296">
            <w:r>
              <w:rPr>
                <w:webHidden/>
                <w:rStyle w:val="IndexLink"/>
                <w:rtl w:val="true"/>
              </w:rPr>
              <w:t>الرابع التخیّلات و الأخذ بالعیون،</w:t>
            </w:r>
            <w:r>
              <w:rPr>
                <w:rStyle w:val="IndexLink"/>
                <w:rtl w:val="true"/>
              </w:rPr>
              <w:tab/>
            </w:r>
            <w:r>
              <w:rPr>
                <w:rStyle w:val="IndexLink"/>
              </w:rPr>
              <w:t>260</w:t>
            </w:r>
          </w:hyperlink>
        </w:p>
        <w:p>
          <w:pPr>
            <w:pStyle w:val="Contents6"/>
            <w:tabs>
              <w:tab w:val="clear" w:pos="7609"/>
              <w:tab w:val="right" w:pos="9026" w:leader="dot"/>
            </w:tabs>
            <w:rPr/>
          </w:pPr>
          <w:hyperlink w:anchor="__RefHeading___Toc5003654_2314609296">
            <w:r>
              <w:rPr>
                <w:webHidden/>
                <w:rStyle w:val="IndexLink"/>
                <w:rtl w:val="true"/>
              </w:rPr>
              <w:t>الخامس الأعمال العجیبة التی تظهر من ترکیب الآلات المرکبة علی نسب الهندسة،</w:t>
            </w:r>
            <w:r>
              <w:rPr>
                <w:rStyle w:val="IndexLink"/>
                <w:rtl w:val="true"/>
              </w:rPr>
              <w:tab/>
            </w:r>
            <w:r>
              <w:rPr>
                <w:rStyle w:val="IndexLink"/>
              </w:rPr>
              <w:t>261</w:t>
            </w:r>
          </w:hyperlink>
        </w:p>
        <w:p>
          <w:pPr>
            <w:pStyle w:val="Contents6"/>
            <w:tabs>
              <w:tab w:val="clear" w:pos="7609"/>
              <w:tab w:val="right" w:pos="9026" w:leader="dot"/>
            </w:tabs>
            <w:rPr/>
          </w:pPr>
          <w:hyperlink w:anchor="__RefHeading___Toc5003656_2314609296">
            <w:r>
              <w:rPr>
                <w:webHidden/>
                <w:rStyle w:val="IndexLink"/>
                <w:rtl w:val="true"/>
              </w:rPr>
              <w:t>السادس الاستعانة بخواص الأدویة،</w:t>
            </w:r>
            <w:r>
              <w:rPr>
                <w:rStyle w:val="IndexLink"/>
                <w:rtl w:val="true"/>
              </w:rPr>
              <w:tab/>
            </w:r>
            <w:r>
              <w:rPr>
                <w:rStyle w:val="IndexLink"/>
              </w:rPr>
              <w:t>261</w:t>
            </w:r>
          </w:hyperlink>
        </w:p>
        <w:p>
          <w:pPr>
            <w:pStyle w:val="Contents6"/>
            <w:tabs>
              <w:tab w:val="clear" w:pos="7609"/>
              <w:tab w:val="right" w:pos="9026" w:leader="dot"/>
            </w:tabs>
            <w:rPr/>
          </w:pPr>
          <w:hyperlink w:anchor="__RefHeading___Toc5003658_2314609296">
            <w:r>
              <w:rPr>
                <w:webHidden/>
                <w:rStyle w:val="IndexLink"/>
                <w:rtl w:val="true"/>
              </w:rPr>
              <w:t>السابع تعلیق القلب،</w:t>
            </w:r>
            <w:r>
              <w:rPr>
                <w:rStyle w:val="IndexLink"/>
                <w:rtl w:val="true"/>
              </w:rPr>
              <w:tab/>
            </w:r>
            <w:r>
              <w:rPr>
                <w:rStyle w:val="IndexLink"/>
              </w:rPr>
              <w:t>261</w:t>
            </w:r>
          </w:hyperlink>
        </w:p>
        <w:p>
          <w:pPr>
            <w:pStyle w:val="Contents6"/>
            <w:tabs>
              <w:tab w:val="clear" w:pos="7609"/>
              <w:tab w:val="right" w:pos="9026" w:leader="dot"/>
            </w:tabs>
            <w:rPr/>
          </w:pPr>
          <w:hyperlink w:anchor="__RefHeading___Toc5003660_2314609296">
            <w:r>
              <w:rPr>
                <w:webHidden/>
                <w:rStyle w:val="IndexLink"/>
                <w:rtl w:val="true"/>
              </w:rPr>
              <w:t>الثامن النمیمة</w:t>
            </w:r>
            <w:r>
              <w:rPr>
                <w:rStyle w:val="IndexLink"/>
                <w:rtl w:val="true"/>
              </w:rPr>
              <w:tab/>
            </w:r>
            <w:r>
              <w:rPr>
                <w:rStyle w:val="IndexLink"/>
              </w:rPr>
              <w:t>261</w:t>
            </w:r>
          </w:hyperlink>
        </w:p>
        <w:p>
          <w:pPr>
            <w:pStyle w:val="Contents6"/>
            <w:tabs>
              <w:tab w:val="clear" w:pos="7609"/>
              <w:tab w:val="right" w:pos="9026" w:leader="dot"/>
            </w:tabs>
            <w:rPr/>
          </w:pPr>
          <w:hyperlink w:anchor="__RefHeading___Toc5003662_2314609296">
            <w:r>
              <w:rPr>
                <w:webHidden/>
                <w:rStyle w:val="IndexLink"/>
                <w:rtl w:val="true"/>
              </w:rPr>
              <w:t>المقام الثانی فی حکم الأقسام المذکورة</w:t>
            </w:r>
            <w:r>
              <w:rPr>
                <w:rStyle w:val="IndexLink"/>
                <w:rtl w:val="true"/>
              </w:rPr>
              <w:t>.</w:t>
              <w:tab/>
            </w:r>
            <w:r>
              <w:rPr>
                <w:rStyle w:val="IndexLink"/>
              </w:rPr>
              <w:t>263</w:t>
            </w:r>
          </w:hyperlink>
        </w:p>
        <w:p>
          <w:pPr>
            <w:pStyle w:val="Contents5"/>
            <w:tabs>
              <w:tab w:val="clear" w:pos="7892"/>
              <w:tab w:val="right" w:pos="9026" w:leader="dot"/>
            </w:tabs>
            <w:rPr/>
          </w:pPr>
          <w:hyperlink w:anchor="__RefHeading___Toc5003664_2314609296">
            <w:r>
              <w:rPr>
                <w:webHidden/>
                <w:rStyle w:val="IndexLink"/>
                <w:rtl w:val="true"/>
              </w:rPr>
              <w:t>بقی الکلام فی جواز دفع ضرر السحر بالسحر</w:t>
            </w:r>
            <w:r>
              <w:rPr>
                <w:rStyle w:val="IndexLink"/>
                <w:rtl w:val="true"/>
              </w:rPr>
              <w:t>.</w:t>
              <w:tab/>
            </w:r>
            <w:r>
              <w:rPr>
                <w:rStyle w:val="IndexLink"/>
              </w:rPr>
              <w:t>267</w:t>
            </w:r>
          </w:hyperlink>
        </w:p>
        <w:p>
          <w:pPr>
            <w:pStyle w:val="Contents4"/>
            <w:tabs>
              <w:tab w:val="clear" w:pos="8176"/>
              <w:tab w:val="right" w:pos="9026" w:leader="dot"/>
            </w:tabs>
            <w:rPr/>
          </w:pPr>
          <w:hyperlink w:anchor="__RefHeading___Toc5003666_2314609296">
            <w:r>
              <w:rPr>
                <w:webHidden/>
                <w:rStyle w:val="IndexLink"/>
                <w:rtl w:val="true"/>
              </w:rPr>
              <w:t>المسألة</w:t>
            </w:r>
            <w:r>
              <w:rPr>
                <w:rStyle w:val="IndexLink"/>
                <w:rtl w:val="true"/>
              </w:rPr>
              <w:t>]</w:t>
            </w:r>
            <w:r>
              <w:rPr>
                <w:rStyle w:val="IndexLink"/>
                <w:rtl w:val="true"/>
              </w:rPr>
              <w:t>الحادیة عشرة الشعْبَذَة حرام</w:t>
            </w:r>
            <w:r>
              <w:rPr>
                <w:rStyle w:val="IndexLink"/>
                <w:rtl w:val="true"/>
              </w:rPr>
              <w:tab/>
            </w:r>
            <w:r>
              <w:rPr>
                <w:rStyle w:val="IndexLink"/>
              </w:rPr>
              <w:t>272</w:t>
            </w:r>
          </w:hyperlink>
        </w:p>
        <w:p>
          <w:pPr>
            <w:pStyle w:val="Contents4"/>
            <w:tabs>
              <w:tab w:val="clear" w:pos="8176"/>
              <w:tab w:val="right" w:pos="9026" w:leader="dot"/>
            </w:tabs>
            <w:rPr/>
          </w:pPr>
          <w:hyperlink w:anchor="__RefHeading___Toc5003668_2314609296">
            <w:r>
              <w:rPr>
                <w:webHidden/>
                <w:rStyle w:val="IndexLink"/>
                <w:rtl w:val="true"/>
              </w:rPr>
              <w:t>المسألة</w:t>
            </w:r>
            <w:r>
              <w:rPr>
                <w:rStyle w:val="IndexLink"/>
                <w:rtl w:val="true"/>
              </w:rPr>
              <w:t>]</w:t>
            </w:r>
            <w:r>
              <w:rPr>
                <w:rStyle w:val="IndexLink"/>
                <w:rtl w:val="true"/>
              </w:rPr>
              <w:t>الثانیة عشرة الغش حرام</w:t>
            </w:r>
            <w:r>
              <w:rPr>
                <w:rStyle w:val="IndexLink"/>
                <w:rtl w:val="true"/>
              </w:rPr>
              <w:tab/>
            </w:r>
            <w:r>
              <w:rPr>
                <w:rStyle w:val="IndexLink"/>
              </w:rPr>
              <w:t>273</w:t>
            </w:r>
          </w:hyperlink>
        </w:p>
        <w:p>
          <w:pPr>
            <w:pStyle w:val="Contents4"/>
            <w:tabs>
              <w:tab w:val="clear" w:pos="8176"/>
              <w:tab w:val="right" w:pos="9026" w:leader="dot"/>
            </w:tabs>
            <w:rPr/>
          </w:pPr>
          <w:hyperlink w:anchor="__RefHeading___Toc5003670_2314609296">
            <w:r>
              <w:rPr>
                <w:webHidden/>
                <w:rStyle w:val="IndexLink"/>
                <w:rtl w:val="true"/>
              </w:rPr>
              <w:t>المسألة</w:t>
            </w:r>
            <w:r>
              <w:rPr>
                <w:rStyle w:val="IndexLink"/>
                <w:rtl w:val="true"/>
              </w:rPr>
              <w:t>]</w:t>
            </w:r>
            <w:r>
              <w:rPr>
                <w:rStyle w:val="IndexLink"/>
                <w:rtl w:val="true"/>
              </w:rPr>
              <w:t>الثالثة عشر الغناء،</w:t>
            </w:r>
            <w:r>
              <w:rPr>
                <w:rStyle w:val="IndexLink"/>
                <w:rtl w:val="true"/>
              </w:rPr>
              <w:tab/>
            </w:r>
            <w:r>
              <w:rPr>
                <w:rStyle w:val="IndexLink"/>
              </w:rPr>
              <w:t>283</w:t>
            </w:r>
          </w:hyperlink>
        </w:p>
        <w:p>
          <w:pPr>
            <w:pStyle w:val="Contents5"/>
            <w:tabs>
              <w:tab w:val="clear" w:pos="7892"/>
              <w:tab w:val="right" w:pos="9026" w:leader="dot"/>
            </w:tabs>
            <w:rPr/>
          </w:pPr>
          <w:hyperlink w:anchor="__RefHeading___Toc5003672_2314609296">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5003674_2314609296">
            <w:r>
              <w:rPr>
                <w:webHidden/>
                <w:rStyle w:val="IndexLink"/>
                <w:rtl w:val="true"/>
              </w:rPr>
              <w:t>و الأخبار بها مستفیضة،</w:t>
            </w:r>
            <w:r>
              <w:rPr>
                <w:rStyle w:val="IndexLink"/>
                <w:rtl w:val="true"/>
              </w:rPr>
              <w:tab/>
            </w:r>
            <w:r>
              <w:rPr>
                <w:rStyle w:val="IndexLink"/>
              </w:rPr>
              <w:t>283</w:t>
            </w:r>
          </w:hyperlink>
        </w:p>
        <w:p>
          <w:pPr>
            <w:pStyle w:val="Contents6"/>
            <w:tabs>
              <w:tab w:val="clear" w:pos="7609"/>
              <w:tab w:val="right" w:pos="9026" w:leader="dot"/>
            </w:tabs>
            <w:rPr/>
          </w:pPr>
          <w:hyperlink w:anchor="__RefHeading___Toc5003676_2314609296">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5003678_2314609296">
            <w:r>
              <w:rPr>
                <w:webHidden/>
                <w:rStyle w:val="IndexLink"/>
                <w:rtl w:val="true"/>
              </w:rPr>
              <w:t>منها</w:t>
            </w:r>
            <w:r>
              <w:rPr>
                <w:rStyle w:val="IndexLink"/>
                <w:rtl w:val="true"/>
              </w:rPr>
              <w:t>:</w:t>
            </w:r>
            <w:r>
              <w:rPr>
                <w:rStyle w:val="IndexLink"/>
                <w:rtl w:val="true"/>
              </w:rPr>
              <w:t>ما ورد مستفیضاً فی تفسیر</w:t>
            </w:r>
            <w:r>
              <w:rPr>
                <w:rStyle w:val="IndexLink"/>
                <w:rtl w:val="true"/>
              </w:rPr>
              <w:t>«</w:t>
            </w:r>
            <w:r>
              <w:rPr>
                <w:rStyle w:val="IndexLink"/>
                <w:rtl w:val="true"/>
              </w:rPr>
              <w:t>قول الزور</w:t>
            </w:r>
            <w:r>
              <w:rPr>
                <w:rStyle w:val="IndexLink"/>
                <w:rtl w:val="true"/>
              </w:rPr>
              <w:t>»</w:t>
            </w:r>
            <w:r>
              <w:rPr>
                <w:rStyle w:val="IndexLink"/>
                <w:rtl w:val="true"/>
              </w:rPr>
              <w:t xml:space="preserve">فی قوله تعالی </w:t>
            </w:r>
            <w:r>
              <w:rPr>
                <w:rStyle w:val="IndexLink"/>
                <w:rtl w:val="true"/>
              </w:rPr>
              <w:t>«</w:t>
            </w:r>
            <w:r>
              <w:rPr>
                <w:rStyle w:val="IndexLink"/>
                <w:rtl w:val="true"/>
              </w:rPr>
              <w:t>وَ اجْتَنِبُوا قَوْلَ الزُّورِ</w:t>
            </w:r>
            <w:r>
              <w:rPr>
                <w:rStyle w:val="IndexLink"/>
                <w:rtl w:val="true"/>
              </w:rPr>
              <w:t>»</w:t>
              <w:tab/>
            </w:r>
            <w:r>
              <w:rPr>
                <w:rStyle w:val="IndexLink"/>
              </w:rPr>
              <w:t>283</w:t>
            </w:r>
          </w:hyperlink>
        </w:p>
        <w:p>
          <w:pPr>
            <w:pStyle w:val="Contents6"/>
            <w:tabs>
              <w:tab w:val="clear" w:pos="7609"/>
              <w:tab w:val="right" w:pos="9026" w:leader="dot"/>
            </w:tabs>
            <w:rPr/>
          </w:pPr>
          <w:hyperlink w:anchor="__RefHeading___Toc5003680_2314609296">
            <w:r>
              <w:rPr>
                <w:webHidden/>
                <w:rStyle w:val="IndexLink"/>
                <w:rtl w:val="true"/>
              </w:rPr>
              <w:t>و منها</w:t>
            </w:r>
            <w:r>
              <w:rPr>
                <w:rStyle w:val="IndexLink"/>
                <w:rtl w:val="true"/>
              </w:rPr>
              <w:t>:</w:t>
            </w:r>
            <w:r>
              <w:rPr>
                <w:rStyle w:val="IndexLink"/>
                <w:rtl w:val="true"/>
              </w:rPr>
              <w:t>ما ورد مستفیضاً فی تفسیر</w:t>
            </w:r>
            <w:r>
              <w:rPr>
                <w:rStyle w:val="IndexLink"/>
                <w:rtl w:val="true"/>
              </w:rPr>
              <w:t>«</w:t>
            </w:r>
            <w:r>
              <w:rPr>
                <w:rStyle w:val="IndexLink"/>
                <w:rtl w:val="true"/>
              </w:rPr>
              <w:t>لهو الحدیث</w:t>
            </w:r>
            <w:r>
              <w:rPr>
                <w:rStyle w:val="IndexLink"/>
                <w:rtl w:val="true"/>
              </w:rPr>
              <w:t>»</w:t>
              <w:tab/>
            </w:r>
            <w:r>
              <w:rPr>
                <w:rStyle w:val="IndexLink"/>
              </w:rPr>
              <w:t>284</w:t>
            </w:r>
          </w:hyperlink>
        </w:p>
        <w:p>
          <w:pPr>
            <w:pStyle w:val="Contents6"/>
            <w:tabs>
              <w:tab w:val="clear" w:pos="7609"/>
              <w:tab w:val="right" w:pos="9026" w:leader="dot"/>
            </w:tabs>
            <w:rPr/>
          </w:pPr>
          <w:hyperlink w:anchor="__RefHeading___Toc5003682_2314609296">
            <w:r>
              <w:rPr>
                <w:webHidden/>
                <w:rStyle w:val="IndexLink"/>
                <w:rtl w:val="true"/>
              </w:rPr>
              <w:t>و منها</w:t>
            </w:r>
            <w:r>
              <w:rPr>
                <w:rStyle w:val="IndexLink"/>
                <w:rtl w:val="true"/>
              </w:rPr>
              <w:t>:</w:t>
            </w:r>
            <w:r>
              <w:rPr>
                <w:rStyle w:val="IndexLink"/>
                <w:rtl w:val="true"/>
              </w:rPr>
              <w:t>ما ورد فی تفسیر</w:t>
            </w:r>
            <w:r>
              <w:rPr>
                <w:rStyle w:val="IndexLink"/>
                <w:rtl w:val="true"/>
              </w:rPr>
              <w:t>«</w:t>
            </w:r>
            <w:r>
              <w:rPr>
                <w:rStyle w:val="IndexLink"/>
                <w:rtl w:val="true"/>
              </w:rPr>
              <w:t>الزور</w:t>
            </w:r>
            <w:r>
              <w:rPr>
                <w:rStyle w:val="IndexLink"/>
                <w:rtl w:val="true"/>
              </w:rPr>
              <w:t>»</w:t>
            </w:r>
            <w:r>
              <w:rPr>
                <w:rStyle w:val="IndexLink"/>
                <w:rtl w:val="true"/>
              </w:rPr>
              <w:t>فی قوله تعالی وَ الَّذِینَ لاٰ یَشْهَدُونَ الزُّورَ</w:t>
            </w:r>
            <w:r>
              <w:rPr>
                <w:rStyle w:val="IndexLink"/>
                <w:rtl w:val="true"/>
              </w:rPr>
              <w:tab/>
            </w:r>
            <w:r>
              <w:rPr>
                <w:rStyle w:val="IndexLink"/>
              </w:rPr>
              <w:t>284</w:t>
            </w:r>
          </w:hyperlink>
        </w:p>
        <w:p>
          <w:pPr>
            <w:pStyle w:val="Contents6"/>
            <w:tabs>
              <w:tab w:val="clear" w:pos="7609"/>
              <w:tab w:val="right" w:pos="9026" w:leader="dot"/>
            </w:tabs>
            <w:rPr/>
          </w:pPr>
          <w:hyperlink w:anchor="__RefHeading___Toc5003684_2314609296">
            <w:r>
              <w:rPr>
                <w:webHidden/>
                <w:rStyle w:val="IndexLink"/>
                <w:rtl w:val="true"/>
              </w:rPr>
              <w:t>[</w:t>
            </w:r>
            <w:r>
              <w:rPr>
                <w:rStyle w:val="IndexLink"/>
                <w:rtl w:val="true"/>
              </w:rPr>
              <w:t>کلمات اللغویین و الفقهاء فی معنی الغناء و الطرب</w:t>
            </w:r>
            <w:r>
              <w:rPr>
                <w:rStyle w:val="IndexLink"/>
                <w:rtl w:val="true"/>
              </w:rPr>
              <w:t>]</w:t>
              <w:tab/>
            </w:r>
            <w:r>
              <w:rPr>
                <w:rStyle w:val="IndexLink"/>
              </w:rPr>
              <w:t>289</w:t>
            </w:r>
          </w:hyperlink>
        </w:p>
        <w:p>
          <w:pPr>
            <w:pStyle w:val="Contents5"/>
            <w:tabs>
              <w:tab w:val="clear" w:pos="7892"/>
              <w:tab w:val="right" w:pos="9026" w:leader="dot"/>
            </w:tabs>
            <w:rPr/>
          </w:pPr>
          <w:hyperlink w:anchor="__RefHeading___Toc5003686_2314609296">
            <w:r>
              <w:rPr>
                <w:webHidden/>
                <w:rStyle w:val="IndexLink"/>
                <w:rtl w:val="true"/>
              </w:rPr>
              <w:t>ثم إن</w:t>
            </w:r>
            <w:r>
              <w:rPr>
                <w:rStyle w:val="IndexLink"/>
                <w:rtl w:val="true"/>
              </w:rPr>
              <w:t>«</w:t>
            </w:r>
            <w:r>
              <w:rPr>
                <w:rStyle w:val="IndexLink"/>
                <w:rtl w:val="true"/>
              </w:rPr>
              <w:t>اللّهو</w:t>
            </w:r>
            <w:r>
              <w:rPr>
                <w:rStyle w:val="IndexLink"/>
                <w:rtl w:val="true"/>
              </w:rPr>
              <w:t>»</w:t>
            </w:r>
            <w:r>
              <w:rPr>
                <w:rStyle w:val="IndexLink"/>
                <w:rtl w:val="true"/>
              </w:rPr>
              <w:t>یتحقق بأمرین</w:t>
            </w:r>
            <w:r>
              <w:rPr>
                <w:rStyle w:val="IndexLink"/>
                <w:rtl w:val="true"/>
              </w:rPr>
              <w:t>:</w:t>
              <w:tab/>
            </w:r>
            <w:r>
              <w:rPr>
                <w:rStyle w:val="IndexLink"/>
              </w:rPr>
              <w:t>294</w:t>
            </w:r>
          </w:hyperlink>
        </w:p>
        <w:p>
          <w:pPr>
            <w:pStyle w:val="Contents5"/>
            <w:tabs>
              <w:tab w:val="clear" w:pos="7892"/>
              <w:tab w:val="right" w:pos="9026" w:leader="dot"/>
            </w:tabs>
            <w:rPr/>
          </w:pPr>
          <w:hyperlink w:anchor="__RefHeading___Toc5003688_2314609296">
            <w:r>
              <w:rPr>
                <w:webHidden/>
                <w:rStyle w:val="IndexLink"/>
                <w:rtl w:val="true"/>
              </w:rPr>
              <w:t>ثم إنّ المرجع فی</w:t>
            </w:r>
            <w:r>
              <w:rPr>
                <w:rStyle w:val="IndexLink"/>
                <w:rtl w:val="true"/>
              </w:rPr>
              <w:t>«</w:t>
            </w:r>
            <w:r>
              <w:rPr>
                <w:rStyle w:val="IndexLink"/>
                <w:rtl w:val="true"/>
              </w:rPr>
              <w:t>اللهو</w:t>
            </w:r>
            <w:r>
              <w:rPr>
                <w:rStyle w:val="IndexLink"/>
                <w:rtl w:val="true"/>
              </w:rPr>
              <w:t>»</w:t>
            </w:r>
            <w:r>
              <w:rPr>
                <w:rStyle w:val="IndexLink"/>
                <w:rtl w:val="true"/>
              </w:rPr>
              <w:t>إلی العرف،</w:t>
            </w:r>
            <w:r>
              <w:rPr>
                <w:rStyle w:val="IndexLink"/>
                <w:rtl w:val="true"/>
              </w:rPr>
              <w:tab/>
            </w:r>
            <w:r>
              <w:rPr>
                <w:rStyle w:val="IndexLink"/>
              </w:rPr>
              <w:t>295</w:t>
            </w:r>
          </w:hyperlink>
        </w:p>
        <w:p>
          <w:pPr>
            <w:pStyle w:val="Contents5"/>
            <w:tabs>
              <w:tab w:val="clear" w:pos="7892"/>
              <w:tab w:val="right" w:pos="9026" w:leader="dot"/>
            </w:tabs>
            <w:rPr/>
          </w:pPr>
          <w:hyperlink w:anchor="__RefHeading___Toc5003690_2314609296">
            <w:r>
              <w:rPr>
                <w:webHidden/>
                <w:rStyle w:val="IndexLink"/>
                <w:rtl w:val="true"/>
              </w:rPr>
              <w:t>[</w:t>
            </w:r>
            <w:r>
              <w:rPr>
                <w:rStyle w:val="IndexLink"/>
                <w:rtl w:val="true"/>
              </w:rPr>
              <w:t>لا فرق بین استعمال هذه الکیفیة فی کلام حقٍّ أو باطل</w:t>
            </w:r>
            <w:r>
              <w:rPr>
                <w:rStyle w:val="IndexLink"/>
                <w:rtl w:val="true"/>
              </w:rPr>
              <w:t>]</w:t>
              <w:tab/>
            </w:r>
            <w:r>
              <w:rPr>
                <w:rStyle w:val="IndexLink"/>
              </w:rPr>
              <w:t>295</w:t>
            </w:r>
          </w:hyperlink>
        </w:p>
        <w:p>
          <w:pPr>
            <w:pStyle w:val="Contents5"/>
            <w:tabs>
              <w:tab w:val="clear" w:pos="7892"/>
              <w:tab w:val="right" w:pos="9026" w:leader="dot"/>
            </w:tabs>
            <w:rPr/>
          </w:pPr>
          <w:hyperlink w:anchor="__RefHeading___Toc5003692_2314609296">
            <w:r>
              <w:rPr>
                <w:webHidden/>
                <w:rStyle w:val="IndexLink"/>
                <w:rtl w:val="true"/>
              </w:rPr>
              <w:t>[</w:t>
            </w:r>
            <w:r>
              <w:rPr>
                <w:rStyle w:val="IndexLink"/>
                <w:rtl w:val="true"/>
              </w:rPr>
              <w:t>عروض بعض الشبهات فی الحکم أو الموضوع أو اختصاص الحکم ببعض الموضوع</w:t>
            </w:r>
            <w:r>
              <w:rPr>
                <w:rStyle w:val="IndexLink"/>
                <w:rtl w:val="true"/>
              </w:rPr>
              <w:t>]</w:t>
              <w:tab/>
            </w:r>
            <w:r>
              <w:rPr>
                <w:rStyle w:val="IndexLink"/>
              </w:rPr>
              <w:t>296</w:t>
            </w:r>
          </w:hyperlink>
        </w:p>
        <w:p>
          <w:pPr>
            <w:pStyle w:val="Contents6"/>
            <w:tabs>
              <w:tab w:val="clear" w:pos="7609"/>
              <w:tab w:val="right" w:pos="9026" w:leader="dot"/>
            </w:tabs>
            <w:rPr/>
          </w:pPr>
          <w:hyperlink w:anchor="__RefHeading___Toc5003694_2314609296">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5003696_2314609296">
            <w:r>
              <w:rPr>
                <w:webHidden/>
                <w:rStyle w:val="IndexLink"/>
                <w:rtl w:val="true"/>
              </w:rPr>
              <w:t>أما الأوّل</w:t>
            </w:r>
            <w:r>
              <w:rPr>
                <w:rStyle w:val="IndexLink"/>
                <w:rtl w:val="true"/>
              </w:rPr>
              <w:t>:</w:t>
              <w:tab/>
            </w:r>
            <w:r>
              <w:rPr>
                <w:rStyle w:val="IndexLink"/>
              </w:rPr>
              <w:t>296</w:t>
            </w:r>
          </w:hyperlink>
        </w:p>
        <w:p>
          <w:pPr>
            <w:pStyle w:val="Contents6"/>
            <w:tabs>
              <w:tab w:val="clear" w:pos="7609"/>
              <w:tab w:val="right" w:pos="9026" w:leader="dot"/>
            </w:tabs>
            <w:rPr/>
          </w:pPr>
          <w:hyperlink w:anchor="__RefHeading___Toc5003698_2314609296">
            <w:r>
              <w:rPr>
                <w:webHidden/>
                <w:rStyle w:val="IndexLink"/>
                <w:rtl w:val="true"/>
              </w:rPr>
              <w:t>و أمّا الثانی و هو الاشتباه فی الموضوع</w:t>
            </w:r>
            <w:r>
              <w:rPr>
                <w:rStyle w:val="IndexLink"/>
                <w:rtl w:val="true"/>
              </w:rPr>
              <w:t>-:</w:t>
              <w:tab/>
            </w:r>
            <w:r>
              <w:rPr>
                <w:rStyle w:val="IndexLink"/>
              </w:rPr>
              <w:t>305</w:t>
            </w:r>
          </w:hyperlink>
        </w:p>
        <w:p>
          <w:pPr>
            <w:pStyle w:val="Contents6"/>
            <w:tabs>
              <w:tab w:val="clear" w:pos="7609"/>
              <w:tab w:val="right" w:pos="9026" w:leader="dot"/>
            </w:tabs>
            <w:rPr/>
          </w:pPr>
          <w:hyperlink w:anchor="__RefHeading___Toc5003700_2314609296">
            <w:r>
              <w:rPr>
                <w:webHidden/>
                <w:rStyle w:val="IndexLink"/>
                <w:rtl w:val="true"/>
              </w:rPr>
              <w:t>و أمّا الثالث و هو اختصاص الحرمة ببعض أفراد الموضوع</w:t>
            </w:r>
            <w:r>
              <w:rPr>
                <w:rStyle w:val="IndexLink"/>
                <w:rtl w:val="true"/>
              </w:rPr>
              <w:t>-:</w:t>
              <w:tab/>
            </w:r>
            <w:r>
              <w:rPr>
                <w:rStyle w:val="IndexLink"/>
              </w:rPr>
              <w:t>306</w:t>
            </w:r>
          </w:hyperlink>
        </w:p>
        <w:p>
          <w:pPr>
            <w:pStyle w:val="Contents5"/>
            <w:tabs>
              <w:tab w:val="clear" w:pos="7892"/>
              <w:tab w:val="right" w:pos="9026" w:leader="dot"/>
            </w:tabs>
            <w:rPr/>
          </w:pPr>
          <w:hyperlink w:anchor="__RefHeading___Toc5003702_2314609296">
            <w:r>
              <w:rPr>
                <w:webHidden/>
                <w:rStyle w:val="IndexLink"/>
                <w:rtl w:val="true"/>
              </w:rPr>
              <w:t>بقی الکلام فیما استثناه المشهور من الغناء،</w:t>
            </w:r>
            <w:r>
              <w:rPr>
                <w:rStyle w:val="IndexLink"/>
                <w:rtl w:val="true"/>
              </w:rPr>
              <w:tab/>
            </w:r>
            <w:r>
              <w:rPr>
                <w:rStyle w:val="IndexLink"/>
              </w:rPr>
              <w:t>311</w:t>
            </w:r>
          </w:hyperlink>
        </w:p>
        <w:p>
          <w:pPr>
            <w:pStyle w:val="Contents6"/>
            <w:tabs>
              <w:tab w:val="clear" w:pos="7609"/>
              <w:tab w:val="right" w:pos="9026" w:leader="dot"/>
            </w:tabs>
            <w:rPr/>
          </w:pPr>
          <w:hyperlink w:anchor="__RefHeading___Toc5003704_2314609296">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5003706_2314609296">
            <w:r>
              <w:rPr>
                <w:webHidden/>
                <w:rStyle w:val="IndexLink"/>
                <w:rtl w:val="true"/>
              </w:rPr>
              <w:t>أحدهما الحُداء بالضم کدعاء</w:t>
            </w:r>
            <w:r>
              <w:rPr>
                <w:rStyle w:val="IndexLink"/>
                <w:rtl w:val="true"/>
              </w:rPr>
              <w:t>:</w:t>
            </w:r>
            <w:r>
              <w:rPr>
                <w:rStyle w:val="IndexLink"/>
                <w:rtl w:val="true"/>
              </w:rPr>
              <w:t>صوت یرجَّع فیه للسیر بالإبل</w:t>
            </w:r>
            <w:r>
              <w:rPr>
                <w:rStyle w:val="IndexLink"/>
                <w:rtl w:val="true"/>
              </w:rPr>
              <w:t>.</w:t>
              <w:tab/>
            </w:r>
            <w:r>
              <w:rPr>
                <w:rStyle w:val="IndexLink"/>
              </w:rPr>
              <w:t>311</w:t>
            </w:r>
          </w:hyperlink>
        </w:p>
        <w:p>
          <w:pPr>
            <w:pStyle w:val="Contents6"/>
            <w:tabs>
              <w:tab w:val="clear" w:pos="7609"/>
              <w:tab w:val="right" w:pos="9026" w:leader="dot"/>
            </w:tabs>
            <w:rPr/>
          </w:pPr>
          <w:hyperlink w:anchor="__RefHeading___Toc5003708_2314609296">
            <w:r>
              <w:rPr>
                <w:webHidden/>
                <w:rStyle w:val="IndexLink"/>
                <w:rtl w:val="true"/>
              </w:rPr>
              <w:t>الثانی</w:t>
            </w:r>
            <w:r>
              <w:rPr>
                <w:rStyle w:val="IndexLink"/>
                <w:rtl w:val="true"/>
              </w:rPr>
              <w:t xml:space="preserve">- </w:t>
            </w:r>
            <w:r>
              <w:rPr>
                <w:rStyle w:val="IndexLink"/>
                <w:rtl w:val="true"/>
              </w:rPr>
              <w:t>غناء المغنّیة فی الأعراس إذا لم یکتنف بها</w:t>
            </w:r>
            <w:r>
              <w:rPr>
                <w:rStyle w:val="IndexLink"/>
                <w:rtl w:val="true"/>
              </w:rPr>
              <w:tab/>
            </w:r>
            <w:r>
              <w:rPr>
                <w:rStyle w:val="IndexLink"/>
              </w:rPr>
              <w:t>311</w:t>
            </w:r>
          </w:hyperlink>
        </w:p>
        <w:p>
          <w:pPr>
            <w:pStyle w:val="Contents4"/>
            <w:tabs>
              <w:tab w:val="clear" w:pos="8176"/>
              <w:tab w:val="right" w:pos="9026" w:leader="dot"/>
            </w:tabs>
            <w:rPr/>
          </w:pPr>
          <w:hyperlink w:anchor="__RefHeading___Toc5003710_2314609296">
            <w:r>
              <w:rPr>
                <w:webHidden/>
                <w:rStyle w:val="IndexLink"/>
                <w:rtl w:val="true"/>
              </w:rPr>
              <w:t>المسألة الرابعة عشر الغیبة</w:t>
            </w:r>
            <w:r>
              <w:rPr>
                <w:rStyle w:val="IndexLink"/>
                <w:rtl w:val="true"/>
              </w:rPr>
              <w:tab/>
            </w:r>
            <w:r>
              <w:rPr>
                <w:rStyle w:val="IndexLink"/>
              </w:rPr>
              <w:t>313</w:t>
            </w:r>
          </w:hyperlink>
        </w:p>
        <w:p>
          <w:pPr>
            <w:pStyle w:val="Contents5"/>
            <w:tabs>
              <w:tab w:val="clear" w:pos="7892"/>
              <w:tab w:val="right" w:pos="9026" w:leader="dot"/>
            </w:tabs>
            <w:rPr/>
          </w:pPr>
          <w:hyperlink w:anchor="__RefHeading___Toc5003712_2314609296">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5003714_2314609296">
            <w:r>
              <w:rPr>
                <w:webHidden/>
                <w:rStyle w:val="IndexLink"/>
                <w:rtl w:val="true"/>
              </w:rPr>
              <w:t>بقی الکلام فی أُمور</w:t>
            </w:r>
            <w:r>
              <w:rPr>
                <w:rStyle w:val="IndexLink"/>
                <w:rtl w:val="true"/>
              </w:rPr>
              <w:t>:</w:t>
              <w:tab/>
            </w:r>
            <w:r>
              <w:rPr>
                <w:rStyle w:val="IndexLink"/>
              </w:rPr>
              <w:t>319</w:t>
            </w:r>
          </w:hyperlink>
        </w:p>
        <w:p>
          <w:pPr>
            <w:pStyle w:val="Contents6"/>
            <w:tabs>
              <w:tab w:val="clear" w:pos="7609"/>
              <w:tab w:val="right" w:pos="9026" w:leader="dot"/>
            </w:tabs>
            <w:rPr/>
          </w:pPr>
          <w:hyperlink w:anchor="__RefHeading___Toc5003716_2314609296">
            <w:r>
              <w:rPr>
                <w:webHidden/>
                <w:rStyle w:val="IndexLink"/>
                <w:rtl w:val="true"/>
              </w:rPr>
              <w:t>الأوّل الغیبة</w:t>
            </w:r>
            <w:r>
              <w:rPr>
                <w:rStyle w:val="IndexLink"/>
                <w:rtl w:val="true"/>
              </w:rPr>
              <w:t>:</w:t>
            </w:r>
            <w:r>
              <w:rPr>
                <w:rStyle w:val="IndexLink"/>
                <w:rtl w:val="true"/>
              </w:rPr>
              <w:t>اسم مصدر ل</w:t>
            </w:r>
            <w:r>
              <w:rPr>
                <w:rStyle w:val="IndexLink"/>
                <w:rtl w:val="true"/>
              </w:rPr>
              <w:t>«</w:t>
            </w:r>
            <w:r>
              <w:rPr>
                <w:rStyle w:val="IndexLink"/>
                <w:rtl w:val="true"/>
              </w:rPr>
              <w:t>اغتاب</w:t>
            </w:r>
            <w:r>
              <w:rPr>
                <w:rStyle w:val="IndexLink"/>
                <w:rtl w:val="true"/>
              </w:rPr>
              <w:t>»</w:t>
            </w:r>
            <w:r>
              <w:rPr>
                <w:rStyle w:val="IndexLink"/>
                <w:rtl w:val="true"/>
              </w:rPr>
              <w:t>أو مصدر ل</w:t>
            </w:r>
            <w:r>
              <w:rPr>
                <w:rStyle w:val="IndexLink"/>
                <w:rtl w:val="true"/>
              </w:rPr>
              <w:t>«</w:t>
            </w:r>
            <w:r>
              <w:rPr>
                <w:rStyle w:val="IndexLink"/>
                <w:rtl w:val="true"/>
              </w:rPr>
              <w:t>غاب</w:t>
            </w:r>
            <w:r>
              <w:rPr>
                <w:rStyle w:val="IndexLink"/>
                <w:rtl w:val="true"/>
              </w:rPr>
              <w:t>».</w:t>
              <w:tab/>
            </w:r>
            <w:r>
              <w:rPr>
                <w:rStyle w:val="IndexLink"/>
              </w:rPr>
              <w:t>319</w:t>
            </w:r>
          </w:hyperlink>
        </w:p>
        <w:p>
          <w:pPr>
            <w:pStyle w:val="Contents6"/>
            <w:tabs>
              <w:tab w:val="clear" w:pos="7609"/>
              <w:tab w:val="right" w:pos="9026" w:leader="dot"/>
            </w:tabs>
            <w:rPr/>
          </w:pPr>
          <w:hyperlink w:anchor="__RefHeading___Toc5003718_2314609296">
            <w:r>
              <w:rPr>
                <w:webHidden/>
                <w:rStyle w:val="IndexLink"/>
                <w:rtl w:val="true"/>
              </w:rPr>
              <w:t>الثانی فی کفارة الغیبة الماحیة لها</w:t>
            </w:r>
            <w:r>
              <w:rPr>
                <w:rStyle w:val="IndexLink"/>
                <w:rtl w:val="true"/>
              </w:rPr>
              <w:tab/>
            </w:r>
            <w:r>
              <w:rPr>
                <w:rStyle w:val="IndexLink"/>
              </w:rPr>
              <w:t>334</w:t>
            </w:r>
          </w:hyperlink>
        </w:p>
        <w:p>
          <w:pPr>
            <w:pStyle w:val="Contents6"/>
            <w:tabs>
              <w:tab w:val="clear" w:pos="7609"/>
              <w:tab w:val="right" w:pos="9026" w:leader="dot"/>
            </w:tabs>
            <w:rPr/>
          </w:pPr>
          <w:hyperlink w:anchor="__RefHeading___Toc5003720_2314609296">
            <w:r>
              <w:rPr>
                <w:webHidden/>
                <w:rStyle w:val="IndexLink"/>
                <w:rtl w:val="true"/>
              </w:rPr>
              <w:t>الثالث فیما استثنی من الغیبة و حکم بجوازها بالمعنی الأعم</w:t>
            </w:r>
            <w:r>
              <w:rPr>
                <w:rStyle w:val="IndexLink"/>
                <w:rtl w:val="true"/>
              </w:rPr>
              <w:tab/>
            </w:r>
            <w:r>
              <w:rPr>
                <w:rStyle w:val="IndexLink"/>
              </w:rPr>
              <w:t>340</w:t>
            </w:r>
          </w:hyperlink>
        </w:p>
        <w:p>
          <w:pPr>
            <w:pStyle w:val="Contents6"/>
            <w:tabs>
              <w:tab w:val="clear" w:pos="7609"/>
              <w:tab w:val="right" w:pos="9026" w:leader="dot"/>
            </w:tabs>
            <w:rPr/>
          </w:pPr>
          <w:hyperlink w:anchor="__RefHeading___Toc5003722_2314609296">
            <w:r>
              <w:rPr>
                <w:webHidden/>
                <w:rStyle w:val="IndexLink"/>
                <w:rtl w:val="true"/>
              </w:rPr>
              <w:t>الظاهر استثناء موضعین لجواز الغیبة من دون مصلحة</w:t>
            </w:r>
            <w:r>
              <w:rPr>
                <w:rStyle w:val="IndexLink"/>
                <w:rtl w:val="true"/>
              </w:rPr>
              <w:t>:</w:t>
              <w:tab/>
            </w:r>
            <w:r>
              <w:rPr>
                <w:rStyle w:val="IndexLink"/>
              </w:rPr>
              <w:t>341</w:t>
            </w:r>
          </w:hyperlink>
        </w:p>
        <w:p>
          <w:pPr>
            <w:pStyle w:val="Contents6"/>
            <w:tabs>
              <w:tab w:val="clear" w:pos="7609"/>
              <w:tab w:val="right" w:pos="9026" w:leader="dot"/>
            </w:tabs>
            <w:rPr/>
          </w:pPr>
          <w:hyperlink w:anchor="__RefHeading___Toc5003724_2314609296">
            <w:r>
              <w:rPr>
                <w:webHidden/>
                <w:rStyle w:val="IndexLink"/>
                <w:rtl w:val="true"/>
              </w:rPr>
              <w:t>أحدهما</w:t>
            </w:r>
            <w:r>
              <w:rPr>
                <w:rStyle w:val="IndexLink"/>
                <w:rtl w:val="true"/>
              </w:rPr>
              <w:t>:</w:t>
              <w:tab/>
            </w:r>
            <w:r>
              <w:rPr>
                <w:rStyle w:val="IndexLink"/>
              </w:rPr>
              <w:t>341</w:t>
            </w:r>
          </w:hyperlink>
        </w:p>
        <w:p>
          <w:pPr>
            <w:pStyle w:val="Contents6"/>
            <w:tabs>
              <w:tab w:val="clear" w:pos="7609"/>
              <w:tab w:val="right" w:pos="9026" w:leader="dot"/>
            </w:tabs>
            <w:rPr/>
          </w:pPr>
          <w:hyperlink w:anchor="__RefHeading___Toc5003726_2314609296">
            <w:r>
              <w:rPr>
                <w:webHidden/>
                <w:rStyle w:val="IndexLink"/>
                <w:rtl w:val="true"/>
              </w:rPr>
              <w:t>الثانی</w:t>
            </w:r>
            <w:r>
              <w:rPr>
                <w:rStyle w:val="IndexLink"/>
                <w:rtl w:val="true"/>
              </w:rPr>
              <w:t>:</w:t>
              <w:tab/>
            </w:r>
            <w:r>
              <w:rPr>
                <w:rStyle w:val="IndexLink"/>
              </w:rPr>
              <w:t>345</w:t>
            </w:r>
          </w:hyperlink>
        </w:p>
        <w:p>
          <w:pPr>
            <w:pStyle w:val="Contents6"/>
            <w:tabs>
              <w:tab w:val="clear" w:pos="7609"/>
              <w:tab w:val="right" w:pos="9026" w:leader="dot"/>
            </w:tabs>
            <w:rPr/>
          </w:pPr>
          <w:hyperlink w:anchor="__RefHeading___Toc5003728_2314609296">
            <w:r>
              <w:rPr>
                <w:webHidden/>
                <w:rStyle w:val="IndexLink"/>
                <w:rtl w:val="true"/>
              </w:rPr>
              <w:t>فیبقی من موارد الرخصة لمزاحمة الغرض الأهم صورٌ تعرضوا لها</w:t>
            </w:r>
            <w:r>
              <w:rPr>
                <w:rStyle w:val="IndexLink"/>
                <w:rtl w:val="true"/>
              </w:rPr>
              <w:t>:</w:t>
              <w:tab/>
            </w:r>
            <w:r>
              <w:rPr>
                <w:rStyle w:val="IndexLink"/>
              </w:rPr>
              <w:t>349</w:t>
            </w:r>
          </w:hyperlink>
        </w:p>
        <w:p>
          <w:pPr>
            <w:pStyle w:val="Contents6"/>
            <w:tabs>
              <w:tab w:val="clear" w:pos="7609"/>
              <w:tab w:val="right" w:pos="9026" w:leader="dot"/>
            </w:tabs>
            <w:rPr/>
          </w:pPr>
          <w:hyperlink w:anchor="__RefHeading___Toc5003730_2314609296">
            <w:r>
              <w:rPr>
                <w:webHidden/>
                <w:rStyle w:val="IndexLink"/>
                <w:rtl w:val="true"/>
              </w:rPr>
              <w:t>منها</w:t>
            </w:r>
            <w:r>
              <w:rPr>
                <w:rStyle w:val="IndexLink"/>
                <w:rtl w:val="true"/>
              </w:rPr>
              <w:t>:</w:t>
              <w:tab/>
            </w:r>
            <w:r>
              <w:rPr>
                <w:rStyle w:val="IndexLink"/>
              </w:rPr>
              <w:t>349</w:t>
            </w:r>
          </w:hyperlink>
        </w:p>
        <w:p>
          <w:pPr>
            <w:pStyle w:val="Contents6"/>
            <w:tabs>
              <w:tab w:val="clear" w:pos="7609"/>
              <w:tab w:val="right" w:pos="9026" w:leader="dot"/>
            </w:tabs>
            <w:rPr/>
          </w:pPr>
          <w:hyperlink w:anchor="__RefHeading___Toc5003732_2314609296">
            <w:r>
              <w:rPr>
                <w:webHidden/>
                <w:rStyle w:val="IndexLink"/>
                <w:rtl w:val="true"/>
              </w:rPr>
              <w:t>و منها</w:t>
            </w:r>
            <w:r>
              <w:rPr>
                <w:rStyle w:val="IndexLink"/>
                <w:rtl w:val="true"/>
              </w:rPr>
              <w:t>:</w:t>
              <w:tab/>
            </w:r>
            <w:r>
              <w:rPr>
                <w:rStyle w:val="IndexLink"/>
              </w:rPr>
              <w:t>350</w:t>
            </w:r>
          </w:hyperlink>
        </w:p>
        <w:p>
          <w:pPr>
            <w:pStyle w:val="Contents6"/>
            <w:tabs>
              <w:tab w:val="clear" w:pos="7609"/>
              <w:tab w:val="right" w:pos="9026" w:leader="dot"/>
            </w:tabs>
            <w:rPr/>
          </w:pPr>
          <w:hyperlink w:anchor="__RefHeading___Toc5003734_2314609296">
            <w:r>
              <w:rPr>
                <w:webHidden/>
                <w:rStyle w:val="IndexLink"/>
                <w:rtl w:val="true"/>
              </w:rPr>
              <w:t>و منها</w:t>
            </w:r>
            <w:r>
              <w:rPr>
                <w:rStyle w:val="IndexLink"/>
                <w:rtl w:val="true"/>
              </w:rPr>
              <w:t>:</w:t>
              <w:tab/>
            </w:r>
            <w:r>
              <w:rPr>
                <w:rStyle w:val="IndexLink"/>
              </w:rPr>
              <w:t>351</w:t>
            </w:r>
          </w:hyperlink>
        </w:p>
        <w:p>
          <w:pPr>
            <w:pStyle w:val="Contents6"/>
            <w:tabs>
              <w:tab w:val="clear" w:pos="7609"/>
              <w:tab w:val="right" w:pos="9026" w:leader="dot"/>
            </w:tabs>
            <w:rPr/>
          </w:pPr>
          <w:hyperlink w:anchor="__RefHeading___Toc5003736_2314609296">
            <w:r>
              <w:rPr>
                <w:webHidden/>
                <w:rStyle w:val="IndexLink"/>
                <w:rtl w:val="true"/>
              </w:rPr>
              <w:t>و منها</w:t>
            </w:r>
            <w:r>
              <w:rPr>
                <w:rStyle w:val="IndexLink"/>
                <w:rtl w:val="true"/>
              </w:rPr>
              <w:t>:</w:t>
              <w:tab/>
            </w:r>
            <w:r>
              <w:rPr>
                <w:rStyle w:val="IndexLink"/>
              </w:rPr>
              <w:t>351</w:t>
            </w:r>
          </w:hyperlink>
        </w:p>
        <w:p>
          <w:pPr>
            <w:pStyle w:val="Contents6"/>
            <w:tabs>
              <w:tab w:val="clear" w:pos="7609"/>
              <w:tab w:val="right" w:pos="9026" w:leader="dot"/>
            </w:tabs>
            <w:rPr/>
          </w:pPr>
          <w:hyperlink w:anchor="__RefHeading___Toc5003738_2314609296">
            <w:r>
              <w:rPr>
                <w:webHidden/>
                <w:rStyle w:val="IndexLink"/>
                <w:rtl w:val="true"/>
              </w:rPr>
              <w:t>و منها</w:t>
            </w:r>
            <w:r>
              <w:rPr>
                <w:rStyle w:val="IndexLink"/>
                <w:rtl w:val="true"/>
              </w:rPr>
              <w:t>:</w:t>
              <w:tab/>
            </w:r>
            <w:r>
              <w:rPr>
                <w:rStyle w:val="IndexLink"/>
              </w:rPr>
              <w:t>352</w:t>
            </w:r>
          </w:hyperlink>
        </w:p>
        <w:p>
          <w:pPr>
            <w:pStyle w:val="Contents6"/>
            <w:tabs>
              <w:tab w:val="clear" w:pos="7609"/>
              <w:tab w:val="right" w:pos="9026" w:leader="dot"/>
            </w:tabs>
            <w:rPr/>
          </w:pPr>
          <w:hyperlink w:anchor="__RefHeading___Toc5003740_2314609296">
            <w:r>
              <w:rPr>
                <w:webHidden/>
                <w:rStyle w:val="IndexLink"/>
                <w:rtl w:val="true"/>
              </w:rPr>
              <w:t>و منها</w:t>
            </w:r>
            <w:r>
              <w:rPr>
                <w:rStyle w:val="IndexLink"/>
                <w:rtl w:val="true"/>
              </w:rPr>
              <w:t>:</w:t>
              <w:tab/>
            </w:r>
            <w:r>
              <w:rPr>
                <w:rStyle w:val="IndexLink"/>
              </w:rPr>
              <w:t>352</w:t>
            </w:r>
          </w:hyperlink>
        </w:p>
        <w:p>
          <w:pPr>
            <w:pStyle w:val="Contents6"/>
            <w:tabs>
              <w:tab w:val="clear" w:pos="7609"/>
              <w:tab w:val="right" w:pos="9026" w:leader="dot"/>
            </w:tabs>
            <w:rPr/>
          </w:pPr>
          <w:hyperlink w:anchor="__RefHeading___Toc5003742_2314609296">
            <w:r>
              <w:rPr>
                <w:webHidden/>
                <w:rStyle w:val="IndexLink"/>
                <w:rtl w:val="true"/>
              </w:rPr>
              <w:t>و منها</w:t>
            </w:r>
            <w:r>
              <w:rPr>
                <w:rStyle w:val="IndexLink"/>
                <w:rtl w:val="true"/>
              </w:rPr>
              <w:t>:</w:t>
              <w:tab/>
            </w:r>
            <w:r>
              <w:rPr>
                <w:rStyle w:val="IndexLink"/>
              </w:rPr>
              <w:t>354</w:t>
            </w:r>
          </w:hyperlink>
        </w:p>
        <w:p>
          <w:pPr>
            <w:pStyle w:val="Contents6"/>
            <w:tabs>
              <w:tab w:val="clear" w:pos="7609"/>
              <w:tab w:val="right" w:pos="9026" w:leader="dot"/>
            </w:tabs>
            <w:rPr/>
          </w:pPr>
          <w:hyperlink w:anchor="__RefHeading___Toc5003744_2314609296">
            <w:r>
              <w:rPr>
                <w:webHidden/>
                <w:rStyle w:val="IndexLink"/>
                <w:rtl w:val="true"/>
              </w:rPr>
              <w:t xml:space="preserve">و منها </w:t>
            </w:r>
            <w:r>
              <w:rPr>
                <w:rStyle w:val="IndexLink"/>
                <w:rtl w:val="true"/>
              </w:rPr>
              <w:t>[</w:t>
            </w:r>
            <w:r>
              <w:rPr>
                <w:rStyle w:val="IndexLink"/>
                <w:rtl w:val="true"/>
              </w:rPr>
              <w:t>ذکر الشخص بما لا یؤثر عند السامع شیئا،لکونه عالما به</w:t>
            </w:r>
            <w:r>
              <w:rPr>
                <w:rStyle w:val="IndexLink"/>
                <w:rtl w:val="true"/>
              </w:rPr>
              <w:t>]</w:t>
              <w:tab/>
            </w:r>
            <w:r>
              <w:rPr>
                <w:rStyle w:val="IndexLink"/>
              </w:rPr>
              <w:t>354</w:t>
            </w:r>
          </w:hyperlink>
        </w:p>
        <w:p>
          <w:pPr>
            <w:pStyle w:val="Contents6"/>
            <w:tabs>
              <w:tab w:val="clear" w:pos="7609"/>
              <w:tab w:val="right" w:pos="9026" w:leader="dot"/>
            </w:tabs>
            <w:rPr/>
          </w:pPr>
          <w:hyperlink w:anchor="__RefHeading___Toc5003746_2314609296">
            <w:r>
              <w:rPr>
                <w:webHidden/>
                <w:rStyle w:val="IndexLink"/>
                <w:rtl w:val="true"/>
              </w:rPr>
              <w:t>و منها</w:t>
            </w:r>
            <w:r>
              <w:rPr>
                <w:rStyle w:val="IndexLink"/>
                <w:rtl w:val="true"/>
              </w:rPr>
              <w:t>:</w:t>
              <w:tab/>
            </w:r>
            <w:r>
              <w:rPr>
                <w:rStyle w:val="IndexLink"/>
              </w:rPr>
              <w:t>355</w:t>
            </w:r>
          </w:hyperlink>
        </w:p>
        <w:p>
          <w:pPr>
            <w:pStyle w:val="Contents6"/>
            <w:tabs>
              <w:tab w:val="clear" w:pos="7609"/>
              <w:tab w:val="right" w:pos="9026" w:leader="dot"/>
            </w:tabs>
            <w:rPr/>
          </w:pPr>
          <w:hyperlink w:anchor="__RefHeading___Toc5003748_2314609296">
            <w:r>
              <w:rPr>
                <w:webHidden/>
                <w:rStyle w:val="IndexLink"/>
                <w:rtl w:val="true"/>
              </w:rPr>
              <w:t>و منها</w:t>
            </w:r>
            <w:r>
              <w:rPr>
                <w:rStyle w:val="IndexLink"/>
                <w:rtl w:val="true"/>
              </w:rPr>
              <w:t>:</w:t>
              <w:tab/>
            </w:r>
            <w:r>
              <w:rPr>
                <w:rStyle w:val="IndexLink"/>
              </w:rPr>
              <w:t>355</w:t>
            </w:r>
          </w:hyperlink>
        </w:p>
        <w:p>
          <w:pPr>
            <w:pStyle w:val="Contents6"/>
            <w:tabs>
              <w:tab w:val="clear" w:pos="7609"/>
              <w:tab w:val="right" w:pos="9026" w:leader="dot"/>
            </w:tabs>
            <w:rPr/>
          </w:pPr>
          <w:hyperlink w:anchor="__RefHeading___Toc5003750_2314609296">
            <w:r>
              <w:rPr>
                <w:webHidden/>
                <w:rStyle w:val="IndexLink"/>
                <w:rtl w:val="true"/>
              </w:rPr>
              <w:t>الرابع یحرم استماع الغیبة</w:t>
            </w:r>
            <w:r>
              <w:rPr>
                <w:rStyle w:val="IndexLink"/>
                <w:rtl w:val="true"/>
              </w:rPr>
              <w:tab/>
            </w:r>
            <w:r>
              <w:rPr>
                <w:rStyle w:val="IndexLink"/>
              </w:rPr>
              <w:t>357</w:t>
            </w:r>
          </w:hyperlink>
        </w:p>
        <w:p>
          <w:pPr>
            <w:pStyle w:val="Contents5"/>
            <w:tabs>
              <w:tab w:val="clear" w:pos="7892"/>
              <w:tab w:val="right" w:pos="9026" w:leader="dot"/>
            </w:tabs>
            <w:rPr/>
          </w:pPr>
          <w:hyperlink w:anchor="__RefHeading___Toc5003752_2314609296">
            <w:r>
              <w:rPr>
                <w:webHidden/>
                <w:rStyle w:val="IndexLink"/>
                <w:rtl w:val="true"/>
              </w:rPr>
              <w:t>خاتمة فی بعض ما ورد من حقوق المسلم علی أخیه</w:t>
            </w:r>
            <w:r>
              <w:rPr>
                <w:rStyle w:val="IndexLink"/>
                <w:rtl w:val="true"/>
              </w:rPr>
              <w:tab/>
            </w:r>
            <w:r>
              <w:rPr>
                <w:rStyle w:val="IndexLink"/>
              </w:rPr>
              <w:t>363</w:t>
            </w:r>
          </w:hyperlink>
        </w:p>
        <w:p>
          <w:pPr>
            <w:pStyle w:val="Contents4"/>
            <w:tabs>
              <w:tab w:val="clear" w:pos="8176"/>
              <w:tab w:val="right" w:pos="9026" w:leader="dot"/>
            </w:tabs>
            <w:rPr/>
          </w:pPr>
          <w:hyperlink w:anchor="__RefHeading___Toc5003754_2314609296">
            <w:r>
              <w:rPr>
                <w:webHidden/>
                <w:rStyle w:val="IndexLink"/>
                <w:rtl w:val="true"/>
              </w:rPr>
              <w:t>المسألة</w:t>
            </w:r>
            <w:r>
              <w:rPr>
                <w:rStyle w:val="IndexLink"/>
                <w:rtl w:val="true"/>
              </w:rPr>
              <w:t>]</w:t>
            </w:r>
            <w:r>
              <w:rPr>
                <w:rStyle w:val="IndexLink"/>
                <w:rtl w:val="true"/>
              </w:rPr>
              <w:t>الخامسة عشر القِمار</w:t>
            </w:r>
            <w:r>
              <w:rPr>
                <w:rStyle w:val="IndexLink"/>
                <w:rtl w:val="true"/>
              </w:rPr>
              <w:tab/>
            </w:r>
            <w:r>
              <w:rPr>
                <w:rStyle w:val="IndexLink"/>
              </w:rPr>
              <w:t>369</w:t>
            </w:r>
          </w:hyperlink>
        </w:p>
        <w:p>
          <w:pPr>
            <w:pStyle w:val="Contents5"/>
            <w:tabs>
              <w:tab w:val="clear" w:pos="7892"/>
              <w:tab w:val="right" w:pos="9026" w:leader="dot"/>
            </w:tabs>
            <w:rPr/>
          </w:pPr>
          <w:hyperlink w:anchor="__RefHeading___Toc5003756_2314609296">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5003758_2314609296">
            <w:r>
              <w:rPr>
                <w:webHidden/>
                <w:rStyle w:val="IndexLink"/>
                <w:rtl w:val="true"/>
              </w:rPr>
              <w:t>فالأُولی</w:t>
            </w:r>
            <w:r>
              <w:rPr>
                <w:rStyle w:val="IndexLink"/>
                <w:rtl w:val="true"/>
              </w:rPr>
              <w:t xml:space="preserve">- </w:t>
            </w:r>
            <w:r>
              <w:rPr>
                <w:rStyle w:val="IndexLink"/>
                <w:rtl w:val="true"/>
              </w:rPr>
              <w:t>اللعب بآلات القِمار مع الرهن</w:t>
            </w:r>
            <w:r>
              <w:rPr>
                <w:rStyle w:val="IndexLink"/>
                <w:rtl w:val="true"/>
              </w:rPr>
              <w:t>.</w:t>
              <w:tab/>
            </w:r>
            <w:r>
              <w:rPr>
                <w:rStyle w:val="IndexLink"/>
              </w:rPr>
              <w:t>370</w:t>
            </w:r>
          </w:hyperlink>
        </w:p>
        <w:p>
          <w:pPr>
            <w:pStyle w:val="Contents5"/>
            <w:tabs>
              <w:tab w:val="clear" w:pos="7892"/>
              <w:tab w:val="right" w:pos="9026" w:leader="dot"/>
            </w:tabs>
            <w:rPr/>
          </w:pPr>
          <w:hyperlink w:anchor="__RefHeading___Toc5003760_2314609296">
            <w:r>
              <w:rPr>
                <w:webHidden/>
                <w:rStyle w:val="IndexLink"/>
                <w:rtl w:val="true"/>
              </w:rPr>
              <w:t>الثانیة</w:t>
            </w:r>
            <w:r>
              <w:rPr>
                <w:rStyle w:val="IndexLink"/>
                <w:rtl w:val="true"/>
              </w:rPr>
              <w:t xml:space="preserve">- </w:t>
            </w:r>
            <w:r>
              <w:rPr>
                <w:rStyle w:val="IndexLink"/>
                <w:rtl w:val="true"/>
              </w:rPr>
              <w:t>اللعب بآلات القِمار من دون رهن</w:t>
            </w:r>
            <w:r>
              <w:rPr>
                <w:rStyle w:val="IndexLink"/>
                <w:rtl w:val="true"/>
              </w:rPr>
              <w:t>.</w:t>
              <w:tab/>
            </w:r>
            <w:r>
              <w:rPr>
                <w:rStyle w:val="IndexLink"/>
              </w:rPr>
              <w:t>370</w:t>
            </w:r>
          </w:hyperlink>
        </w:p>
        <w:p>
          <w:pPr>
            <w:pStyle w:val="Contents5"/>
            <w:tabs>
              <w:tab w:val="clear" w:pos="7892"/>
              <w:tab w:val="right" w:pos="9026" w:leader="dot"/>
            </w:tabs>
            <w:rPr/>
          </w:pPr>
          <w:hyperlink w:anchor="__RefHeading___Toc5003762_2314609296">
            <w:r>
              <w:rPr>
                <w:webHidden/>
                <w:rStyle w:val="IndexLink"/>
                <w:rtl w:val="true"/>
              </w:rPr>
              <w:t>الثالثة</w:t>
            </w:r>
            <w:r>
              <w:rPr>
                <w:rStyle w:val="IndexLink"/>
                <w:rtl w:val="true"/>
              </w:rPr>
              <w:t xml:space="preserve">- </w:t>
            </w:r>
            <w:r>
              <w:rPr>
                <w:rStyle w:val="IndexLink"/>
                <w:rtl w:val="true"/>
              </w:rPr>
              <w:t>المراهنة علی اللعب بغیر الآلات المعدّة للقِمار</w:t>
            </w:r>
            <w:r>
              <w:rPr>
                <w:rStyle w:val="IndexLink"/>
                <w:rtl w:val="true"/>
              </w:rPr>
              <w:t>.</w:t>
              <w:tab/>
            </w:r>
            <w:r>
              <w:rPr>
                <w:rStyle w:val="IndexLink"/>
              </w:rPr>
              <w:t>373</w:t>
            </w:r>
          </w:hyperlink>
        </w:p>
        <w:p>
          <w:pPr>
            <w:pStyle w:val="Contents5"/>
            <w:tabs>
              <w:tab w:val="clear" w:pos="7892"/>
              <w:tab w:val="right" w:pos="9026" w:leader="dot"/>
            </w:tabs>
            <w:rPr/>
          </w:pPr>
          <w:hyperlink w:anchor="__RefHeading___Toc5003764_2314609296">
            <w:r>
              <w:rPr>
                <w:webHidden/>
                <w:rStyle w:val="IndexLink"/>
                <w:rtl w:val="true"/>
              </w:rPr>
              <w:t>الرابعة</w:t>
            </w:r>
            <w:r>
              <w:rPr>
                <w:rStyle w:val="IndexLink"/>
                <w:rtl w:val="true"/>
              </w:rPr>
              <w:t xml:space="preserve">- </w:t>
            </w:r>
            <w:r>
              <w:rPr>
                <w:rStyle w:val="IndexLink"/>
                <w:rtl w:val="true"/>
              </w:rPr>
              <w:t>المغالبة بغیر عوض فی غیر ما نصّ علی جواز المسابقة فیه</w:t>
            </w:r>
            <w:r>
              <w:rPr>
                <w:rStyle w:val="IndexLink"/>
                <w:rtl w:val="true"/>
              </w:rPr>
              <w:t>.</w:t>
              <w:tab/>
            </w:r>
            <w:r>
              <w:rPr>
                <w:rStyle w:val="IndexLink"/>
              </w:rPr>
              <w:t>378</w:t>
            </w:r>
          </w:hyperlink>
        </w:p>
        <w:p>
          <w:pPr>
            <w:pStyle w:val="Contents4"/>
            <w:tabs>
              <w:tab w:val="clear" w:pos="8176"/>
              <w:tab w:val="right" w:pos="9026" w:leader="dot"/>
            </w:tabs>
            <w:rPr/>
          </w:pPr>
          <w:hyperlink w:anchor="__RefHeading___Toc5003766_2314609296">
            <w:r>
              <w:rPr>
                <w:webHidden/>
                <w:rStyle w:val="IndexLink"/>
                <w:rtl w:val="true"/>
              </w:rPr>
              <w:t>[</w:t>
            </w:r>
            <w:r>
              <w:rPr>
                <w:rStyle w:val="IndexLink"/>
                <w:rtl w:val="true"/>
              </w:rPr>
              <w:t>المسألة</w:t>
            </w:r>
            <w:r>
              <w:rPr>
                <w:rStyle w:val="IndexLink"/>
                <w:rtl w:val="true"/>
              </w:rPr>
              <w:t>]</w:t>
            </w:r>
            <w:r>
              <w:rPr>
                <w:rStyle w:val="IndexLink"/>
                <w:rtl w:val="true"/>
              </w:rPr>
              <w:t>السادسة عشر القیادة</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62_189251"/>
      <w:bookmarkStart w:id="1" w:name="pg19762_189251"/>
      <w:bookmarkEnd w:id="1"/>
    </w:p>
    <w:p>
      <w:pPr>
        <w:pStyle w:val="Heading2"/>
        <w:numPr>
          <w:ilvl w:val="1"/>
          <w:numId w:val="1"/>
        </w:numPr>
        <w:rPr/>
      </w:pPr>
      <w:bookmarkStart w:id="2" w:name="pg19762_189251"/>
      <w:bookmarkStart w:id="3" w:name="__RefHeading___Toc500343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مرتضی الانصاری؛ اعداد لجنه تحقیق تراث الشیخ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ascii="IRNazanin" w:hAnsi="IRNazanin" w:eastAsia="IRNazanin"/>
          <w:color w:val="111111"/>
          <w:sz w:val="28"/>
          <w:sz w:val="28"/>
          <w:szCs w:val="28"/>
          <w:lang w:bidi="fa-IR"/>
        </w:rPr>
        <w:t>۱۴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مجمع‌الفکرالاسلامی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مناسبت دویستمین سالگرد تولد شیخ انصاری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دویستمین سالگرد تولد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03438_2314609296"/>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 الحمد للّٰه ربّ العالمین،و الصلاة و السلام علی محمّد خاتم النبیّین و أهل بیته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حظی کتابا المکاسب و فرائد الأُصول تحقیق و طبع مجمع الفکر الإسلامی باستقبال وافر من قبل الأساتذة و طلّاب الحوزة العلمیّة فی قم المقدّسة و سائر الحوزات فی المدن الأُخری؛لما امتازا به من الدقّة فی التحقیق،و الإناقة فی الترتیب،و الحسن فی الطباعة؛و لذلک حاز الکتابان الرتبة الاُولی فی مسابقة الکتاب السنویّة التی تقیمها الحوزة العلمیّة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جعل الطلّاب و الأساتذة یقبلون علی هذه الطبعة من الکتابین إقبالاً کثیراً،و لذلک جُدّدت طباعتهما فی کلّ سنة تقریباً منذ انتهاء الطبعة الاُولی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کثرة عدد الأجزاء توجب کلفة زائدة علی الطلبة،فلذلک قامت أُسره المجمع بتقلیل عدد الأجزاء تسهیلاً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بحذف ما لا یهمّ الطلبة کثیراً فی دراساتهم،مثل مقدّمة التحقیق و الفهارس الفنّیّة و نحوها،و دمجت کلّ مجلّدین فی مجلّد واحد،فصارت</w:t>
      </w:r>
    </w:p>
    <w:p>
      <w:pPr>
        <w:pStyle w:val="BookText"/>
        <w:rPr/>
      </w:pPr>
      <w:r>
        <w:rPr>
          <w:rFonts w:ascii="IRNazanin" w:hAnsi="IRNazanin" w:eastAsia="IRNazanin"/>
          <w:color w:val="111111"/>
          <w:sz w:val="28"/>
          <w:sz w:val="28"/>
          <w:szCs w:val="28"/>
          <w:rtl w:val="true"/>
          <w:lang w:bidi="fa-IR"/>
        </w:rPr>
        <w:t>الأجزاء الستّة للمکاسب ثلاثة أجزاء،و الأجزاء الأربعة للفرائد ثلاثة أیضاً بدمج الثالث و الرابع و صیرورتهما مجلّداً واحداً،و صار مجموع مجلّدات المکاسب و الفرائد ستّة مجلّدات بعد أن کانت عشرة،کلّ ذلک کما قلنا تسهیلاً علی الطلبة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التنبیه علی أنّ من أراد الاطّلاع علی النسخ المعتمدة فی تحقیق الکتاب و معرفة رموزها و کیفیّة تحقیق الکتاب فلیراجع الطبعات المتقدّمة بما فیها الطبعة الاُولی الموجودة فی ضمن مجموعة تراث الشیخ الأنصاری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نرجو من اللّٰه تعالی أن یوفّق الجمیع لخدمة مذهب أهل البیت علیهم السلام،إنّه ولیّ التوفیق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الفکر الإسلامی</w:t>
      </w:r>
      <w:bookmarkStart w:id="7" w:name="pg19762_189255"/>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 و لعنة اللّه علی أعدائهم أجمعین إلی یوم الدین</w:t>
      </w:r>
      <w:r>
        <w:rPr>
          <w:rFonts w:eastAsia="IRNazanin" w:cs="IRNazanin"/>
          <w:color w:val="111111"/>
          <w:sz w:val="28"/>
          <w:szCs w:val="28"/>
          <w:rtl w:val="true"/>
          <w:lang w:bidi="fa-IR"/>
        </w:rPr>
        <w:t>.</w:t>
      </w:r>
    </w:p>
    <w:p>
      <w:pPr>
        <w:pStyle w:val="Heading2"/>
        <w:numPr>
          <w:ilvl w:val="1"/>
          <w:numId w:val="1"/>
        </w:numPr>
        <w:rPr/>
      </w:pPr>
      <w:bookmarkStart w:id="8" w:name="__RefHeading___Toc5003440_2314609296"/>
      <w:bookmarkStart w:id="9" w:name="_Toc3"/>
      <w:bookmarkEnd w:id="8"/>
      <w:r>
        <w:rPr>
          <w:rtl w:val="true"/>
        </w:rPr>
        <w:t xml:space="preserve">فی المکاسب </w:t>
      </w:r>
      <w:r>
        <w:rPr>
          <w:rtl w:val="true"/>
        </w:rPr>
        <w:t>[</w:t>
      </w:r>
      <w:r>
        <w:rPr>
          <w:rtl w:val="true"/>
        </w:rPr>
        <w:t>المحرمة</w:t>
      </w:r>
      <w:r>
        <w:rPr>
          <w:rtl w:val="true"/>
        </w:rPr>
        <w:t>]</w:t>
      </w:r>
      <w:bookmarkEnd w:id="9"/>
    </w:p>
    <w:p>
      <w:pPr>
        <w:pStyle w:val="Heading3"/>
        <w:numPr>
          <w:ilvl w:val="2"/>
          <w:numId w:val="1"/>
        </w:numPr>
        <w:rPr/>
      </w:pPr>
      <w:bookmarkStart w:id="10" w:name="__RefHeading___Toc5003442_2314609296"/>
      <w:bookmarkStart w:id="11" w:name="_Toc4"/>
      <w:bookmarkEnd w:id="10"/>
      <w:r>
        <w:rPr>
          <w:rtl w:val="true"/>
        </w:rPr>
        <w:t>و ینبغی أوّلاً التیمّن بذکر بعض الأخبار الواردة علی سبیل الضابطة للمکاسب،</w:t>
      </w:r>
      <w:bookmarkEnd w:id="11"/>
    </w:p>
    <w:p>
      <w:pPr>
        <w:pStyle w:val="BookText"/>
        <w:rPr/>
      </w:pPr>
      <w:r>
        <w:rPr>
          <w:rFonts w:ascii="IRNazanin" w:hAnsi="IRNazanin" w:eastAsia="IRNazanin"/>
          <w:color w:val="111111"/>
          <w:sz w:val="28"/>
          <w:sz w:val="28"/>
          <w:szCs w:val="28"/>
          <w:rtl w:val="true"/>
          <w:lang w:bidi="fa-IR"/>
        </w:rPr>
        <w:t>من حیث الحلّ و الحرمة،فنقول مستعیناً باللّه تعالی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الوسائل </w:t>
      </w:r>
      <w:r>
        <w:rPr>
          <w:rStyle w:val="FootnoteAnchor"/>
          <w:rtl w:val="true"/>
        </w:rPr>
        <w:footnoteReference w:id="2"/>
      </w:r>
      <w:r>
        <w:rPr>
          <w:rFonts w:ascii="IRNazanin" w:hAnsi="IRNazanin" w:eastAsia="IRNazanin"/>
          <w:color w:val="111111"/>
          <w:sz w:val="28"/>
          <w:sz w:val="28"/>
          <w:szCs w:val="28"/>
          <w:rtl w:val="true"/>
          <w:lang w:bidi="fa-IR"/>
        </w:rPr>
        <w:t xml:space="preserve">و الحدائق </w:t>
      </w:r>
      <w:r>
        <w:rPr>
          <w:rStyle w:val="FootnoteAnchor"/>
          <w:rtl w:val="true"/>
        </w:rPr>
        <w:footnoteReference w:id="3"/>
      </w:r>
      <w:r>
        <w:rPr>
          <w:rFonts w:ascii="IRNazanin" w:hAnsi="IRNazanin" w:eastAsia="IRNazanin"/>
          <w:color w:val="111111"/>
          <w:sz w:val="28"/>
          <w:sz w:val="28"/>
          <w:szCs w:val="28"/>
          <w:rtl w:val="true"/>
          <w:lang w:bidi="fa-IR"/>
        </w:rPr>
        <w:t xml:space="preserve">عن الحسن بن علیّ بن شعبة فی کتاب تحف العقول </w:t>
      </w:r>
      <w:r>
        <w:rPr>
          <w:rStyle w:val="FootnoteAnchor"/>
          <w:rtl w:val="true"/>
        </w:rPr>
        <w:footnoteReference w:id="4"/>
      </w:r>
      <w:r>
        <w:rPr>
          <w:rFonts w:ascii="IRNazanin" w:hAnsi="IRNazanin" w:eastAsia="IRNazanin"/>
          <w:color w:val="111111"/>
          <w:sz w:val="28"/>
          <w:sz w:val="28"/>
          <w:szCs w:val="28"/>
          <w:rtl w:val="true"/>
          <w:lang w:bidi="fa-IR"/>
        </w:rPr>
        <w:t>عن مولانا الصادق صلوات اللّه و سلامه علیه حیث سُئل عن</w:t>
      </w:r>
    </w:p>
    <w:p>
      <w:pPr>
        <w:pStyle w:val="BookText"/>
        <w:rPr/>
      </w:pPr>
      <w:r>
        <w:rPr>
          <w:rFonts w:ascii="IRNazanin" w:hAnsi="IRNazanin" w:eastAsia="IRNazanin"/>
          <w:color w:val="111111"/>
          <w:sz w:val="28"/>
          <w:sz w:val="28"/>
          <w:szCs w:val="28"/>
          <w:rtl w:val="true"/>
          <w:lang w:bidi="fa-IR"/>
        </w:rPr>
        <w:t>معایش العباد،فقال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المعایش کلّها من وجوه المعاملات فیما بینهم ممّا یکون لهم فیه المکاسب أربع جهات،و یکون فیها حلال من جهة و حرام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هذه الجهات الأربع </w:t>
      </w:r>
      <w:r>
        <w:rPr>
          <w:rStyle w:val="FootnoteAnchor"/>
          <w:rtl w:val="true"/>
        </w:rPr>
        <w:footnoteReference w:id="5"/>
      </w:r>
      <w:r>
        <w:rPr>
          <w:rFonts w:ascii="IRNazanin" w:hAnsi="IRNazanin" w:eastAsia="IRNazanin"/>
          <w:color w:val="111111"/>
          <w:sz w:val="28"/>
          <w:sz w:val="28"/>
          <w:szCs w:val="28"/>
          <w:rtl w:val="true"/>
          <w:lang w:bidi="fa-IR"/>
        </w:rPr>
        <w:t>الولایة،ثمّ التجارة،ثمّ الصناعات، ثمّ الإجارات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الفرض من اللّه تعالی علی العباد فی هذه المعاملات الدخول فی جهات الحلال،و العمل بذلک،و اجتناب جهات الحرام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فإحدی الجهتین من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ولاة العدل الذین أمر اللّه بولایتهم علی الناس،و الجهة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ولاة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الحلال من الولایة،ولایة الوالی العادل،و ولایة ولاته بجهة ما أمر به الوالی العادل بلا زیادة و نقیصة،فالولایة له،و العمل معه، و معونته،و تقویته،حلال 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الحرام من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فولایة الوالی الجائر،و ولایة ولاته،فالعمل </w:t>
      </w:r>
      <w:r>
        <w:rPr>
          <w:rStyle w:val="FootnoteAnchor"/>
          <w:rtl w:val="true"/>
        </w:rPr>
        <w:footnoteReference w:id="6"/>
      </w:r>
      <w:r>
        <w:rPr>
          <w:rFonts w:ascii="IRNazanin" w:hAnsi="IRNazanin" w:eastAsia="IRNazanin"/>
          <w:color w:val="111111"/>
          <w:sz w:val="28"/>
          <w:sz w:val="28"/>
          <w:szCs w:val="28"/>
          <w:rtl w:val="true"/>
          <w:lang w:bidi="fa-IR"/>
        </w:rPr>
        <w:t xml:space="preserve">لهم،و الکسب لهم بجهة الولایة معهم </w:t>
      </w:r>
      <w:r>
        <w:rPr>
          <w:rStyle w:val="FootnoteAnchor"/>
          <w:rtl w:val="true"/>
        </w:rPr>
        <w:footnoteReference w:id="7"/>
      </w:r>
      <w:r>
        <w:rPr>
          <w:rFonts w:ascii="IRNazanin" w:hAnsi="IRNazanin" w:eastAsia="IRNazanin"/>
          <w:color w:val="111111"/>
          <w:sz w:val="28"/>
          <w:sz w:val="28"/>
          <w:szCs w:val="28"/>
          <w:rtl w:val="true"/>
          <w:lang w:bidi="fa-IR"/>
        </w:rPr>
        <w:t>حرام محرّم معذّب فاعل ذلک علی قلیل من فعله أو کثیر؛لأنّ کلّ شیءٍ من جهة المعونة له،معصیة کبیرة من الکبائر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فی ولایة الوالی الجائر دروس الحقّ کلِّه،و إحیاء الباطل کلِّه،و إظهار الظلم و الجور و الفساد،و إبطال الکتب،و قتل الأنبیاء،</w:t>
      </w:r>
    </w:p>
    <w:p>
      <w:pPr>
        <w:pStyle w:val="BookText"/>
        <w:rPr/>
      </w:pPr>
      <w:r>
        <w:rPr>
          <w:rFonts w:ascii="IRNazanin" w:hAnsi="IRNazanin" w:eastAsia="IRNazanin"/>
          <w:color w:val="111111"/>
          <w:sz w:val="28"/>
          <w:sz w:val="28"/>
          <w:szCs w:val="28"/>
          <w:rtl w:val="true"/>
          <w:lang w:bidi="fa-IR"/>
        </w:rPr>
        <w:t>و هدم المساجد،و تبدیل سنّة اللّه و شرائعه،فلذلک حرم العمل معهم و معونتهم،و الکسب معهم إلّا بجهة الضرورة نظیر الضرورة إلی الدم 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التجارات فی جمیع البیوع و وجوه الحلال من وجه التجارات التی یجوز للبائع أن یبیع ممّا لا یجوز له،و کذلک المشتری الذی یجوز له شراؤه ممّا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مأمور به ممّا هو غذاء للعباد و قوامهم به فی أُمورهم فی وجوه الصلاح الذی لا یقیمهم غیره ممّا یأکلون و یشربون و یلبسون و ینکحون و یملکون و یستعملون من جمیع المنافع التی لا یقیمهم غیرها، و کلّ شیءٍ یکون لهم فیه الصلاح من جهة من الجهات،فهذا کلّه حلال بیعه و شراؤه و إمساکه و استعماله وهبته و عاریته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وجوه الحرام من البیع و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أمرٍ یکون فیه الفساد ممّا هو منهیّ عنه من جهة أکله و شربه </w:t>
      </w:r>
      <w:r>
        <w:rPr>
          <w:rStyle w:val="FootnoteAnchor"/>
          <w:rtl w:val="true"/>
        </w:rPr>
        <w:footnoteReference w:id="8"/>
      </w:r>
      <w:r>
        <w:rPr>
          <w:rFonts w:ascii="IRNazanin" w:hAnsi="IRNazanin" w:eastAsia="IRNazanin"/>
          <w:color w:val="111111"/>
          <w:sz w:val="28"/>
          <w:sz w:val="28"/>
          <w:szCs w:val="28"/>
          <w:rtl w:val="true"/>
          <w:lang w:bidi="fa-IR"/>
        </w:rPr>
        <w:t xml:space="preserve">أو کسبه </w:t>
      </w:r>
      <w:r>
        <w:rPr>
          <w:rStyle w:val="FootnoteAnchor"/>
          <w:rtl w:val="true"/>
        </w:rPr>
        <w:footnoteReference w:id="9"/>
      </w:r>
      <w:r>
        <w:rPr>
          <w:rFonts w:ascii="IRNazanin" w:hAnsi="IRNazanin" w:eastAsia="IRNazanin"/>
          <w:color w:val="111111"/>
          <w:sz w:val="28"/>
          <w:sz w:val="28"/>
          <w:szCs w:val="28"/>
          <w:rtl w:val="true"/>
          <w:lang w:bidi="fa-IR"/>
        </w:rPr>
        <w:t>أو نکاحه أو مِلکه أو إمساکه أو هبته أو عاریته أو شیءٍ یکون فیه وجه من وجوه الفساد نظیر البیع بالربا أو بیع المیتة أو الدم أو لحم الخنزیر أو لحوم السباع من صنوف سباع الوحش أو الطیر أو جلودها أو الخمر أو شیءٍ من وجوه النجس فهذا کلّه حرام محرّم؛لأنّ ذلک کلّه منهیٌّ عن أکله و شربه و لبسه و ملکه و إمساکه و التقلّب فیه،فجمیع تقلّبه فی</w:t>
      </w:r>
    </w:p>
    <w:p>
      <w:pPr>
        <w:pStyle w:val="BookText"/>
        <w:rPr/>
      </w:pPr>
      <w:r>
        <w:rPr>
          <w:rFonts w:ascii="IRNazanin" w:hAnsi="IRNazanin" w:eastAsia="IRNazanin"/>
          <w:color w:val="111111"/>
          <w:sz w:val="28"/>
          <w:sz w:val="28"/>
          <w:szCs w:val="28"/>
          <w:rtl w:val="true"/>
          <w:lang w:bidi="fa-IR"/>
        </w:rPr>
        <w:t>ذلک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کلّ مبیعٍ ملهوٍّ به،و کلّ منهیٍّ عنه ممّا یتقرّب به لغیر اللّه عزّ و جلّ،أو یقوی به الکفر و الشرک فی جمیع وجوه المعاصی، أو باب یوهن به الحقّ فهو حرام محرَّم بیعه و شراؤه و إمساکه و ملکه وهبته و عاریته و جمیع التقلّب فیه،إلّا فی حالٍ تدعو الضرورة فیه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الإجارات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فإجارة الإنسان نفسه أو ما یملک أو یلی أمره من قرابته أو دابّته أو ثوبه بوجه </w:t>
      </w:r>
      <w:r>
        <w:rPr>
          <w:rStyle w:val="FootnoteAnchor"/>
          <w:rtl w:val="true"/>
        </w:rPr>
        <w:footnoteReference w:id="10"/>
      </w:r>
      <w:r>
        <w:rPr>
          <w:rFonts w:ascii="IRNazanin" w:hAnsi="IRNazanin" w:eastAsia="IRNazanin"/>
          <w:color w:val="111111"/>
          <w:sz w:val="28"/>
          <w:sz w:val="28"/>
          <w:szCs w:val="28"/>
          <w:rtl w:val="true"/>
          <w:lang w:bidi="fa-IR"/>
        </w:rPr>
        <w:t xml:space="preserve">الحلال من جهات الإجارات أو </w:t>
      </w:r>
      <w:r>
        <w:rPr>
          <w:rStyle w:val="FootnoteAnchor"/>
          <w:rtl w:val="true"/>
        </w:rPr>
        <w:footnoteReference w:id="11"/>
      </w:r>
      <w:r>
        <w:rPr>
          <w:rFonts w:ascii="IRNazanin" w:hAnsi="IRNazanin" w:eastAsia="IRNazanin"/>
          <w:color w:val="111111"/>
          <w:sz w:val="28"/>
          <w:sz w:val="28"/>
          <w:szCs w:val="28"/>
          <w:rtl w:val="true"/>
          <w:lang w:bidi="fa-IR"/>
        </w:rPr>
        <w:t xml:space="preserve">یؤجر نفسه أو داره أو أرضه أو شیئاً یملکه فیما ینتفع به من وجوه المنافع أو العمل بنفسه و ولده و مملوکه و أجیره من غیر أن یکون وکیلاً للوالی أو والیاً للوالی،فلا بأس أن یکون أجیراً یؤجر نفسه أو ولده أو قرابته أو ملکه أو وکیله فی إجارته،لأنّهم وکلاء الأجیر من عنده، لیس هم بولاة الوالی،نظیر الحمّال الذی یحمل شیئاً معلوماً بشیءٍ معلوم،فیحمل </w:t>
      </w:r>
      <w:r>
        <w:rPr>
          <w:rStyle w:val="FootnoteAnchor"/>
          <w:rtl w:val="true"/>
        </w:rPr>
        <w:footnoteReference w:id="12"/>
      </w:r>
      <w:r>
        <w:rPr>
          <w:rFonts w:ascii="IRNazanin" w:hAnsi="IRNazanin" w:eastAsia="IRNazanin"/>
          <w:color w:val="111111"/>
          <w:sz w:val="28"/>
          <w:sz w:val="28"/>
          <w:szCs w:val="28"/>
          <w:rtl w:val="true"/>
          <w:lang w:bidi="fa-IR"/>
        </w:rPr>
        <w:t>ذلک الشیء الذی یجوز له حمله بنفسه أو بملکه أو دابّته،أو یؤجر نفسه فی عمل،یعمل ذلک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بمملوکه أو قرابته أو بأجیر من قِبَله،فهذه وجوه من وجوه الإجارات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حلال </w:t>
      </w:r>
      <w:r>
        <w:rPr>
          <w:rStyle w:val="FootnoteAnchor"/>
          <w:rtl w:val="true"/>
        </w:rPr>
        <w:footnoteReference w:id="14"/>
      </w:r>
      <w:r>
        <w:rPr>
          <w:rFonts w:ascii="IRNazanin" w:hAnsi="IRNazanin" w:eastAsia="IRNazanin"/>
          <w:color w:val="111111"/>
          <w:sz w:val="28"/>
          <w:sz w:val="28"/>
          <w:szCs w:val="28"/>
          <w:rtl w:val="true"/>
          <w:lang w:bidi="fa-IR"/>
        </w:rPr>
        <w:t>لمن کان من الناس مَلِکاً أو سُوقَة أو کافراً أو مؤمناً فحلال إجارته،و حلال کسبه من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وجوه الحرام من وجوه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أن یؤاجر نفسه علی حمل ما یحرم أکله أو شربه،أو یؤاجر نفسه فی صنعة ذلک الشیء أو حفظه،أو یؤاجر نفسه فی هدم المساجد ضراراً،أو قتل النفس بغیر حقٍّ </w:t>
      </w:r>
      <w:r>
        <w:rPr>
          <w:rStyle w:val="FootnoteAnchor"/>
          <w:rtl w:val="true"/>
        </w:rPr>
        <w:footnoteReference w:id="15"/>
      </w:r>
      <w:r>
        <w:rPr>
          <w:rFonts w:ascii="IRNazanin" w:hAnsi="IRNazanin" w:eastAsia="IRNazanin"/>
          <w:color w:val="111111"/>
          <w:sz w:val="28"/>
          <w:sz w:val="28"/>
          <w:szCs w:val="28"/>
          <w:rtl w:val="true"/>
          <w:lang w:bidi="fa-IR"/>
        </w:rPr>
        <w:t xml:space="preserve">،أو عمل </w:t>
      </w:r>
      <w:r>
        <w:rPr>
          <w:rStyle w:val="FootnoteAnchor"/>
          <w:rtl w:val="true"/>
        </w:rPr>
        <w:footnoteReference w:id="16"/>
      </w:r>
      <w:r>
        <w:rPr>
          <w:rFonts w:ascii="IRNazanin" w:hAnsi="IRNazanin" w:eastAsia="IRNazanin"/>
          <w:color w:val="111111"/>
          <w:sz w:val="28"/>
          <w:sz w:val="28"/>
          <w:szCs w:val="28"/>
          <w:rtl w:val="true"/>
          <w:lang w:bidi="fa-IR"/>
        </w:rPr>
        <w:t>التصاویر و الأصنام و المزامیر و البَرابِط و الخمر و الخنازیر و المیتة و الدم،أو شیء من وجوه الفساد الذی کان محرّماً علیه من غیر جهة الإجارة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أمرٍ منهیّ عنه من جهة من الجهات،فمحرّم علی الإنسان إجارة نفسه فیه أو له أو شیء منه أو له،إلّا لمنفعة من استأجره </w:t>
      </w:r>
      <w:r>
        <w:rPr>
          <w:rStyle w:val="FootnoteAnchor"/>
          <w:rtl w:val="true"/>
        </w:rPr>
        <w:footnoteReference w:id="17"/>
      </w:r>
      <w:r>
        <w:rPr>
          <w:rFonts w:ascii="IRNazanin" w:hAnsi="IRNazanin" w:eastAsia="IRNazanin"/>
          <w:color w:val="111111"/>
          <w:sz w:val="28"/>
          <w:sz w:val="28"/>
          <w:szCs w:val="28"/>
          <w:rtl w:val="true"/>
          <w:lang w:bidi="fa-IR"/>
        </w:rPr>
        <w:t xml:space="preserve">کالذی یستأجر له الأجیر لیحمل المیتة ینحّیها </w:t>
      </w:r>
      <w:r>
        <w:rPr>
          <w:rStyle w:val="FootnoteAnchor"/>
          <w:rtl w:val="true"/>
        </w:rPr>
        <w:footnoteReference w:id="18"/>
      </w:r>
      <w:r>
        <w:rPr>
          <w:rFonts w:ascii="IRNazanin" w:hAnsi="IRNazanin" w:eastAsia="IRNazanin"/>
          <w:color w:val="111111"/>
          <w:sz w:val="28"/>
          <w:sz w:val="28"/>
          <w:szCs w:val="28"/>
          <w:rtl w:val="true"/>
          <w:lang w:bidi="fa-IR"/>
        </w:rPr>
        <w:t>عن أذاه أو أذی غیره و ما أشبه ذلک إلی أن قال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 آجر نفسه أو ما یملک،أو یلی أمره من کافر أو مؤمن أو مَلِکٍ أو سُوقَةٍ علی ما فسّرنا ممّا تجوز الإجارة فیه فحلال محلّل فعله و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الصناعات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ما یتعلّم العباد أو یعلِّمون غیرهم من أصناف الصناعات مثل الکتابة و الحساب و النجارة </w:t>
      </w:r>
      <w:r>
        <w:rPr>
          <w:rStyle w:val="FootnoteAnchor"/>
          <w:rtl w:val="true"/>
        </w:rPr>
        <w:footnoteReference w:id="19"/>
      </w:r>
      <w:r>
        <w:rPr>
          <w:rFonts w:ascii="IRNazanin" w:hAnsi="IRNazanin" w:eastAsia="IRNazanin"/>
          <w:color w:val="111111"/>
          <w:sz w:val="28"/>
          <w:sz w:val="28"/>
          <w:szCs w:val="28"/>
          <w:rtl w:val="true"/>
          <w:lang w:bidi="fa-IR"/>
        </w:rPr>
        <w:t xml:space="preserve">و الصیاغة و البناء و الحیاکة و السراجة و القصارة و الخیاطة و صنعة صنوف التصاویر ما لم یکن مثل الروحانی، و أنواع صنوف الآلات التی یحتاج إلیها العباد،منها منافعهم،و بها قوامهم،و فیها بلغة جمیع </w:t>
      </w:r>
      <w:r>
        <w:rPr>
          <w:rStyle w:val="FootnoteAnchor"/>
          <w:rtl w:val="true"/>
        </w:rPr>
        <w:footnoteReference w:id="20"/>
      </w:r>
      <w:r>
        <w:rPr>
          <w:rFonts w:ascii="IRNazanin" w:hAnsi="IRNazanin" w:eastAsia="IRNazanin"/>
          <w:color w:val="111111"/>
          <w:sz w:val="28"/>
          <w:sz w:val="28"/>
          <w:szCs w:val="28"/>
          <w:rtl w:val="true"/>
          <w:lang w:bidi="fa-IR"/>
        </w:rPr>
        <w:t xml:space="preserve">حوائجهم فحلال فعله </w:t>
      </w:r>
      <w:r>
        <w:rPr>
          <w:rStyle w:val="FootnoteAnchor"/>
          <w:rtl w:val="true"/>
        </w:rPr>
        <w:footnoteReference w:id="21"/>
      </w:r>
      <w:r>
        <w:rPr>
          <w:rFonts w:ascii="IRNazanin" w:hAnsi="IRNazanin" w:eastAsia="IRNazanin"/>
          <w:color w:val="111111"/>
          <w:sz w:val="28"/>
          <w:sz w:val="28"/>
          <w:szCs w:val="28"/>
          <w:rtl w:val="true"/>
          <w:lang w:bidi="fa-IR"/>
        </w:rPr>
        <w:t xml:space="preserve">و تعلیمه و العمل به و فیه </w:t>
      </w:r>
      <w:r>
        <w:rPr>
          <w:rStyle w:val="FootnoteAnchor"/>
          <w:rtl w:val="true"/>
        </w:rPr>
        <w:footnoteReference w:id="22"/>
      </w:r>
      <w:r>
        <w:rPr>
          <w:rFonts w:ascii="IRNazanin" w:hAnsi="IRNazanin" w:eastAsia="IRNazanin"/>
          <w:color w:val="111111"/>
          <w:sz w:val="28"/>
          <w:sz w:val="28"/>
          <w:szCs w:val="28"/>
          <w:rtl w:val="true"/>
          <w:lang w:bidi="fa-IR"/>
        </w:rPr>
        <w:t>لنفسه أو لغیره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تلک الصناعة و تلک الآلة قد یستعان بها علی وجوه الفساد و وجوه المعاصی،و تکون معونة علی الحقّ و الباطل،فلا بأس بصناعته و تعلیمه </w:t>
      </w:r>
      <w:r>
        <w:rPr>
          <w:rStyle w:val="FootnoteAnchor"/>
          <w:rtl w:val="true"/>
        </w:rPr>
        <w:footnoteReference w:id="23"/>
      </w:r>
      <w:r>
        <w:rPr>
          <w:rFonts w:ascii="IRNazanin" w:hAnsi="IRNazanin" w:eastAsia="IRNazanin"/>
          <w:color w:val="111111"/>
          <w:sz w:val="28"/>
          <w:sz w:val="28"/>
          <w:szCs w:val="28"/>
          <w:rtl w:val="true"/>
          <w:lang w:bidi="fa-IR"/>
        </w:rPr>
        <w:t xml:space="preserve">نظیر الکتابة التی هی </w:t>
      </w:r>
      <w:r>
        <w:rPr>
          <w:rStyle w:val="FootnoteAnchor"/>
          <w:rtl w:val="true"/>
        </w:rPr>
        <w:footnoteReference w:id="24"/>
      </w:r>
      <w:r>
        <w:rPr>
          <w:rFonts w:ascii="IRNazanin" w:hAnsi="IRNazanin" w:eastAsia="IRNazanin"/>
          <w:color w:val="111111"/>
          <w:sz w:val="28"/>
          <w:sz w:val="28"/>
          <w:szCs w:val="28"/>
          <w:rtl w:val="true"/>
          <w:lang w:bidi="fa-IR"/>
        </w:rPr>
        <w:t>علی وجه من وجوه الفساد تقویة و معونة لولاة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السکّین و السیف و الرمح و القوس و غیر ذلک من وجوه الآلات التی تصرف </w:t>
      </w:r>
      <w:r>
        <w:rPr>
          <w:rStyle w:val="FootnoteAnchor"/>
          <w:rtl w:val="true"/>
        </w:rPr>
        <w:footnoteReference w:id="25"/>
      </w:r>
      <w:r>
        <w:rPr>
          <w:rFonts w:ascii="IRNazanin" w:hAnsi="IRNazanin" w:eastAsia="IRNazanin"/>
          <w:color w:val="111111"/>
          <w:sz w:val="28"/>
          <w:sz w:val="28"/>
          <w:szCs w:val="28"/>
          <w:rtl w:val="true"/>
          <w:lang w:bidi="fa-IR"/>
        </w:rPr>
        <w:t xml:space="preserve">إلی وجوه </w:t>
      </w:r>
      <w:r>
        <w:rPr>
          <w:rStyle w:val="FootnoteAnchor"/>
          <w:rtl w:val="true"/>
        </w:rPr>
        <w:footnoteReference w:id="26"/>
      </w:r>
      <w:r>
        <w:rPr>
          <w:rFonts w:ascii="IRNazanin" w:hAnsi="IRNazanin" w:eastAsia="IRNazanin"/>
          <w:color w:val="111111"/>
          <w:sz w:val="28"/>
          <w:sz w:val="28"/>
          <w:szCs w:val="28"/>
          <w:rtl w:val="true"/>
          <w:lang w:bidi="fa-IR"/>
        </w:rPr>
        <w:t>الصلاح</w:t>
      </w:r>
    </w:p>
    <w:p>
      <w:pPr>
        <w:pStyle w:val="BookText"/>
        <w:rPr/>
      </w:pPr>
      <w:r>
        <w:rPr>
          <w:rFonts w:ascii="IRNazanin" w:hAnsi="IRNazanin" w:eastAsia="IRNazanin"/>
          <w:color w:val="111111"/>
          <w:sz w:val="28"/>
          <w:sz w:val="28"/>
          <w:szCs w:val="28"/>
          <w:rtl w:val="true"/>
          <w:lang w:bidi="fa-IR"/>
        </w:rPr>
        <w:t xml:space="preserve">و جهات الفساد،و تکون آلة و معونة علیهما </w:t>
      </w:r>
      <w:r>
        <w:rPr>
          <w:rStyle w:val="FootnoteAnchor"/>
          <w:rtl w:val="true"/>
        </w:rPr>
        <w:footnoteReference w:id="27"/>
      </w:r>
      <w:r>
        <w:rPr>
          <w:rFonts w:ascii="IRNazanin" w:hAnsi="IRNazanin" w:eastAsia="IRNazanin"/>
          <w:color w:val="111111"/>
          <w:sz w:val="28"/>
          <w:sz w:val="28"/>
          <w:szCs w:val="28"/>
          <w:rtl w:val="true"/>
          <w:lang w:bidi="fa-IR"/>
        </w:rPr>
        <w:t xml:space="preserve">فلا بأس بتعلیمه و تعلّمه و أخذ الأجر علیه و العمل به و فیه لمن کان له فیه جهات الصلاح من جمیع الخلائق،و محرّم علیهم تصریفه إلی جهات الفساد و المضارّ،فلیس علی العالم و لا المتعلّم إثم و لا وزر؛لما فیه من الرجحان فی منافع جهات صلاحهم و قوامهم و بقائهم،و إنّما الإثم و الوزر علی المتصرّف فیه </w:t>
      </w:r>
      <w:r>
        <w:rPr>
          <w:rStyle w:val="FootnoteAnchor"/>
          <w:rtl w:val="true"/>
        </w:rPr>
        <w:footnoteReference w:id="28"/>
      </w:r>
      <w:r>
        <w:rPr>
          <w:rFonts w:ascii="IRNazanin" w:hAnsi="IRNazanin" w:eastAsia="IRNazanin"/>
          <w:color w:val="111111"/>
          <w:sz w:val="28"/>
          <w:sz w:val="28"/>
          <w:szCs w:val="28"/>
          <w:rtl w:val="true"/>
          <w:lang w:bidi="fa-IR"/>
        </w:rPr>
        <w:t xml:space="preserve">فی جهات الفساد و الحرام؛و ذلک إنّما حرّم الله الصناعة التی هی حرام کلّها التی یجیء منها الفساد محضاً،نظیر البَرابِط و المزامیر و الشطرنج و کلّ ملهوٍّ به و الصلبان و الأصنام و ما أشبه ذلک من صناعات الأشربة الحرام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یکون منه و فیه الفساد محضاً و لا یکون منه و لا فیه شیء من وجوه الصلاح،فحرام تعلیمه و تعلّمه و العمل به و أخذ الأُجرة علیه و جمیع التقلّب فیه من جمیع وجوه الحرکات </w:t>
      </w:r>
      <w:r>
        <w:rPr>
          <w:rStyle w:val="FootnoteAnchor"/>
          <w:rtl w:val="true"/>
        </w:rPr>
        <w:footnoteReference w:id="30"/>
      </w:r>
      <w:r>
        <w:rPr>
          <w:rFonts w:ascii="IRNazanin" w:hAnsi="IRNazanin" w:eastAsia="IRNazanin"/>
          <w:color w:val="111111"/>
          <w:sz w:val="28"/>
          <w:sz w:val="28"/>
          <w:szCs w:val="28"/>
          <w:rtl w:val="true"/>
          <w:lang w:bidi="fa-IR"/>
        </w:rPr>
        <w:t xml:space="preserve">إلّا أن تکون صناعة قد تصرف إلی جهة المنافع </w:t>
      </w:r>
      <w:r>
        <w:rPr>
          <w:rStyle w:val="FootnoteAnchor"/>
          <w:rtl w:val="true"/>
        </w:rPr>
        <w:footnoteReference w:id="31"/>
      </w:r>
      <w:r>
        <w:rPr>
          <w:rFonts w:ascii="IRNazanin" w:hAnsi="IRNazanin" w:eastAsia="IRNazanin"/>
          <w:color w:val="111111"/>
          <w:sz w:val="28"/>
          <w:sz w:val="28"/>
          <w:szCs w:val="28"/>
          <w:rtl w:val="true"/>
          <w:lang w:bidi="fa-IR"/>
        </w:rPr>
        <w:t xml:space="preserve">،و إن کان قد یتصرّف فیها و یتناول بها وجه من وجوه المعاصی؛فلعلّة ما فیه </w:t>
      </w:r>
      <w:r>
        <w:rPr>
          <w:rStyle w:val="FootnoteAnchor"/>
          <w:rtl w:val="true"/>
        </w:rPr>
        <w:footnoteReference w:id="32"/>
      </w:r>
      <w:r>
        <w:rPr>
          <w:rFonts w:ascii="IRNazanin" w:hAnsi="IRNazanin" w:eastAsia="IRNazanin"/>
          <w:color w:val="111111"/>
          <w:sz w:val="28"/>
          <w:sz w:val="28"/>
          <w:szCs w:val="28"/>
          <w:rtl w:val="true"/>
          <w:lang w:bidi="fa-IR"/>
        </w:rPr>
        <w:t>من الصلاح حلّ تعلّمه و تعلیمه و العمل به،و یحرم علی من صرفه إلی غیر وجه الحقّ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تفسیر بیان وجوه اکتساب معایش العباد،و تعلیمهم </w:t>
      </w:r>
      <w:r>
        <w:rPr>
          <w:rStyle w:val="FootnoteAnchor"/>
          <w:rtl w:val="true"/>
        </w:rPr>
        <w:footnoteReference w:id="33"/>
      </w:r>
      <w:r>
        <w:rPr>
          <w:rFonts w:ascii="IRNazanin" w:hAnsi="IRNazanin" w:eastAsia="IRNazanin"/>
          <w:color w:val="111111"/>
          <w:sz w:val="28"/>
          <w:sz w:val="28"/>
          <w:szCs w:val="28"/>
          <w:rtl w:val="true"/>
          <w:lang w:bidi="fa-IR"/>
        </w:rPr>
        <w:t>فی وجوه اکتسابهم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حکاه غیر واحد </w:t>
      </w:r>
      <w:r>
        <w:rPr>
          <w:rStyle w:val="FootnoteAnchor"/>
          <w:rtl w:val="true"/>
        </w:rPr>
        <w:footnoteReference w:id="34"/>
      </w:r>
      <w:r>
        <w:rPr>
          <w:rFonts w:ascii="IRNazanin" w:hAnsi="IRNazanin" w:eastAsia="IRNazanin"/>
          <w:color w:val="111111"/>
          <w:sz w:val="28"/>
          <w:sz w:val="28"/>
          <w:szCs w:val="28"/>
          <w:rtl w:val="true"/>
          <w:lang w:bidi="fa-IR"/>
        </w:rPr>
        <w:t xml:space="preserve">عن رسالة المحکم و المتشابه </w:t>
      </w:r>
      <w:r>
        <w:rPr>
          <w:rStyle w:val="FootnoteAnchor"/>
          <w:rtl w:val="true"/>
        </w:rPr>
        <w:footnoteReference w:id="35"/>
      </w:r>
      <w:r>
        <w:rPr>
          <w:rFonts w:ascii="Amiri" w:hAnsi="Amiri" w:eastAsia="Amiri" w:cs="Amiri"/>
          <w:color w:val="111111"/>
          <w:sz w:val="28"/>
          <w:sz w:val="28"/>
          <w:szCs w:val="28"/>
          <w:rtl w:val="true"/>
          <w:lang w:bidi="ar-SA"/>
        </w:rPr>
        <w:t>للسیّد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الفقه المنسوب إلی مولانا الرضا 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رحمک </w:t>
      </w:r>
      <w:r>
        <w:rPr>
          <w:rStyle w:val="FootnoteAnchor"/>
          <w:rtl w:val="true"/>
        </w:rPr>
        <w:footnoteReference w:id="36"/>
      </w:r>
      <w:r>
        <w:rPr>
          <w:rFonts w:ascii="Amiri" w:hAnsi="Amiri" w:eastAsia="Amiri" w:cs="Amiri"/>
          <w:color w:val="111111"/>
          <w:sz w:val="28"/>
          <w:sz w:val="28"/>
          <w:szCs w:val="28"/>
          <w:rtl w:val="true"/>
          <w:lang w:bidi="ar-SA"/>
        </w:rPr>
        <w:t xml:space="preserve">اللّه أنّ کلّ </w:t>
      </w:r>
      <w:r>
        <w:rPr>
          <w:rStyle w:val="FootnoteAnchor"/>
          <w:rtl w:val="true"/>
        </w:rPr>
        <w:footnoteReference w:id="37"/>
      </w:r>
      <w:r>
        <w:rPr>
          <w:rFonts w:ascii="IRNazanin" w:hAnsi="IRNazanin" w:eastAsia="IRNazanin"/>
          <w:color w:val="111111"/>
          <w:sz w:val="28"/>
          <w:sz w:val="28"/>
          <w:szCs w:val="28"/>
          <w:rtl w:val="true"/>
          <w:lang w:bidi="fa-IR"/>
        </w:rPr>
        <w:t xml:space="preserve">مأمور به علی العباد </w:t>
      </w:r>
      <w:r>
        <w:rPr>
          <w:rStyle w:val="FootnoteAnchor"/>
          <w:rtl w:val="true"/>
        </w:rPr>
        <w:footnoteReference w:id="38"/>
      </w:r>
      <w:r>
        <w:rPr>
          <w:rFonts w:ascii="IRNazanin" w:hAnsi="IRNazanin" w:eastAsia="IRNazanin"/>
          <w:color w:val="111111"/>
          <w:sz w:val="28"/>
          <w:sz w:val="28"/>
          <w:szCs w:val="28"/>
          <w:rtl w:val="true"/>
          <w:lang w:bidi="fa-IR"/>
        </w:rPr>
        <w:t>و قوام لهم فی أُمورهم من وجوه الصلاح الذی لا یقیمهم غیره ممّا یأکلون و یشربون و یلبسون و ینکحون و یملکون و یستعملون فهذا کلّه حلال بیعه و شراؤه وهبته و عاریته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أمر یکون فیه الفساد ممّا قد نهی عنه من جهة أکله و شربه و لبسه و نکاحه و إمساکه بوجه الفساد،مثل المیتة و الدم و لحم الخنزیر و الربا و جمیع الفواحش و لحوم السباع و الخمر،و ما أشبه ذلک فحرام ضارٍّ للجسم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دعائم الإسلام للقاضی نعمان المصری عن مولانا</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الحلال من البیوع کلّ ما کان حلالاً من المأکول و المشروب و غیر ذلک ممّا هو قوام للناس و یباح لهم الانتفاع،و ما کان محرّماً أصله منهیّاً عنه لم یجز بیعه و لا شراؤه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النبویّ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ما تلوناه و جعلته فی بالک متدبّراً لمدلولاته،فنقول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جرت عادة غیر واحد علی تقسیم المکاسب إلی محرّم و مکروه و مباح،مُهمِلین للمستحبّ و الواجب؛بناءً علی عدم وجودهما فی المکاسب،مع إمکان التمثیل للمستحبّ بمثل الزراعة و الرعی ممّا ندب إلیه الشرع،و للواجب بالصناعة الواجبة کفایة،خصوصاً إذا تعذّر قیام الغیر به،فتأمّل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حرمة الاکتساب حرمة النقل و الانتقال بقصد ترتّب الأثر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حرمة أکل المال فی مقابلها،فهو متفرّع علی فساد البیع؛ لأنّه مال الغیر وقع فی یده بلا سبب شرعیّ و إن قلنا بعدم التحریم؛ لأنّ ظاهر أدلّة تحریم بیع مثل الخمر منصرف إلی ما لو أراد ترتیب الآثار المحرّمة،أمّا لو قصد الأثر المحلّل فلا دلیل علی تحریم المعاملة</w:t>
      </w:r>
    </w:p>
    <w:p>
      <w:pPr>
        <w:pStyle w:val="BookText"/>
        <w:rPr/>
      </w:pPr>
      <w:r>
        <w:rPr>
          <w:rFonts w:ascii="IRNazanin" w:hAnsi="IRNazanin" w:eastAsia="IRNazanin"/>
          <w:color w:val="111111"/>
          <w:sz w:val="28"/>
          <w:sz w:val="28"/>
          <w:szCs w:val="28"/>
          <w:rtl w:val="true"/>
          <w:lang w:bidi="fa-IR"/>
        </w:rPr>
        <w:t xml:space="preserve">إلّا من حیث التشریع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کان،فالاکتساب المحرّم أنواع،نذکر کلاّ منها فی طیّ مسائل</w:t>
      </w:r>
      <w:bookmarkStart w:id="12" w:name="pg19762_189265"/>
    </w:p>
    <w:p>
      <w:pPr>
        <w:pStyle w:val="Heading3"/>
        <w:numPr>
          <w:ilvl w:val="2"/>
          <w:numId w:val="1"/>
        </w:numPr>
        <w:rPr/>
      </w:pPr>
      <w:bookmarkStart w:id="13" w:name="__RefHeading___Toc5003444_2314609296"/>
      <w:bookmarkStart w:id="14" w:name="_Toc5"/>
      <w:bookmarkEnd w:id="12"/>
      <w:bookmarkEnd w:id="13"/>
      <w:r>
        <w:rPr>
          <w:rtl w:val="true"/>
        </w:rPr>
        <w:t>النوع الأوّل الاکتساب بالأعیان النجسة عدا ما استثنی</w:t>
      </w:r>
      <w:bookmarkEnd w:id="14"/>
    </w:p>
    <w:p>
      <w:pPr>
        <w:pStyle w:val="Heading4"/>
        <w:numPr>
          <w:ilvl w:val="3"/>
          <w:numId w:val="1"/>
        </w:numPr>
        <w:rPr/>
      </w:pPr>
      <w:bookmarkStart w:id="15" w:name="__RefHeading___Toc5003446_2314609296"/>
      <w:bookmarkStart w:id="16" w:name="_Toc6"/>
      <w:bookmarkEnd w:id="15"/>
      <w:r>
        <w:rPr>
          <w:rtl w:val="true"/>
        </w:rPr>
        <w:t>و فیه مسائل ثمان</w:t>
      </w:r>
      <w:r>
        <w:rPr>
          <w:rtl w:val="true"/>
        </w:rPr>
        <w:t>:</w:t>
      </w:r>
      <w:bookmarkEnd w:id="1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 w:name="__RefHeading___Toc5003448_2314609296"/>
      <w:bookmarkStart w:id="18" w:name="_Toc7"/>
      <w:bookmarkEnd w:id="17"/>
      <w:r>
        <w:rPr>
          <w:rtl w:val="true"/>
        </w:rPr>
        <w:t>اشاره</w:t>
      </w:r>
      <w:bookmarkStart w:id="19" w:name="pg19762_189267"/>
      <w:bookmarkEnd w:id="18"/>
    </w:p>
    <w:p>
      <w:pPr>
        <w:pStyle w:val="Heading5"/>
        <w:numPr>
          <w:ilvl w:val="4"/>
          <w:numId w:val="1"/>
        </w:numPr>
        <w:rPr/>
      </w:pPr>
      <w:bookmarkStart w:id="20" w:name="__RefHeading___Toc5003450_2314609296"/>
      <w:bookmarkStart w:id="21" w:name="_Toc8"/>
      <w:bookmarkEnd w:id="19"/>
      <w:bookmarkEnd w:id="20"/>
      <w:r>
        <w:rPr>
          <w:rtl w:val="true"/>
        </w:rPr>
        <w:t>المسألة الأُولی یحرم المعاوضة علی بول غیر مأکول اللحم</w:t>
      </w:r>
      <w:bookmarkEnd w:id="21"/>
    </w:p>
    <w:p>
      <w:pPr>
        <w:pStyle w:val="Heading6"/>
        <w:numPr>
          <w:ilvl w:val="5"/>
          <w:numId w:val="1"/>
        </w:numPr>
        <w:rPr/>
      </w:pPr>
      <w:bookmarkStart w:id="22" w:name="__RefHeading___Toc5003452_2314609296"/>
      <w:bookmarkStart w:id="23" w:name="_Toc9"/>
      <w:bookmarkEnd w:id="22"/>
      <w:r>
        <w:rPr>
          <w:rtl w:val="true"/>
        </w:rPr>
        <w:t>اشاره</w:t>
      </w:r>
      <w:bookmarkEnd w:id="23"/>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لحرمته،و نجاسته،و عدم الانتفاع به منفعة محلّلة مقصودة فیما عدا بعض أفراده،ک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الإبل الجلّالة أو الموطوءَة</w:t>
      </w:r>
      <w:r>
        <w:rPr>
          <w:rFonts w:eastAsia="IRNazanin" w:cs="IRNazanin"/>
          <w:color w:val="111111"/>
          <w:sz w:val="28"/>
          <w:szCs w:val="28"/>
          <w:rtl w:val="true"/>
          <w:lang w:bidi="fa-IR"/>
        </w:rPr>
        <w:t>».</w:t>
      </w:r>
    </w:p>
    <w:p>
      <w:pPr>
        <w:pStyle w:val="Heading6"/>
        <w:numPr>
          <w:ilvl w:val="5"/>
          <w:numId w:val="1"/>
        </w:numPr>
        <w:rPr/>
      </w:pPr>
      <w:bookmarkStart w:id="24" w:name="__RefHeading___Toc5003454_2314609296"/>
      <w:bookmarkStart w:id="25" w:name="_Toc10"/>
      <w:bookmarkEnd w:id="24"/>
      <w:r>
        <w:rPr>
          <w:rtl w:val="true"/>
        </w:rPr>
        <w:t>«</w:t>
      </w:r>
      <w:r>
        <w:rPr>
          <w:rtl w:val="true"/>
        </w:rPr>
        <w:t>فرعان</w:t>
      </w:r>
      <w:r>
        <w:rPr>
          <w:rtl w:val="true"/>
        </w:rPr>
        <w:t>»</w:t>
      </w:r>
      <w:bookmarkEnd w:id="25"/>
    </w:p>
    <w:p>
      <w:pPr>
        <w:pStyle w:val="Heading6"/>
        <w:numPr>
          <w:ilvl w:val="5"/>
          <w:numId w:val="1"/>
        </w:numPr>
        <w:rPr/>
      </w:pPr>
      <w:bookmarkStart w:id="26" w:name="__RefHeading___Toc5003456_2314609296"/>
      <w:bookmarkStart w:id="27" w:name="_Toc11"/>
      <w:bookmarkEnd w:id="26"/>
      <w:r>
        <w:rPr>
          <w:rtl w:val="true"/>
        </w:rPr>
        <w:t>الأوّل</w:t>
      </w:r>
      <w:r>
        <w:rPr>
          <w:rtl w:val="true"/>
        </w:rPr>
        <w:t>:</w:t>
      </w:r>
      <w:bookmarkEnd w:id="27"/>
    </w:p>
    <w:p>
      <w:pPr>
        <w:pStyle w:val="BookText"/>
        <w:rPr/>
      </w:pPr>
      <w:r>
        <w:rPr>
          <w:rFonts w:ascii="IRNazanin" w:hAnsi="IRNazanin" w:eastAsia="IRNazanin"/>
          <w:color w:val="111111"/>
          <w:sz w:val="28"/>
          <w:sz w:val="28"/>
          <w:szCs w:val="28"/>
          <w:rtl w:val="true"/>
          <w:lang w:bidi="fa-IR"/>
        </w:rPr>
        <w:t>ما عدا بول الإبل من أبوال ما یؤکل لحمه المحکوم بطهارتها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المشهور،إن قلنا بجواز شربها اختیاراً کما علیه جماعة من القدماء</w:t>
      </w:r>
    </w:p>
    <w:p>
      <w:pPr>
        <w:pStyle w:val="BookText"/>
        <w:rPr/>
      </w:pPr>
      <w:r>
        <w:rPr>
          <w:rFonts w:ascii="IRNazanin" w:hAnsi="IRNazanin" w:eastAsia="IRNazanin"/>
          <w:color w:val="111111"/>
          <w:sz w:val="28"/>
          <w:sz w:val="28"/>
          <w:szCs w:val="28"/>
          <w:rtl w:val="true"/>
          <w:lang w:bidi="fa-IR"/>
        </w:rPr>
        <w:t xml:space="preserve">و المتأخّرین </w:t>
      </w:r>
      <w:r>
        <w:rPr>
          <w:rStyle w:val="FootnoteAnchor"/>
          <w:rtl w:val="true"/>
        </w:rPr>
        <w:footnoteReference w:id="46"/>
      </w:r>
      <w:r>
        <w:rPr>
          <w:rFonts w:ascii="IRNazanin" w:hAnsi="IRNazanin" w:eastAsia="IRNazanin"/>
          <w:color w:val="111111"/>
          <w:sz w:val="28"/>
          <w:sz w:val="28"/>
          <w:szCs w:val="28"/>
          <w:rtl w:val="true"/>
          <w:lang w:bidi="fa-IR"/>
        </w:rPr>
        <w:t xml:space="preserve">،بل عن المرتضی دعوی الإجماع علیه </w:t>
      </w:r>
      <w:r>
        <w:rPr>
          <w:rStyle w:val="FootnoteAnchor"/>
          <w:rtl w:val="true"/>
        </w:rPr>
        <w:footnoteReference w:id="47"/>
      </w:r>
      <w:r>
        <w:rPr>
          <w:rFonts w:ascii="IRNazanin" w:hAnsi="IRNazanin" w:eastAsia="IRNazanin"/>
          <w:color w:val="111111"/>
          <w:sz w:val="28"/>
          <w:sz w:val="28"/>
          <w:szCs w:val="28"/>
          <w:rtl w:val="true"/>
          <w:lang w:bidi="fa-IR"/>
        </w:rPr>
        <w:t>فالظاهر جواز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بحرمة شربها کما هو مذهب جماعة أُخری </w:t>
      </w:r>
      <w:r>
        <w:rPr>
          <w:rStyle w:val="FootnoteAnchor"/>
          <w:rtl w:val="true"/>
        </w:rPr>
        <w:footnoteReference w:id="48"/>
      </w:r>
      <w:r>
        <w:rPr>
          <w:rFonts w:ascii="IRNazanin" w:hAnsi="IRNazanin" w:eastAsia="IRNazanin"/>
          <w:color w:val="111111"/>
          <w:sz w:val="28"/>
          <w:sz w:val="28"/>
          <w:szCs w:val="28"/>
          <w:rtl w:val="true"/>
          <w:lang w:bidi="fa-IR"/>
        </w:rPr>
        <w:t>لاستخباثها ففی جواز بیعها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عدم المنفعة المحلّلة المقصودة فیها،و المنفعة النادرة لو جوّزت المعاوضة لزم منه جواز معاوضة کلّ شیء،و التداوی بها لبعض الأوجاع لا یوجب قیاسها </w:t>
      </w:r>
      <w:r>
        <w:rPr>
          <w:rStyle w:val="FootnoteAnchor"/>
          <w:rtl w:val="true"/>
        </w:rPr>
        <w:footnoteReference w:id="49"/>
      </w:r>
      <w:r>
        <w:rPr>
          <w:rFonts w:ascii="IRNazanin" w:hAnsi="IRNazanin" w:eastAsia="IRNazanin"/>
          <w:color w:val="111111"/>
          <w:sz w:val="28"/>
          <w:sz w:val="28"/>
          <w:szCs w:val="28"/>
          <w:rtl w:val="true"/>
          <w:lang w:bidi="fa-IR"/>
        </w:rPr>
        <w:t>علی الأدویة و العقاقیر؛لأنّه یوجب قیاس کلّ شیء علیها،للانتفاع به فی بعض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المنفعة الظاهرة و لو عند الضرورة المسوّغة للشرب کافیة فی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بینها و بین ذی المنفعة الغیر المقصودة حکم العرف بأنّه لا منفعة فیه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سیجیء الکلام فی ضابطة المنفعة المسوّغة للبیع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و کذلک الخبر المتقدّم عن دعائم الإسلام یدلّ علی أنّ ضابطة المنع تحریم الشیء اختیاراً،و إلّا فلا حرام إلّا و هو محلّل عند الضرورة،و المفروض حرمة شرب الأبوال اختیاراً،و المنافع الأُخر غیر الشرب لا یعبأ بها جدّاً،فلا ینتقض بالطین المحرّم أکله؛فإنّ المنافع الأُخر للطین أهمّ و أعمّ من منفعة الأکل المحرّم،بل لا یُعدّ الأکل من منافع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فالنبویّ دالّ علی أنّه إذا حرّم اللّه شیئاً بقولٍ مطلق بأن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یحرم الشیء الفلانی حَرُمَ بیعه؛لأنّ تحریم عینه إمّا راجع إلی تحریم جمیع منافعه،أو إلی تحریم أهمّ منافعه الذی </w:t>
      </w:r>
      <w:r>
        <w:rPr>
          <w:rStyle w:val="FootnoteAnchor"/>
          <w:rtl w:val="true"/>
        </w:rPr>
        <w:footnoteReference w:id="51"/>
      </w:r>
      <w:r>
        <w:rPr>
          <w:rFonts w:ascii="IRNazanin" w:hAnsi="IRNazanin" w:eastAsia="IRNazanin"/>
          <w:color w:val="111111"/>
          <w:sz w:val="28"/>
          <w:sz w:val="28"/>
          <w:szCs w:val="28"/>
          <w:rtl w:val="true"/>
          <w:lang w:bidi="fa-IR"/>
        </w:rPr>
        <w:t>یتبادر عند الإطلاق، بحیث یکون غیره غیر مقصود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التقدیرین،یدخل الشیء لأجل ذلک فی ما لا ینتفع به منفعةً محلّلة مقصودة،و الطین لم یحرم کذلک،بل لم یحرم إلّا بعض منافعه الغیر المقصودة منه و هو الأکل بخلاف الأبوال فإنّها حرمت کذلک، فیکون التحریم راجعاً إلی شربها،و غیره من المنافع فی حکم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بالجملة،فالانتفاع بالشیء حال الضرورة منفعة محرّمة فی حال الاختیار لا یوجب جواز بیعه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ینتقض أیضاً بالأدویة المحرّمة فی غیر حال المرض لأجل الإضرار؛لأنّ حلّیّة هذه فی حال المرض لیست لأجل الضرورة،</w:t>
      </w:r>
    </w:p>
    <w:p>
      <w:pPr>
        <w:pStyle w:val="BookText"/>
        <w:rPr/>
      </w:pPr>
      <w:r>
        <w:rPr>
          <w:rFonts w:ascii="IRNazanin" w:hAnsi="IRNazanin" w:eastAsia="IRNazanin"/>
          <w:color w:val="111111"/>
          <w:sz w:val="28"/>
          <w:sz w:val="28"/>
          <w:szCs w:val="28"/>
          <w:rtl w:val="true"/>
          <w:lang w:bidi="fa-IR"/>
        </w:rPr>
        <w:t>بل لأجل تبدّل عنوان الإضرار بعنوان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قوله علیه السلام فی روایة تحف العقول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شیء یکون لهم </w:t>
      </w:r>
      <w:r>
        <w:rPr>
          <w:rStyle w:val="FootnoteAnchor"/>
          <w:rtl w:val="true"/>
        </w:rPr>
        <w:footnoteReference w:id="52"/>
      </w:r>
      <w:r>
        <w:rPr>
          <w:rFonts w:ascii="IRNazanin" w:hAnsi="IRNazanin" w:eastAsia="IRNazanin"/>
          <w:color w:val="111111"/>
          <w:sz w:val="28"/>
          <w:sz w:val="28"/>
          <w:szCs w:val="28"/>
          <w:rtl w:val="true"/>
          <w:lang w:bidi="fa-IR"/>
        </w:rPr>
        <w:t>فیه الصلاح من جهة من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جهة الصلاح الثابتة حال الاختیار دون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حرمة بیع لحوم السباع دون شحومها؛فإنّ الأوّل من قبیل الأبوال،و الثانی من قبیل الطین فی عدم حرمة جمیع منافعها المقصودة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الیهود،حُرّمت علیهم الشحوم فباعوها و أکلوا ثمنها</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لأنّ الظاهر أنّ الشحوم کانت محرّمة الانتفاع علی الیهود بجمیع الانتفاعات،لا کتحریم شحوم غیر مأکول اللحم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الموجود من النبویّ فی باب الأطعمة من الخلاف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أکل شیء حرّم ثمنه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مع </w:t>
      </w:r>
      <w:r>
        <w:rPr>
          <w:rStyle w:val="FootnoteAnchor"/>
          <w:rtl w:val="true"/>
        </w:rPr>
        <w:footnoteReference w:id="56"/>
      </w:r>
      <w:r>
        <w:rPr>
          <w:rFonts w:ascii="Amiri" w:hAnsi="Amiri" w:eastAsia="Amiri" w:cs="Amiri"/>
          <w:color w:val="111111"/>
          <w:sz w:val="28"/>
          <w:sz w:val="28"/>
          <w:szCs w:val="28"/>
          <w:rtl w:val="true"/>
          <w:lang w:bidi="ar-SA"/>
        </w:rPr>
        <w:t>ضعفه،و عدم الجابر له سنداً و دلالة؛</w:t>
      </w:r>
      <w:bookmarkStart w:id="28" w:name="pg19762_189271"/>
    </w:p>
    <w:p>
      <w:pPr>
        <w:pStyle w:val="BookText"/>
        <w:rPr/>
      </w:pPr>
      <w:bookmarkEnd w:id="28"/>
      <w:r>
        <w:rPr>
          <w:rFonts w:ascii="IRNazanin" w:hAnsi="IRNazanin" w:eastAsia="IRNazanin"/>
          <w:color w:val="111111"/>
          <w:sz w:val="28"/>
          <w:sz w:val="28"/>
          <w:szCs w:val="28"/>
          <w:rtl w:val="true"/>
          <w:lang w:bidi="fa-IR"/>
        </w:rPr>
        <w:t>لقصورها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بلزوم </w:t>
      </w:r>
      <w:r>
        <w:rPr>
          <w:rStyle w:val="FootnoteAnchor"/>
          <w:rtl w:val="true"/>
        </w:rPr>
        <w:footnoteReference w:id="57"/>
      </w:r>
      <w:r>
        <w:rPr>
          <w:rFonts w:ascii="IRNazanin" w:hAnsi="IRNazanin" w:eastAsia="IRNazanin"/>
          <w:color w:val="111111"/>
          <w:sz w:val="28"/>
          <w:sz w:val="28"/>
          <w:szCs w:val="28"/>
          <w:rtl w:val="true"/>
          <w:lang w:bidi="fa-IR"/>
        </w:rPr>
        <w:t xml:space="preserve">تخصیص الأکثر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 w:name="__RefHeading___Toc5003458_2314609296"/>
      <w:bookmarkStart w:id="30" w:name="_Toc12"/>
      <w:bookmarkEnd w:id="29"/>
      <w:r>
        <w:rPr>
          <w:rtl w:val="true"/>
        </w:rPr>
        <w:t>الثانی</w:t>
      </w:r>
      <w:r>
        <w:rPr>
          <w:rtl w:val="true"/>
        </w:rPr>
        <w:t>:</w:t>
      </w:r>
      <w:bookmarkEnd w:id="30"/>
    </w:p>
    <w:p>
      <w:pPr>
        <w:pStyle w:val="BookText"/>
        <w:rPr/>
      </w:pPr>
      <w:r>
        <w:rPr>
          <w:rFonts w:ascii="IRNazanin" w:hAnsi="IRNazanin" w:eastAsia="IRNazanin"/>
          <w:color w:val="111111"/>
          <w:sz w:val="28"/>
          <w:sz w:val="28"/>
          <w:szCs w:val="28"/>
          <w:rtl w:val="true"/>
          <w:lang w:bidi="fa-IR"/>
        </w:rPr>
        <w:t>بول الإبل یجوز بیعه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علی ما فی جامع المقاصد </w:t>
      </w:r>
      <w:r>
        <w:rPr>
          <w:rStyle w:val="FootnoteAnchor"/>
          <w:rtl w:val="true"/>
        </w:rPr>
        <w:footnoteReference w:id="59"/>
      </w:r>
      <w:r>
        <w:rPr>
          <w:rFonts w:ascii="IRNazanin" w:hAnsi="IRNazanin" w:eastAsia="IRNazanin"/>
          <w:color w:val="111111"/>
          <w:sz w:val="28"/>
          <w:sz w:val="28"/>
          <w:szCs w:val="28"/>
          <w:rtl w:val="true"/>
          <w:lang w:bidi="fa-IR"/>
        </w:rPr>
        <w:t xml:space="preserve">و عن إیضاح النافع </w:t>
      </w:r>
      <w:r>
        <w:rPr>
          <w:rStyle w:val="FootnoteAnchor"/>
          <w:rtl w:val="true"/>
        </w:rPr>
        <w:footnoteReference w:id="60"/>
      </w:r>
      <w:r>
        <w:rPr>
          <w:rFonts w:ascii="IRNazanin" w:hAnsi="IRNazanin" w:eastAsia="IRNazanin"/>
          <w:color w:val="111111"/>
          <w:sz w:val="28"/>
          <w:sz w:val="28"/>
          <w:szCs w:val="28"/>
          <w:rtl w:val="true"/>
          <w:lang w:bidi="fa-IR"/>
        </w:rPr>
        <w:t>أمّا لجواز شربه اختیاراً،کما یدلّ علیه قوله علیه السلام فی روایة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 الإبل خیرٌ من ألبانها</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إمّا لأجل الإجماع المنقول،لو قلنا بعدم جواز شربها إلّا لضرورة الاستشفاء،کما یدلّ علیه روایة سماعة،قال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بول الإبل و البقر و الغنم ینتفع به من الوجع،هل یجوز أن یشرب؟قال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عمّار،عن بول البقر یشربه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محتاجاً إلیه یتداوی بشربه فلا بأس،و کذلک بول الإبل و الغنم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الإنصاف،أنّه لو قلنا بحرمة شربه اختیاراً أشکل الحکم بالجواز إن لم یکن إجماعیاً </w:t>
      </w:r>
      <w:r>
        <w:rPr>
          <w:rStyle w:val="FootnoteAnchor"/>
          <w:rtl w:val="true"/>
        </w:rPr>
        <w:footnoteReference w:id="64"/>
      </w:r>
      <w:r>
        <w:rPr>
          <w:rFonts w:ascii="IRNazanin" w:hAnsi="IRNazanin" w:eastAsia="IRNazanin"/>
          <w:color w:val="111111"/>
          <w:sz w:val="28"/>
          <w:sz w:val="28"/>
          <w:szCs w:val="28"/>
          <w:rtl w:val="true"/>
          <w:lang w:bidi="fa-IR"/>
        </w:rPr>
        <w:t xml:space="preserve">،کما یظهر من مخالفة العلّامة فی النهایة و ابن سعید فی النزهة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البول یعنی یحرم بیعه و إن کان طاهراً؛ للاستخباث،کأبوال البقر و الإبل و إن انتفع به فی شربه للدواء؛لأنّه منفعة جزئیة نادرة فلا یعتد به </w:t>
      </w:r>
      <w:r>
        <w:rPr>
          <w:rStyle w:val="FootnoteAnchor"/>
          <w:rtl w:val="true"/>
        </w:rPr>
        <w:footnoteReference w:id="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المنفعة المحلّلة للاضطرار و إن کانت کلّیة لا تسوّغ البیع،کما عرفت</w:t>
      </w:r>
      <w:r>
        <w:rPr>
          <w:rFonts w:eastAsia="IRNazanin" w:cs="IRNazanin"/>
          <w:color w:val="111111"/>
          <w:sz w:val="28"/>
          <w:szCs w:val="28"/>
          <w:rtl w:val="true"/>
          <w:lang w:bidi="fa-IR"/>
        </w:rPr>
        <w:t>.</w:t>
      </w:r>
      <w:bookmarkStart w:id="31" w:name="pg19762_189273"/>
    </w:p>
    <w:p>
      <w:pPr>
        <w:pStyle w:val="BookText"/>
        <w:rPr/>
      </w:pPr>
      <w:bookmarkEnd w:id="31"/>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5003460_2314609296"/>
      <w:bookmarkStart w:id="33" w:name="_Toc13"/>
      <w:bookmarkEnd w:id="32"/>
      <w:r>
        <w:rPr>
          <w:rtl w:val="true"/>
        </w:rPr>
        <w:t>المسألة</w:t>
      </w:r>
      <w:r>
        <w:rPr>
          <w:rtl w:val="true"/>
        </w:rPr>
        <w:t>]</w:t>
      </w:r>
      <w:r>
        <w:rPr>
          <w:rtl w:val="true"/>
        </w:rPr>
        <w:t>الثانیة یحرم بیع العذرة النجسة</w:t>
      </w:r>
      <w:bookmarkEnd w:id="33"/>
    </w:p>
    <w:p>
      <w:pPr>
        <w:pStyle w:val="Heading6"/>
        <w:numPr>
          <w:ilvl w:val="5"/>
          <w:numId w:val="1"/>
        </w:numPr>
        <w:rPr/>
      </w:pPr>
      <w:bookmarkStart w:id="34" w:name="__RefHeading___Toc5003462_2314609296"/>
      <w:bookmarkStart w:id="35" w:name="_Toc14"/>
      <w:bookmarkEnd w:id="34"/>
      <w:r>
        <w:rPr>
          <w:rtl w:val="true"/>
        </w:rPr>
        <w:t>اشاره</w:t>
      </w:r>
      <w:bookmarkEnd w:id="35"/>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حیوان علی المشهور،بل فی التذکرة کما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تحریم بیع السرجین النجس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مضافاً إلی ما تقدم من الأخبار روایة یعقوب ابن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العذرة من السحت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نعم،فی روایة محمد بن المضارب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الشیخ بینهما بحمل الأوّل علی عذرة الإنسان،و الثانی علی عذرة البهائم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لأنّ الأوّل نصّ فی عذرة الإنسان ظاهر فی غیرها،بعکس الخبر الثانی،فیطرح ظاهر کلّ منهما بنصّ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هذا الجمع روایة سماعة،قال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و أنا حاضر عن بیع العذرة،فقال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أبیع العذرة،فما تقول؟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بیعها و ثمنها،و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الجمع بین الحکمَین فی کلام واحد لمخاطب واحد یدلّ علی أنّ تعارض الأوّلین لیس إلّا من حیث الدلالة،فلا یرجع فیه إلی المرجّحات السندیّة أو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یدفع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العلاج فی الخبرین المتنافیین علی وجه التباین الکلّی هو الرجوع إلی المرجّحات الخارجیة،ثمّ التخییر أو التوقّف، لا إلغاء ظهور کلّ منهما،و لهذا طعن علی من جمع بین الأمر و النهی بحمل الأمر علی الإباحة و النهی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السبزواری حمل خبر المنع علی الکراهة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 من البُعد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أبعد منه ما عن المجلسی من احتمال حمل خبر المنع علی بلاد لا ینتفع به،و الجواز علی غیرها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حمل خبر المنع </w:t>
      </w:r>
      <w:r>
        <w:rPr>
          <w:rStyle w:val="FootnoteAnchor"/>
          <w:rtl w:val="true"/>
        </w:rPr>
        <w:footnoteReference w:id="77"/>
      </w:r>
      <w:r>
        <w:rPr>
          <w:rFonts w:ascii="IRNazanin" w:hAnsi="IRNazanin" w:eastAsia="IRNazanin"/>
          <w:color w:val="111111"/>
          <w:sz w:val="28"/>
          <w:sz w:val="28"/>
          <w:szCs w:val="28"/>
          <w:rtl w:val="true"/>
          <w:lang w:bidi="fa-IR"/>
        </w:rPr>
        <w:t xml:space="preserve">علی التقیّة؛لکونه مذهب أکثر العامّة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الأظهر ما ذکره الشیخ رحمه اللّه </w:t>
      </w:r>
      <w:r>
        <w:rPr>
          <w:rStyle w:val="FootnoteAnchor"/>
          <w:rtl w:val="true"/>
        </w:rPr>
        <w:footnoteReference w:id="79"/>
      </w:r>
      <w:r>
        <w:rPr>
          <w:rFonts w:ascii="IRNazanin" w:hAnsi="IRNazanin" w:eastAsia="IRNazanin"/>
          <w:color w:val="111111"/>
          <w:sz w:val="28"/>
          <w:sz w:val="28"/>
          <w:szCs w:val="28"/>
          <w:rtl w:val="true"/>
          <w:lang w:bidi="fa-IR"/>
        </w:rPr>
        <w:t>لو أُرید التبرّع بالحمل لکونه أولی من الطرح،و إلّا فروایة الجواز لا یجوز الأخذ بها من وجوه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الروایات،إن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ظاهر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حکی التصریح به عن بعض أهل اللغة </w:t>
      </w:r>
      <w:r>
        <w:rPr>
          <w:rStyle w:val="FootnoteAnchor"/>
          <w:rtl w:val="true"/>
        </w:rPr>
        <w:footnoteReference w:id="80"/>
      </w:r>
      <w:r>
        <w:rPr>
          <w:rFonts w:ascii="IRNazanin" w:hAnsi="IRNazanin" w:eastAsia="IRNazanin"/>
          <w:color w:val="111111"/>
          <w:sz w:val="28"/>
          <w:sz w:val="28"/>
          <w:szCs w:val="28"/>
          <w:rtl w:val="true"/>
          <w:lang w:bidi="fa-IR"/>
        </w:rPr>
        <w:t xml:space="preserve">فثبوت الحکم فی غیرها بالأخبار العامّة المتقدّمة،و بالإجماع المتقدّم </w:t>
      </w:r>
      <w:r>
        <w:rPr>
          <w:rStyle w:val="FootnoteAnchor"/>
          <w:rtl w:val="true"/>
        </w:rPr>
        <w:footnoteReference w:id="81"/>
      </w:r>
      <w:r>
        <w:rPr>
          <w:rFonts w:ascii="IRNazanin" w:hAnsi="IRNazanin" w:eastAsia="IRNazanin"/>
          <w:color w:val="111111"/>
          <w:sz w:val="28"/>
          <w:sz w:val="28"/>
          <w:szCs w:val="28"/>
          <w:rtl w:val="true"/>
          <w:lang w:bidi="fa-IR"/>
        </w:rPr>
        <w:t>علی السرجین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فی الکفایة </w:t>
      </w:r>
      <w:r>
        <w:rPr>
          <w:rStyle w:val="FootnoteAnchor"/>
          <w:rtl w:val="true"/>
        </w:rPr>
        <w:footnoteReference w:id="82"/>
      </w:r>
      <w:r>
        <w:rPr>
          <w:rFonts w:ascii="IRNazanin" w:hAnsi="IRNazanin" w:eastAsia="IRNazanin"/>
          <w:color w:val="111111"/>
          <w:sz w:val="28"/>
          <w:sz w:val="28"/>
          <w:szCs w:val="28"/>
          <w:rtl w:val="true"/>
          <w:lang w:bidi="fa-IR"/>
        </w:rPr>
        <w:t xml:space="preserve">فی الحکم تبعاً للمقدّس الأردبیلی رحمه اللّه </w:t>
      </w:r>
      <w:r>
        <w:rPr>
          <w:rStyle w:val="FootnoteAnchor"/>
          <w:rtl w:val="true"/>
        </w:rPr>
        <w:footnoteReference w:id="83"/>
      </w:r>
      <w:r>
        <w:rPr>
          <w:rFonts w:ascii="IRNazanin" w:hAnsi="IRNazanin" w:eastAsia="IRNazanin"/>
          <w:color w:val="111111"/>
          <w:sz w:val="28"/>
          <w:sz w:val="28"/>
          <w:szCs w:val="28"/>
          <w:rtl w:val="true"/>
          <w:lang w:bidi="fa-IR"/>
        </w:rPr>
        <w:t>إن لم یثبت الإجماع،و هو حسن،إلّا أنّ الإجماع المنقول هو الجابر لضعف سند الأخبار العامّة السابقة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یستظهر من عبارة الإستبصار القول بجواز بیع عذرة ما عدا الإنسان،لحملة أخبار المنع علی عذرة الإنسان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bookmarkStart w:id="36" w:name="pg19762_189276"/>
    </w:p>
    <w:p>
      <w:pPr>
        <w:pStyle w:val="Heading6"/>
        <w:numPr>
          <w:ilvl w:val="5"/>
          <w:numId w:val="1"/>
        </w:numPr>
        <w:rPr/>
      </w:pPr>
      <w:bookmarkStart w:id="37" w:name="__RefHeading___Toc5003464_2314609296"/>
      <w:bookmarkStart w:id="38" w:name="_Toc15"/>
      <w:bookmarkEnd w:id="36"/>
      <w:bookmarkEnd w:id="37"/>
      <w:r>
        <w:rPr>
          <w:rtl w:val="true"/>
        </w:rPr>
        <w:t>«</w:t>
      </w:r>
      <w:r>
        <w:rPr>
          <w:rtl w:val="true"/>
        </w:rPr>
        <w:t>فرع</w:t>
      </w:r>
      <w:r>
        <w:rPr>
          <w:rtl w:val="true"/>
        </w:rPr>
        <w:t xml:space="preserve">» </w:t>
      </w:r>
      <w:r>
        <w:rPr>
          <w:rtl w:val="true"/>
        </w:rPr>
        <w:t>الأقوی جواز بیع الأرواث الطاهرة التی ینتفع بها منفعة محلّلة مقصودة،</w:t>
      </w:r>
      <w:bookmarkEnd w:id="38"/>
    </w:p>
    <w:p>
      <w:pPr>
        <w:pStyle w:val="BookText"/>
        <w:rPr/>
      </w:pPr>
      <w:r>
        <w:rPr>
          <w:rFonts w:ascii="IRNazanin" w:hAnsi="IRNazanin" w:eastAsia="IRNazanin"/>
          <w:color w:val="111111"/>
          <w:sz w:val="28"/>
          <w:sz w:val="28"/>
          <w:szCs w:val="28"/>
          <w:rtl w:val="true"/>
          <w:lang w:bidi="fa-IR"/>
        </w:rPr>
        <w:t>و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الخلاف فیه </w:t>
      </w:r>
      <w:r>
        <w:rPr>
          <w:rStyle w:val="FootnoteAnchor"/>
          <w:rtl w:val="true"/>
        </w:rPr>
        <w:footnoteReference w:id="85"/>
      </w:r>
      <w:r>
        <w:rPr>
          <w:rFonts w:ascii="IRNazanin" w:hAnsi="IRNazanin" w:eastAsia="IRNazanin"/>
          <w:color w:val="111111"/>
          <w:sz w:val="28"/>
          <w:sz w:val="28"/>
          <w:szCs w:val="28"/>
          <w:rtl w:val="true"/>
          <w:lang w:bidi="fa-IR"/>
        </w:rPr>
        <w:t xml:space="preserve">،و حکی أیضاً عن المرتضی رحمه اللّه الإجماع علیه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بیع العذرة و الأبوال کلّها إلّا بول الإبل </w:t>
      </w:r>
      <w:r>
        <w:rPr>
          <w:rStyle w:val="FootnoteAnchor"/>
          <w:rtl w:val="true"/>
        </w:rPr>
        <w:footnoteReference w:id="87"/>
      </w:r>
      <w:r>
        <w:rPr>
          <w:rFonts w:ascii="Amiri" w:hAnsi="Amiri" w:eastAsia="Amiri" w:cs="Amiri"/>
          <w:color w:val="111111"/>
          <w:sz w:val="28"/>
          <w:sz w:val="28"/>
          <w:szCs w:val="28"/>
          <w:rtl w:val="true"/>
          <w:lang w:bidi="ar-SA"/>
        </w:rPr>
        <w:t xml:space="preserve">، و حکی عن سلّار أیضاً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أعرف مستنداً لذلک إلّا دعوی أنّ تحریم الخبائث فی قوله تعالی وَ یُحَرِّمُ عَلَیْهِمُ الْخَبٰائِثَ </w:t>
      </w:r>
      <w:r>
        <w:rPr>
          <w:rStyle w:val="FootnoteAnchor"/>
          <w:rtl w:val="true"/>
        </w:rPr>
        <w:footnoteReference w:id="89"/>
      </w:r>
      <w:r>
        <w:rPr>
          <w:rFonts w:ascii="IRNazanin" w:hAnsi="IRNazanin" w:eastAsia="IRNazanin"/>
          <w:color w:val="111111"/>
          <w:sz w:val="28"/>
          <w:sz w:val="28"/>
          <w:szCs w:val="28"/>
          <w:rtl w:val="true"/>
          <w:lang w:bidi="fa-IR"/>
        </w:rPr>
        <w:t>یشمل تحریم بیعها،و قوله علیه الصلاة 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ما تقدّم من روایة دعائم الإسلام </w:t>
      </w:r>
      <w:r>
        <w:rPr>
          <w:rStyle w:val="FootnoteAnchor"/>
          <w:rtl w:val="true"/>
        </w:rPr>
        <w:footnoteReference w:id="9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 علی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بقرینة مقابلته لقوله تعالی یُحِلُّ لَهُمُ الطَّیِّبٰاتِ الأکل،لا مطلق الانتفاع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النبویّ و غیره ما عرفت من أنّ الموجب لحرمة الثمن حرمة عین الشیء،بحیث یدلّ علی تحریم جمیع منافعه أو المنافع المقصودة الغالبة،و منفعة الروث لیست هی الأکل المحرّم فهو کالطین المحرّم، کما عرفت سابقاً</w:t>
      </w:r>
      <w:r>
        <w:rPr>
          <w:rFonts w:eastAsia="IRNazanin" w:cs="IRNazanin"/>
          <w:color w:val="111111"/>
          <w:sz w:val="28"/>
          <w:szCs w:val="28"/>
          <w:rtl w:val="true"/>
          <w:lang w:bidi="fa-IR"/>
        </w:rPr>
        <w:t>.</w:t>
      </w:r>
      <w:bookmarkStart w:id="39" w:name="pg19762_189277"/>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5003466_2314609296"/>
      <w:bookmarkStart w:id="41" w:name="_Toc16"/>
      <w:bookmarkEnd w:id="40"/>
      <w:r>
        <w:rPr>
          <w:rtl w:val="true"/>
        </w:rPr>
        <w:t>المسألة</w:t>
      </w:r>
      <w:r>
        <w:rPr>
          <w:rtl w:val="true"/>
        </w:rPr>
        <w:t>]</w:t>
      </w:r>
      <w:r>
        <w:rPr>
          <w:rtl w:val="true"/>
        </w:rPr>
        <w:t>الثالثة یحرم المعاوضة علی الدم بلا خلاف،</w:t>
      </w:r>
      <w:bookmarkEnd w:id="41"/>
    </w:p>
    <w:p>
      <w:pPr>
        <w:pStyle w:val="Heading6"/>
        <w:numPr>
          <w:ilvl w:val="5"/>
          <w:numId w:val="1"/>
        </w:numPr>
        <w:rPr/>
      </w:pPr>
      <w:bookmarkStart w:id="42" w:name="__RefHeading___Toc5003468_2314609296"/>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بل عن النهایة و شرح الإرشاد لفخر الدین و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92"/>
      </w:r>
      <w:r>
        <w:rPr>
          <w:rFonts w:ascii="IRNazanin" w:hAnsi="IRNazanin" w:eastAsia="IRNazanin"/>
          <w:color w:val="111111"/>
          <w:sz w:val="28"/>
          <w:sz w:val="28"/>
          <w:szCs w:val="28"/>
          <w:rtl w:val="true"/>
          <w:lang w:bidi="fa-IR"/>
        </w:rPr>
        <w:t xml:space="preserve">،و یدلّ علیه الأخبار السابقة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5003470_2314609296"/>
      <w:bookmarkStart w:id="45" w:name="_Toc18"/>
      <w:bookmarkEnd w:id="44"/>
      <w:r>
        <w:rPr>
          <w:rtl w:val="true"/>
        </w:rPr>
        <w:t>«</w:t>
      </w:r>
      <w:r>
        <w:rPr>
          <w:rtl w:val="true"/>
        </w:rPr>
        <w:t>فرع</w:t>
      </w:r>
      <w:r>
        <w:rPr>
          <w:rtl w:val="true"/>
        </w:rPr>
        <w:t xml:space="preserve">» </w:t>
      </w:r>
      <w:r>
        <w:rPr>
          <w:rtl w:val="true"/>
        </w:rPr>
        <w:t>و أمّا الدم الطاهر إذا فرضت له منفعة محلّلة کالصبغ لو قلنا بجوازه</w:t>
      </w:r>
      <w:bookmarkEnd w:id="45"/>
    </w:p>
    <w:p>
      <w:pPr>
        <w:pStyle w:val="BookText"/>
        <w:rPr/>
      </w:pPr>
      <w:r>
        <w:rPr>
          <w:rFonts w:ascii="IRNazanin" w:hAnsi="IRNazanin" w:eastAsia="IRNazanin"/>
          <w:color w:val="111111"/>
          <w:sz w:val="28"/>
          <w:sz w:val="28"/>
          <w:szCs w:val="28"/>
          <w:rtl w:val="true"/>
          <w:lang w:bidi="fa-IR"/>
        </w:rPr>
        <w:t>ففی جواز بیعه وجهان،أقواهما الجواز؛لأنّها عین طاهرة ینتفع بها منفعة محلّلة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مرفوعة الواسطی </w:t>
      </w:r>
      <w:r>
        <w:rPr>
          <w:rStyle w:val="FootnoteAnchor"/>
          <w:rtl w:val="true"/>
        </w:rPr>
        <w:footnoteReference w:id="94"/>
      </w:r>
      <w:r>
        <w:rPr>
          <w:rFonts w:ascii="IRNazanin" w:hAnsi="IRNazanin" w:eastAsia="IRNazanin"/>
          <w:color w:val="111111"/>
          <w:sz w:val="28"/>
          <w:sz w:val="28"/>
          <w:szCs w:val="28"/>
          <w:rtl w:val="true"/>
          <w:lang w:bidi="fa-IR"/>
        </w:rPr>
        <w:t>المتضمّنة لمرور أمیر المؤمنین علیه السلام</w:t>
      </w:r>
    </w:p>
    <w:p>
      <w:pPr>
        <w:pStyle w:val="BookText"/>
        <w:rPr/>
      </w:pPr>
      <w:r>
        <w:rPr>
          <w:rFonts w:ascii="IRNazanin" w:hAnsi="IRNazanin" w:eastAsia="IRNazanin"/>
          <w:color w:val="111111"/>
          <w:sz w:val="28"/>
          <w:sz w:val="28"/>
          <w:szCs w:val="28"/>
          <w:rtl w:val="true"/>
          <w:lang w:bidi="fa-IR"/>
        </w:rPr>
        <w:t>بالقصّابین و نهیهم عن بیع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الدم،و الغدد،و آذان الفؤاد، و الطحال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آخرها،فالظاهر إرادة حرمة البیع للأکل،و لا شکّ فی تحریمه؛لما سیجیء من أنّ قصد المنفعة المحرّمة فی المبیع موجب لحرمة البیع،بل بطلانه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فی التذکرة بعدم جواز بیع الدم الطاهر؛لاستخباثه </w:t>
      </w:r>
      <w:r>
        <w:rPr>
          <w:rStyle w:val="FootnoteAnchor"/>
          <w:rtl w:val="true"/>
        </w:rPr>
        <w:footnoteReference w:id="95"/>
      </w:r>
      <w:r>
        <w:rPr>
          <w:rFonts w:ascii="IRNazanin" w:hAnsi="IRNazanin" w:eastAsia="IRNazanin"/>
          <w:color w:val="111111"/>
          <w:sz w:val="28"/>
          <w:sz w:val="28"/>
          <w:szCs w:val="28"/>
          <w:rtl w:val="true"/>
          <w:lang w:bidi="fa-IR"/>
        </w:rPr>
        <w:t>، و لعلّه لعدم المنفعة الظاهرة فیه غیر الأکل المحرّم</w:t>
      </w:r>
      <w:r>
        <w:rPr>
          <w:rFonts w:eastAsia="IRNazanin" w:cs="IRNazanin"/>
          <w:color w:val="111111"/>
          <w:sz w:val="28"/>
          <w:szCs w:val="28"/>
          <w:rtl w:val="true"/>
          <w:lang w:bidi="fa-IR"/>
        </w:rPr>
        <w:t>.</w:t>
      </w:r>
      <w:bookmarkStart w:id="46" w:name="pg19762_189279"/>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5003472_2314609296"/>
      <w:bookmarkStart w:id="48" w:name="_Toc19"/>
      <w:bookmarkEnd w:id="47"/>
      <w:r>
        <w:rPr>
          <w:rtl w:val="true"/>
        </w:rPr>
        <w:t>المسألة</w:t>
      </w:r>
      <w:r>
        <w:rPr>
          <w:rtl w:val="true"/>
        </w:rPr>
        <w:t>]</w:t>
      </w:r>
      <w:r>
        <w:rPr>
          <w:rtl w:val="true"/>
        </w:rPr>
        <w:t>الرابعة لا إشکال فی حرمة بیع المنی؛لنجاسته،</w:t>
      </w:r>
      <w:bookmarkEnd w:id="48"/>
    </w:p>
    <w:p>
      <w:pPr>
        <w:pStyle w:val="BookText"/>
        <w:rPr/>
      </w:pPr>
      <w:r>
        <w:rPr>
          <w:rFonts w:ascii="IRNazanin" w:hAnsi="IRNazanin" w:eastAsia="IRNazanin"/>
          <w:color w:val="111111"/>
          <w:sz w:val="28"/>
          <w:sz w:val="28"/>
          <w:szCs w:val="28"/>
          <w:rtl w:val="true"/>
          <w:lang w:bidi="fa-IR"/>
        </w:rPr>
        <w:t>و عدم الانتفاع به إذا وقع فی خارج الرحم،و لو وقع فیه فکذلک لا ینتفع به المشتری؛لأنّ الولد نماء الأُمّ فی الحیوانات عرفاً،و للأب فی الإنسان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الظاهر أنّ حکمهم بتبعیّة </w:t>
      </w:r>
      <w:r>
        <w:rPr>
          <w:rStyle w:val="FootnoteAnchor"/>
          <w:rtl w:val="true"/>
        </w:rPr>
        <w:footnoteReference w:id="96"/>
      </w:r>
      <w:r>
        <w:rPr>
          <w:rFonts w:ascii="IRNazanin" w:hAnsi="IRNazanin" w:eastAsia="IRNazanin"/>
          <w:color w:val="111111"/>
          <w:sz w:val="28"/>
          <w:sz w:val="28"/>
          <w:szCs w:val="28"/>
          <w:rtl w:val="true"/>
          <w:lang w:bidi="fa-IR"/>
        </w:rPr>
        <w:t>الاُمّ متفرّع علی عدم تملّک المنی، و إلّا لکان بمنزلة البذر المملوک یتبعه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فالمتعیّن التعلیل بالنجاسة،لکن قد منع بعض </w:t>
      </w:r>
      <w:r>
        <w:rPr>
          <w:rStyle w:val="FootnoteAnchor"/>
          <w:rtl w:val="true"/>
        </w:rPr>
        <w:footnoteReference w:id="97"/>
      </w:r>
      <w:r>
        <w:rPr>
          <w:rFonts w:ascii="IRNazanin" w:hAnsi="IRNazanin" w:eastAsia="IRNazanin"/>
          <w:color w:val="111111"/>
          <w:sz w:val="28"/>
          <w:sz w:val="28"/>
          <w:szCs w:val="28"/>
          <w:rtl w:val="true"/>
          <w:lang w:bidi="fa-IR"/>
        </w:rPr>
        <w:t xml:space="preserve">من نجاسته إذا دخل من </w:t>
      </w:r>
      <w:r>
        <w:rPr>
          <w:rStyle w:val="FootnoteAnchor"/>
          <w:rtl w:val="true"/>
        </w:rPr>
        <w:footnoteReference w:id="98"/>
      </w:r>
      <w:r>
        <w:rPr>
          <w:rFonts w:ascii="IRNazanin" w:hAnsi="IRNazanin" w:eastAsia="IRNazanin"/>
          <w:color w:val="111111"/>
          <w:sz w:val="28"/>
          <w:sz w:val="28"/>
          <w:szCs w:val="28"/>
          <w:rtl w:val="true"/>
          <w:lang w:bidi="fa-IR"/>
        </w:rPr>
        <w:t>الباطن إلیٰ الباطن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العلّامة من المحرّمات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عسیب الفحل</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هو ماؤه قبل الاستقرار فی الرحم،کما أنّ الملاقیح هو ماؤه بعد الاستقرار،</w:t>
      </w:r>
    </w:p>
    <w:p>
      <w:pPr>
        <w:pStyle w:val="BookText"/>
        <w:rPr/>
      </w:pPr>
      <w:r>
        <w:rPr>
          <w:rFonts w:ascii="IRNazanin" w:hAnsi="IRNazanin" w:eastAsia="IRNazanin"/>
          <w:color w:val="111111"/>
          <w:sz w:val="28"/>
          <w:sz w:val="28"/>
          <w:szCs w:val="28"/>
          <w:rtl w:val="true"/>
          <w:lang w:bidi="fa-IR"/>
        </w:rPr>
        <w:t xml:space="preserve">کما فی جامع المقاصد </w:t>
      </w:r>
      <w:r>
        <w:rPr>
          <w:rStyle w:val="FootnoteAnchor"/>
          <w:rtl w:val="true"/>
        </w:rPr>
        <w:footnoteReference w:id="100"/>
      </w:r>
      <w:r>
        <w:rPr>
          <w:rFonts w:ascii="IRNazanin" w:hAnsi="IRNazanin" w:eastAsia="IRNazanin"/>
          <w:color w:val="111111"/>
          <w:sz w:val="28"/>
          <w:sz w:val="28"/>
          <w:szCs w:val="28"/>
          <w:rtl w:val="true"/>
          <w:lang w:bidi="fa-IR"/>
        </w:rPr>
        <w:t xml:space="preserve">و عن غیره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علّل فی الغنیة بطلان بیع ما فی أصلاب الفحول بالجهالة و عدم القدرة علی التسلیم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49" w:name="pg19762_189281"/>
    </w:p>
    <w:p>
      <w:pPr>
        <w:pStyle w:val="BookText"/>
        <w:rPr/>
      </w:pPr>
      <w:bookmarkEnd w:id="49"/>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5003474_2314609296"/>
      <w:bookmarkStart w:id="51" w:name="_Toc20"/>
      <w:bookmarkEnd w:id="50"/>
      <w:r>
        <w:rPr>
          <w:rtl w:val="true"/>
        </w:rPr>
        <w:t>المسألة</w:t>
      </w:r>
      <w:r>
        <w:rPr>
          <w:rtl w:val="true"/>
        </w:rPr>
        <w:t>]</w:t>
      </w:r>
      <w:r>
        <w:rPr>
          <w:rtl w:val="true"/>
        </w:rPr>
        <w:t>الخامسة تحرم المعاوضة علی المیتة و أجزائها التی تحلّها الحیاة من ذی النفس السائلة</w:t>
      </w:r>
      <w:bookmarkEnd w:id="51"/>
    </w:p>
    <w:p>
      <w:pPr>
        <w:pStyle w:val="Heading6"/>
        <w:numPr>
          <w:ilvl w:val="5"/>
          <w:numId w:val="1"/>
        </w:numPr>
        <w:rPr/>
      </w:pPr>
      <w:bookmarkStart w:id="52" w:name="__RefHeading___Toc5003476_2314609296"/>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علی المعروف من مذهب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 کما عن المنتهی و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03"/>
      </w:r>
      <w:r>
        <w:rPr>
          <w:rFonts w:ascii="IRNazanin" w:hAnsi="IRNazanin" w:eastAsia="IRNazanin"/>
          <w:color w:val="111111"/>
          <w:sz w:val="28"/>
          <w:sz w:val="28"/>
          <w:szCs w:val="28"/>
          <w:rtl w:val="true"/>
          <w:lang w:bidi="fa-IR"/>
        </w:rPr>
        <w:t>،و عن رهن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عدم ملکیتها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مضافاً إلی ما تقدم من الأخبار </w:t>
      </w:r>
      <w:r>
        <w:rPr>
          <w:rStyle w:val="FootnoteAnchor"/>
          <w:rtl w:val="true"/>
        </w:rPr>
        <w:footnoteReference w:id="105"/>
      </w:r>
      <w:r>
        <w:rPr>
          <w:rFonts w:ascii="IRNazanin" w:hAnsi="IRNazanin" w:eastAsia="IRNazanin"/>
          <w:color w:val="111111"/>
          <w:sz w:val="28"/>
          <w:sz w:val="28"/>
          <w:szCs w:val="28"/>
          <w:rtl w:val="true"/>
          <w:lang w:bidi="fa-IR"/>
        </w:rPr>
        <w:t xml:space="preserve">ما دلّ علی أنّ المیتة لا ینتفع بها </w:t>
      </w:r>
      <w:r>
        <w:rPr>
          <w:rStyle w:val="FootnoteAnchor"/>
          <w:rtl w:val="true"/>
        </w:rPr>
        <w:footnoteReference w:id="106"/>
      </w:r>
      <w:r>
        <w:rPr>
          <w:rFonts w:ascii="IRNazanin" w:hAnsi="IRNazanin" w:eastAsia="IRNazanin"/>
          <w:color w:val="111111"/>
          <w:sz w:val="28"/>
          <w:sz w:val="28"/>
          <w:szCs w:val="28"/>
          <w:rtl w:val="true"/>
          <w:lang w:bidi="fa-IR"/>
        </w:rPr>
        <w:t>منضماً إلی اشتراط وجود المنفعة المباحة فی المبیع لئلّا یدخل فی عموم النهی عن أکل المال بالباطل،و خصوص عدّ ثمن</w:t>
      </w:r>
    </w:p>
    <w:p>
      <w:pPr>
        <w:pStyle w:val="BookText"/>
        <w:rPr/>
      </w:pPr>
      <w:r>
        <w:rPr>
          <w:rFonts w:ascii="IRNazanin" w:hAnsi="IRNazanin" w:eastAsia="IRNazanin"/>
          <w:color w:val="111111"/>
          <w:sz w:val="28"/>
          <w:sz w:val="28"/>
          <w:szCs w:val="28"/>
          <w:rtl w:val="true"/>
          <w:lang w:bidi="fa-IR"/>
        </w:rPr>
        <w:t xml:space="preserve">المیتة من السحت فی روایة السکونی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نعم،قد ورد بعض ما یظهر منه الجواز،مثل روایة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 اللّه فداک،إنّا نعمل السیوف،و لیست لنا معیشة و لا تجارة غیرها،و نحن مضطرّون إلیها،و إنّما غلافها </w:t>
      </w:r>
      <w:r>
        <w:rPr>
          <w:rStyle w:val="FootnoteAnchor"/>
          <w:rtl w:val="true"/>
        </w:rPr>
        <w:footnoteReference w:id="108"/>
      </w:r>
      <w:r>
        <w:rPr>
          <w:rFonts w:ascii="IRNazanin" w:hAnsi="IRNazanin" w:eastAsia="IRNazanin"/>
          <w:color w:val="111111"/>
          <w:sz w:val="28"/>
          <w:sz w:val="28"/>
          <w:szCs w:val="28"/>
          <w:rtl w:val="true"/>
          <w:lang w:bidi="fa-IR"/>
        </w:rPr>
        <w:t>من جلود المیتة من البغال و الحمیر الأهلیة،لا یجوز فی أعمالنا غیرها، فیحلّ لنا عملها و شراؤها و بیعها و مسّها بأیدینا و ثیابنا،و نحن نصلّی فی ثیابنا؟و نحن محتاجون إلی جوابک فی المسألة یا سیّدنا لضرورتنا إلیها،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ثوباً للصلاة</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نحوها روایة أُخری بهذا المضمون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قال فی الکفایة و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لا یخلو عن إشکال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السؤال عمل السیوف و بیعها و شراؤها، لا خصوص الغلاف مستقلا،و لا فی ضمن السیف علی أن یکون جزء من الثمن فی مقابل عین الجلد،فغایة ما یدلّ علیه جواز الانتفاع بجلد المیتة بجعله غمداً للسیف،و هو لا ینافی عدم جواز معاوضته بالمال؛ و لذا جوّز جماعة،منهم الفاضلان فی النافع و الإرشاد علی ما حکی</w:t>
      </w:r>
    </w:p>
    <w:p>
      <w:pPr>
        <w:pStyle w:val="BookText"/>
        <w:rPr/>
      </w:pPr>
      <w:r>
        <w:rPr>
          <w:rFonts w:ascii="IRNazanin" w:hAnsi="IRNazanin" w:eastAsia="IRNazanin"/>
          <w:color w:val="111111"/>
          <w:sz w:val="28"/>
          <w:sz w:val="28"/>
          <w:szCs w:val="28"/>
          <w:rtl w:val="true"/>
          <w:lang w:bidi="fa-IR"/>
        </w:rPr>
        <w:t xml:space="preserve">عنهما الاستقاء بجلد المیتة لغیر الصلاة و الشرب مع عدم قولهم بجواز بیعه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الجواب لا ظهور فیه فی الجواز،إلّا من حیث التقریر الغیر الظاهر فی الرضی،خصوصاً فی المکاتبات المحتملة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قلنا بجواز الانتفاع بجلد المیتة منفعة مقصودة کالاستقاء بها للبساتین و الزرع إذا فرض عدّه مالاً عرفاً فمجرّد النجاسة لا یصلح </w:t>
      </w:r>
      <w:r>
        <w:rPr>
          <w:rStyle w:val="FootnoteAnchor"/>
          <w:rtl w:val="true"/>
        </w:rPr>
        <w:footnoteReference w:id="113"/>
      </w:r>
      <w:r>
        <w:rPr>
          <w:rFonts w:ascii="IRNazanin" w:hAnsi="IRNazanin" w:eastAsia="IRNazanin"/>
          <w:color w:val="111111"/>
          <w:sz w:val="28"/>
          <w:sz w:val="28"/>
          <w:szCs w:val="28"/>
          <w:rtl w:val="true"/>
          <w:lang w:bidi="fa-IR"/>
        </w:rPr>
        <w:t xml:space="preserve">علّة لمنع البیع،لولا الإجماع علی حرمة بیع المیتة بقول مطلق </w:t>
      </w:r>
      <w:r>
        <w:rPr>
          <w:rStyle w:val="FootnoteAnchor"/>
          <w:rtl w:val="true"/>
        </w:rPr>
        <w:footnoteReference w:id="114"/>
      </w:r>
      <w:r>
        <w:rPr>
          <w:rFonts w:ascii="IRNazanin" w:hAnsi="IRNazanin" w:eastAsia="IRNazanin"/>
          <w:color w:val="111111"/>
          <w:sz w:val="28"/>
          <w:sz w:val="28"/>
          <w:szCs w:val="28"/>
          <w:rtl w:val="true"/>
          <w:lang w:bidi="fa-IR"/>
        </w:rPr>
        <w:t>لأنّ المانع حرمة الانتفاع فی المنافع المقصودة، لا مجرّد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الأدلّة حرمة الانتفاع بکلّ نجس،فإنّ هذا کلام آخر سیجیء بما فیه </w:t>
      </w:r>
      <w:r>
        <w:rPr>
          <w:rStyle w:val="FootnoteAnchor"/>
          <w:rtl w:val="true"/>
        </w:rPr>
        <w:footnoteReference w:id="115"/>
      </w:r>
      <w:r>
        <w:rPr>
          <w:rFonts w:ascii="IRNazanin" w:hAnsi="IRNazanin" w:eastAsia="IRNazanin"/>
          <w:color w:val="111111"/>
          <w:sz w:val="28"/>
          <w:sz w:val="28"/>
          <w:szCs w:val="28"/>
          <w:rtl w:val="true"/>
          <w:lang w:bidi="fa-IR"/>
        </w:rPr>
        <w:t>بعد ذکر حکم النجاسات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الدلیل الخاص علی جواز الانتفاع منفعة مقصودة بشیء من النجاسات فلا مانع من صحة بیعه؛لأنّ ما دلّ علی المنع عن بیع النجس من النصّ و الإجماع ظاهر فی کون المانع حرمة الانتفاع؛فإنّ روایة تحف العقول المتقدمة </w:t>
      </w:r>
      <w:r>
        <w:rPr>
          <w:rStyle w:val="FootnoteAnchor"/>
          <w:rtl w:val="true"/>
        </w:rPr>
        <w:footnoteReference w:id="116"/>
      </w:r>
      <w:r>
        <w:rPr>
          <w:rFonts w:ascii="Amiri" w:hAnsi="Amiri" w:eastAsia="Amiri" w:cs="Amiri"/>
          <w:color w:val="111111"/>
          <w:sz w:val="28"/>
          <w:sz w:val="28"/>
          <w:szCs w:val="28"/>
          <w:rtl w:val="true"/>
          <w:lang w:bidi="ar-SA"/>
        </w:rPr>
        <w:t>قد عُلِّل فیها المنع عن بیع</w:t>
      </w:r>
    </w:p>
    <w:p>
      <w:pPr>
        <w:pStyle w:val="BookText"/>
        <w:rPr/>
      </w:pPr>
      <w:r>
        <w:rPr>
          <w:rFonts w:ascii="IRNazanin" w:hAnsi="IRNazanin" w:eastAsia="IRNazanin"/>
          <w:color w:val="111111"/>
          <w:sz w:val="28"/>
          <w:sz w:val="28"/>
          <w:szCs w:val="28"/>
          <w:rtl w:val="true"/>
          <w:lang w:bidi="fa-IR"/>
        </w:rPr>
        <w:t>شیء من وجوه النجس بکونه منهیّاً عن أکله و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روایة دعائم الإسلام المتقدّمة أیضاً </w:t>
      </w:r>
      <w:r>
        <w:rPr>
          <w:rStyle w:val="FootnoteAnchor"/>
          <w:rtl w:val="true"/>
        </w:rPr>
        <w:footnoteReference w:id="117"/>
      </w:r>
      <w:r>
        <w:rPr>
          <w:rFonts w:ascii="IRNazanin" w:hAnsi="IRNazanin" w:eastAsia="IRNazanin"/>
          <w:color w:val="111111"/>
          <w:sz w:val="28"/>
          <w:sz w:val="28"/>
          <w:szCs w:val="28"/>
          <w:rtl w:val="true"/>
          <w:lang w:bidi="fa-IR"/>
        </w:rPr>
        <w:t>إناطة جواز البیع و عدمه بجواز الانتفاع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أدخل ابن زهرة فی الغنیة النجاسات فی ما لا یجوز بیعه من جهة عدم حِلِّ الانتفاع بها،و استدلّ أیضاً علی جواز بیع الزیت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النبیّ صلّی اللّه علیه و آله و سلم أذِنَ فی الاستصباح به تحت السماء </w:t>
      </w:r>
      <w:r>
        <w:rPr>
          <w:rStyle w:val="FootnoteAnchor"/>
          <w:rtl w:val="true"/>
        </w:rPr>
        <w:footnoteReference w:id="1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یدلُّ علی جواز بیعه لذلک </w:t>
      </w:r>
      <w:r>
        <w:rPr>
          <w:rStyle w:val="FootnoteAnchor"/>
          <w:rtl w:val="true"/>
        </w:rPr>
        <w:footnoteReference w:id="1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 أوّل کلامه و آخره أنّ المانع من البیع منحصر فی حرمة الانتفاع،و أنّه یجوز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ذکرناه عن الغنیة من الاستدلال،کلام الشیخ فی الخلاف فی باب البیع حیث ذکر النبوی الدالّ علی إذن النبیّ صلی اللّه علیه و آله و سلم فی الاستصباح،ثم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یدلّ علی جواز بیعه </w:t>
      </w:r>
      <w:r>
        <w:rPr>
          <w:rStyle w:val="FootnoteAnchor"/>
          <w:rtl w:val="true"/>
        </w:rPr>
        <w:footnoteReference w:id="1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فخر الدین فی شرح الإرشاد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الفاضل المقداد فی</w:t>
      </w:r>
    </w:p>
    <w:p>
      <w:pPr>
        <w:pStyle w:val="BookText"/>
        <w:rPr/>
      </w:pPr>
      <w:r>
        <w:rPr>
          <w:rFonts w:ascii="IRNazanin" w:hAnsi="IRNazanin" w:eastAsia="IRNazanin"/>
          <w:color w:val="111111"/>
          <w:sz w:val="28"/>
          <w:sz w:val="28"/>
          <w:szCs w:val="28"/>
          <w:rtl w:val="true"/>
          <w:lang w:bidi="fa-IR"/>
        </w:rPr>
        <w:t xml:space="preserve">التنقیح </w:t>
      </w:r>
      <w:r>
        <w:rPr>
          <w:rStyle w:val="FootnoteAnchor"/>
          <w:rtl w:val="true"/>
        </w:rPr>
        <w:footnoteReference w:id="122"/>
      </w:r>
      <w:r>
        <w:rPr>
          <w:rFonts w:ascii="IRNazanin" w:hAnsi="IRNazanin" w:eastAsia="IRNazanin"/>
          <w:color w:val="111111"/>
          <w:sz w:val="28"/>
          <w:sz w:val="28"/>
          <w:szCs w:val="28"/>
          <w:rtl w:val="true"/>
          <w:lang w:bidi="fa-IR"/>
        </w:rPr>
        <w:t>الاستدلال علی المنع عن بیع النجس بأنّه محرّم الانتفاع، و کلّ ما کان کذلک لا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نعم،ذکر فی التذکرة شرط الانتفاع و حلّیته </w:t>
      </w:r>
      <w:r>
        <w:rPr>
          <w:rStyle w:val="FootnoteAnchor"/>
          <w:rtl w:val="true"/>
        </w:rPr>
        <w:footnoteReference w:id="123"/>
      </w:r>
      <w:r>
        <w:rPr>
          <w:rFonts w:ascii="IRNazanin" w:hAnsi="IRNazanin" w:eastAsia="IRNazanin"/>
          <w:color w:val="111111"/>
          <w:sz w:val="28"/>
          <w:sz w:val="28"/>
          <w:szCs w:val="28"/>
          <w:rtl w:val="true"/>
          <w:lang w:bidi="fa-IR"/>
        </w:rPr>
        <w:t xml:space="preserve">بعد اشتراط الطهارة،و استدلّ للطهارة بما دلّ علی وجوب الاجتناب عن النجاسات و حرمة المیتة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الإنصاف،إمکان إرجاعه إلی ما ذکرنا </w:t>
      </w:r>
      <w:r>
        <w:rPr>
          <w:rStyle w:val="FootnoteAnchor"/>
          <w:rtl w:val="true"/>
        </w:rPr>
        <w:footnoteReference w:id="12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یؤیّده </w:t>
      </w:r>
      <w:r>
        <w:rPr>
          <w:rStyle w:val="FootnoteAnchor"/>
          <w:rtl w:val="true"/>
        </w:rPr>
        <w:footnoteReference w:id="126"/>
      </w:r>
      <w:r>
        <w:rPr>
          <w:rFonts w:ascii="IRNazanin" w:hAnsi="IRNazanin" w:eastAsia="IRNazanin"/>
          <w:color w:val="111111"/>
          <w:sz w:val="28"/>
          <w:sz w:val="28"/>
          <w:szCs w:val="28"/>
          <w:rtl w:val="true"/>
          <w:lang w:bidi="fa-IR"/>
        </w:rPr>
        <w:t xml:space="preserve">أنّهم أطبقوا علی بیع العبد الکافر و کلب الصید؛و علّله فی التذکرة بحلّ الانتفاع به،و ردّ من منع </w:t>
      </w:r>
      <w:r>
        <w:rPr>
          <w:rStyle w:val="FootnoteAnchor"/>
          <w:rtl w:val="true"/>
        </w:rPr>
        <w:footnoteReference w:id="127"/>
      </w:r>
      <w:r>
        <w:rPr>
          <w:rFonts w:ascii="IRNazanin" w:hAnsi="IRNazanin" w:eastAsia="IRNazanin"/>
          <w:color w:val="111111"/>
          <w:sz w:val="28"/>
          <w:sz w:val="28"/>
          <w:szCs w:val="28"/>
          <w:rtl w:val="true"/>
          <w:lang w:bidi="fa-IR"/>
        </w:rPr>
        <w:t xml:space="preserve">عن بیعه لنجاسته بأنّ النجاسة غیر مانعة،و تعدّی إلی کلب الحائط و الماشیة و الزرع؛لأنّ المقتضی و هو النفع موجود فیها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من قوّة جواز بیع جلد المیتة لو لا الإجماع إذا جوّزنا الانتفاع به فی الاستقاء،یظهر حکم جواز المعاوضة علی لبن الیهودیة المرضعة،بأن یجعل تمام الأُجرة أو بعضها فی مقابل اللبن،فإنّ نجاسته لا تمنع عن جواز المعاوضة علیه</w:t>
      </w:r>
      <w:r>
        <w:rPr>
          <w:rFonts w:eastAsia="IRNazanin" w:cs="IRNazanin"/>
          <w:color w:val="111111"/>
          <w:sz w:val="28"/>
          <w:szCs w:val="28"/>
          <w:rtl w:val="true"/>
          <w:lang w:bidi="fa-IR"/>
        </w:rPr>
        <w:t>.</w:t>
      </w:r>
      <w:bookmarkStart w:id="54" w:name="pg19762_189286"/>
    </w:p>
    <w:p>
      <w:pPr>
        <w:pStyle w:val="Heading6"/>
        <w:numPr>
          <w:ilvl w:val="5"/>
          <w:numId w:val="1"/>
        </w:numPr>
        <w:rPr/>
      </w:pPr>
      <w:bookmarkStart w:id="55" w:name="__RefHeading___Toc5003478_2314609296"/>
      <w:bookmarkStart w:id="56" w:name="_Toc22"/>
      <w:bookmarkEnd w:id="54"/>
      <w:bookmarkEnd w:id="55"/>
      <w:r>
        <w:rPr>
          <w:rtl w:val="true"/>
        </w:rPr>
        <w:t>«</w:t>
      </w:r>
      <w:r>
        <w:rPr>
          <w:rtl w:val="true"/>
        </w:rPr>
        <w:t>فرعان</w:t>
      </w:r>
      <w:r>
        <w:rPr>
          <w:rtl w:val="true"/>
        </w:rPr>
        <w:t>»</w:t>
      </w:r>
      <w:bookmarkEnd w:id="56"/>
    </w:p>
    <w:p>
      <w:pPr>
        <w:pStyle w:val="Heading6"/>
        <w:numPr>
          <w:ilvl w:val="5"/>
          <w:numId w:val="1"/>
        </w:numPr>
        <w:rPr/>
      </w:pPr>
      <w:bookmarkStart w:id="57" w:name="__RefHeading___Toc5003480_2314609296"/>
      <w:bookmarkStart w:id="58" w:name="_Toc23"/>
      <w:bookmarkEnd w:id="57"/>
      <w:r>
        <w:rPr>
          <w:rtl w:val="true"/>
        </w:rPr>
        <w:t>الأوّل</w:t>
      </w:r>
      <w:r>
        <w:rPr>
          <w:rtl w:val="true"/>
        </w:rPr>
        <w:t>:</w:t>
      </w:r>
      <w:bookmarkEnd w:id="58"/>
    </w:p>
    <w:p>
      <w:pPr>
        <w:pStyle w:val="BookText"/>
        <w:rPr/>
      </w:pPr>
      <w:r>
        <w:rPr>
          <w:rFonts w:ascii="IRNazanin" w:hAnsi="IRNazanin" w:eastAsia="IRNazanin"/>
          <w:color w:val="111111"/>
          <w:sz w:val="28"/>
          <w:sz w:val="28"/>
          <w:szCs w:val="28"/>
          <w:rtl w:val="true"/>
          <w:lang w:bidi="fa-IR"/>
        </w:rPr>
        <w:t>أنّه کما لا یجوز بیع المیتة منفردة،کذلک لا یجوز بیعها منضمّة إلی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باعهما </w:t>
      </w:r>
      <w:r>
        <w:rPr>
          <w:rStyle w:val="FootnoteAnchor"/>
          <w:rtl w:val="true"/>
        </w:rPr>
        <w:footnoteReference w:id="129"/>
      </w:r>
      <w:r>
        <w:rPr>
          <w:rFonts w:ascii="IRNazanin" w:hAnsi="IRNazanin" w:eastAsia="IRNazanin"/>
          <w:color w:val="111111"/>
          <w:sz w:val="28"/>
          <w:sz w:val="28"/>
          <w:szCs w:val="28"/>
          <w:rtl w:val="true"/>
          <w:lang w:bidi="fa-IR"/>
        </w:rPr>
        <w:t xml:space="preserve">،فإن کان المذکّی ممتازاً صحّ البیع فیه و بطل فی المیتة، کما سیجیء فی محلّه،و إن کان مشتبهاً بالمیتة لم یجز بیعه أیضاً؛ لأنّه لا ینتفع به منفعة محلّلة؛بناءً علی وجوب الاجتناب عن کلا المشتبهین،فهو فی حکم المیتة من حیث الانتفاع،فأکل المال بإزائه أکل للمال </w:t>
      </w:r>
      <w:r>
        <w:rPr>
          <w:rStyle w:val="FootnoteAnchor"/>
          <w:rtl w:val="true"/>
        </w:rPr>
        <w:footnoteReference w:id="130"/>
      </w:r>
      <w:r>
        <w:rPr>
          <w:rFonts w:ascii="IRNazanin" w:hAnsi="IRNazanin" w:eastAsia="IRNazanin"/>
          <w:color w:val="111111"/>
          <w:sz w:val="28"/>
          <w:sz w:val="28"/>
          <w:szCs w:val="28"/>
          <w:rtl w:val="true"/>
          <w:lang w:bidi="fa-IR"/>
        </w:rPr>
        <w:t>بالباطل،کما أنّ أکل کلٍّ من المشتبهین فی حکم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أنّه لا فرق فی المشتری بین الکافر المستحلّ للمیتة و غیره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صحیحة الحلبی و حسنته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اختلط المذکّی بالمیتة بیع ممّن یستحلّ المیتة</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حکی نحوهما عن کتاب علیّ بن جعفر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استوجه العمل بهذه الأخبار فی الکفایة </w:t>
      </w:r>
      <w:r>
        <w:rPr>
          <w:rStyle w:val="FootnoteAnchor"/>
          <w:rtl w:val="true"/>
        </w:rPr>
        <w:footnoteReference w:id="133"/>
      </w:r>
      <w:r>
        <w:rPr>
          <w:rFonts w:ascii="IRNazanin" w:hAnsi="IRNazanin" w:eastAsia="IRNazanin"/>
          <w:color w:val="111111"/>
          <w:sz w:val="28"/>
          <w:sz w:val="28"/>
          <w:szCs w:val="28"/>
          <w:rtl w:val="true"/>
          <w:lang w:bidi="fa-IR"/>
        </w:rPr>
        <w:t>،و هو مشکل،مع أنّ المرویّ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یرمی بها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جوّز بعضهم البیع بقصد بیع المذکّی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القصد لا ینفع بعد فرض عدم جواز الانتفاع بالمذکّی لأجل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بعدم وجوب الاجتناب فی الشبهة المحصورة و جواز ارتکاب أحدهما،جاز البیع بالقصد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ینبغی القول به فی المقام؛لأنّ الأصل فی کلّ واحد من المشتبهین عدم التذکیة،غایة الأمر العلم الإجمالی بتذکیة أحدهما،و هو غیر قادح فی العمل بالأصلین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یصحّ القول بجواز ارتکاب أحدهما فی المشتبهین إذا کان الأصل فی کلٍّ منهما الحِلُّ و علم إجمالاً بوجود الحرام،فقد یقال هنا بجواز ارتکاب أحدهما اتّکالاً علی أصالة الحِلّ،و عدم جواز ارتکاب الآخر بعد ذلک حذراً عن ارتکاب الحرام الواقعی،و إن کان هذا الکلام مخدوشاً فی هذا المقام أیضاً،لکنّ القول به ممکن هنا،بخلاف ما نحن فیه؛لما ذکرنا،فافهم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العلّامة حمل الخبرین علی جواز استنقاذ مال المستحلّ للمیتة بذلک برضاه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المستحلّ قد یکون ممّن لا یجوز الاستنقاذ منه إلّا بالأسباب الشرعیّة،کالذمّی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حملهما علی صورة قصد البائع المسلم أجزاءها التی لا تحلّها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الصوف و الشعر و العظم </w:t>
      </w:r>
      <w:r>
        <w:rPr>
          <w:rStyle w:val="FootnoteAnchor"/>
          <w:rtl w:val="true"/>
        </w:rPr>
        <w:footnoteReference w:id="137"/>
      </w:r>
      <w:r>
        <w:rPr>
          <w:rFonts w:ascii="IRNazanin" w:hAnsi="IRNazanin" w:eastAsia="IRNazanin"/>
          <w:color w:val="111111"/>
          <w:sz w:val="28"/>
          <w:sz w:val="28"/>
          <w:szCs w:val="28"/>
          <w:rtl w:val="true"/>
          <w:lang w:bidi="fa-IR"/>
        </w:rPr>
        <w:t>و نحوها،و تخصیص المشتری بالمستحلّ؛لأنّ الداعی له علی الاشتراء اللحم أیضاً،و لا یوجب ذلک فساد البیع ما لم یقع العقد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مستطرفات السرائر،عن جامع البزنطی صاحب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یکون له الغنم یقطع من ألیاتها و هی أحیاء، أ یصلح أن ینتفع بها </w:t>
      </w:r>
      <w:r>
        <w:rPr>
          <w:rStyle w:val="FootnoteAnchor"/>
          <w:rtl w:val="true"/>
        </w:rPr>
        <w:footnoteReference w:id="1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نعم،یذیبها و یسرج بها،و لا یأکلها و لا یبیعها</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استوجه فی الکفایة العمل بها </w:t>
      </w:r>
      <w:r>
        <w:rPr>
          <w:rStyle w:val="FootnoteAnchor"/>
          <w:rtl w:val="true"/>
        </w:rPr>
        <w:footnoteReference w:id="140"/>
      </w:r>
      <w:r>
        <w:rPr>
          <w:rFonts w:ascii="IRNazanin" w:hAnsi="IRNazanin" w:eastAsia="IRNazanin"/>
          <w:color w:val="111111"/>
          <w:sz w:val="28"/>
          <w:sz w:val="28"/>
          <w:szCs w:val="28"/>
          <w:rtl w:val="true"/>
          <w:lang w:bidi="fa-IR"/>
        </w:rPr>
        <w:t>تبعاً لما حکاه الشهید عن العلّامة</w:t>
      </w:r>
    </w:p>
    <w:p>
      <w:pPr>
        <w:pStyle w:val="BookText"/>
        <w:rPr/>
      </w:pPr>
      <w:r>
        <w:rPr>
          <w:rFonts w:ascii="IRNazanin" w:hAnsi="IRNazanin" w:eastAsia="IRNazanin"/>
          <w:color w:val="111111"/>
          <w:sz w:val="28"/>
          <w:sz w:val="28"/>
          <w:szCs w:val="28"/>
          <w:rtl w:val="true"/>
          <w:lang w:bidi="fa-IR"/>
        </w:rPr>
        <w:t xml:space="preserve">فی بعض أقواله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الروایة شاذّة،ذکر الحلّی بعد إیرادها أنّها من نوادر الأخبار، و الإجماع منعقد علی تحریم المیتة و التصرّف فیها علی کلّ حال إلّا أکلها للمضطرّ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معارضة بما دلّ علی المنع من موردها،معلّلاً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أنّه یصیب الثوب و الید و هو حرام؟</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مع الإغماض عن المرجّحات،یرجع إلی عموم ما دلّ علی المنع عن الانتفاع بالمیتة مطلقاً،مع أنّ الصحیحة صریحة فی المنع عن البیع، إلّا أن تحمل علی إرادة البیع من غیر الإعلام بالنجاسة</w:t>
      </w:r>
      <w:r>
        <w:rPr>
          <w:rFonts w:eastAsia="IRNazanin" w:cs="IRNazanin"/>
          <w:color w:val="111111"/>
          <w:sz w:val="28"/>
          <w:szCs w:val="28"/>
          <w:rtl w:val="true"/>
          <w:lang w:bidi="fa-IR"/>
        </w:rPr>
        <w:t>.</w:t>
      </w:r>
      <w:bookmarkStart w:id="59" w:name="pg19762_189290"/>
    </w:p>
    <w:p>
      <w:pPr>
        <w:pStyle w:val="Heading6"/>
        <w:numPr>
          <w:ilvl w:val="5"/>
          <w:numId w:val="1"/>
        </w:numPr>
        <w:rPr/>
      </w:pPr>
      <w:bookmarkStart w:id="60" w:name="__RefHeading___Toc5003482_2314609296"/>
      <w:bookmarkStart w:id="61" w:name="_Toc24"/>
      <w:bookmarkEnd w:id="59"/>
      <w:bookmarkEnd w:id="60"/>
      <w:r>
        <w:rPr>
          <w:rtl w:val="true"/>
        </w:rPr>
        <w:t>الثانی</w:t>
      </w:r>
      <w:r>
        <w:rPr>
          <w:rtl w:val="true"/>
        </w:rPr>
        <w:t>:</w:t>
      </w:r>
      <w:bookmarkEnd w:id="61"/>
    </w:p>
    <w:p>
      <w:pPr>
        <w:pStyle w:val="BookText"/>
        <w:rPr/>
      </w:pPr>
      <w:r>
        <w:rPr>
          <w:rFonts w:ascii="IRNazanin" w:hAnsi="IRNazanin" w:eastAsia="IRNazanin"/>
          <w:color w:val="111111"/>
          <w:sz w:val="28"/>
          <w:sz w:val="28"/>
          <w:szCs w:val="28"/>
          <w:rtl w:val="true"/>
          <w:lang w:bidi="fa-IR"/>
        </w:rPr>
        <w:t>أنّ المیتة من غیر ذی النفس السائلة یجوز المعاوضة علیها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ممّا ینتفع بها أو ببعض أجزائها کدهن السمک المیتة للإسراج و التدهین لوجود المقتضی و عدم المانع؛لأنّ أدلّة عدم الانتفاع بالمیتة مختصّة بالنجسة،و صرّح بما ذکرنا جماعة </w:t>
      </w:r>
      <w:r>
        <w:rPr>
          <w:rStyle w:val="FootnoteAnchor"/>
          <w:rtl w:val="true"/>
        </w:rPr>
        <w:footnoteReference w:id="144"/>
      </w:r>
      <w:r>
        <w:rPr>
          <w:rFonts w:ascii="IRNazanin" w:hAnsi="IRNazanin" w:eastAsia="IRNazanin"/>
          <w:color w:val="111111"/>
          <w:sz w:val="28"/>
          <w:sz w:val="28"/>
          <w:szCs w:val="28"/>
          <w:rtl w:val="true"/>
          <w:lang w:bidi="fa-IR"/>
        </w:rPr>
        <w:t>،و الظاهر أنّه ممّا لا خلاف فیه</w:t>
      </w:r>
      <w:r>
        <w:rPr>
          <w:rFonts w:eastAsia="IRNazanin" w:cs="IRNazanin"/>
          <w:color w:val="111111"/>
          <w:sz w:val="28"/>
          <w:szCs w:val="28"/>
          <w:rtl w:val="true"/>
          <w:lang w:bidi="fa-IR"/>
        </w:rPr>
        <w:t>.</w:t>
      </w:r>
      <w:bookmarkStart w:id="62" w:name="pg19762_189291"/>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5003484_2314609296"/>
      <w:bookmarkStart w:id="64" w:name="_Toc25"/>
      <w:bookmarkEnd w:id="63"/>
      <w:r>
        <w:rPr>
          <w:rtl w:val="true"/>
        </w:rPr>
        <w:t>المسألة</w:t>
      </w:r>
      <w:r>
        <w:rPr>
          <w:rtl w:val="true"/>
        </w:rPr>
        <w:t>]</w:t>
      </w:r>
      <w:r>
        <w:rPr>
          <w:rtl w:val="true"/>
        </w:rPr>
        <w:t>السادسة یحرم التکسّب بالکلب الهراش و الخنزیر البرّیّین</w:t>
      </w:r>
      <w:bookmarkEnd w:id="64"/>
    </w:p>
    <w:p>
      <w:pPr>
        <w:pStyle w:val="BookText"/>
        <w:rPr/>
      </w:pPr>
      <w:r>
        <w:rPr>
          <w:rFonts w:ascii="IRNazanin" w:hAnsi="IRNazanin" w:eastAsia="IRNazanin"/>
          <w:color w:val="111111"/>
          <w:sz w:val="28"/>
          <w:sz w:val="28"/>
          <w:szCs w:val="28"/>
          <w:rtl w:val="true"/>
          <w:lang w:bidi="fa-IR"/>
        </w:rPr>
        <w:t xml:space="preserve">إجماعاً علی الظاهر المصرّح به فی المحکیّ عن جماعة </w:t>
      </w:r>
      <w:r>
        <w:rPr>
          <w:rStyle w:val="FootnoteAnchor"/>
          <w:rtl w:val="true"/>
        </w:rPr>
        <w:footnoteReference w:id="145"/>
      </w:r>
      <w:r>
        <w:rPr>
          <w:rFonts w:ascii="IRNazanin" w:hAnsi="IRNazanin" w:eastAsia="IRNazanin"/>
          <w:color w:val="111111"/>
          <w:sz w:val="28"/>
          <w:sz w:val="28"/>
          <w:szCs w:val="28"/>
          <w:rtl w:val="true"/>
          <w:lang w:bidi="fa-IR"/>
        </w:rPr>
        <w:t>و کذلک أجزاؤهما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قلنا بجواز استعمال شعر الخنزیر و جلده جاء فیه ما تقدّم فی جلد المیتة</w:t>
      </w:r>
      <w:r>
        <w:rPr>
          <w:rFonts w:eastAsia="IRNazanin" w:cs="IRNazanin"/>
          <w:color w:val="111111"/>
          <w:sz w:val="28"/>
          <w:szCs w:val="28"/>
          <w:rtl w:val="true"/>
          <w:lang w:bidi="fa-IR"/>
        </w:rPr>
        <w:t>.</w:t>
      </w:r>
      <w:bookmarkStart w:id="65" w:name="pg19762_189292"/>
    </w:p>
    <w:p>
      <w:pPr>
        <w:pStyle w:val="BookText"/>
        <w:rPr/>
      </w:pPr>
      <w:bookmarkEnd w:id="65"/>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5003486_2314609296"/>
      <w:bookmarkStart w:id="67" w:name="_Toc26"/>
      <w:bookmarkEnd w:id="66"/>
      <w:r>
        <w:rPr>
          <w:rtl w:val="true"/>
        </w:rPr>
        <w:t>المسألة</w:t>
      </w:r>
      <w:r>
        <w:rPr>
          <w:rtl w:val="true"/>
        </w:rPr>
        <w:t>]</w:t>
      </w:r>
      <w:r>
        <w:rPr>
          <w:rtl w:val="true"/>
        </w:rPr>
        <w:t>السابعة یحرم التکسّب بالخمر و کلّ مسکر مائع و الفقّاع</w:t>
      </w:r>
      <w:bookmarkEnd w:id="67"/>
    </w:p>
    <w:p>
      <w:pPr>
        <w:pStyle w:val="BookText"/>
        <w:rPr/>
      </w:pPr>
      <w:r>
        <w:rPr>
          <w:rFonts w:ascii="Amiri" w:hAnsi="Amiri" w:eastAsia="Amiri" w:cs="Amiri"/>
          <w:color w:val="111111"/>
          <w:sz w:val="28"/>
          <w:sz w:val="28"/>
          <w:szCs w:val="28"/>
          <w:rtl w:val="true"/>
          <w:lang w:bidi="ar-SA"/>
        </w:rPr>
        <w:t>إجماعاً،نصّاً و فتوی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لی علی الرجل دراهم فیعطینی خمراً؟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أفسدها،قال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اجعلها خَلاّ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 إمّا أخذ الخمر مجّاناً ثمّ تخلیلها،أو أخذها و تخلیلها لصاحبها،ثمّ أخذ الخلّ وفاءً عن الدراهم</w:t>
      </w:r>
      <w:r>
        <w:rPr>
          <w:rFonts w:eastAsia="IRNazanin" w:cs="IRNazanin"/>
          <w:color w:val="111111"/>
          <w:sz w:val="28"/>
          <w:szCs w:val="28"/>
          <w:rtl w:val="true"/>
          <w:lang w:bidi="fa-IR"/>
        </w:rPr>
        <w:t>.</w:t>
      </w:r>
      <w:bookmarkStart w:id="68" w:name="pg19762_189293"/>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5003488_2314609296"/>
      <w:bookmarkStart w:id="70" w:name="_Toc27"/>
      <w:bookmarkEnd w:id="69"/>
      <w:r>
        <w:rPr>
          <w:rtl w:val="true"/>
        </w:rPr>
        <w:t>المسألة</w:t>
      </w:r>
      <w:r>
        <w:rPr>
          <w:rtl w:val="true"/>
        </w:rPr>
        <w:t>]</w:t>
      </w:r>
      <w:r>
        <w:rPr>
          <w:rtl w:val="true"/>
        </w:rPr>
        <w:t>الثامنة یحرم المعاوضة علی الأعیان المتنجّسة الغیر القابلة للطهارة إذا توقّف منافعها المحلّلة المعتدّ بها علی الطهارة؛</w:t>
      </w:r>
      <w:bookmarkEnd w:id="70"/>
    </w:p>
    <w:p>
      <w:pPr>
        <w:pStyle w:val="BookText"/>
        <w:rPr/>
      </w:pPr>
      <w:r>
        <w:rPr>
          <w:rFonts w:ascii="Amiri" w:hAnsi="Amiri" w:eastAsia="Amiri" w:cs="Amiri"/>
          <w:color w:val="111111"/>
          <w:sz w:val="28"/>
          <w:sz w:val="28"/>
          <w:szCs w:val="28"/>
          <w:rtl w:val="true"/>
          <w:lang w:bidi="ar-SA"/>
        </w:rPr>
        <w:t>لما تقدّم من النبویّ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نحوه المتقدّم عن دعائم الإسلام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التمسّک بعموم قوله علیه السلام 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نظر؛لأنّ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العنوانات النجسة؛لأنّ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الاستدلال علی ذلک بالتعلیل المذکور بعد ذلک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ذلک کلّه محرّم أکله </w:t>
      </w:r>
      <w:r>
        <w:rPr>
          <w:rStyle w:val="FootnoteAnchor"/>
          <w:rtl w:val="true"/>
        </w:rPr>
        <w:footnoteReference w:id="150"/>
      </w:r>
      <w:r>
        <w:rPr>
          <w:rFonts w:ascii="IRNazanin" w:hAnsi="IRNazanin" w:eastAsia="IRNazanin"/>
          <w:color w:val="111111"/>
          <w:sz w:val="28"/>
          <w:sz w:val="28"/>
          <w:szCs w:val="28"/>
          <w:rtl w:val="true"/>
          <w:lang w:bidi="fa-IR"/>
        </w:rPr>
        <w:t>و شربه و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قیل بعدم جواز بیع المُسوخ من أجل نجاستها </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الأقوی طهارتها لم یحتج إلی التکلّم فی جواز بیعها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 بحرمة البیع لا من حیث النجاسة کان محلّ التعرّض له ما سیجیء من أنّ کلّ طاهر له منفعة محلّلة مقصودة یجوز بیعه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سیجیء ذلک فی ذیل القسم الثانی </w:t>
      </w:r>
      <w:r>
        <w:rPr>
          <w:rStyle w:val="FootnoteAnchor"/>
          <w:rtl w:val="true"/>
        </w:rPr>
        <w:footnoteReference w:id="152"/>
      </w:r>
      <w:r>
        <w:rPr>
          <w:rFonts w:ascii="IRNazanin" w:hAnsi="IRNazanin" w:eastAsia="IRNazanin"/>
          <w:color w:val="111111"/>
          <w:sz w:val="28"/>
          <w:sz w:val="28"/>
          <w:szCs w:val="28"/>
          <w:rtl w:val="true"/>
          <w:lang w:bidi="fa-IR"/>
        </w:rPr>
        <w:t>ممّا لا یجوز الاکتساب به لأجل عدم المنفعة فیه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المستثنیات من حرمة بیع الأعیان النجسة</w:t>
      </w:r>
      <w:r>
        <w:rPr>
          <w:rFonts w:eastAsia="IRNazanin" w:cs="IRNazanin"/>
          <w:color w:val="111111"/>
          <w:sz w:val="28"/>
          <w:szCs w:val="28"/>
          <w:rtl w:val="true"/>
          <w:lang w:bidi="fa-IR"/>
        </w:rPr>
        <w:t xml:space="preserve">] </w:t>
      </w:r>
      <w:r>
        <w:rPr>
          <w:rStyle w:val="FootnoteAnchor"/>
          <w:rtl w:val="true"/>
        </w:rPr>
        <w:footnoteReference w:id="153"/>
      </w:r>
      <w:bookmarkStart w:id="71" w:name="pg19762_189297"/>
    </w:p>
    <w:p>
      <w:pPr>
        <w:pStyle w:val="Heading4"/>
        <w:numPr>
          <w:ilvl w:val="3"/>
          <w:numId w:val="1"/>
        </w:numPr>
        <w:rPr/>
      </w:pPr>
      <w:bookmarkStart w:id="72" w:name="__RefHeading___Toc5003490_2314609296"/>
      <w:bookmarkStart w:id="73" w:name="_Toc28"/>
      <w:bookmarkEnd w:id="71"/>
      <w:bookmarkEnd w:id="72"/>
      <w:r>
        <w:rPr>
          <w:rtl w:val="true"/>
        </w:rPr>
        <w:t>و أمّا المستثنی من الأعیان المتقدّمة فهی أربعة</w:t>
      </w:r>
      <w:bookmarkEnd w:id="73"/>
    </w:p>
    <w:p>
      <w:pPr>
        <w:pStyle w:val="Heading5"/>
        <w:numPr>
          <w:ilvl w:val="4"/>
          <w:numId w:val="1"/>
        </w:numPr>
        <w:rPr/>
      </w:pPr>
      <w:bookmarkStart w:id="74" w:name="__RefHeading___Toc5003492_2314609296"/>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تذکر فی مسائل أربع</w:t>
      </w:r>
      <w:r>
        <w:rPr>
          <w:rFonts w:eastAsia="IRNazanin" w:cs="IRNazanin"/>
          <w:color w:val="111111"/>
          <w:sz w:val="28"/>
          <w:szCs w:val="28"/>
          <w:rtl w:val="true"/>
          <w:lang w:bidi="fa-IR"/>
        </w:rPr>
        <w:t>:</w:t>
      </w:r>
    </w:p>
    <w:p>
      <w:pPr>
        <w:pStyle w:val="Heading5"/>
        <w:numPr>
          <w:ilvl w:val="4"/>
          <w:numId w:val="1"/>
        </w:numPr>
        <w:rPr/>
      </w:pPr>
      <w:bookmarkStart w:id="76" w:name="__RefHeading___Toc5003494_2314609296"/>
      <w:bookmarkStart w:id="77" w:name="_Toc30"/>
      <w:bookmarkEnd w:id="76"/>
      <w:r>
        <w:rPr>
          <w:rtl w:val="true"/>
        </w:rPr>
        <w:t>الأُولی یجوز بیع المملوک الکافر،أصلیّاً کان أم مرتدّاً مِلّیّاً،</w:t>
      </w:r>
      <w:bookmarkEnd w:id="77"/>
    </w:p>
    <w:p>
      <w:pPr>
        <w:pStyle w:val="BookText"/>
        <w:rPr/>
      </w:pPr>
      <w:r>
        <w:rPr>
          <w:rFonts w:ascii="IRNazanin" w:hAnsi="IRNazanin" w:eastAsia="IRNazanin"/>
          <w:color w:val="111111"/>
          <w:sz w:val="28"/>
          <w:sz w:val="28"/>
          <w:szCs w:val="28"/>
          <w:rtl w:val="true"/>
          <w:lang w:bidi="fa-IR"/>
        </w:rPr>
        <w:t xml:space="preserve">بلا خلافٍ ظاهر،بل ادّعی علیه الإجماع </w:t>
      </w:r>
      <w:r>
        <w:rPr>
          <w:rStyle w:val="FootnoteAnchor"/>
          <w:rtl w:val="true"/>
        </w:rPr>
        <w:footnoteReference w:id="154"/>
      </w:r>
      <w:r>
        <w:rPr>
          <w:rFonts w:ascii="IRNazanin" w:hAnsi="IRNazanin" w:eastAsia="IRNazanin"/>
          <w:color w:val="111111"/>
          <w:sz w:val="28"/>
          <w:sz w:val="28"/>
          <w:szCs w:val="28"/>
          <w:rtl w:val="true"/>
          <w:lang w:bidi="fa-IR"/>
        </w:rPr>
        <w:t>،و لیس ببعید،کما یظهر للمتتبّع فی المواضع المناسبة لهذه المسألة،کاسترقاق الکفّار و شراء بعضهم من بعض،و بیع العبد الکافر إذا أسلم علی مولاه الکافر،و عتق الکافرة، و بیع المرتد،و ظهور کفر العبد المشتری علی ظاهر الإسلام،و غیر ذلک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الفطری علی الأقوی،بل الظاهر أنّه لا خلاف فیه من هذه الجهة،و إن کان فیه کلام من حیث کونه فی معرض التلف؛لوجوب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من تأمّل فیه من جهة نجاسته،عدا ما یظهر من بعض الأساطین فی شرحه علی القواعد حیث احترز بقول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التطهیر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یقبله و لو بالإسلام،کالمرتدّ و لو عن فطرة علی أصحّ القولین </w:t>
      </w:r>
      <w:r>
        <w:rPr>
          <w:rStyle w:val="FootnoteAnchor"/>
          <w:rtl w:val="true"/>
        </w:rPr>
        <w:footnoteReference w:id="155"/>
      </w:r>
      <w:r>
        <w:rPr>
          <w:rFonts w:ascii="IRNazanin" w:hAnsi="IRNazanin" w:eastAsia="IRNazanin"/>
          <w:color w:val="111111"/>
          <w:sz w:val="28"/>
          <w:sz w:val="28"/>
          <w:szCs w:val="28"/>
          <w:rtl w:val="true"/>
          <w:lang w:bidi="fa-IR"/>
        </w:rPr>
        <w:t>،فبنی جواز بیع المرتدّ علی قبول توبته،بل بنی جواز بیع مطلق الکافر علی قبوله للطهر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حکم الأصحاب بجواز بیع الکافر نظیر حکمهم بجواز بیع الکلب لا من حیث قابلیته للتطهیر نظیر الماء المتنجّس و أنّ اشتراطهم قبول التطهیر إنّما هو فیما یتوقّف الانتفاع به علی طهارته لیتصف بالملکیة،لا مثل الکلب و الکافر المملوکین مع النجاسة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بالغ تلمیذه فی مفتاح الکرامة،فقال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المرتدّ عن فطرة فالقول بجواز بیعه ضعیف جدّاً؛لعدم قبول توبته فلا یقبل التطهیر، ثمّ ذکر جماعة ممّن جوّز بیعه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من جوّز بیعه بنی علی قبول توبته </w:t>
      </w:r>
      <w:r>
        <w:rPr>
          <w:rStyle w:val="FootnoteAnchor"/>
          <w:rtl w:val="true"/>
        </w:rPr>
        <w:footnoteReference w:id="1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 ذلک شیخنا المعاصر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و لا خلاف فی کون المملوک المرتدّ عن فطرة مِلکاً و مالاً لمالکه،و یجوز له الانتفاع به بالاستخدام </w:t>
      </w:r>
      <w:r>
        <w:rPr>
          <w:rStyle w:val="FootnoteAnchor"/>
          <w:rtl w:val="true"/>
        </w:rPr>
        <w:footnoteReference w:id="158"/>
      </w:r>
      <w:r>
        <w:rPr>
          <w:rFonts w:ascii="IRNazanin" w:hAnsi="IRNazanin" w:eastAsia="IRNazanin"/>
          <w:color w:val="111111"/>
          <w:sz w:val="28"/>
          <w:sz w:val="28"/>
          <w:szCs w:val="28"/>
          <w:rtl w:val="true"/>
          <w:lang w:bidi="fa-IR"/>
        </w:rPr>
        <w:t>ما لم یقتل، و إنّما استشکل من استشکل فی جواز بیعه من حیث کونه فی معرض</w:t>
      </w:r>
    </w:p>
    <w:p>
      <w:pPr>
        <w:pStyle w:val="BookText"/>
        <w:rPr/>
      </w:pPr>
      <w:r>
        <w:rPr>
          <w:rFonts w:ascii="IRNazanin" w:hAnsi="IRNazanin" w:eastAsia="IRNazanin"/>
          <w:color w:val="111111"/>
          <w:sz w:val="28"/>
          <w:sz w:val="28"/>
          <w:szCs w:val="28"/>
          <w:rtl w:val="true"/>
          <w:lang w:bidi="fa-IR"/>
        </w:rPr>
        <w:t>القتل،بل واجب الإتلاف شرعاً،فکأنّ الإجماع منعقد علی عدم المنع من بیعه من جهة عدم قابلیّة طهارته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یصحّ رهن المرتدّ و إن کان عن فطرة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فی المسالک من جهة وجوب إتلافه و کونه فی معرض التلف،ثمّ اختار الجواز؛لبقاء مالیّته إلی زمان القتل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یصحّ رهن المرتدّ و إن کان عن فطرة،علی إشکال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منشأ الإشکال أنّه یجوز بیعه فیجوز رهنه بطریق أولی،و من أنّ مقصود البیع حاصل،و أمّا مقصود الرهن فقد لا یحصل؛لقتل </w:t>
      </w:r>
      <w:r>
        <w:rPr>
          <w:rStyle w:val="FootnoteAnchor"/>
          <w:rtl w:val="true"/>
        </w:rPr>
        <w:footnoteReference w:id="162"/>
      </w:r>
      <w:r>
        <w:rPr>
          <w:rFonts w:ascii="IRNazanin" w:hAnsi="IRNazanin" w:eastAsia="IRNazanin"/>
          <w:color w:val="111111"/>
          <w:sz w:val="28"/>
          <w:sz w:val="28"/>
          <w:szCs w:val="28"/>
          <w:rtl w:val="true"/>
          <w:lang w:bidi="fa-IR"/>
        </w:rPr>
        <w:t xml:space="preserve">الفطری حتماً،و الآخر قد لا یتوب </w:t>
      </w:r>
      <w:r>
        <w:rPr>
          <w:rStyle w:val="FootnoteAnchor"/>
          <w:rtl w:val="true"/>
        </w:rPr>
        <w:footnoteReference w:id="163"/>
      </w:r>
      <w:r>
        <w:rPr>
          <w:rFonts w:ascii="IRNazanin" w:hAnsi="IRNazanin" w:eastAsia="IRNazanin"/>
          <w:color w:val="111111"/>
          <w:sz w:val="28"/>
          <w:sz w:val="28"/>
          <w:szCs w:val="28"/>
          <w:rtl w:val="true"/>
          <w:lang w:bidi="fa-IR"/>
        </w:rPr>
        <w:t>،ثمّ اختار الجواز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المرتدّ إن کان عن فطرة ففی جواز بیعه نظر، ینشأ من تضادّ الحکمین،و من بقاء الملک؛فإنّ کسبه لمولاه،أمّا عن غیر فطرة فالوجه صحّة بیعه؛لعدم تحتّم قتله </w:t>
      </w:r>
      <w:r>
        <w:rPr>
          <w:rStyle w:val="FootnoteAnchor"/>
          <w:rtl w:val="true"/>
        </w:rPr>
        <w:footnoteReference w:id="164"/>
      </w:r>
      <w:r>
        <w:rPr>
          <w:rFonts w:ascii="IRNazanin" w:hAnsi="IRNazanin" w:eastAsia="IRNazanin"/>
          <w:color w:val="111111"/>
          <w:sz w:val="28"/>
          <w:sz w:val="28"/>
          <w:szCs w:val="28"/>
          <w:rtl w:val="true"/>
          <w:lang w:bidi="fa-IR"/>
        </w:rPr>
        <w:t>ثمّ ذکر المحارب الذی لا تقبل توبته؛لوقوعها بعد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جواز بیعه بما یظهر منه جواز بیع المرتدّ عن فطرة، و جعله نظیر المریض المأیوس عن 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نعم،منع فی التحریر و الدروس عن بیع المرتدّ عن فطرة،و المحارب إذا وجب قتله </w:t>
      </w:r>
      <w:r>
        <w:rPr>
          <w:rStyle w:val="FootnoteAnchor"/>
          <w:rtl w:val="true"/>
        </w:rPr>
        <w:footnoteReference w:id="165"/>
      </w:r>
      <w:r>
        <w:rPr>
          <w:rFonts w:ascii="IRNazanin" w:hAnsi="IRNazanin" w:eastAsia="IRNazanin"/>
          <w:color w:val="111111"/>
          <w:sz w:val="28"/>
          <w:sz w:val="28"/>
          <w:szCs w:val="28"/>
          <w:rtl w:val="true"/>
          <w:lang w:bidi="fa-IR"/>
        </w:rPr>
        <w:t xml:space="preserve">للوجه المتقدّم عن </w:t>
      </w:r>
      <w:r>
        <w:rPr>
          <w:rStyle w:val="FootnoteAnchor"/>
          <w:rtl w:val="true"/>
        </w:rPr>
        <w:footnoteReference w:id="166"/>
      </w:r>
      <w:r>
        <w:rPr>
          <w:rFonts w:ascii="IRNazanin" w:hAnsi="IRNazanin" w:eastAsia="IRNazanin"/>
          <w:color w:val="111111"/>
          <w:sz w:val="28"/>
          <w:sz w:val="28"/>
          <w:szCs w:val="28"/>
          <w:rtl w:val="true"/>
          <w:lang w:bidi="fa-IR"/>
        </w:rPr>
        <w:t>التذکرة،بل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بیع المرتدّ عن ملّة أیضاً مراعی بالتوبة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کان،فالمتتبّع یقطع بأنّ اشتراط قابلیة الطهارة إنّما هو فی ما یتوقّف الانتفاع المعتدّ به علی طهارته؛و لذا قسّم فی المبسوط المبیع إلی آدمی و غیره،ثمّ اشترط الطهارة فی غیر الآدمی،ثمّ استثنی الکلب الصیود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78" w:name="pg19762_189301"/>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5003496_2314609296"/>
      <w:bookmarkStart w:id="80" w:name="_Toc31"/>
      <w:bookmarkEnd w:id="79"/>
      <w:r>
        <w:rPr>
          <w:rtl w:val="true"/>
        </w:rPr>
        <w:t>المسألة</w:t>
      </w:r>
      <w:r>
        <w:rPr>
          <w:rtl w:val="true"/>
        </w:rPr>
        <w:t>]</w:t>
      </w:r>
      <w:r>
        <w:rPr>
          <w:rtl w:val="true"/>
        </w:rPr>
        <w:t>الثانیة یجوز المعاوضة علی غیر کلب الهراش فی الجملة</w:t>
      </w:r>
      <w:bookmarkEnd w:id="80"/>
    </w:p>
    <w:p>
      <w:pPr>
        <w:pStyle w:val="BookText"/>
        <w:rPr/>
      </w:pPr>
      <w:r>
        <w:rPr>
          <w:rFonts w:ascii="IRNazanin" w:hAnsi="IRNazanin" w:eastAsia="IRNazanin"/>
          <w:color w:val="111111"/>
          <w:sz w:val="28"/>
          <w:sz w:val="28"/>
          <w:szCs w:val="28"/>
          <w:rtl w:val="true"/>
          <w:lang w:bidi="fa-IR"/>
        </w:rPr>
        <w:t xml:space="preserve">بلا خلافٍ ظاهر، إلّا ما عن ظاهر إطلاق العمانی </w:t>
      </w:r>
      <w:r>
        <w:rPr>
          <w:rStyle w:val="FootnoteAnchor"/>
          <w:rtl w:val="true"/>
        </w:rPr>
        <w:footnoteReference w:id="169"/>
      </w:r>
      <w:r>
        <w:rPr>
          <w:rFonts w:ascii="IRNazanin" w:hAnsi="IRNazanin" w:eastAsia="IRNazanin"/>
          <w:color w:val="111111"/>
          <w:sz w:val="28"/>
          <w:sz w:val="28"/>
          <w:szCs w:val="28"/>
          <w:rtl w:val="true"/>
          <w:lang w:bidi="fa-IR"/>
        </w:rPr>
        <w:t>و لعلّه کإطلاق کثیرٍ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سحتٌ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محمول علی الهراش؛لتواتر الأخبار </w:t>
      </w:r>
      <w:r>
        <w:rPr>
          <w:rStyle w:val="FootnoteAnchor"/>
          <w:rtl w:val="true"/>
        </w:rPr>
        <w:footnoteReference w:id="171"/>
      </w:r>
      <w:r>
        <w:rPr>
          <w:rFonts w:ascii="Amiri" w:hAnsi="Amiri" w:eastAsia="Amiri" w:cs="Amiri"/>
          <w:color w:val="111111"/>
          <w:sz w:val="28"/>
          <w:sz w:val="28"/>
          <w:szCs w:val="28"/>
          <w:rtl w:val="true"/>
          <w:lang w:bidi="ar-SA"/>
        </w:rPr>
        <w:t xml:space="preserve">و استفاضة نقل الإجماع </w:t>
      </w:r>
      <w:r>
        <w:rPr>
          <w:rStyle w:val="FootnoteAnchor"/>
          <w:rtl w:val="true"/>
        </w:rPr>
        <w:footnoteReference w:id="172"/>
      </w:r>
      <w:r>
        <w:rPr>
          <w:rFonts w:ascii="IRNazanin" w:hAnsi="IRNazanin" w:eastAsia="IRNazanin"/>
          <w:color w:val="111111"/>
          <w:sz w:val="28"/>
          <w:sz w:val="28"/>
          <w:szCs w:val="28"/>
          <w:rtl w:val="true"/>
          <w:lang w:bidi="fa-IR"/>
        </w:rPr>
        <w:t>علی جواز بیع ما عدا کلب الهراش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عدا کلب الهراش علی أقسام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الصید السلوقی،و هو المتیقّن من </w:t>
      </w:r>
      <w:r>
        <w:rPr>
          <w:rStyle w:val="FootnoteAnchor"/>
          <w:rtl w:val="true"/>
        </w:rPr>
        <w:footnoteReference w:id="173"/>
      </w:r>
      <w:r>
        <w:rPr>
          <w:rFonts w:ascii="IRNazanin" w:hAnsi="IRNazanin" w:eastAsia="IRNazanin"/>
          <w:color w:val="111111"/>
          <w:sz w:val="28"/>
          <w:sz w:val="28"/>
          <w:szCs w:val="28"/>
          <w:rtl w:val="true"/>
          <w:lang w:bidi="fa-IR"/>
        </w:rPr>
        <w:t xml:space="preserve">الأخبار </w:t>
      </w:r>
      <w:r>
        <w:rPr>
          <w:rStyle w:val="FootnoteAnchor"/>
          <w:rtl w:val="true"/>
        </w:rPr>
        <w:footnoteReference w:id="174"/>
      </w:r>
      <w:r>
        <w:rPr>
          <w:rFonts w:ascii="IRNazanin" w:hAnsi="IRNazanin" w:eastAsia="IRNazanin"/>
          <w:color w:val="111111"/>
          <w:sz w:val="28"/>
          <w:sz w:val="28"/>
          <w:szCs w:val="28"/>
          <w:rtl w:val="true"/>
          <w:lang w:bidi="fa-IR"/>
        </w:rPr>
        <w:t>و معاقد</w:t>
      </w:r>
    </w:p>
    <w:p>
      <w:pPr>
        <w:pStyle w:val="BookText"/>
        <w:rPr/>
      </w:pPr>
      <w:r>
        <w:rPr>
          <w:rFonts w:ascii="IRNazanin" w:hAnsi="IRNazanin" w:eastAsia="IRNazanin"/>
          <w:color w:val="111111"/>
          <w:sz w:val="28"/>
          <w:sz w:val="28"/>
          <w:szCs w:val="28"/>
          <w:rtl w:val="true"/>
          <w:lang w:bidi="fa-IR"/>
        </w:rPr>
        <w:t>الإجماعات الدالّة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کلب الصید غیر السلوقی،و بیعه جائز علی المعروف من غیر ظاهر إطلاق المقنعة و النهایة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قبل الإجماع المحکیّ عن الخلاف و المنتهی و الإیضاح </w:t>
      </w:r>
      <w:r>
        <w:rPr>
          <w:rStyle w:val="FootnoteAnchor"/>
          <w:rtl w:val="true"/>
        </w:rPr>
        <w:footnoteReference w:id="176"/>
      </w:r>
      <w:r>
        <w:rPr>
          <w:rFonts w:ascii="IRNazanin" w:hAnsi="IRNazanin" w:eastAsia="IRNazanin"/>
          <w:color w:val="111111"/>
          <w:sz w:val="28"/>
          <w:sz w:val="28"/>
          <w:szCs w:val="28"/>
          <w:rtl w:val="true"/>
          <w:lang w:bidi="fa-IR"/>
        </w:rPr>
        <w:t xml:space="preserve">و غیرها </w:t>
      </w:r>
      <w:r>
        <w:rPr>
          <w:rStyle w:val="FootnoteAnchor"/>
          <w:rtl w:val="true"/>
        </w:rPr>
        <w:footnoteReference w:id="177"/>
      </w:r>
      <w:r>
        <w:rPr>
          <w:rFonts w:ascii="IRNazanin" w:hAnsi="IRNazanin" w:eastAsia="IRNazanin"/>
          <w:color w:val="111111"/>
          <w:sz w:val="28"/>
          <w:sz w:val="28"/>
          <w:szCs w:val="28"/>
          <w:rtl w:val="true"/>
          <w:lang w:bidi="fa-IR"/>
        </w:rPr>
        <w:t>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روایة القاسم 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ثمن الکلب الذی لا یصید،قال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 و أمّا الصیود فلا بأس به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 ابن فضّال عن أبی جمیلة،عن لیث،قال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الکلب الصیود یباع؟قال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یؤکل ثمنه</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ثمن کلب الصید،قال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به،و أمّا الآخر فلا یحلّ ثمنه</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181"/>
      </w:r>
      <w:r>
        <w:rPr>
          <w:rFonts w:ascii="IRNazanin" w:hAnsi="IRNazanin" w:eastAsia="IRNazanin"/>
          <w:color w:val="111111"/>
          <w:sz w:val="28"/>
          <w:sz w:val="28"/>
          <w:szCs w:val="28"/>
          <w:rtl w:val="true"/>
          <w:lang w:bidi="fa-IR"/>
        </w:rPr>
        <w:t>عن دعائم الإسلام للقاضی نعمان المصری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بثمن کلب الصید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روایة أبی بصیر،عن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 و مهر البغیّ و ثمن الکلب الذی لا یصطاد من السحت</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روایة عبد الرحمن بن أبی عبد اللّه،عن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لا یصید سحت،و لا بأس بثمن الهرّة</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الصدوق،و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لیس بکلب الصید سحت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دعوی انصراف هذه الأخبار کمعاقد الإجماعات المتقدّمة إلی السلوقی ضعیفة بمنع </w:t>
      </w:r>
      <w:r>
        <w:rPr>
          <w:rStyle w:val="FootnoteAnchor"/>
          <w:rtl w:val="true"/>
        </w:rPr>
        <w:footnoteReference w:id="186"/>
      </w:r>
      <w:r>
        <w:rPr>
          <w:rFonts w:ascii="IRNazanin" w:hAnsi="IRNazanin" w:eastAsia="IRNazanin"/>
          <w:color w:val="111111"/>
          <w:sz w:val="28"/>
          <w:sz w:val="28"/>
          <w:szCs w:val="28"/>
          <w:rtl w:val="true"/>
          <w:lang w:bidi="fa-IR"/>
        </w:rPr>
        <w:t>الانصراف؛لعدم الغلبة المعتدّ بها علی فرض تسلیم کون مجرّد غلبة الوجود من دون غلبة الاستعمال منشأ للانصراف مع أنّه لا یصحّ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لا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مرجع التقیید إلی إرادة ما یصحّ</w:t>
      </w:r>
    </w:p>
    <w:p>
      <w:pPr>
        <w:pStyle w:val="BookText"/>
        <w:rPr/>
      </w:pPr>
      <w:r>
        <w:rPr>
          <w:rFonts w:ascii="IRNazanin" w:hAnsi="IRNazanin" w:eastAsia="IRNazanin"/>
          <w:color w:val="111111"/>
          <w:sz w:val="28"/>
          <w:sz w:val="28"/>
          <w:szCs w:val="28"/>
          <w:rtl w:val="true"/>
          <w:lang w:bidi="fa-IR"/>
        </w:rPr>
        <w:t>عنه سلب صفة الاصطیاد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مجال لدعوی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یکون مراد المقنعة و النهایة </w:t>
      </w:r>
      <w:r>
        <w:rPr>
          <w:rStyle w:val="FootnoteAnchor"/>
          <w:rtl w:val="true"/>
        </w:rPr>
        <w:footnoteReference w:id="187"/>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الصیود،علی ما شهد به بعض الفحول من إطلاقه علیه أحیاناً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بما عن المنتهی،حیث إنّه بعد ما حکی التخصیص بالسلوقی عن الشیخین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بالسلوقی کلب الصید؛لأنّ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بالیمن،أکثر کلابها معلَّمة فنسب الکلب إلیها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إن کان هذا الکلام من المنتهی یحتمل لأن یکون مسوقاً لإخراج غیر کلب الصید من الکلاب السلوقیة،و أنّ المراد بالسلوقی خصوص الصیود،لا کلّ سلوقی،لکنّ الوجه الأوّل أظهر،فتدبّر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الماشیة و الحائط و هو البستان و الزرع و الأشهر بین القدماء علی ما قیل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استظهر ذلک من الأخبار الحاصرة لما یجوز بیعه فی الصیود المشتهرة بین المحدّثین کالکلینی و الصدوقین و من تقدّمهم </w:t>
      </w:r>
      <w:r>
        <w:rPr>
          <w:rStyle w:val="FootnoteAnchor"/>
          <w:rtl w:val="true"/>
        </w:rPr>
        <w:footnoteReference w:id="191"/>
      </w:r>
      <w:r>
        <w:rPr>
          <w:rFonts w:ascii="IRNazanin" w:hAnsi="IRNazanin" w:eastAsia="IRNazanin"/>
          <w:color w:val="111111"/>
          <w:sz w:val="28"/>
          <w:sz w:val="28"/>
          <w:szCs w:val="28"/>
          <w:rtl w:val="true"/>
          <w:lang w:bidi="fa-IR"/>
        </w:rPr>
        <w:t>بل و أهل</w:t>
      </w:r>
    </w:p>
    <w:p>
      <w:pPr>
        <w:pStyle w:val="BookText"/>
        <w:rPr/>
      </w:pPr>
      <w:r>
        <w:rPr>
          <w:rFonts w:ascii="IRNazanin" w:hAnsi="IRNazanin" w:eastAsia="IRNazanin"/>
          <w:color w:val="111111"/>
          <w:sz w:val="28"/>
          <w:sz w:val="28"/>
          <w:szCs w:val="28"/>
          <w:rtl w:val="true"/>
          <w:lang w:bidi="fa-IR"/>
        </w:rPr>
        <w:t xml:space="preserve">الفتوی کالمفید و القاضی و ابن زهرة و ابن سعید و المحقّق </w:t>
      </w:r>
      <w:r>
        <w:rPr>
          <w:rStyle w:val="FootnoteAnchor"/>
          <w:rtl w:val="true"/>
        </w:rPr>
        <w:footnoteReference w:id="192"/>
      </w:r>
      <w:r>
        <w:rPr>
          <w:rFonts w:ascii="IRNazanin" w:hAnsi="IRNazanin" w:eastAsia="IRNazanin"/>
          <w:color w:val="111111"/>
          <w:sz w:val="28"/>
          <w:sz w:val="28"/>
          <w:szCs w:val="28"/>
          <w:rtl w:val="true"/>
          <w:lang w:bidi="fa-IR"/>
        </w:rPr>
        <w:t xml:space="preserve">بل ظاهر الخلاف و الغنیة الإجماع علیه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نعم،المشهور بین الشیخ و من تأخّر عنه </w:t>
      </w:r>
      <w:r>
        <w:rPr>
          <w:rStyle w:val="FootnoteAnchor"/>
          <w:rtl w:val="true"/>
        </w:rPr>
        <w:footnoteReference w:id="194"/>
      </w:r>
      <w:r>
        <w:rPr>
          <w:rFonts w:ascii="IRNazanin" w:hAnsi="IRNazanin" w:eastAsia="IRNazanin"/>
          <w:color w:val="111111"/>
          <w:sz w:val="28"/>
          <w:sz w:val="28"/>
          <w:szCs w:val="28"/>
          <w:rtl w:val="true"/>
          <w:lang w:bidi="fa-IR"/>
        </w:rPr>
        <w:t>الجواز،وفاقاً للمحکیّ عن ابن الجنید قدّس سرّه،حیث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بشراء الکلب الصائد و الحارس للماشیة و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الکلب فیما عدا الصیود و الحارس</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ظاهر الفقرة الأخیرة لو لم یحمل علی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 الکلاب الثلاثة و غیرها،کحارس الدور و الخیام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الجواز أیضاً عن الشیخ و القاضی فی کتاب الإجارة </w:t>
      </w:r>
      <w:r>
        <w:rPr>
          <w:rStyle w:val="FootnoteAnchor"/>
          <w:rtl w:val="true"/>
        </w:rPr>
        <w:footnoteReference w:id="196"/>
      </w:r>
      <w:r>
        <w:rPr>
          <w:rFonts w:ascii="IRNazanin" w:hAnsi="IRNazanin" w:eastAsia="IRNazanin"/>
          <w:color w:val="111111"/>
          <w:sz w:val="28"/>
          <w:sz w:val="28"/>
          <w:szCs w:val="28"/>
          <w:rtl w:val="true"/>
          <w:lang w:bidi="fa-IR"/>
        </w:rPr>
        <w:t xml:space="preserve">و عن سلّار و أبی الصلاح و ابن حمزة و ابن إدریس </w:t>
      </w:r>
      <w:r>
        <w:rPr>
          <w:rStyle w:val="FootnoteAnchor"/>
          <w:rtl w:val="true"/>
        </w:rPr>
        <w:footnoteReference w:id="197"/>
      </w:r>
      <w:r>
        <w:rPr>
          <w:rFonts w:ascii="IRNazanin" w:hAnsi="IRNazanin" w:eastAsia="IRNazanin"/>
          <w:color w:val="111111"/>
          <w:sz w:val="28"/>
          <w:sz w:val="28"/>
          <w:szCs w:val="28"/>
          <w:rtl w:val="true"/>
          <w:lang w:bidi="fa-IR"/>
        </w:rPr>
        <w:t xml:space="preserve">و أکثر المتأخّرین کالعلّامة و ولده السعید </w:t>
      </w:r>
      <w:r>
        <w:rPr>
          <w:rStyle w:val="FootnoteAnchor"/>
          <w:rtl w:val="true"/>
        </w:rPr>
        <w:footnoteReference w:id="198"/>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9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200"/>
      </w:r>
      <w:r>
        <w:rPr>
          <w:rFonts w:ascii="IRNazanin" w:hAnsi="IRNazanin" w:eastAsia="IRNazanin"/>
          <w:color w:val="111111"/>
          <w:sz w:val="28"/>
          <w:sz w:val="28"/>
          <w:szCs w:val="28"/>
          <w:rtl w:val="true"/>
          <w:lang w:bidi="fa-IR"/>
        </w:rPr>
        <w:t>و ابن القطّان</w:t>
      </w:r>
    </w:p>
    <w:p>
      <w:pPr>
        <w:pStyle w:val="BookText"/>
        <w:rPr/>
      </w:pPr>
      <w:r>
        <w:rPr>
          <w:rFonts w:ascii="IRNazanin" w:hAnsi="IRNazanin" w:eastAsia="IRNazanin"/>
          <w:color w:val="111111"/>
          <w:sz w:val="28"/>
          <w:sz w:val="28"/>
          <w:szCs w:val="28"/>
          <w:rtl w:val="true"/>
          <w:lang w:bidi="fa-IR"/>
        </w:rPr>
        <w:t xml:space="preserve">فی المعالم </w:t>
      </w:r>
      <w:r>
        <w:rPr>
          <w:rStyle w:val="FootnoteAnchor"/>
          <w:rtl w:val="true"/>
        </w:rPr>
        <w:footnoteReference w:id="201"/>
      </w:r>
      <w:r>
        <w:rPr>
          <w:rFonts w:ascii="IRNazanin" w:hAnsi="IRNazanin" w:eastAsia="IRNazanin"/>
          <w:color w:val="111111"/>
          <w:sz w:val="28"/>
          <w:sz w:val="28"/>
          <w:szCs w:val="28"/>
          <w:rtl w:val="true"/>
          <w:lang w:bidi="fa-IR"/>
        </w:rPr>
        <w:t xml:space="preserve">و الصیمری </w:t>
      </w:r>
      <w:r>
        <w:rPr>
          <w:rStyle w:val="FootnoteAnchor"/>
          <w:rtl w:val="true"/>
        </w:rPr>
        <w:footnoteReference w:id="202"/>
      </w:r>
      <w:r>
        <w:rPr>
          <w:rFonts w:ascii="IRNazanin" w:hAnsi="IRNazanin" w:eastAsia="IRNazanin"/>
          <w:color w:val="111111"/>
          <w:sz w:val="28"/>
          <w:sz w:val="28"/>
          <w:szCs w:val="28"/>
          <w:rtl w:val="true"/>
          <w:lang w:bidi="fa-IR"/>
        </w:rPr>
        <w:t xml:space="preserve">و ابن فهد </w:t>
      </w:r>
      <w:r>
        <w:rPr>
          <w:rStyle w:val="FootnoteAnchor"/>
          <w:rtl w:val="true"/>
        </w:rPr>
        <w:footnoteReference w:id="203"/>
      </w:r>
      <w:r>
        <w:rPr>
          <w:rFonts w:ascii="IRNazanin" w:hAnsi="IRNazanin" w:eastAsia="IRNazanin"/>
          <w:color w:val="111111"/>
          <w:sz w:val="28"/>
          <w:sz w:val="28"/>
          <w:szCs w:val="28"/>
          <w:rtl w:val="true"/>
          <w:lang w:bidi="fa-IR"/>
        </w:rPr>
        <w:t xml:space="preserve">و غیرهم من متأخّری المتأخّرین </w:t>
      </w:r>
      <w:r>
        <w:rPr>
          <w:rStyle w:val="FootnoteAnchor"/>
          <w:rtl w:val="true"/>
        </w:rPr>
        <w:footnoteReference w:id="204"/>
      </w:r>
      <w:r>
        <w:rPr>
          <w:rFonts w:ascii="IRNazanin" w:hAnsi="IRNazanin" w:eastAsia="IRNazanin"/>
          <w:color w:val="111111"/>
          <w:sz w:val="28"/>
          <w:sz w:val="28"/>
          <w:szCs w:val="28"/>
          <w:rtl w:val="true"/>
          <w:lang w:bidi="fa-IR"/>
        </w:rPr>
        <w:t xml:space="preserve">،عدا قلیل وافق المحقّق </w:t>
      </w:r>
      <w:r>
        <w:rPr>
          <w:rStyle w:val="FootnoteAnchor"/>
          <w:rtl w:val="true"/>
        </w:rPr>
        <w:footnoteReference w:id="205"/>
      </w:r>
      <w:r>
        <w:rPr>
          <w:rFonts w:ascii="IRNazanin" w:hAnsi="IRNazanin" w:eastAsia="IRNazanin"/>
          <w:color w:val="111111"/>
          <w:sz w:val="28"/>
          <w:sz w:val="28"/>
          <w:szCs w:val="28"/>
          <w:rtl w:val="true"/>
          <w:lang w:bidi="fa-IR"/>
        </w:rPr>
        <w:t xml:space="preserve">کالسبزواری </w:t>
      </w:r>
      <w:r>
        <w:rPr>
          <w:rStyle w:val="FootnoteAnchor"/>
          <w:rtl w:val="true"/>
        </w:rPr>
        <w:footnoteReference w:id="206"/>
      </w:r>
      <w:r>
        <w:rPr>
          <w:rFonts w:ascii="IRNazanin" w:hAnsi="IRNazanin" w:eastAsia="IRNazanin"/>
          <w:color w:val="111111"/>
          <w:sz w:val="28"/>
          <w:sz w:val="28"/>
          <w:szCs w:val="28"/>
          <w:rtl w:val="true"/>
          <w:lang w:bidi="fa-IR"/>
        </w:rPr>
        <w:t xml:space="preserve">و التقیّ المجلسی </w:t>
      </w:r>
      <w:r>
        <w:rPr>
          <w:rStyle w:val="FootnoteAnchor"/>
          <w:rtl w:val="true"/>
        </w:rPr>
        <w:footnoteReference w:id="207"/>
      </w:r>
      <w:r>
        <w:rPr>
          <w:rFonts w:ascii="IRNazanin" w:hAnsi="IRNazanin" w:eastAsia="IRNazanin"/>
          <w:color w:val="111111"/>
          <w:sz w:val="28"/>
          <w:sz w:val="28"/>
          <w:szCs w:val="28"/>
          <w:rtl w:val="true"/>
          <w:lang w:bidi="fa-IR"/>
        </w:rPr>
        <w:t xml:space="preserve">و صاحب الحدائق </w:t>
      </w:r>
      <w:r>
        <w:rPr>
          <w:rStyle w:val="FootnoteAnchor"/>
          <w:rtl w:val="true"/>
        </w:rPr>
        <w:footnoteReference w:id="208"/>
      </w:r>
      <w:r>
        <w:rPr>
          <w:rFonts w:ascii="IRNazanin" w:hAnsi="IRNazanin" w:eastAsia="IRNazanin"/>
          <w:color w:val="111111"/>
          <w:sz w:val="28"/>
          <w:sz w:val="28"/>
          <w:szCs w:val="28"/>
          <w:rtl w:val="true"/>
          <w:lang w:bidi="fa-IR"/>
        </w:rPr>
        <w:t xml:space="preserve">و العلّامة الطباطبائی فی مصابیحه </w:t>
      </w:r>
      <w:r>
        <w:rPr>
          <w:rStyle w:val="FootnoteAnchor"/>
          <w:rtl w:val="true"/>
        </w:rPr>
        <w:footnoteReference w:id="209"/>
      </w:r>
      <w:r>
        <w:rPr>
          <w:rFonts w:ascii="IRNazanin" w:hAnsi="IRNazanin" w:eastAsia="IRNazanin"/>
          <w:color w:val="111111"/>
          <w:sz w:val="28"/>
          <w:sz w:val="28"/>
          <w:szCs w:val="28"/>
          <w:rtl w:val="true"/>
          <w:lang w:bidi="fa-IR"/>
        </w:rPr>
        <w:t xml:space="preserve">و فقیه عصره فی شرح القواعد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الأوفق بالعمومات المتقدّمة المانعة؛إذ لم نجد مخصّصاً لها سوی ما أرسله فی المبسوط من أنّه روی ذلک </w:t>
      </w:r>
      <w:r>
        <w:rPr>
          <w:rStyle w:val="FootnoteAnchor"/>
          <w:rtl w:val="true"/>
        </w:rPr>
        <w:footnoteReference w:id="211"/>
      </w:r>
      <w:r>
        <w:rPr>
          <w:rFonts w:ascii="IRNazanin" w:hAnsi="IRNazanin" w:eastAsia="IRNazanin"/>
          <w:color w:val="111111"/>
          <w:sz w:val="28"/>
          <w:sz w:val="28"/>
          <w:szCs w:val="28"/>
          <w:rtl w:val="true"/>
          <w:lang w:bidi="fa-IR"/>
        </w:rPr>
        <w:t>،یعنی جواز البیع فی کلب الماشیة و الحائط،المنجبر قصور سنده و دلالته لکون المنقول مضمون الروایة لا معناها و لا ترجمتها باشتهاره بین المتأخّرین، بل ظهور الاتّفاق المستفاد من قول الشیخ فی کتاب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w:t>
      </w:r>
    </w:p>
    <w:p>
      <w:pPr>
        <w:pStyle w:val="BookText"/>
        <w:rPr/>
      </w:pPr>
      <w:r>
        <w:rPr>
          <w:rFonts w:ascii="IRNazanin" w:hAnsi="IRNazanin" w:eastAsia="IRNazanin"/>
          <w:color w:val="111111"/>
          <w:sz w:val="28"/>
          <w:sz w:val="28"/>
          <w:szCs w:val="28"/>
          <w:rtl w:val="true"/>
          <w:lang w:bidi="fa-IR"/>
        </w:rPr>
        <w:t xml:space="preserve">لم یفرّق بین بیع هذه الکلاب و إجارتها </w:t>
      </w:r>
      <w:r>
        <w:rPr>
          <w:rStyle w:val="FootnoteAnchor"/>
          <w:rtl w:val="true"/>
        </w:rPr>
        <w:footnoteReference w:id="212"/>
      </w:r>
      <w:r>
        <w:rPr>
          <w:rFonts w:ascii="IRNazanin" w:hAnsi="IRNazanin" w:eastAsia="IRNazanin"/>
          <w:color w:val="111111"/>
          <w:sz w:val="28"/>
          <w:sz w:val="28"/>
          <w:szCs w:val="28"/>
          <w:rtl w:val="true"/>
          <w:lang w:bidi="fa-IR"/>
        </w:rPr>
        <w:t>بعد ملاحظة الاتّفاق علی صحّة إجارتها،و من قوله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بیع هذه الکلاب عندنا </w:t>
      </w:r>
      <w:r>
        <w:rPr>
          <w:rStyle w:val="FootnoteAnchor"/>
          <w:rtl w:val="true"/>
        </w:rPr>
        <w:footnoteReference w:id="213"/>
      </w:r>
      <w:r>
        <w:rPr>
          <w:rFonts w:ascii="IRNazanin" w:hAnsi="IRNazanin" w:eastAsia="IRNazanin"/>
          <w:color w:val="111111"/>
          <w:sz w:val="28"/>
          <w:sz w:val="28"/>
          <w:szCs w:val="28"/>
          <w:rtl w:val="true"/>
          <w:lang w:bidi="fa-IR"/>
        </w:rPr>
        <w:t>، و من المحکیّ عن الشهید فی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أحداً لم یفرّق بین الکلاب الأربعة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هذه الدعاوی قرینة علی حمل کلام من اقتصر علی کلب الصید علی المثال لمطلق ما ینتفع به منفعة محلّلة مقصودة،کما یظهر ذلک من عبارة ابن زهرة فی الغنیة؛حیث اعتبر أوّلاً فی المبیع أن یکون ممّا ینتفع به منفعة محلّلة مقصودة،ثمّ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احترزنا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 منفعة 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یحرم الانتفاع به،و یدخل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النجس </w:t>
      </w:r>
      <w:r>
        <w:rPr>
          <w:rStyle w:val="FootnoteAnchor"/>
          <w:rtl w:val="true"/>
        </w:rPr>
        <w:footnoteReference w:id="215"/>
      </w:r>
      <w:r>
        <w:rPr>
          <w:rFonts w:ascii="IRNazanin" w:hAnsi="IRNazanin" w:eastAsia="IRNazanin"/>
          <w:color w:val="111111"/>
          <w:sz w:val="28"/>
          <w:sz w:val="28"/>
          <w:szCs w:val="28"/>
          <w:rtl w:val="true"/>
          <w:lang w:bidi="fa-IR"/>
        </w:rPr>
        <w:t xml:space="preserve">إلّا ما خرج بالدلیل،من الکلب </w:t>
      </w:r>
      <w:r>
        <w:rPr>
          <w:rStyle w:val="FootnoteAnchor"/>
          <w:rtl w:val="true"/>
        </w:rPr>
        <w:footnoteReference w:id="216"/>
      </w:r>
      <w:r>
        <w:rPr>
          <w:rFonts w:ascii="IRNazanin" w:hAnsi="IRNazanin" w:eastAsia="IRNazanin"/>
          <w:color w:val="111111"/>
          <w:sz w:val="28"/>
          <w:sz w:val="28"/>
          <w:szCs w:val="28"/>
          <w:rtl w:val="true"/>
          <w:lang w:bidi="fa-IR"/>
        </w:rPr>
        <w:t xml:space="preserve">المعلّم للصید،و الزیت النجس لفائدة الاستصباح </w:t>
      </w:r>
      <w:r>
        <w:rPr>
          <w:rStyle w:val="FootnoteAnchor"/>
          <w:rtl w:val="true"/>
        </w:rPr>
        <w:footnoteReference w:id="217"/>
      </w:r>
      <w:r>
        <w:rPr>
          <w:rFonts w:ascii="IRNazanin" w:hAnsi="IRNazanin" w:eastAsia="IRNazanin"/>
          <w:color w:val="111111"/>
          <w:sz w:val="28"/>
          <w:sz w:val="28"/>
          <w:szCs w:val="28"/>
          <w:rtl w:val="true"/>
          <w:lang w:bidi="fa-IR"/>
        </w:rPr>
        <w:t xml:space="preserve">تحت السماء </w:t>
      </w:r>
      <w:r>
        <w:rPr>
          <w:rStyle w:val="FootnoteAnchor"/>
          <w:rtl w:val="true"/>
        </w:rPr>
        <w:footnoteReference w:id="218"/>
      </w:r>
      <w:r>
        <w:rPr>
          <w:rFonts w:ascii="IRNazanin" w:hAnsi="IRNazanin" w:eastAsia="IRNazanin"/>
          <w:color w:val="111111"/>
          <w:sz w:val="28"/>
          <w:sz w:val="28"/>
          <w:szCs w:val="28"/>
          <w:rtl w:val="true"/>
          <w:lang w:bidi="fa-IR"/>
        </w:rPr>
        <w:t>،و من المعلوم بالإجماع و السیرة جواز الانتفاع بهذه الکلاب منفعة محلّلة مقصودة أهمّ من منفعة الصید،فیجوز بیعها لوجود القید الذی اعتبره فیها،و أنّ المنع من بیع النجس منوط بحرمة الانتفاع فینتفی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کلّه ما فی التذکرة من أنّ المقتضی لجواز بیع کلب الصید أعنی المنفعة موجود فی هذه الکلاب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رحمه اللّه فی مواضع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تقدیر الدیة لها یدلّ علی مقابلتها بالمال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ضُعِّف الأوّل برجوعه إلی القیاس،و الثانی بأنّ الدیة لو لم تدلّ علی عدم التملّک و إلّا لکان الواجب القیمة کائنة ما کانت لم تدلّ علی التملّک؛لاحتمال کون الدیة من باب تعیین غرامة معیّنة لتفویت شیء ینتفع به،لا لإتلاف مال،کما فی إتلاف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نحوهما فی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انجبار المرسلة </w:t>
      </w:r>
      <w:r>
        <w:rPr>
          <w:rStyle w:val="FootnoteAnchor"/>
          <w:rtl w:val="true"/>
        </w:rPr>
        <w:footnoteReference w:id="221"/>
      </w:r>
      <w:r>
        <w:rPr>
          <w:rFonts w:ascii="IRNazanin" w:hAnsi="IRNazanin" w:eastAsia="IRNazanin"/>
          <w:color w:val="111111"/>
          <w:sz w:val="28"/>
          <w:sz w:val="28"/>
          <w:szCs w:val="28"/>
          <w:rtl w:val="true"/>
          <w:lang w:bidi="fa-IR"/>
        </w:rPr>
        <w:t xml:space="preserve">بدعوی الاتّفاق المتقدّم عن الشیخ و العلّامة و الشهید قدّس اللّه أسرارهم </w:t>
      </w:r>
      <w:r>
        <w:rPr>
          <w:rStyle w:val="FootnoteAnchor"/>
          <w:rtl w:val="true"/>
        </w:rPr>
        <w:footnoteReference w:id="222"/>
      </w:r>
      <w:r>
        <w:rPr>
          <w:rFonts w:ascii="IRNazanin" w:hAnsi="IRNazanin" w:eastAsia="IRNazanin"/>
          <w:color w:val="111111"/>
          <w:sz w:val="28"/>
          <w:sz w:val="28"/>
          <w:szCs w:val="28"/>
          <w:rtl w:val="true"/>
          <w:lang w:bidi="fa-IR"/>
        </w:rPr>
        <w:t>لوهنها بعد الإغماض عن معارضتها بظاهر عبارتی الخلاف و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الإجماع علی عدم جواز بیع </w:t>
      </w:r>
      <w:r>
        <w:rPr>
          <w:rStyle w:val="FootnoteAnchor"/>
          <w:rtl w:val="true"/>
        </w:rPr>
        <w:footnoteReference w:id="223"/>
      </w:r>
      <w:r>
        <w:rPr>
          <w:rFonts w:ascii="IRNazanin" w:hAnsi="IRNazanin" w:eastAsia="IRNazanin"/>
          <w:color w:val="111111"/>
          <w:sz w:val="28"/>
          <w:sz w:val="28"/>
          <w:szCs w:val="28"/>
          <w:rtl w:val="true"/>
          <w:lang w:bidi="fa-IR"/>
        </w:rPr>
        <w:t xml:space="preserve">غیر المعلّم من الکلاب </w:t>
      </w:r>
      <w:r>
        <w:rPr>
          <w:rStyle w:val="FootnoteAnchor"/>
          <w:rtl w:val="true"/>
        </w:rPr>
        <w:footnoteReference w:id="224"/>
      </w:r>
      <w:r>
        <w:rPr>
          <w:rFonts w:ascii="IRNazanin" w:hAnsi="IRNazanin" w:eastAsia="IRNazanin"/>
          <w:color w:val="111111"/>
          <w:sz w:val="28"/>
          <w:sz w:val="28"/>
          <w:szCs w:val="28"/>
          <w:rtl w:val="true"/>
          <w:lang w:bidi="fa-IR"/>
        </w:rPr>
        <w:t>بوجدان الخلاف العظیم من أهل الروایة و الفتوی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ادّعی الإجماع أمکن منع وهنها بمجرّد الخلاف و لو من الکثیر بناءً علی ما سلکه بعض متأخّری المتأخّرین فی الإجماع من کونه منوطاً بحصول الکشف من اتّفاق جماعة و لو خالفهم أکثر منهم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دعوی الإجماع ممّن لم یصطلح الإجماع علی مثل هذا الاتّفاق لا یعبأ بها </w:t>
      </w:r>
      <w:r>
        <w:rPr>
          <w:rStyle w:val="FootnoteAnchor"/>
          <w:rtl w:val="true"/>
        </w:rPr>
        <w:footnoteReference w:id="226"/>
      </w:r>
      <w:r>
        <w:rPr>
          <w:rFonts w:ascii="IRNazanin" w:hAnsi="IRNazanin" w:eastAsia="IRNazanin"/>
          <w:color w:val="111111"/>
          <w:sz w:val="28"/>
          <w:sz w:val="28"/>
          <w:szCs w:val="28"/>
          <w:rtl w:val="true"/>
          <w:lang w:bidi="fa-IR"/>
        </w:rPr>
        <w:t>عند وجدان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شهرة الفتوی بین المتأخّرین فلا تجبر الروایة،خصوصاً مع مخالفة کثیر من القدماء </w:t>
      </w:r>
      <w:r>
        <w:rPr>
          <w:rStyle w:val="FootnoteAnchor"/>
          <w:rtl w:val="true"/>
        </w:rPr>
        <w:footnoteReference w:id="227"/>
      </w:r>
      <w:r>
        <w:rPr>
          <w:rFonts w:ascii="IRNazanin" w:hAnsi="IRNazanin" w:eastAsia="IRNazanin"/>
          <w:color w:val="111111"/>
          <w:sz w:val="28"/>
          <w:sz w:val="28"/>
          <w:szCs w:val="28"/>
          <w:rtl w:val="true"/>
          <w:lang w:bidi="fa-IR"/>
        </w:rPr>
        <w:t xml:space="preserve">،و مع کثرة العمومات الواردة فی مقام الحاجة، و خلوّ کتب الروایة المشهورة عنها </w:t>
      </w:r>
      <w:r>
        <w:rPr>
          <w:rStyle w:val="FootnoteAnchor"/>
          <w:rtl w:val="true"/>
        </w:rPr>
        <w:footnoteReference w:id="228"/>
      </w:r>
      <w:r>
        <w:rPr>
          <w:rFonts w:ascii="Amiri" w:hAnsi="Amiri" w:eastAsia="Amiri" w:cs="Amiri"/>
          <w:color w:val="111111"/>
          <w:sz w:val="28"/>
          <w:sz w:val="28"/>
          <w:szCs w:val="28"/>
          <w:rtl w:val="true"/>
          <w:lang w:bidi="ar-SA"/>
        </w:rPr>
        <w:t xml:space="preserve">حتّی أنّ الشیخ لم یذکرها </w:t>
      </w:r>
      <w:r>
        <w:rPr>
          <w:rStyle w:val="FootnoteAnchor"/>
          <w:rtl w:val="true"/>
        </w:rPr>
        <w:footnoteReference w:id="229"/>
      </w:r>
      <w:r>
        <w:rPr>
          <w:rFonts w:ascii="IRNazanin" w:hAnsi="IRNazanin" w:eastAsia="IRNazanin"/>
          <w:color w:val="111111"/>
          <w:sz w:val="28"/>
          <w:sz w:val="28"/>
          <w:szCs w:val="28"/>
          <w:rtl w:val="true"/>
          <w:lang w:bidi="fa-IR"/>
        </w:rPr>
        <w:t xml:space="preserve">فی جامعه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حمل کلمات القدماء علی المثال،ففی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کلام ابن زهرة المتقدّم </w:t>
      </w:r>
      <w:r>
        <w:rPr>
          <w:rStyle w:val="FootnoteAnchor"/>
          <w:rtl w:val="true"/>
        </w:rPr>
        <w:footnoteReference w:id="231"/>
      </w:r>
      <w:r>
        <w:rPr>
          <w:rFonts w:ascii="IRNazanin" w:hAnsi="IRNazanin" w:eastAsia="IRNazanin"/>
          <w:color w:val="111111"/>
          <w:sz w:val="28"/>
          <w:sz w:val="28"/>
          <w:szCs w:val="28"/>
          <w:rtl w:val="true"/>
          <w:lang w:bidi="fa-IR"/>
        </w:rPr>
        <w:t>فهو مختلّ علی کلّ حال؛لأنّه استثنی الکلب المعلّم عمّا یحرم الانتفاع به،مع أنّ الإجماع علی جواز الانتفاع بالکافر،فحمل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المثال لا یصحّح کلامه، إلّا أن یرید کونه مثالاً و لو للکافر أیضاً،کما أنّ استثناء الزیت من باب المثال لسائر الأدهان المتنجّسة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الحاصل من شهرة الجواز بین المتأخّرین بضمیمة أمارات الملک فی هذه الکلاب یوجب الظنّ بالجواز حتّی فی غیر هذه الکلاب،مثل کلاب الدور و الخیام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فالمسألة لا تخلو عن إشکال،و إن کان الأقوی بحسب الأدلّة و الأحوط فی العمل هو المنع،فافهم</w:t>
      </w:r>
      <w:r>
        <w:rPr>
          <w:rFonts w:eastAsia="IRNazanin" w:cs="IRNazanin"/>
          <w:color w:val="111111"/>
          <w:sz w:val="28"/>
          <w:szCs w:val="28"/>
          <w:rtl w:val="true"/>
          <w:lang w:bidi="fa-IR"/>
        </w:rPr>
        <w:t>.</w:t>
      </w:r>
      <w:bookmarkStart w:id="81" w:name="pg19762_189311"/>
    </w:p>
    <w:p>
      <w:pPr>
        <w:pStyle w:val="Heading5"/>
        <w:numPr>
          <w:ilvl w:val="4"/>
          <w:numId w:val="1"/>
        </w:numPr>
        <w:rPr/>
      </w:pPr>
      <w:bookmarkStart w:id="82" w:name="__RefHeading___Toc5003498_2314609296"/>
      <w:bookmarkStart w:id="83" w:name="_Toc32"/>
      <w:bookmarkEnd w:id="81"/>
      <w:bookmarkEnd w:id="82"/>
      <w:r>
        <w:rPr>
          <w:rtl w:val="true"/>
        </w:rPr>
        <w:t>[</w:t>
      </w:r>
      <w:r>
        <w:rPr>
          <w:rtl w:val="true"/>
        </w:rPr>
        <w:t>المسألة</w:t>
      </w:r>
      <w:r>
        <w:rPr>
          <w:rtl w:val="true"/>
        </w:rPr>
        <w:t>]</w:t>
      </w:r>
      <w:r>
        <w:rPr>
          <w:rtl w:val="true"/>
        </w:rPr>
        <w:t>الثالثة الأقوی جواز المعاوضة علی العصیر العنبی إذا غلی و لم یذهب ثلثاه و إن کان نجساً؛</w:t>
      </w:r>
      <w:bookmarkEnd w:id="83"/>
    </w:p>
    <w:p>
      <w:pPr>
        <w:pStyle w:val="BookText"/>
        <w:rPr/>
      </w:pPr>
      <w:r>
        <w:rPr>
          <w:rFonts w:ascii="IRNazanin" w:hAnsi="IRNazanin" w:eastAsia="IRNazanin"/>
          <w:color w:val="111111"/>
          <w:sz w:val="28"/>
          <w:sz w:val="28"/>
          <w:szCs w:val="28"/>
          <w:rtl w:val="true"/>
          <w:lang w:bidi="fa-IR"/>
        </w:rPr>
        <w:t>لعمومات البیع و التجارة الصادقة علیها،بناءً علی أنّه مال قابل للانتفاع به بعد طهارته بالنقص،لأصالة بقاء مالیّته و عدم خروجه عنها بالنجاسة،غایة الأمر أنّه مال معیوب قابل لزوال 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لو غصب عصیراً فأغلاه حتّی حرم و نجس لم یکن فی حکم التالف،بل وجب علیه ردّه،و وجب علیه غرامة الثلثین و أُجرة العمل فیه حتّی یذهب الثلثان کما صرّح به فی التذکرة </w:t>
      </w:r>
      <w:r>
        <w:rPr>
          <w:rStyle w:val="FootnoteAnchor"/>
          <w:rtl w:val="true"/>
        </w:rPr>
        <w:footnoteReference w:id="232"/>
      </w:r>
      <w:r>
        <w:rPr>
          <w:rFonts w:ascii="IRNazanin" w:hAnsi="IRNazanin" w:eastAsia="IRNazanin"/>
          <w:color w:val="111111"/>
          <w:sz w:val="28"/>
          <w:sz w:val="28"/>
          <w:szCs w:val="28"/>
          <w:rtl w:val="true"/>
          <w:lang w:bidi="fa-IR"/>
        </w:rPr>
        <w:t>معلّلاً لغرامة الأُجرة بأنّه ردّه معیباً و یحتاج زوال العیب إلی خسارة،و العیب من فعله،فکانت الخسارة علیه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نعم،ناقشه فی جامع المقاصد </w:t>
      </w:r>
      <w:r>
        <w:rPr>
          <w:rStyle w:val="FootnoteAnchor"/>
          <w:rtl w:val="true"/>
        </w:rPr>
        <w:footnoteReference w:id="233"/>
      </w:r>
      <w:r>
        <w:rPr>
          <w:rFonts w:ascii="IRNazanin" w:hAnsi="IRNazanin" w:eastAsia="IRNazanin"/>
          <w:color w:val="111111"/>
          <w:sz w:val="28"/>
          <w:sz w:val="28"/>
          <w:szCs w:val="28"/>
          <w:rtl w:val="true"/>
          <w:lang w:bidi="fa-IR"/>
        </w:rPr>
        <w:t>فی الفرق بین هذا و بین ما لو غصبه عصیراً فصار خمراً،حیث حکم فیه بوجوب غرامة مثل العصیر؛لأنّ المالیّة قد فاتت تحت یده فکان علیه ضمانها کما لو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یخفی الفرق الواضح بین العصیر إذا غلی و بینه إذا صار خمراً؛فإنّ العصیر بعد الغلیان مال عرفاً و شرعاً،و النجاسة إنّما تمنع من المالیّة إذا لم یقبل التطهیر،کالخمر فإنّها لا یزول نجاستها </w:t>
      </w:r>
      <w:r>
        <w:rPr>
          <w:rStyle w:val="FootnoteAnchor"/>
          <w:rtl w:val="true"/>
        </w:rPr>
        <w:footnoteReference w:id="234"/>
      </w:r>
      <w:r>
        <w:rPr>
          <w:rFonts w:ascii="IRNazanin" w:hAnsi="IRNazanin" w:eastAsia="IRNazanin"/>
          <w:color w:val="111111"/>
          <w:sz w:val="28"/>
          <w:sz w:val="28"/>
          <w:szCs w:val="28"/>
          <w:rtl w:val="true"/>
          <w:lang w:bidi="fa-IR"/>
        </w:rPr>
        <w:t>إلّا بزوال موضوعها؛بخلاف العصیر،فإنّه یزول نجاسته بنقصه،نظیر طهارة ماء البئر بالنزح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بالجملة،فالنجاسة فیه و حرمة الشرب عرضیّة تعرضانه فی حال متوسّط بین حالَتَی طهارته،فحکمه حکم النجس بالعرض القابل للتطهیر،فلا یشمله قوله علیه السلام 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و لا یدخل تحت 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حرّم اللّه شیئاً حرّم ثمنه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لأنّ الظاهر منهما </w:t>
      </w:r>
      <w:r>
        <w:rPr>
          <w:rStyle w:val="FootnoteAnchor"/>
          <w:rtl w:val="true"/>
        </w:rPr>
        <w:footnoteReference w:id="237"/>
      </w:r>
      <w:r>
        <w:rPr>
          <w:rFonts w:ascii="IRNazanin" w:hAnsi="IRNazanin" w:eastAsia="IRNazanin"/>
          <w:color w:val="111111"/>
          <w:sz w:val="28"/>
          <w:sz w:val="28"/>
          <w:szCs w:val="28"/>
          <w:rtl w:val="true"/>
          <w:lang w:bidi="fa-IR"/>
        </w:rPr>
        <w:t>العنوانات النجسة و المحرّمة بقول مطلق، لا ما تعرضانه فی حالٍ دون حال،فیقال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فی حال کذا، أو ینجس </w:t>
      </w:r>
      <w:r>
        <w:rPr>
          <w:rStyle w:val="FootnoteAnchor"/>
          <w:rtl w:val="true"/>
        </w:rPr>
        <w:footnoteReference w:id="238"/>
      </w:r>
      <w:r>
        <w:rPr>
          <w:rFonts w:ascii="IRNazanin" w:hAnsi="IRNazanin" w:eastAsia="IRNazanin"/>
          <w:color w:val="111111"/>
          <w:sz w:val="28"/>
          <w:sz w:val="28"/>
          <w:szCs w:val="28"/>
          <w:rtl w:val="true"/>
          <w:lang w:bidi="fa-IR"/>
        </w:rPr>
        <w:t>فی حال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یظهر عدم شمول معقد إجماع التذکرة </w:t>
      </w:r>
      <w:r>
        <w:rPr>
          <w:rStyle w:val="FootnoteAnchor"/>
          <w:rtl w:val="true"/>
        </w:rPr>
        <w:footnoteReference w:id="239"/>
      </w:r>
      <w:r>
        <w:rPr>
          <w:rFonts w:ascii="IRNazanin" w:hAnsi="IRNazanin" w:eastAsia="IRNazanin"/>
          <w:color w:val="111111"/>
          <w:sz w:val="28"/>
          <w:sz w:val="28"/>
          <w:szCs w:val="28"/>
          <w:rtl w:val="true"/>
          <w:lang w:bidi="fa-IR"/>
        </w:rPr>
        <w:t>علی فساد بیع نجس العین للعصیر؛لأنّ المراد بالعین هی الحقیقة،و العصیر لیس کذلک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ینسب جواز بیع العصیر إلی کلّ مَن قیّد الأعیان النجسة المحرّم بیعها بعدم قابلیّتها للتطهیر،و لم أجد مصرّحاً بالخلاف،</w:t>
      </w:r>
    </w:p>
    <w:p>
      <w:pPr>
        <w:pStyle w:val="BookText"/>
        <w:rPr/>
      </w:pPr>
      <w:r>
        <w:rPr>
          <w:rFonts w:ascii="IRNazanin" w:hAnsi="IRNazanin" w:eastAsia="IRNazanin"/>
          <w:color w:val="111111"/>
          <w:sz w:val="28"/>
          <w:sz w:val="28"/>
          <w:szCs w:val="28"/>
          <w:rtl w:val="true"/>
          <w:lang w:bidi="fa-IR"/>
        </w:rPr>
        <w:t>عدا ما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الظاهر المنع </w:t>
      </w:r>
      <w:r>
        <w:rPr>
          <w:rStyle w:val="FootnoteAnchor"/>
          <w:rtl w:val="true"/>
        </w:rPr>
        <w:footnoteReference w:id="240"/>
      </w:r>
      <w:r>
        <w:rPr>
          <w:rFonts w:ascii="IRNazanin" w:hAnsi="IRNazanin" w:eastAsia="IRNazanin"/>
          <w:color w:val="111111"/>
          <w:sz w:val="28"/>
          <w:sz w:val="28"/>
          <w:szCs w:val="28"/>
          <w:rtl w:val="true"/>
          <w:lang w:bidi="fa-IR"/>
        </w:rPr>
        <w:t>للعمومات المتقدّمة و خصوص بعض الأخبار،مثل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غلی فلا یحلّ بیعه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و روایة أبی بصیر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بعته قبل أن یکون خمراً و هو حلال فلا بأس</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مرسل ابن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عن حاله و غلی فلا خیر فیه</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بناءً علی أنّ الخیر المنفیّ یشمل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الجمیع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العمومات،فلما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الأدلّة الخاصّة،فهی مسوقة للنهی عن بیعه بعد الغلیان نظیر بیع الدبس و الخلّ من غیر اعتبار إعلام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هذا النهی کنایة عن عدم جواز الانتفاع ما لم یذهب ثلثاه،فلا یشمل بیعه بقصد التطهیر مع إعلام المشتری،نظیر بیع الماء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بالجملة،فلو لم یکن إلّا استصحاب مالیّته و جواز بیعه کفی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أعثر علی من تعرّض للمسألة صریحاً،عدا جماعة من المعاصرین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المحقّق الثانی فی حاشیة الإرشاد فی ذیل قول</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ببیع ما عرض له التنجیس مع قبوله </w:t>
      </w:r>
      <w:r>
        <w:rPr>
          <w:rStyle w:val="FootnoteAnchor"/>
          <w:rtl w:val="true"/>
        </w:rPr>
        <w:footnoteReference w:id="246"/>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الاستشکال بلزوم عدم جواز بیع الأصباغ المتنجّسة بعدم قبولها التطهیر،و دفع ذلک بقبولها له بعد الجفاف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تنجّس العصیر و نحوه فهل یجوز بیعه علی مَن یستحلّه؟فیه 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ذکر أنّ الأقوی العدم؛لعموم وَ لاٰ تَعٰاوَنُوا عَلَی الْإِثْمِ وَ الْعُدْوٰانِ </w:t>
      </w:r>
      <w:r>
        <w:rPr>
          <w:rStyle w:val="FootnoteAnchor"/>
          <w:rtl w:val="true"/>
        </w:rPr>
        <w:footnoteReference w:id="248"/>
      </w:r>
      <w:r>
        <w:rPr>
          <w:rFonts w:ascii="IRNazanin" w:hAnsi="IRNazanin" w:eastAsia="IRNazanin"/>
          <w:color w:val="111111"/>
          <w:sz w:val="28"/>
          <w:sz w:val="28"/>
          <w:szCs w:val="28"/>
          <w:rtl w:val="true"/>
          <w:lang w:bidi="fa-IR"/>
        </w:rPr>
        <w:t xml:space="preserve">،انتهی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الظاهر،أنّه أراد بیع العصیر للشرب من غیر التثلیث،کما یظهر من ذکر المشتری و الدلیل،فلا یظهر منه حکم بیعه علی من یطهّره</w:t>
      </w:r>
      <w:r>
        <w:rPr>
          <w:rFonts w:eastAsia="IRNazanin" w:cs="IRNazanin"/>
          <w:color w:val="111111"/>
          <w:sz w:val="28"/>
          <w:szCs w:val="28"/>
          <w:rtl w:val="true"/>
          <w:lang w:bidi="fa-IR"/>
        </w:rPr>
        <w:t>.</w:t>
      </w:r>
      <w:bookmarkStart w:id="84" w:name="pg19762_189315"/>
    </w:p>
    <w:p>
      <w:pPr>
        <w:pStyle w:val="BookText"/>
        <w:rPr/>
      </w:pPr>
      <w:bookmarkEnd w:id="84"/>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5003500_2314609296"/>
      <w:bookmarkStart w:id="86" w:name="_Toc33"/>
      <w:bookmarkEnd w:id="85"/>
      <w:r>
        <w:rPr>
          <w:rtl w:val="true"/>
        </w:rPr>
        <w:t>المسألة</w:t>
      </w:r>
      <w:r>
        <w:rPr>
          <w:rtl w:val="true"/>
        </w:rPr>
        <w:t>]</w:t>
      </w:r>
      <w:r>
        <w:rPr>
          <w:rtl w:val="true"/>
        </w:rPr>
        <w:t>الرابعة یجوز المعاوضة علی الدهن المتنجّس</w:t>
      </w:r>
      <w:bookmarkEnd w:id="86"/>
    </w:p>
    <w:p>
      <w:pPr>
        <w:pStyle w:val="Heading6"/>
        <w:numPr>
          <w:ilvl w:val="5"/>
          <w:numId w:val="1"/>
        </w:numPr>
        <w:rPr/>
      </w:pPr>
      <w:bookmarkStart w:id="87" w:name="__RefHeading___Toc5003502_2314609296"/>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علی المعروف من مذهب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هذا من المستثنی عن بیع الأعیان النجسة مبنیّ علی المنع من الانتفاع بالمتنجّس إلّا ما خرج بالدلیل،أو علی المنع من بیع المتنجّس و إن جاز الانتفاع به نفعاً مقصوداً محلّلاً،و إلّا کان الاستثناء منقطعاً من حیث إنّ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فیه منفعة محلّلة مقصودة من النجاسات و المتنجّسات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أنّ المنع عن بیع النجس فضلاً عن المتنجّس لیس إلّا من حیث حرمة المنفعة المقصودة </w:t>
      </w:r>
      <w:r>
        <w:rPr>
          <w:rStyle w:val="FootnoteAnchor"/>
          <w:rtl w:val="true"/>
        </w:rPr>
        <w:footnoteReference w:id="250"/>
      </w:r>
      <w:r>
        <w:rPr>
          <w:rFonts w:ascii="IRNazanin" w:hAnsi="IRNazanin" w:eastAsia="IRNazanin"/>
          <w:color w:val="111111"/>
          <w:sz w:val="28"/>
          <w:sz w:val="28"/>
          <w:szCs w:val="28"/>
          <w:rtl w:val="true"/>
          <w:lang w:bidi="fa-IR"/>
        </w:rPr>
        <w:t>،فإذا فرض حلّها فلا مانع من البیع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الشهید الثانی فی المسالک خلاف ذلک،و أنّ جواز بیع الدهن للنصّ،لا لجواز الانتفاع به،و إلّا لاطّرد الجواز فی غیر الدهن أیضاً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حرمة الانتفاع بالمتنجّس إلّا ما خرج بالدلیل،فسیجیء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إشکال فی جواز بیع الدهن المذکور،و عن جماعة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الإجماع علیه فی الجملة،و الأخبار به </w:t>
      </w:r>
      <w:r>
        <w:rPr>
          <w:rStyle w:val="FootnoteAnchor"/>
          <w:rtl w:val="true"/>
        </w:rPr>
        <w:footnoteReference w:id="253"/>
      </w:r>
      <w:r>
        <w:rPr>
          <w:rFonts w:ascii="IRNazanin" w:hAnsi="IRNazanin" w:eastAsia="IRNazanin"/>
          <w:color w:val="111111"/>
          <w:sz w:val="28"/>
          <w:sz w:val="28"/>
          <w:szCs w:val="28"/>
          <w:rtl w:val="true"/>
          <w:lang w:bidi="fa-IR"/>
        </w:rPr>
        <w:t>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الصحیح،عن معاویة بن وهب،عن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جُرَذ مات فی سمن أو زیت أو عسل؟قال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السمن و العسل فیؤخذ الجُرَذ و ما حوله،و الزیت یستصبح به</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المحکیّ عن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یبیع ذلک الزیت،و یبیّنه </w:t>
      </w:r>
      <w:r>
        <w:rPr>
          <w:rStyle w:val="FootnoteAnchor"/>
          <w:rtl w:val="true"/>
        </w:rPr>
        <w:footnoteReference w:id="255"/>
      </w:r>
      <w:r>
        <w:rPr>
          <w:rFonts w:ascii="IRNazanin" w:hAnsi="IRNazanin" w:eastAsia="IRNazanin"/>
          <w:color w:val="111111"/>
          <w:sz w:val="28"/>
          <w:sz w:val="28"/>
          <w:szCs w:val="28"/>
          <w:rtl w:val="true"/>
          <w:lang w:bidi="fa-IR"/>
        </w:rPr>
        <w:t>لمن اشتراه لیستصبح به</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الفرق بین الزیت و أخویه من جهة کونه مائعاً غالباً،بخلاف السمن و العسل،و فی روایة إسماعیل الآتیة إشعار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الصحیح،عن سعید الأعرج </w:t>
      </w:r>
      <w:r>
        <w:rPr>
          <w:rStyle w:val="FootnoteAnchor"/>
          <w:rtl w:val="true"/>
        </w:rPr>
        <w:footnoteReference w:id="257"/>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الفأرة و الدابة تقع فی الطعام و الشراب فتموت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bookmarkStart w:id="89" w:name="pg19762_189317"/>
    </w:p>
    <w:p>
      <w:pPr>
        <w:pStyle w:val="BookText"/>
        <w:rPr/>
      </w:pPr>
      <w:bookmarkEnd w:id="89"/>
      <w:r>
        <w:rPr>
          <w:rFonts w:ascii="IRNazanin" w:hAnsi="IRNazanin" w:eastAsia="IRNazanin"/>
          <w:color w:val="111111"/>
          <w:sz w:val="28"/>
          <w:sz w:val="28"/>
          <w:szCs w:val="28"/>
          <w:rtl w:val="true"/>
          <w:lang w:bidi="fa-IR"/>
        </w:rPr>
        <w:t>سمناً أو عسلاً أو زیتاً،فإنّه ربّما یکون بعض هذا،فإن کان الشتاء فانزع ما حوله و کله،و إن کان الصیف فادفعه حتّی یسرج به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أبی بصیر 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الفأرة تقع فی السمن أو الزیت </w:t>
      </w:r>
      <w:r>
        <w:rPr>
          <w:rStyle w:val="FootnoteAnchor"/>
          <w:rtl w:val="true"/>
        </w:rPr>
        <w:footnoteReference w:id="259"/>
      </w:r>
      <w:r>
        <w:rPr>
          <w:rFonts w:ascii="IRNazanin" w:hAnsi="IRNazanin" w:eastAsia="IRNazanin"/>
          <w:color w:val="111111"/>
          <w:sz w:val="28"/>
          <w:sz w:val="28"/>
          <w:szCs w:val="28"/>
          <w:rtl w:val="true"/>
          <w:lang w:bidi="fa-IR"/>
        </w:rPr>
        <w:t>فتموت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جامداً فاطرحها و ما حولها و یؤکل ما بقی،و إن کان ذائباً فأسرج به و أعلمهم إذا بعته</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إسماعیل بن عبد الخالق،قال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سعید الأعرج السمّان و أنا حاضر عن السمن و الزیت و العسل تقع فیه الفأرة فتموت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یصنع به؟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الزیت فلا تبعه إلّا لمن تبیّن له فیبتاع للسراج،و أمّا الأکل فلا،و أمّا السمن فإن کان ذائباً فکذلک، و إن کان جامداً و الفأرة فی أعلاه فیؤخذ ما تحتها و ما حولها،ثمّ لا بأس به، و العسل کذلک إن کان جامداً</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0" w:name="__RefHeading___Toc5003504_2314609296"/>
      <w:bookmarkStart w:id="91" w:name="_Toc35"/>
      <w:bookmarkEnd w:id="90"/>
      <w:r>
        <w:rPr>
          <w:rtl w:val="true"/>
        </w:rPr>
        <w:t>فالإشکال یقع فی مواضع</w:t>
      </w:r>
      <w:r>
        <w:rPr>
          <w:rtl w:val="true"/>
        </w:rPr>
        <w:t>:</w:t>
      </w:r>
      <w:bookmarkStart w:id="92" w:name="pg19762_189318"/>
      <w:bookmarkEnd w:id="91"/>
    </w:p>
    <w:p>
      <w:pPr>
        <w:pStyle w:val="Heading6"/>
        <w:numPr>
          <w:ilvl w:val="5"/>
          <w:numId w:val="1"/>
        </w:numPr>
        <w:rPr/>
      </w:pPr>
      <w:bookmarkStart w:id="93" w:name="__RefHeading___Toc5003506_2314609296"/>
      <w:bookmarkStart w:id="94" w:name="_Toc36"/>
      <w:bookmarkEnd w:id="92"/>
      <w:bookmarkEnd w:id="93"/>
      <w:r>
        <w:rPr>
          <w:rtl w:val="true"/>
        </w:rPr>
        <w:t>الأوّل</w:t>
      </w:r>
      <w:r>
        <w:rPr>
          <w:rtl w:val="true"/>
        </w:rPr>
        <w:t>:</w:t>
      </w:r>
      <w:bookmarkEnd w:id="94"/>
    </w:p>
    <w:p>
      <w:pPr>
        <w:pStyle w:val="BookText"/>
        <w:rPr/>
      </w:pPr>
      <w:r>
        <w:rPr>
          <w:rFonts w:ascii="IRNazanin" w:hAnsi="IRNazanin" w:eastAsia="IRNazanin"/>
          <w:color w:val="111111"/>
          <w:sz w:val="28"/>
          <w:sz w:val="28"/>
          <w:szCs w:val="28"/>
          <w:rtl w:val="true"/>
          <w:lang w:bidi="fa-IR"/>
        </w:rPr>
        <w:t xml:space="preserve">أنّ صحّة بیع هذا الدهن هل هی </w:t>
      </w:r>
      <w:r>
        <w:rPr>
          <w:rStyle w:val="FootnoteAnchor"/>
          <w:rtl w:val="true"/>
        </w:rPr>
        <w:footnoteReference w:id="263"/>
      </w:r>
      <w:r>
        <w:rPr>
          <w:rFonts w:ascii="IRNazanin" w:hAnsi="IRNazanin" w:eastAsia="IRNazanin"/>
          <w:color w:val="111111"/>
          <w:sz w:val="28"/>
          <w:sz w:val="28"/>
          <w:szCs w:val="28"/>
          <w:rtl w:val="true"/>
          <w:lang w:bidi="fa-IR"/>
        </w:rPr>
        <w:t>مشروطة باشتراط الاستصباح به صریحاً،أو یکفی قصدهما لذلک،أو لا یشترط أحدهما؟</w:t>
      </w:r>
    </w:p>
    <w:p>
      <w:pPr>
        <w:pStyle w:val="BookText"/>
        <w:rPr/>
      </w:pPr>
      <w:r>
        <w:rPr>
          <w:rFonts w:ascii="IRNazanin" w:hAnsi="IRNazanin" w:eastAsia="IRNazanin"/>
          <w:color w:val="111111"/>
          <w:sz w:val="28"/>
          <w:sz w:val="28"/>
          <w:szCs w:val="28"/>
          <w:rtl w:val="true"/>
          <w:lang w:bidi="fa-IR"/>
        </w:rPr>
        <w:t>ظاهر الحلّی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الأوّل؛فإنّه بعد ذکر جواز الاستصباح بالأدهان المتنجّسة جُمَع </w:t>
      </w:r>
      <w:r>
        <w:rPr>
          <w:rStyle w:val="FootnoteAnchor"/>
          <w:rtl w:val="true"/>
        </w:rPr>
        <w:footnoteReference w:id="2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بیعه بهذا الشرط عندنا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المحکیّ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بیعه لمن یستصبح به تحت السماء،دلیلنا إجماع الفرقة و أخبارهم،و قال أبو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یجوز مطلقاً </w:t>
      </w:r>
      <w:r>
        <w:rPr>
          <w:rStyle w:val="FootnoteAnchor"/>
          <w:rtl w:val="true"/>
        </w:rPr>
        <w:footnoteReference w:id="2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مجرّداً عن دعوی الإجماع عبارة المبسوط،و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بیعه إلّا لذلک</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 ظاهره کفایة القصد،و هو ظاهر غیره ممّن عبّر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بیعه للاستصباح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الشرائع و القواعد </w:t>
      </w:r>
      <w:r>
        <w:rPr>
          <w:rStyle w:val="FootnoteAnchor"/>
          <w:rtl w:val="true"/>
        </w:rPr>
        <w:footnoteReference w:id="268"/>
      </w:r>
      <w:r>
        <w:rPr>
          <w:rFonts w:ascii="IRNazanin" w:hAnsi="IRNazanin" w:eastAsia="IRNazanin"/>
          <w:color w:val="111111"/>
          <w:sz w:val="28"/>
          <w:sz w:val="28"/>
          <w:szCs w:val="28"/>
          <w:rtl w:val="true"/>
          <w:lang w:bidi="fa-IR"/>
        </w:rPr>
        <w:t xml:space="preserve">و غیرهما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نعم،ذکر المحقّق الثانی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التعلیل راجع إلی الجواز، یعنی یجوز لأجل تحقّق فائدة الاستصباح بیعه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کان،فقد صرّح جماعة بعدم اعتبار قصد الاستصباح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باعتبار قصد الاستصباح إذا کانت المنفعة المحلّلة منحصرة فیه،و کان من منافعه النادرة التی لا تلاحظ فی مالیّته، کما فی دهن اللوز و البنفسج و شبههما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مالیّة الشیء إنّما هی باعتبار منافعه المحلّلة المقصودة منه،لا باعتبار مطلق الفوائد الغیر الملحوظة فی مالیّته،و لا باعتبار الفوائد الملحوظة المحرّمة،فإذا فرض أن لا فائدة فی الشیء محلّلة ملحوظة فی مالیّته فلا یجوز بیعه،لا علی الإطلاق لأنّ الإطلاق ینصرف إلی کون الثمن بإزاء المنافع المقصودة منه،و المفروض حرمتها، فیکون أکلاً للمال بالباطل و لا علی قصد الفائدة النادرة المحلّلة؛ لأنّ قصد الفائدة النادرة لا یوجب کون الشیء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إذا فرض ورود النصّ الخاصّ علی جواز بیعه کما فیما نحن فیه فلا بدّ من حمله علی إرادة </w:t>
      </w:r>
      <w:r>
        <w:rPr>
          <w:rStyle w:val="FootnoteAnchor"/>
          <w:rtl w:val="true"/>
        </w:rPr>
        <w:footnoteReference w:id="272"/>
      </w:r>
      <w:r>
        <w:rPr>
          <w:rFonts w:ascii="IRNazanin" w:hAnsi="IRNazanin" w:eastAsia="IRNazanin"/>
          <w:color w:val="111111"/>
          <w:sz w:val="28"/>
          <w:sz w:val="28"/>
          <w:szCs w:val="28"/>
          <w:rtl w:val="true"/>
          <w:lang w:bidi="fa-IR"/>
        </w:rPr>
        <w:t>صورة قصد الفائدة النادرة؛لأنّ أکل المال حینئذٍ لیس بالباطل بحکم الشارع،بخلاف صورة عدم القصد؛لأنّ المال فی هذه الصورة مبذول فی مقابل المطلق،المنصرف إلی الفوائد المحرّمة؛فافهم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لم یعلم المتبایعان جواز الاستصباح بهذا الدهن و تعاملا من غیر قصد إلی هذه الفائدة کانت المعاملة باطلة؛لأنّ المال مبذول مع الإطلاق فی مقابل الشیء باعتبار الفوائد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273"/>
      </w:r>
      <w:r>
        <w:rPr>
          <w:rFonts w:ascii="IRNazanin" w:hAnsi="IRNazanin" w:eastAsia="IRNazanin"/>
          <w:color w:val="111111"/>
          <w:sz w:val="28"/>
          <w:sz w:val="28"/>
          <w:szCs w:val="28"/>
          <w:rtl w:val="true"/>
          <w:lang w:bidi="fa-IR"/>
        </w:rPr>
        <w:t xml:space="preserve">،لو علمنا عدم التفات المتعاملین إلی المنافع أصلاً،أمکن صحّتها؛لأنّه مال واقعی شرعاً قابل لبذل المال بإزائه،و لم یقصد به ما لا یصحّ </w:t>
      </w:r>
      <w:r>
        <w:rPr>
          <w:rStyle w:val="FootnoteAnchor"/>
          <w:rtl w:val="true"/>
        </w:rPr>
        <w:footnoteReference w:id="274"/>
      </w:r>
      <w:r>
        <w:rPr>
          <w:rFonts w:ascii="IRNazanin" w:hAnsi="IRNazanin" w:eastAsia="IRNazanin"/>
          <w:color w:val="111111"/>
          <w:sz w:val="28"/>
          <w:sz w:val="28"/>
          <w:szCs w:val="28"/>
          <w:rtl w:val="true"/>
          <w:lang w:bidi="fa-IR"/>
        </w:rPr>
        <w:t>بذل المال بإزائه من المنافع المحرّمة،و مرجع هذا فی الحقیقة إلی أنّه لا یشترط إلّا عدم قصد المنافع المحرّمة،فافهم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کان الاستصباح منفعة غالبة بحیث کان مالیّة الدهن باعتباره کالأدهان المعدّة للإسراج فلا یعتبر فی صحّة بیعه قصده أصلاً؛لأنّ الشارع قد قرّر مالیّته العرفیّة بتجویز الاستصباح به و إن فرض حرمة سائر منافعه،بناءً علی أضعف الوجهین،من وجوب الاقتصار فی الانتفاع بالنجس علی مورد النصّ</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إذا کان الاستصباح منفعة مقصودة </w:t>
      </w:r>
      <w:r>
        <w:rPr>
          <w:rStyle w:val="FootnoteAnchor"/>
          <w:rtl w:val="true"/>
        </w:rPr>
        <w:footnoteReference w:id="275"/>
      </w:r>
      <w:r>
        <w:rPr>
          <w:rFonts w:ascii="IRNazanin" w:hAnsi="IRNazanin" w:eastAsia="IRNazanin"/>
          <w:color w:val="111111"/>
          <w:sz w:val="28"/>
          <w:sz w:val="28"/>
          <w:szCs w:val="28"/>
          <w:rtl w:val="true"/>
          <w:lang w:bidi="fa-IR"/>
        </w:rPr>
        <w:t xml:space="preserve">مساویة </w:t>
      </w:r>
      <w:r>
        <w:rPr>
          <w:rStyle w:val="FootnoteAnchor"/>
          <w:rtl w:val="true"/>
        </w:rPr>
        <w:footnoteReference w:id="276"/>
      </w:r>
      <w:r>
        <w:rPr>
          <w:rFonts w:ascii="IRNazanin" w:hAnsi="IRNazanin" w:eastAsia="IRNazanin"/>
          <w:color w:val="111111"/>
          <w:sz w:val="28"/>
          <w:sz w:val="28"/>
          <w:szCs w:val="28"/>
          <w:rtl w:val="true"/>
          <w:lang w:bidi="fa-IR"/>
        </w:rPr>
        <w:t>لمنفعة الأکل المحرّم کالألیة و الزیت و عصارة السمسم فلا یعتبر قصد المنفعة المحلّلة فضلاً عن اشتراطه؛إذ یکفی فی مالیّته وجود المنفعة المقصودة المحلّلة، غایة الأمر کون حرمة منفعته الأُخری المقصودة نقصاً فیه یوجب الخیار للجاهل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نعم،یشترط عدم اشتراط المنفعة المحرّمة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بشرط أن تأکله،و إلّا فسد العقد بفساد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الفساد و إن لم نقل بإفساد الشرط الفاسد؛لأنّ مرجع الاشتراط فی هذا الفرض إلی تعیین المنفعة المحرّمة علیه،فیکون أکل الثمن أکلاً بالباطل؛لأنّ حقیقة النفع العائد إلی المشتری بإزاء ثمنه هو النفع المحرّم،فافهم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بالبطلان بمجرّد القصد و إن لم یشترط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بالجملة،فکلّ بیع قصد فیه منفعة محرّمة بحیث قصد أکل الثمن أو بعضه بإزاء المنفعة المحرّمة کان باطلاً،کما یومی إلی ذلک ما ورد فی تحریم شراء الجاریة المغنّیة و بیعها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فی التذکرة بأنّ الجاریة المغنّیة إذا بیعت بأکثر ممّا یرغب فیها لو لا الغناء،فالوجه التحریم </w:t>
      </w:r>
      <w:r>
        <w:rPr>
          <w:rStyle w:val="FootnoteAnchor"/>
          <w:rtl w:val="true"/>
        </w:rPr>
        <w:footnoteReference w:id="2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المتقدّمة خالیة عن اعتبار قصد الاستصباح؛ لأنّ موردها ممّا یکون الاستصباح فیه منفعة مقصودة منها کافیة فی مالیّتها العرفیّة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 من قوله علیه السلام فی روایة الأعرج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تبعه إلّا لمن تبیّن له </w:t>
      </w:r>
      <w:r>
        <w:rPr>
          <w:rStyle w:val="FootnoteAnchor"/>
          <w:rtl w:val="true"/>
        </w:rPr>
        <w:footnoteReference w:id="279"/>
      </w:r>
      <w:r>
        <w:rPr>
          <w:rFonts w:ascii="IRNazanin" w:hAnsi="IRNazanin" w:eastAsia="IRNazanin"/>
          <w:color w:val="111111"/>
          <w:sz w:val="28"/>
          <w:sz w:val="28"/>
          <w:szCs w:val="28"/>
          <w:rtl w:val="true"/>
          <w:lang w:bidi="fa-IR"/>
        </w:rPr>
        <w:t>فیبتاع للسراج</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اعتبار القصد،و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الابتیاع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للسراج إنّما جعل غایة للإعلام،بمعنی أنّ المسلم إذا اطّلع علی نجاسته فیشتریه للإسراج،نظیر قوله علیه السلام فی روایة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یبیّنه </w:t>
      </w:r>
      <w:r>
        <w:rPr>
          <w:rStyle w:val="FootnoteAnchor"/>
          <w:rtl w:val="true"/>
        </w:rPr>
        <w:footnoteReference w:id="281"/>
      </w:r>
      <w:r>
        <w:rPr>
          <w:rFonts w:ascii="IRNazanin" w:hAnsi="IRNazanin" w:eastAsia="IRNazanin"/>
          <w:color w:val="111111"/>
          <w:sz w:val="28"/>
          <w:sz w:val="28"/>
          <w:szCs w:val="28"/>
          <w:rtl w:val="true"/>
          <w:lang w:bidi="fa-IR"/>
        </w:rPr>
        <w:t>لمن اشتراه لیستصبح به</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95" w:name="pg19762_189323"/>
    </w:p>
    <w:p>
      <w:pPr>
        <w:pStyle w:val="Heading6"/>
        <w:numPr>
          <w:ilvl w:val="5"/>
          <w:numId w:val="1"/>
        </w:numPr>
        <w:rPr/>
      </w:pPr>
      <w:bookmarkStart w:id="96" w:name="__RefHeading___Toc5003508_2314609296"/>
      <w:bookmarkStart w:id="97" w:name="_Toc37"/>
      <w:bookmarkEnd w:id="95"/>
      <w:bookmarkEnd w:id="96"/>
      <w:r>
        <w:rPr>
          <w:rtl w:val="true"/>
        </w:rPr>
        <w:t>الثانی</w:t>
      </w:r>
      <w:r>
        <w:rPr>
          <w:rtl w:val="true"/>
        </w:rPr>
        <w:t>:</w:t>
      </w:r>
      <w:bookmarkEnd w:id="97"/>
    </w:p>
    <w:p>
      <w:pPr>
        <w:pStyle w:val="BookText"/>
        <w:rPr/>
      </w:pPr>
      <w:r>
        <w:rPr>
          <w:rFonts w:ascii="IRNazanin" w:hAnsi="IRNazanin" w:eastAsia="IRNazanin"/>
          <w:color w:val="111111"/>
          <w:sz w:val="28"/>
          <w:sz w:val="28"/>
          <w:szCs w:val="28"/>
          <w:rtl w:val="true"/>
          <w:lang w:bidi="fa-IR"/>
        </w:rPr>
        <w:t xml:space="preserve">أنّ ظاهر بعض الأخبار </w:t>
      </w:r>
      <w:r>
        <w:rPr>
          <w:rStyle w:val="FootnoteAnchor"/>
          <w:rtl w:val="true"/>
        </w:rPr>
        <w:footnoteReference w:id="283"/>
      </w:r>
      <w:r>
        <w:rPr>
          <w:rFonts w:ascii="IRNazanin" w:hAnsi="IRNazanin" w:eastAsia="IRNazanin"/>
          <w:color w:val="111111"/>
          <w:sz w:val="28"/>
          <w:sz w:val="28"/>
          <w:szCs w:val="28"/>
          <w:rtl w:val="true"/>
          <w:lang w:bidi="fa-IR"/>
        </w:rPr>
        <w:t>وجوب الإعلام،فهل یجب مطلقاً أم لا؟ و هل وجوبه نفسی أو شرطی؟</w:t>
      </w:r>
    </w:p>
    <w:p>
      <w:pPr>
        <w:pStyle w:val="BookText"/>
        <w:rPr/>
      </w:pPr>
      <w:r>
        <w:rPr>
          <w:rFonts w:ascii="IRNazanin" w:hAnsi="IRNazanin" w:eastAsia="IRNazanin"/>
          <w:color w:val="111111"/>
          <w:sz w:val="28"/>
          <w:sz w:val="28"/>
          <w:szCs w:val="28"/>
          <w:rtl w:val="true"/>
          <w:lang w:bidi="fa-IR"/>
        </w:rPr>
        <w:t>بمعنی اعتبار اشتراطه فی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إشکال فی وجوب الإعلام إن قلنا باعتبار اشتراط الاستصباح فی العقد،أو تواطؤهما علیه من الخارج،لتوقّف القصد علی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نقل باعتبار اشتراط الاستصباح فی العقد،فالظاهر وجوب الإعلام وجوباً نفسیّاً قبل العقد أو بعده؛لبعض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یبیّنه لمن اشتراه لیستصبح به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إشارة إلی وجوب الإعلام لئلّا یأکله،فإنّ الغایة للإعلام لیس هو تحقّق الاستصباح، إذ لا ترتّب بینهما شرعاً و لا عقلاً و لا عادةً،بل الفائدة حصر الانتفاع فیه،بمعنی عدم الانتفاع به فی غیره،ففیه إشارة إلی وجوب إعلام الجاهل بما یعطی إذا کان الانتفاع الغالب به محرّماً بحیث یعلم عادة وقوعه فی الحرام لو لا الإعلام،فکأنه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لئلّا یقع فی الحرام الواقعی بترکک الإعلام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إلی هذه القاعدة کثیر من الأخبار المتفرّقة الدالّة علی حرمة تغریر الجاهل بالحکم أو الموضوع فی المحرّمات،مثل ما دلّ علی</w:t>
      </w:r>
    </w:p>
    <w:p>
      <w:pPr>
        <w:pStyle w:val="BookText"/>
        <w:rPr/>
      </w:pPr>
      <w:r>
        <w:rPr>
          <w:rFonts w:ascii="IRNazanin" w:hAnsi="IRNazanin" w:eastAsia="IRNazanin"/>
          <w:color w:val="111111"/>
          <w:sz w:val="28"/>
          <w:sz w:val="28"/>
          <w:szCs w:val="28"/>
          <w:rtl w:val="true"/>
          <w:lang w:bidi="fa-IR"/>
        </w:rPr>
        <w:t xml:space="preserve">أنّ مَن أفتی بغیر علم لحقه وزر من عمل بفتیاه </w:t>
      </w:r>
      <w:r>
        <w:rPr>
          <w:rStyle w:val="FootnoteAnchor"/>
          <w:rtl w:val="true"/>
        </w:rPr>
        <w:footnoteReference w:id="285"/>
      </w:r>
      <w:r>
        <w:rPr>
          <w:rFonts w:ascii="IRNazanin" w:hAnsi="IRNazanin" w:eastAsia="IRNazanin"/>
          <w:color w:val="111111"/>
          <w:sz w:val="28"/>
          <w:sz w:val="28"/>
          <w:szCs w:val="28"/>
          <w:rtl w:val="true"/>
          <w:lang w:bidi="fa-IR"/>
        </w:rPr>
        <w:t>فإنّ إثبات الوزر للمباشر من جهة فعل القبیح الواقعی،و حمله علی المفتی من حیث التسبیب و التغریر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إمام صلّی بقوم فیکون فی صلاتهم تقصیر،إلّا کان علیه أوزارهم</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فی صلاته و صلاتهم تقصیر،إلّا کان إثم ذلک علیه</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الإمام صلاتهم إلّا أن یصلّی بهم جنباً</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روایة أبی بصیر المتضمّنة لکراهة أن تسقی البهیمة أو تطعم ما لا یحلّ للمسلم أکله أو شربه </w:t>
      </w:r>
      <w:r>
        <w:rPr>
          <w:rStyle w:val="FootnoteAnchor"/>
          <w:rtl w:val="true"/>
        </w:rPr>
        <w:footnoteReference w:id="289"/>
      </w:r>
      <w:r>
        <w:rPr>
          <w:rFonts w:ascii="IRNazanin" w:hAnsi="IRNazanin" w:eastAsia="IRNazanin"/>
          <w:color w:val="111111"/>
          <w:sz w:val="28"/>
          <w:sz w:val="28"/>
          <w:szCs w:val="28"/>
          <w:rtl w:val="true"/>
          <w:lang w:bidi="fa-IR"/>
        </w:rPr>
        <w:t>،فإنّ فی کراهة ذلک فی البهائم إشعاراً بحرمته بالنسبة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أکل الحرام و شربه من القبیح،و لو فی حقّ الجاهل؛ و لذا یکون الاحتیاط فیه مطلوباً مع الشک،إذ لو کان للعلم دخل فی قبحه لم یحسن الاحتیاط،و حینئذٍ فیکون إعطاء النجس للجاهل المذکور إغراءً بالقبیح،و هو قبیح عقلاً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یقال بوجوب الإعلام و إن لم یکن منه تسبیب کما لو رأی نجساً فی یده یرید أکله و هو الذی صرّح به العلّامة رحمه اللّه فی أجوبة</w:t>
      </w:r>
    </w:p>
    <w:p>
      <w:pPr>
        <w:pStyle w:val="BookText"/>
        <w:rPr/>
      </w:pPr>
      <w:r>
        <w:rPr>
          <w:rFonts w:ascii="IRNazanin" w:hAnsi="IRNazanin" w:eastAsia="IRNazanin"/>
          <w:color w:val="111111"/>
          <w:sz w:val="28"/>
          <w:sz w:val="28"/>
          <w:szCs w:val="28"/>
          <w:rtl w:val="true"/>
          <w:lang w:bidi="fa-IR"/>
        </w:rPr>
        <w:t xml:space="preserve">المسائل المهنّائیّة،حیث سأله السیّد المهنّا عمّن رأی فی ثوب المصلّی نجاسة،فأجاب بأنّه یجب الإعلام،لوجوب النهی عن المنکر </w:t>
      </w:r>
      <w:r>
        <w:rPr>
          <w:rStyle w:val="FootnoteAnchor"/>
          <w:rtl w:val="true"/>
        </w:rPr>
        <w:footnoteReference w:id="290"/>
      </w:r>
      <w:r>
        <w:rPr>
          <w:rFonts w:ascii="IRNazanin" w:hAnsi="IRNazanin" w:eastAsia="IRNazanin"/>
          <w:color w:val="111111"/>
          <w:sz w:val="28"/>
          <w:sz w:val="28"/>
          <w:szCs w:val="28"/>
          <w:rtl w:val="true"/>
          <w:lang w:bidi="fa-IR"/>
        </w:rPr>
        <w:t>،لکنّ إثبات هذا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الحاصل،أنّ هنا أُموراً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فعل الشخص علّة تامّة لوقوع الحرام فی الخارج کما إذا أکره غیره علی المحرّم و لا إشکال فی حرمته و کون وزر الحرام علیه،بل أشدّ؛لظلمة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فعله سبباً للحرام،کمن قدّم إلی غیره محرّماً، و مثله ما نحن فیه،و قد ذکرنا أنّ الأقوی فیه التحریم؛لأنّ استناد الفعل إلی السبب أقوی،فنسبة فعل الحرام إلیه أولی،و لذا یستقرّ الضمان علی السبب،دون المباشر الجاهل،بل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ضمان ابتداءً إلّا علیه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شرطاً لصدور الحرام،و هذا یکون علی وجهین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أن یکون من قبیل إیجاد الداعی علی المعصیة، إمّا لحصول الرغبة فیها کترغیب الشخص علی المعصیة،و إمّا لحصول العناد من الشخص حتّی یقع فی المعصیة،کسبّ آلهة الکفّار الموجب لإلقائهم فی سبّ الحقّ عناداً،أو سبّ آباء الناس الموقع لهم فی سبّ أبیه،و الظاهر حرمة القسمین،و قد ورد فی ذلک عدّة من الأخبار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ثانیهما </w:t>
      </w:r>
      <w:r>
        <w:rPr>
          <w:rStyle w:val="FootnoteAnchor"/>
          <w:rtl w:val="true"/>
        </w:rPr>
        <w:footnoteReference w:id="293"/>
      </w:r>
      <w:r>
        <w:rPr>
          <w:rFonts w:ascii="IRNazanin" w:hAnsi="IRNazanin" w:eastAsia="IRNazanin"/>
          <w:color w:val="111111"/>
          <w:sz w:val="28"/>
          <w:sz w:val="28"/>
          <w:szCs w:val="28"/>
          <w:rtl w:val="true"/>
          <w:lang w:bidi="fa-IR"/>
        </w:rPr>
        <w:t>أن یکون بإیجاد شرطٍ آخر غیر الداعی،کبیع العنب ممّن یعلم أنّه یجعله خمراً،و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قبیل عدم المانع،و هذا یکون تارةً مع الحرمة الفعلیّة فی حقّ الفاعل کسکوت الشخص عن المنع من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إشکال فی الحرمة بشرائط النهی عن المنکر،و أُخری مع عدم الحرمة الفعلیّة بالنسبة إلی الفاعل،کسکوت العالم عن إعلام الجاهل کما فیما نحن فیه فإنّ صدور الحرام منه مشروط بعدم إعلامه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یجب دفع </w:t>
      </w:r>
      <w:r>
        <w:rPr>
          <w:rStyle w:val="FootnoteAnchor"/>
          <w:rtl w:val="true"/>
        </w:rPr>
        <w:footnoteReference w:id="294"/>
      </w:r>
      <w:r>
        <w:rPr>
          <w:rFonts w:ascii="IRNazanin" w:hAnsi="IRNazanin" w:eastAsia="IRNazanin"/>
          <w:color w:val="111111"/>
          <w:sz w:val="28"/>
          <w:sz w:val="28"/>
          <w:szCs w:val="28"/>
          <w:rtl w:val="true"/>
          <w:lang w:bidi="fa-IR"/>
        </w:rPr>
        <w:t xml:space="preserve">الحرام بترک السکوت أم لا؟فیه </w:t>
      </w:r>
      <w:r>
        <w:rPr>
          <w:rStyle w:val="FootnoteAnchor"/>
          <w:rtl w:val="true"/>
        </w:rPr>
        <w:footnoteReference w:id="295"/>
      </w:r>
      <w:r>
        <w:rPr>
          <w:rFonts w:ascii="IRNazanin" w:hAnsi="IRNazanin" w:eastAsia="IRNazanin"/>
          <w:color w:val="111111"/>
          <w:sz w:val="28"/>
          <w:sz w:val="28"/>
          <w:szCs w:val="28"/>
          <w:rtl w:val="true"/>
          <w:lang w:bidi="fa-IR"/>
        </w:rPr>
        <w:t xml:space="preserve">إشکال، إلّا إذا علمنا من الخارج وجوب دفع </w:t>
      </w:r>
      <w:r>
        <w:rPr>
          <w:rStyle w:val="FootnoteAnchor"/>
          <w:rtl w:val="true"/>
        </w:rPr>
        <w:footnoteReference w:id="296"/>
      </w:r>
      <w:r>
        <w:rPr>
          <w:rFonts w:ascii="IRNazanin" w:hAnsi="IRNazanin" w:eastAsia="IRNazanin"/>
          <w:color w:val="111111"/>
          <w:sz w:val="28"/>
          <w:sz w:val="28"/>
          <w:szCs w:val="28"/>
          <w:rtl w:val="true"/>
          <w:lang w:bidi="fa-IR"/>
        </w:rPr>
        <w:t>ذلک؛لکونه فساداً قد أُمر بدفعه کلّ من قدر علیه،کما لو اطّلع علی عدم إباحة دم من یرید الجاهل قتله،أو عدم إباحة عرضه له،أو لزم من سکوته ضرر مالیّ قد أُمرنا بدفعه عن کلّ أحد؛فإنّه یجب الإعلام و الردع لو لم یرتدع بالإعلام،بل الواجب هو الردع و لو بدون الإعلام،ففی الحقیقة الإعلام بنفسه غیر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تفسیر الصافی </w:t>
      </w:r>
      <w:r>
        <w:rPr>
          <w:rFonts w:eastAsia="Amiri" w:cs="Amiri" w:ascii="Amiri" w:hAnsi="Amiri"/>
          <w:color w:val="111111"/>
          <w:sz w:val="28"/>
          <w:szCs w:val="28"/>
          <w:lang w:bidi="ar-SA"/>
        </w:rPr>
        <w:t>2:147</w:t>
      </w:r>
      <w:r>
        <w:rPr>
          <w:rFonts w:ascii="Amiri" w:hAnsi="Amiri" w:eastAsia="Amiri" w:cs="Amiri"/>
          <w:color w:val="111111"/>
          <w:sz w:val="28"/>
          <w:sz w:val="28"/>
          <w:szCs w:val="28"/>
          <w:rtl w:val="true"/>
          <w:lang w:bidi="ar-SA"/>
        </w:rPr>
        <w:t>،و بالنسبة إلی النهی عن سبّ آباء الناس المنتهی إلی السبّ المتقابل،انظر تنبیه الخواطر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فیما تعلّق بغیر الثلاثة من حقوق اللّه فوجوب دفع </w:t>
      </w:r>
      <w:r>
        <w:rPr>
          <w:rStyle w:val="FootnoteAnchor"/>
          <w:rtl w:val="true"/>
        </w:rPr>
        <w:footnoteReference w:id="297"/>
      </w:r>
      <w:r>
        <w:rPr>
          <w:rFonts w:ascii="IRNazanin" w:hAnsi="IRNazanin" w:eastAsia="IRNazanin"/>
          <w:color w:val="111111"/>
          <w:sz w:val="28"/>
          <w:sz w:val="28"/>
          <w:szCs w:val="28"/>
          <w:rtl w:val="true"/>
          <w:lang w:bidi="fa-IR"/>
        </w:rPr>
        <w:t>مثل هذا الحرام مشکل؛لأنّ الظاهر من أدلّة النهی عن المنکر وجوب الردع عن المعصیة،فلا یدلّ علی وجوب إعلام الجاهل بکون فعله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نعم،وجب ذلک فیما إذا کان الجهل بالحکم،لکنّه من حیث وجوب تبلیغ التکالیف لیستمرّ التکلیف إلی آخر الأبد بتبلیغ الشاهد الغائب،فالعالم فی الحقیقة مبلّغ عن اللّه لیتمّ الحجّة علی الجاهل و یتحقّق فیه قابلیّة الإطاعة و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بعضهم </w:t>
      </w:r>
      <w:r>
        <w:rPr>
          <w:rStyle w:val="FootnoteAnchor"/>
          <w:rtl w:val="true"/>
        </w:rPr>
        <w:footnoteReference w:id="298"/>
      </w:r>
      <w:r>
        <w:rPr>
          <w:rFonts w:ascii="IRNazanin" w:hAnsi="IRNazanin" w:eastAsia="IRNazanin"/>
          <w:color w:val="111111"/>
          <w:sz w:val="28"/>
          <w:sz w:val="28"/>
          <w:szCs w:val="28"/>
          <w:rtl w:val="true"/>
          <w:lang w:bidi="fa-IR"/>
        </w:rPr>
        <w:t>استدلّ علی وجوب الإعلام بأنّ النجاسة عیب خفیّ فیجب إظهارها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مع أنّ وجوب الإعلام علی القول به لیس مختصّاً بالمعاوضات،بل یشمل مثل الإباحة و الهبة من المجّانیّات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النجاسة عیباً لیس إلّا لکونه منکراً واقعیّاً و قبیحاً،فإن ثبت ذلک حرم الإلقاء فیه مع قطع النظر عن مسألة وجوب إظهار العیب،و إلّا لم یکن عیباً،فتأمّل</w:t>
      </w:r>
      <w:r>
        <w:rPr>
          <w:rFonts w:eastAsia="IRNazanin" w:cs="IRNazanin"/>
          <w:color w:val="111111"/>
          <w:sz w:val="28"/>
          <w:szCs w:val="28"/>
          <w:rtl w:val="true"/>
          <w:lang w:bidi="fa-IR"/>
        </w:rPr>
        <w:t>.</w:t>
      </w:r>
      <w:bookmarkStart w:id="98" w:name="pg19762_189328"/>
    </w:p>
    <w:p>
      <w:pPr>
        <w:pStyle w:val="Heading6"/>
        <w:numPr>
          <w:ilvl w:val="5"/>
          <w:numId w:val="1"/>
        </w:numPr>
        <w:rPr/>
      </w:pPr>
      <w:bookmarkStart w:id="99" w:name="__RefHeading___Toc5003510_2314609296"/>
      <w:bookmarkStart w:id="100" w:name="_Toc38"/>
      <w:bookmarkEnd w:id="98"/>
      <w:bookmarkEnd w:id="99"/>
      <w:r>
        <w:rPr>
          <w:rtl w:val="true"/>
        </w:rPr>
        <w:t>الثالث</w:t>
      </w:r>
      <w:r>
        <w:rPr>
          <w:rtl w:val="true"/>
        </w:rPr>
        <w:t>:</w:t>
      </w:r>
      <w:bookmarkEnd w:id="100"/>
    </w:p>
    <w:p>
      <w:pPr>
        <w:pStyle w:val="BookText"/>
        <w:rPr/>
      </w:pPr>
      <w:r>
        <w:rPr>
          <w:rFonts w:ascii="IRNazanin" w:hAnsi="IRNazanin" w:eastAsia="IRNazanin"/>
          <w:color w:val="111111"/>
          <w:sz w:val="28"/>
          <w:sz w:val="28"/>
          <w:szCs w:val="28"/>
          <w:rtl w:val="true"/>
          <w:lang w:bidi="fa-IR"/>
        </w:rPr>
        <w:t>المشهور بین الأصحاب وجوب کون الاستصباح تحت السماء،</w:t>
      </w:r>
    </w:p>
    <w:p>
      <w:pPr>
        <w:pStyle w:val="BookText"/>
        <w:rPr/>
      </w:pPr>
      <w:r>
        <w:rPr>
          <w:rFonts w:ascii="IRNazanin" w:hAnsi="IRNazanin" w:eastAsia="IRNazanin"/>
          <w:color w:val="111111"/>
          <w:sz w:val="28"/>
          <w:sz w:val="28"/>
          <w:szCs w:val="28"/>
          <w:rtl w:val="true"/>
          <w:lang w:bidi="fa-IR"/>
        </w:rPr>
        <w:t>بل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الاستصباح به تحت الظلال محظور بغیر خلاف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روی أصحابنا أنّه یستصبح به تحت السماء دون السقف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 الأخبار المتقدّمة </w:t>
      </w:r>
      <w:r>
        <w:rPr>
          <w:rStyle w:val="FootnoteAnchor"/>
          <w:rtl w:val="true"/>
        </w:rPr>
        <w:footnoteReference w:id="301"/>
      </w:r>
      <w:r>
        <w:rPr>
          <w:rFonts w:ascii="IRNazanin" w:hAnsi="IRNazanin" w:eastAsia="IRNazanin"/>
          <w:color w:val="111111"/>
          <w:sz w:val="28"/>
          <w:sz w:val="28"/>
          <w:szCs w:val="28"/>
          <w:rtl w:val="true"/>
          <w:lang w:bidi="fa-IR"/>
        </w:rPr>
        <w:t xml:space="preserve">علی کثرتها و ورودها فی مقام البیان ساکتة عن هذا القید،و لا مقیّد لها من الخارج عدا ما یدّعی من مرسلة الشیخ المنجبرة بالشهرة المحقّقة و الاتّفاق المحکیّ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سلّم الانجبار فغایة الأمر دورانه بین تقیید المطلقات المتقدّمة،أو حمل الجملة الخبریّة علی الاستحباب أو الإرشاد؛لئلّا یتأثّر السقف بدخان النجس الذی هو نجس بناءً علی ما ذکره الشیخ من دلالة المرسلة علی نجاسة دخان النجس إذ قد لا یخلو من أجزاء لطیفة دهنیّة تتصاعد بواسطة الحرارة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مخالفة الظاهر فی المرسلة خصوصاً بالحمل علی الإرشاد أولی،خصوصاً مع ابتناء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ما ذکره الشیخ من دلالة الروایة علی نجاسة الدخان المخالفة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علی کون</w:t>
      </w:r>
    </w:p>
    <w:p>
      <w:pPr>
        <w:pStyle w:val="BookText"/>
        <w:rPr/>
      </w:pPr>
      <w:r>
        <w:rPr>
          <w:rFonts w:ascii="IRNazanin" w:hAnsi="IRNazanin" w:eastAsia="IRNazanin"/>
          <w:color w:val="111111"/>
          <w:sz w:val="28"/>
          <w:sz w:val="28"/>
          <w:szCs w:val="28"/>
          <w:rtl w:val="true"/>
          <w:lang w:bidi="fa-IR"/>
        </w:rPr>
        <w:t>الحکم تعبّداً محضاً،و هو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لذلک أفتی فی المبسوط بالکراهة </w:t>
      </w:r>
      <w:r>
        <w:rPr>
          <w:rStyle w:val="FootnoteAnchor"/>
          <w:rtl w:val="true"/>
        </w:rPr>
        <w:footnoteReference w:id="303"/>
      </w:r>
      <w:r>
        <w:rPr>
          <w:rFonts w:ascii="IRNazanin" w:hAnsi="IRNazanin" w:eastAsia="IRNazanin"/>
          <w:color w:val="111111"/>
          <w:sz w:val="28"/>
          <w:sz w:val="28"/>
          <w:szCs w:val="28"/>
          <w:rtl w:val="true"/>
          <w:lang w:bidi="fa-IR"/>
        </w:rPr>
        <w:t xml:space="preserve">مع روایته للمرسلة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الإنصاف،أنّ المسألة لا تخلو عن إشکال،من حیث ظاهر الروایات،البعیدة عن التقیید لإبائها فی أنفسها عنه و إباء المقیّد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الشهرة المحقّقة و الاتّفاق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إلی أصالة البراءة حینئذٍ لم یکن إلّا بعیداً عن الاحتیاط و جرأةً علی مخالفة المشهور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العلّامة فی المختلف فصّل بین ما إذا علم بتصاعد شیء من أجزاء الدهن،و ما إذا لم یعلم </w:t>
      </w:r>
      <w:r>
        <w:rPr>
          <w:rStyle w:val="FootnoteAnchor"/>
          <w:rtl w:val="true"/>
        </w:rPr>
        <w:footnoteReference w:id="305"/>
      </w:r>
      <w:r>
        <w:rPr>
          <w:rFonts w:ascii="IRNazanin" w:hAnsi="IRNazanin" w:eastAsia="IRNazanin"/>
          <w:color w:val="111111"/>
          <w:sz w:val="28"/>
          <w:sz w:val="28"/>
          <w:szCs w:val="28"/>
          <w:rtl w:val="true"/>
          <w:lang w:bidi="fa-IR"/>
        </w:rPr>
        <w:t>،فوافق المشهور فی الأوّل،و هو مبنیّ علی ثبوت حرمة تنجیس السقف،و لم یدلّ علیه دلیل،و إن کان ظاهر کلّ من حکم بکون الاستصباح تحت السماء تعبّداً،لا لنجاسة الدخان معلّلاً بطهارة دخان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التسالم علی حرمة التنجیس، و إلّا لکان الأولی تعلیل التعبّد به،لا بطهارة الدخان،کما لا یخفی</w:t>
      </w:r>
      <w:r>
        <w:rPr>
          <w:rFonts w:eastAsia="IRNazanin" w:cs="IRNazanin"/>
          <w:color w:val="111111"/>
          <w:sz w:val="28"/>
          <w:szCs w:val="28"/>
          <w:rtl w:val="true"/>
          <w:lang w:bidi="fa-IR"/>
        </w:rPr>
        <w:t>.</w:t>
      </w:r>
      <w:bookmarkStart w:id="101" w:name="pg19762_189330"/>
    </w:p>
    <w:p>
      <w:pPr>
        <w:pStyle w:val="Heading6"/>
        <w:numPr>
          <w:ilvl w:val="5"/>
          <w:numId w:val="1"/>
        </w:numPr>
        <w:rPr/>
      </w:pPr>
      <w:bookmarkStart w:id="102" w:name="__RefHeading___Toc5003512_2314609296"/>
      <w:bookmarkStart w:id="103" w:name="_Toc39"/>
      <w:bookmarkEnd w:id="101"/>
      <w:bookmarkEnd w:id="102"/>
      <w:r>
        <w:rPr>
          <w:rtl w:val="true"/>
        </w:rPr>
        <w:t>الرابع</w:t>
      </w:r>
      <w:r>
        <w:rPr>
          <w:rtl w:val="true"/>
        </w:rPr>
        <w:t>:</w:t>
      </w:r>
      <w:bookmarkEnd w:id="103"/>
    </w:p>
    <w:p>
      <w:pPr>
        <w:pStyle w:val="BookText"/>
        <w:rPr/>
      </w:pPr>
      <w:r>
        <w:rPr>
          <w:rFonts w:ascii="IRNazanin" w:hAnsi="IRNazanin" w:eastAsia="IRNazanin"/>
          <w:color w:val="111111"/>
          <w:sz w:val="28"/>
          <w:sz w:val="28"/>
          <w:szCs w:val="28"/>
          <w:rtl w:val="true"/>
          <w:lang w:bidi="fa-IR"/>
        </w:rPr>
        <w:t>هل یجوز الانتفاع بهذا الدهن فی غیر الاستصباح،</w:t>
      </w:r>
    </w:p>
    <w:p>
      <w:pPr>
        <w:pStyle w:val="BookText"/>
        <w:rPr/>
      </w:pPr>
      <w:r>
        <w:rPr>
          <w:rFonts w:ascii="IRNazanin" w:hAnsi="IRNazanin" w:eastAsia="IRNazanin"/>
          <w:color w:val="111111"/>
          <w:sz w:val="28"/>
          <w:sz w:val="28"/>
          <w:szCs w:val="28"/>
          <w:rtl w:val="true"/>
          <w:lang w:bidi="fa-IR"/>
        </w:rPr>
        <w:t>بأن یُعمل صابوناً أو یُطلی به الأجرب أو السفن؟قولان مبنیّان علی أنّ الأصل فی المتنجّس جواز الانتفاع إلّا ما خرج بالدلیل کالأکل و الشرب، و الاستصباح تحت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القاعدة فیه المنع عن التصرّف إلّا ما خرج بالدلیل کالاستصباح تحت السماء،و بیعه لیُعمل صابوناً علی روایة ضعیفة تأتی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5003514_2314609296"/>
      <w:bookmarkStart w:id="105" w:name="_Toc40"/>
      <w:bookmarkEnd w:id="104"/>
      <w:r>
        <w:rPr>
          <w:rtl w:val="true"/>
        </w:rPr>
        <w:t>[</w:t>
      </w:r>
      <w:r>
        <w:rPr>
          <w:rtl w:val="true"/>
        </w:rPr>
        <w:t>کلمات الفقهاء فی المسألة</w:t>
      </w:r>
      <w:r>
        <w:rPr>
          <w:rtl w:val="true"/>
        </w:rPr>
        <w:t>]</w:t>
      </w:r>
      <w:bookmarkEnd w:id="105"/>
    </w:p>
    <w:p>
      <w:pPr>
        <w:pStyle w:val="BookText"/>
        <w:rPr/>
      </w:pPr>
      <w:r>
        <w:rPr>
          <w:rFonts w:ascii="IRNazanin" w:hAnsi="IRNazanin" w:eastAsia="IRNazanin"/>
          <w:color w:val="111111"/>
          <w:sz w:val="28"/>
          <w:sz w:val="28"/>
          <w:szCs w:val="28"/>
          <w:rtl w:val="true"/>
          <w:lang w:bidi="fa-IR"/>
        </w:rPr>
        <w:t xml:space="preserve">و الذی صرّح به فی مفتاح الکرامة هو الثانی </w:t>
      </w:r>
      <w:r>
        <w:rPr>
          <w:rStyle w:val="FootnoteAnchor"/>
          <w:rtl w:val="true"/>
        </w:rPr>
        <w:footnoteReference w:id="307"/>
      </w:r>
      <w:r>
        <w:rPr>
          <w:rFonts w:ascii="IRNazanin" w:hAnsi="IRNazanin" w:eastAsia="IRNazanin"/>
          <w:color w:val="111111"/>
          <w:sz w:val="28"/>
          <w:sz w:val="28"/>
          <w:szCs w:val="28"/>
          <w:rtl w:val="true"/>
          <w:lang w:bidi="fa-IR"/>
        </w:rPr>
        <w:t xml:space="preserve">،و وافقه بعض مشایخنا المعاصرین </w:t>
      </w:r>
      <w:r>
        <w:rPr>
          <w:rStyle w:val="FootnoteAnchor"/>
          <w:rtl w:val="true"/>
        </w:rPr>
        <w:footnoteReference w:id="308"/>
      </w:r>
      <w:r>
        <w:rPr>
          <w:rFonts w:ascii="IRNazanin" w:hAnsi="IRNazanin" w:eastAsia="IRNazanin"/>
          <w:color w:val="111111"/>
          <w:sz w:val="28"/>
          <w:sz w:val="28"/>
          <w:szCs w:val="28"/>
          <w:rtl w:val="true"/>
          <w:lang w:bidi="fa-IR"/>
        </w:rPr>
        <w:t xml:space="preserve">،و هو ظاهر جماعة من القدماء،کالشیخین و السیّدین و الحلّی </w:t>
      </w:r>
      <w:r>
        <w:rPr>
          <w:rStyle w:val="FootnoteAnchor"/>
          <w:rtl w:val="true"/>
        </w:rPr>
        <w:footnoteReference w:id="309"/>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انفردت به الإمامیّة،أنّ کلّ طعام عالجه أهل الکتاب و من ثبت کفرهم بدلیل قاطع لا یجوز أکله و لا الانتفاع به، و اختلف </w:t>
      </w:r>
      <w:r>
        <w:rPr>
          <w:rStyle w:val="FootnoteAnchor"/>
          <w:rtl w:val="true"/>
        </w:rPr>
        <w:footnoteReference w:id="310"/>
      </w:r>
      <w:r>
        <w:rPr>
          <w:rFonts w:ascii="IRNazanin" w:hAnsi="IRNazanin" w:eastAsia="IRNazanin"/>
          <w:color w:val="111111"/>
          <w:sz w:val="28"/>
          <w:sz w:val="28"/>
          <w:szCs w:val="28"/>
          <w:rtl w:val="true"/>
          <w:lang w:bidi="fa-IR"/>
        </w:rPr>
        <w:t xml:space="preserve">باقی الفقهاء فی ذلک،و قد دلّلنا علی ذلک فی کتاب الطهارة، حیث دلّلنا علی أنّ سؤر الکفّار نجس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 فی الماء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مباح التصرّف فیه بأنواع التصرّف ما لم تقع فیه نجاسة،فإن وقعت فیه نجاسة لم یجز استعماله علی حال،و قال فی حکم الماء المتغیّر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یجوز استعماله إلّا عند الضرورة،للشرب لا غیر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ما حصل فیه المیتة مائعاً لم یجز استعماله و وجب إهراقه </w:t>
      </w:r>
      <w:r>
        <w:rPr>
          <w:rStyle w:val="FootnoteAnchor"/>
          <w:rtl w:val="true"/>
        </w:rPr>
        <w:footnoteReference w:id="3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 عبارة المقنعة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الخلاف فی حکم السمن و البذر و الشیرج و الزیت إذا وقعت فیه 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جاز الاستصباح به،و لا یجوز أکله، و لا الانتفاع به بغیر الاستصباح؛و به قال الشافعی،و قال قوم من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به بحال،لا باستصباح و لا بغیره،بل یراق کالخمر،و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یستصبح به و یباع لذلک </w:t>
      </w:r>
      <w:r>
        <w:rPr>
          <w:rStyle w:val="FootnoteAnchor"/>
          <w:rtl w:val="true"/>
        </w:rPr>
        <w:footnoteReference w:id="315"/>
      </w:r>
      <w:r>
        <w:rPr>
          <w:rFonts w:ascii="IRNazanin" w:hAnsi="IRNazanin" w:eastAsia="IRNazanin"/>
          <w:color w:val="111111"/>
          <w:sz w:val="28"/>
          <w:sz w:val="28"/>
          <w:szCs w:val="28"/>
          <w:rtl w:val="true"/>
          <w:lang w:bidi="fa-IR"/>
        </w:rPr>
        <w:t xml:space="preserve">،و قال داود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المائع سمناً لم ینتفع به بحال </w:t>
      </w:r>
      <w:r>
        <w:rPr>
          <w:rStyle w:val="FootnoteAnchor"/>
          <w:rtl w:val="true"/>
        </w:rPr>
        <w:footnoteReference w:id="317"/>
      </w:r>
      <w:r>
        <w:rPr>
          <w:rFonts w:ascii="IRNazanin" w:hAnsi="IRNazanin" w:eastAsia="IRNazanin"/>
          <w:color w:val="111111"/>
          <w:sz w:val="28"/>
          <w:sz w:val="28"/>
          <w:szCs w:val="28"/>
          <w:rtl w:val="true"/>
          <w:lang w:bidi="fa-IR"/>
        </w:rPr>
        <w:t xml:space="preserve">و إن کان غیره </w:t>
      </w:r>
      <w:r>
        <w:rPr>
          <w:rStyle w:val="FootnoteAnchor"/>
          <w:rtl w:val="true"/>
        </w:rPr>
        <w:footnoteReference w:id="318"/>
      </w:r>
      <w:r>
        <w:rPr>
          <w:rFonts w:ascii="IRNazanin" w:hAnsi="IRNazanin" w:eastAsia="IRNazanin"/>
          <w:color w:val="111111"/>
          <w:sz w:val="28"/>
          <w:sz w:val="28"/>
          <w:szCs w:val="28"/>
          <w:rtl w:val="true"/>
          <w:lang w:bidi="fa-IR"/>
        </w:rPr>
        <w:t>من الأدهان لم ینجس بموت الفأرة فیه و یحلّ أکله و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الخبر ورد</w:t>
      </w:r>
      <w:bookmarkStart w:id="106" w:name="pg19762_189332"/>
    </w:p>
    <w:p>
      <w:pPr>
        <w:pStyle w:val="BookText"/>
        <w:rPr/>
      </w:pPr>
      <w:bookmarkEnd w:id="106"/>
      <w:r>
        <w:rPr>
          <w:rFonts w:ascii="IRNazanin" w:hAnsi="IRNazanin" w:eastAsia="IRNazanin"/>
          <w:color w:val="111111"/>
          <w:sz w:val="28"/>
          <w:sz w:val="28"/>
          <w:szCs w:val="28"/>
          <w:rtl w:val="true"/>
          <w:lang w:bidi="fa-IR"/>
        </w:rPr>
        <w:t xml:space="preserve">فی السمن فحسب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؛دلیلنا إجماع الفرقة و أخبارهم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 فی حکم الدهن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الادّهان به و لا استعماله فی شیء من الأشیاء،عدا الاستصباح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الاستصباح به تحت الظلال محظور بغیر خلاف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زهرة بعد أن اشترط فی المبیع أن یکون ممّا ینتفع به منفعة محلّلة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شرطنا فی المنفعة أن تکون مباحة،تحفّظاً من المنافع المحرّمة،و یدخل فی ذلک کلّ نجس لا یمکن تطهیره،عدا ما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 الکلب المعلّم للصید،و الزیت النجس للاستصباح به تحت السماء، و هو إجماع الطائفة،ثمّ استدلّ علی جواز بیع الزیت بعد الإجماع بأنّ النبیّ صلّی اللّه علیه و آله و سلم أذن فی الاستصباح به تحت السماء،قال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یدلّ علی جواز بیعه لذلک </w:t>
      </w:r>
      <w:r>
        <w:rPr>
          <w:rStyle w:val="FootnoteAnchor"/>
          <w:rtl w:val="true"/>
        </w:rPr>
        <w:footnoteReference w:id="3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07" w:name="__RefHeading___Toc5003516_2314609296"/>
      <w:bookmarkStart w:id="108" w:name="_Toc41"/>
      <w:bookmarkEnd w:id="107"/>
      <w:r>
        <w:rPr>
          <w:rtl w:val="true"/>
        </w:rPr>
        <w:t>[</w:t>
      </w:r>
      <w:r>
        <w:rPr>
          <w:rtl w:val="true"/>
        </w:rPr>
        <w:t>الأقوی جواز الانتفاع إلا ما خرج بالدلیل</w:t>
      </w:r>
      <w:r>
        <w:rPr>
          <w:rtl w:val="true"/>
        </w:rPr>
        <w:t>]</w:t>
      </w:r>
      <w:bookmarkEnd w:id="1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لکن الأقوی وفاقاً لأکثر المتأخّرین </w:t>
      </w:r>
      <w:r>
        <w:rPr>
          <w:rStyle w:val="FootnoteAnchor"/>
          <w:rtl w:val="true"/>
        </w:rPr>
        <w:footnoteReference w:id="324"/>
      </w:r>
      <w:r>
        <w:rPr>
          <w:rFonts w:ascii="IRNazanin" w:hAnsi="IRNazanin" w:eastAsia="IRNazanin"/>
          <w:color w:val="111111"/>
          <w:sz w:val="28"/>
          <w:sz w:val="28"/>
          <w:szCs w:val="28"/>
          <w:rtl w:val="true"/>
          <w:lang w:bidi="fa-IR"/>
        </w:rPr>
        <w:t>جواز الانتفاع إلّا ما خرج بالدلیل،و یدلّ علیه أصالة الجواز،و قاعدة حلّ الانتفاع</w:t>
      </w:r>
      <w:bookmarkStart w:id="109" w:name="pg19762_189333"/>
    </w:p>
    <w:p>
      <w:pPr>
        <w:pStyle w:val="BookText"/>
        <w:rPr/>
      </w:pPr>
      <w:bookmarkEnd w:id="109"/>
      <w:r>
        <w:rPr>
          <w:rFonts w:ascii="IRNazanin" w:hAnsi="IRNazanin" w:eastAsia="IRNazanin"/>
          <w:color w:val="111111"/>
          <w:sz w:val="28"/>
          <w:sz w:val="28"/>
          <w:szCs w:val="28"/>
          <w:rtl w:val="true"/>
          <w:lang w:bidi="fa-IR"/>
        </w:rPr>
        <w:t xml:space="preserve">بما فی الأرض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حاکم علیهما </w:t>
      </w:r>
      <w:r>
        <w:rPr>
          <w:rStyle w:val="FootnoteAnchor"/>
          <w:rtl w:val="true"/>
        </w:rPr>
        <w:footnoteReference w:id="326"/>
      </w:r>
      <w:r>
        <w:rPr>
          <w:rFonts w:ascii="IRNazanin" w:hAnsi="IRNazanin" w:eastAsia="IRNazanin"/>
          <w:color w:val="111111"/>
          <w:sz w:val="28"/>
          <w:sz w:val="28"/>
          <w:szCs w:val="28"/>
          <w:rtl w:val="true"/>
          <w:lang w:bidi="fa-IR"/>
        </w:rPr>
        <w:t xml:space="preserve">سوی ما یتخیّل من بعض الآیات و الأخبار،و دعوی الجماعة المتقدّمة </w:t>
      </w:r>
      <w:r>
        <w:rPr>
          <w:rStyle w:val="FootnoteAnchor"/>
          <w:rtl w:val="true"/>
        </w:rPr>
        <w:footnoteReference w:id="327"/>
      </w:r>
      <w:r>
        <w:rPr>
          <w:rFonts w:ascii="IRNazanin" w:hAnsi="IRNazanin" w:eastAsia="IRNazanin"/>
          <w:color w:val="111111"/>
          <w:sz w:val="28"/>
          <w:sz w:val="28"/>
          <w:szCs w:val="28"/>
          <w:rtl w:val="true"/>
          <w:lang w:bidi="fa-IR"/>
        </w:rPr>
        <w:t>الإجماع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غیر قابل لذلک</w:t>
      </w:r>
      <w:r>
        <w:rPr>
          <w:rFonts w:eastAsia="IRNazanin" w:cs="IRNazanin"/>
          <w:color w:val="111111"/>
          <w:sz w:val="28"/>
          <w:szCs w:val="28"/>
          <w:rtl w:val="true"/>
          <w:lang w:bidi="fa-IR"/>
        </w:rPr>
        <w:t>.</w:t>
      </w:r>
    </w:p>
    <w:p>
      <w:pPr>
        <w:pStyle w:val="Heading6"/>
        <w:numPr>
          <w:ilvl w:val="5"/>
          <w:numId w:val="1"/>
        </w:numPr>
        <w:rPr/>
      </w:pPr>
      <w:bookmarkStart w:id="110" w:name="__RefHeading___Toc5003518_2314609296"/>
      <w:bookmarkStart w:id="111" w:name="_Toc42"/>
      <w:bookmarkEnd w:id="110"/>
      <w:r>
        <w:rPr>
          <w:rtl w:val="true"/>
        </w:rPr>
        <w:t>[</w:t>
      </w:r>
      <w:r>
        <w:rPr>
          <w:rtl w:val="true"/>
        </w:rPr>
        <w:t>الاستدلال علی المنع بالآیات و الجواب عنه</w:t>
      </w:r>
      <w:r>
        <w:rPr>
          <w:rtl w:val="true"/>
        </w:rPr>
        <w:t>]</w:t>
      </w:r>
      <w:bookmarkEnd w:id="111"/>
    </w:p>
    <w:p>
      <w:pPr>
        <w:pStyle w:val="BookText"/>
        <w:rPr/>
      </w:pPr>
      <w:r>
        <w:rPr>
          <w:rFonts w:ascii="Amiri" w:hAnsi="Amiri" w:eastAsia="Amiri" w:cs="Amiri"/>
          <w:color w:val="111111"/>
          <w:sz w:val="28"/>
          <w:sz w:val="28"/>
          <w:szCs w:val="28"/>
          <w:rtl w:val="true"/>
          <w:lang w:bidi="ar-SA"/>
        </w:rPr>
        <w:t>أمّا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w:t>
      </w:r>
      <w:r>
        <w:rPr>
          <w:rStyle w:val="FootnoteAnchor"/>
          <w:rtl w:val="true"/>
        </w:rPr>
        <w:footnoteReference w:id="328"/>
      </w:r>
      <w:r>
        <w:rPr>
          <w:rFonts w:ascii="IRNazanin" w:hAnsi="IRNazanin" w:eastAsia="IRNazanin"/>
          <w:color w:val="111111"/>
          <w:sz w:val="28"/>
          <w:sz w:val="28"/>
          <w:szCs w:val="28"/>
          <w:rtl w:val="true"/>
          <w:lang w:bidi="fa-IR"/>
        </w:rPr>
        <w:t>،دلّ بمقتضی التفریع علی وجوب اجتناب کلّ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کذلک فی ذاته، لا ما عرض له ذلک،فیختصّ بالعناوین النجسة،و هی النجاسات العشر، مع أنّه لو عمّ المتنجّس لزم أن یخرج عنه أکثر الأفراد؛فإنّ أکثر المتنجّسات لا یجب الاجتناب عنه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وجوب الاجتناب ثابت فیما کان رجساً من عمل الشیطان، یعنی من مبتدعاته،فیختصّ وجوب الاجتناب المطلق بما کان من عمل الشیطان،سواء کان نجساً کالخمر أو قذراً معنویّاً مثل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المائعات المتنجّسة کالدهن و الطین و الصبغ و الدبس</w:t>
      </w:r>
      <w:r>
        <w:rPr>
          <w:rFonts w:eastAsia="IRNazanin" w:cs="IRNazanin"/>
          <w:color w:val="111111"/>
          <w:sz w:val="28"/>
          <w:szCs w:val="28"/>
          <w:rtl w:val="true"/>
          <w:lang w:bidi="fa-IR"/>
        </w:rPr>
        <w:t>-</w:t>
      </w:r>
      <w:bookmarkStart w:id="112" w:name="pg19762_189334"/>
    </w:p>
    <w:p>
      <w:pPr>
        <w:pStyle w:val="BookText"/>
        <w:rPr/>
      </w:pPr>
      <w:bookmarkEnd w:id="112"/>
      <w:r>
        <w:rPr>
          <w:rFonts w:ascii="IRNazanin" w:hAnsi="IRNazanin" w:eastAsia="IRNazanin"/>
          <w:color w:val="111111"/>
          <w:sz w:val="28"/>
          <w:sz w:val="28"/>
          <w:szCs w:val="28"/>
          <w:rtl w:val="true"/>
          <w:lang w:bidi="fa-IR"/>
        </w:rPr>
        <w:t>إذا تنجّست لیست من أعمال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المکلّف المتحقّق فی الخارج بإغوائه لیکون المراد بالمذکورات استعمالها علی النحو الخاصّ،فالمعنی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الانتفاع بهذه المذکورات رجسٌ من عمل الشیطان،کما یقال فی سائر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عمل الشیطان،فلا تدلّ أیضاً علی وجوب الاجتناب عن استعمال المتنجّس إلّا إذا ثبت کون الاستعمال رجساً،و 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کان،فالآیة لا 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بعض ما ذکرنا یظهر ضعف الاستدلال علی ذلک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الرُّجْزَ فَاهْجُرْ</w:t>
      </w:r>
    </w:p>
    <w:p>
      <w:pPr>
        <w:pStyle w:val="BookText"/>
        <w:rPr/>
      </w:pP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أضعف من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بآیة تحریم الخبائث </w:t>
      </w:r>
      <w:r>
        <w:rPr>
          <w:rStyle w:val="FootnoteAnchor"/>
          <w:rtl w:val="true"/>
        </w:rPr>
        <w:footnoteReference w:id="331"/>
      </w:r>
      <w:r>
        <w:rPr>
          <w:rFonts w:ascii="IRNazanin" w:hAnsi="IRNazanin" w:eastAsia="IRNazanin"/>
          <w:color w:val="111111"/>
          <w:sz w:val="28"/>
          <w:sz w:val="28"/>
          <w:szCs w:val="28"/>
          <w:rtl w:val="true"/>
          <w:lang w:bidi="fa-IR"/>
        </w:rPr>
        <w:t xml:space="preserve">بناءً علی أنّ کلّ متنجّس خبیث،و التحریم المطلق یفید </w:t>
      </w:r>
      <w:r>
        <w:rPr>
          <w:rStyle w:val="FootnoteAnchor"/>
          <w:rtl w:val="true"/>
        </w:rPr>
        <w:footnoteReference w:id="332"/>
      </w:r>
      <w:r>
        <w:rPr>
          <w:rFonts w:ascii="IRNazanin" w:hAnsi="IRNazanin" w:eastAsia="IRNazanin"/>
          <w:color w:val="111111"/>
          <w:sz w:val="28"/>
          <w:sz w:val="28"/>
          <w:szCs w:val="28"/>
          <w:rtl w:val="true"/>
          <w:lang w:bidi="fa-IR"/>
        </w:rPr>
        <w:t>عموم الانتفاع؛إذ لا یخفی أنّ المراد هنا حرمة الأکل،بقرینة مقابلته بحلّیّة الطیّبات</w:t>
      </w:r>
      <w:r>
        <w:rPr>
          <w:rFonts w:eastAsia="IRNazanin" w:cs="IRNazanin"/>
          <w:color w:val="111111"/>
          <w:sz w:val="28"/>
          <w:szCs w:val="28"/>
          <w:rtl w:val="true"/>
          <w:lang w:bidi="fa-IR"/>
        </w:rPr>
        <w:t>.</w:t>
      </w:r>
    </w:p>
    <w:p>
      <w:pPr>
        <w:pStyle w:val="Heading6"/>
        <w:numPr>
          <w:ilvl w:val="5"/>
          <w:numId w:val="1"/>
        </w:numPr>
        <w:rPr/>
      </w:pPr>
      <w:bookmarkStart w:id="113" w:name="__RefHeading___Toc5003520_2314609296"/>
      <w:bookmarkStart w:id="114" w:name="_Toc43"/>
      <w:bookmarkEnd w:id="113"/>
      <w:r>
        <w:rPr>
          <w:rtl w:val="true"/>
        </w:rPr>
        <w:t>[</w:t>
      </w:r>
      <w:r>
        <w:rPr>
          <w:rtl w:val="true"/>
        </w:rPr>
        <w:t>الاستدلال بالأخبار و الجواب عنه</w:t>
      </w:r>
      <w:r>
        <w:rPr>
          <w:rtl w:val="true"/>
        </w:rPr>
        <w:t>]</w:t>
      </w:r>
      <w:bookmarkEnd w:id="114"/>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روایة تحف العقول،حیث علّل النهی عن بیع وجوه النجس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کلّه محرّم أکله و شربه و إمساکه و جمیع التقلّب فیه،فجمیع التقلّب فی ذلک حرام</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115" w:name="pg19762_189335"/>
    </w:p>
    <w:p>
      <w:pPr>
        <w:pStyle w:val="BookText"/>
        <w:rPr/>
      </w:pPr>
      <w:bookmarkEnd w:id="115"/>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عنواناته المعهودة؛ لأنّ الوجه هو العنوان،و الدهن لیس عنواناً للنجاسة،و الملاقی للنجس و إن کان عنواناً للنجاسة،لکنّه لیس وجهاً من وجوه النجاسة فی مقابلة غیره؛و لذا لم یعدّوه عنواناً فی مقابل العناوین النجسة،مع ما عرفت من لزوم تخصیص الأکثر،لو أُرید به المنع عن استعمال کلّ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الأمر بإهراق المائعات الملاقیة للنجاسة </w:t>
      </w:r>
      <w:r>
        <w:rPr>
          <w:rStyle w:val="FootnoteAnchor"/>
          <w:rtl w:val="true"/>
        </w:rPr>
        <w:footnoteReference w:id="334"/>
      </w:r>
      <w:r>
        <w:rPr>
          <w:rFonts w:ascii="IRNazanin" w:hAnsi="IRNazanin" w:eastAsia="IRNazanin"/>
          <w:color w:val="111111"/>
          <w:sz w:val="28"/>
          <w:sz w:val="28"/>
          <w:szCs w:val="28"/>
          <w:rtl w:val="true"/>
          <w:lang w:bidi="fa-IR"/>
        </w:rPr>
        <w:t xml:space="preserve">و إلقاء ما حول الجامد من الدهن و شبهه و طرحه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بعضها فی مسألة الدهن،و بعضها الآخر متفرّقة،مثل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 المرق</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طرحها کنایة عن عدم الانتفاع بها فی الأکل؛فإنّ ما أُمر بطرحه من جامد الدهن و الزیت یجوز الاستصباح به إجماعاً،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اطراحه من ظرف الدهن و ترک الباقی للأکل</w:t>
      </w:r>
      <w:r>
        <w:rPr>
          <w:rFonts w:eastAsia="IRNazanin" w:cs="IRNazanin"/>
          <w:color w:val="111111"/>
          <w:sz w:val="28"/>
          <w:szCs w:val="28"/>
          <w:rtl w:val="true"/>
          <w:lang w:bidi="fa-IR"/>
        </w:rPr>
        <w:t>.</w:t>
      </w:r>
    </w:p>
    <w:p>
      <w:pPr>
        <w:pStyle w:val="Heading6"/>
        <w:numPr>
          <w:ilvl w:val="5"/>
          <w:numId w:val="1"/>
        </w:numPr>
        <w:rPr/>
      </w:pPr>
      <w:bookmarkStart w:id="116" w:name="__RefHeading___Toc5003522_2314609296"/>
      <w:bookmarkStart w:id="117" w:name="_Toc44"/>
      <w:bookmarkEnd w:id="116"/>
      <w:r>
        <w:rPr>
          <w:rtl w:val="true"/>
        </w:rPr>
        <w:t>[</w:t>
      </w:r>
      <w:r>
        <w:rPr>
          <w:rtl w:val="true"/>
        </w:rPr>
        <w:t>الإجماعات المدعاة علی المنع،و النظر فی دلالتها</w:t>
      </w:r>
      <w:r>
        <w:rPr>
          <w:rtl w:val="true"/>
        </w:rPr>
        <w:t>]</w:t>
      </w:r>
      <w:bookmarkEnd w:id="117"/>
    </w:p>
    <w:p>
      <w:pPr>
        <w:pStyle w:val="BookText"/>
        <w:rPr/>
      </w:pPr>
      <w:r>
        <w:rPr>
          <w:rFonts w:ascii="IRNazanin" w:hAnsi="IRNazanin" w:eastAsia="IRNazanin"/>
          <w:color w:val="111111"/>
          <w:sz w:val="28"/>
          <w:sz w:val="28"/>
          <w:szCs w:val="28"/>
          <w:rtl w:val="true"/>
          <w:lang w:bidi="fa-IR"/>
        </w:rPr>
        <w:t>و أمّا الإجماعات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دلالتها علی المدّعی نظر،یظهر من ملاحظتها،فإنّ الظاهر من کلام السیّد المتقدّم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الإجماع هو نجاسة ما باشره أهل الکتاب،و أمّا حرمة الأکل و الانتفاع فهی من فروعها المتفرّعة</w:t>
      </w:r>
    </w:p>
    <w:p>
      <w:pPr>
        <w:pStyle w:val="BookText"/>
        <w:rPr/>
      </w:pPr>
      <w:r>
        <w:rPr>
          <w:rFonts w:ascii="IRNazanin" w:hAnsi="IRNazanin" w:eastAsia="IRNazanin"/>
          <w:color w:val="111111"/>
          <w:sz w:val="28"/>
          <w:sz w:val="28"/>
          <w:szCs w:val="28"/>
          <w:rtl w:val="true"/>
          <w:lang w:bidi="fa-IR"/>
        </w:rPr>
        <w:t>علی النجاسة،لا أنّ معقد الإجماع حرمة الانتفاع بالنجس؛فإنّ خلاف باقی الفقهاء فی أصل النجاسة فی أهل الکتاب،لا فی أحکام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إجماع الخلاف </w:t>
      </w:r>
      <w:r>
        <w:rPr>
          <w:rStyle w:val="FootnoteAnchor"/>
          <w:rtl w:val="true"/>
        </w:rPr>
        <w:footnoteReference w:id="338"/>
      </w:r>
      <w:r>
        <w:rPr>
          <w:rFonts w:ascii="IRNazanin" w:hAnsi="IRNazanin" w:eastAsia="IRNazanin"/>
          <w:color w:val="111111"/>
          <w:sz w:val="28"/>
          <w:sz w:val="28"/>
          <w:szCs w:val="28"/>
          <w:rtl w:val="true"/>
          <w:lang w:bidi="fa-IR"/>
        </w:rPr>
        <w:t xml:space="preserve">،فالظاهر أنّ معقده ما وقع الخلاف فیه بینه و بین من ذکر من المخالفین؛إذ فرق بین دعوی الإجماع علی محلّ النزاع بعد تحریره،و بین دعواه ابتداءً علی الأحکام المذکورات </w:t>
      </w:r>
      <w:r>
        <w:rPr>
          <w:rStyle w:val="FootnoteAnchor"/>
          <w:rtl w:val="true"/>
        </w:rPr>
        <w:footnoteReference w:id="339"/>
      </w:r>
      <w:r>
        <w:rPr>
          <w:rFonts w:ascii="IRNazanin" w:hAnsi="IRNazanin" w:eastAsia="IRNazanin"/>
          <w:color w:val="111111"/>
          <w:sz w:val="28"/>
          <w:sz w:val="28"/>
          <w:szCs w:val="28"/>
          <w:rtl w:val="true"/>
          <w:lang w:bidi="fa-IR"/>
        </w:rPr>
        <w:t xml:space="preserve">فی عنوان المسألة،فإنّ الثانی یشمل الأحکام کلّها،و الأوّل لا یشمل إلّا الحکم الواقع مورداً للخلاف </w:t>
      </w:r>
      <w:r>
        <w:rPr>
          <w:rStyle w:val="FootnoteAnchor"/>
          <w:rtl w:val="true"/>
        </w:rPr>
        <w:footnoteReference w:id="340"/>
      </w:r>
      <w:r>
        <w:rPr>
          <w:rFonts w:ascii="IRNazanin" w:hAnsi="IRNazanin" w:eastAsia="IRNazanin"/>
          <w:color w:val="111111"/>
          <w:sz w:val="28"/>
          <w:sz w:val="28"/>
          <w:szCs w:val="28"/>
          <w:rtl w:val="true"/>
          <w:lang w:bidi="fa-IR"/>
        </w:rPr>
        <w:t>لأنّه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إجماع السیّد فی الغنیة </w:t>
      </w:r>
      <w:r>
        <w:rPr>
          <w:rStyle w:val="FootnoteAnchor"/>
          <w:rtl w:val="true"/>
        </w:rPr>
        <w:footnoteReference w:id="341"/>
      </w:r>
      <w:r>
        <w:rPr>
          <w:rFonts w:ascii="IRNazanin" w:hAnsi="IRNazanin" w:eastAsia="IRNazanin"/>
          <w:color w:val="111111"/>
          <w:sz w:val="28"/>
          <w:sz w:val="28"/>
          <w:szCs w:val="28"/>
          <w:rtl w:val="true"/>
          <w:lang w:bidi="fa-IR"/>
        </w:rPr>
        <w:t>،فهو فی أصل مسألة تحریم بیع النجاسات و استثناء الکلب المعلّم و الزیت المتنجّس،لا فی ما ذکره من أنّ حرمة بیع المتنجّس من حیث دخوله فیما یحرم الانتفاع، نعم،هو قائل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بالجملة،فلا ینکر ظهور کلام السیّد فی حرمة الانتفاع بالنجس الذاتی و العرضی،لکنّ دعواه الإجماع علی ذلک بعیدة عن مدلول کلامه جدّاً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ینکر کون السیّد و الشیخ قائلین بحرمة الانتفاع بالمتنجّس</w:t>
      </w:r>
    </w:p>
    <w:p>
      <w:pPr>
        <w:pStyle w:val="BookText"/>
        <w:rPr/>
      </w:pPr>
      <w:r>
        <w:rPr>
          <w:rFonts w:ascii="IRNazanin" w:hAnsi="IRNazanin" w:eastAsia="IRNazanin"/>
          <w:color w:val="111111"/>
          <w:sz w:val="28"/>
          <w:sz w:val="28"/>
          <w:szCs w:val="28"/>
          <w:rtl w:val="true"/>
          <w:lang w:bidi="fa-IR"/>
        </w:rPr>
        <w:t xml:space="preserve">کما هو ظاهر المفید </w:t>
      </w:r>
      <w:r>
        <w:rPr>
          <w:rStyle w:val="FootnoteAnchor"/>
          <w:rtl w:val="true"/>
        </w:rPr>
        <w:footnoteReference w:id="342"/>
      </w:r>
      <w:r>
        <w:rPr>
          <w:rFonts w:ascii="IRNazanin" w:hAnsi="IRNazanin" w:eastAsia="IRNazanin"/>
          <w:color w:val="111111"/>
          <w:sz w:val="28"/>
          <w:sz w:val="28"/>
          <w:szCs w:val="28"/>
          <w:rtl w:val="true"/>
          <w:lang w:bidi="fa-IR"/>
        </w:rPr>
        <w:t xml:space="preserve">و صریح الحلّی </w:t>
      </w:r>
      <w:r>
        <w:rPr>
          <w:rStyle w:val="FootnoteAnchor"/>
          <w:rtl w:val="true"/>
        </w:rPr>
        <w:footnoteReference w:id="343"/>
      </w:r>
      <w:r>
        <w:rPr>
          <w:rFonts w:ascii="IRNazanin" w:hAnsi="IRNazanin" w:eastAsia="IRNazanin"/>
          <w:color w:val="111111"/>
          <w:sz w:val="28"/>
          <w:sz w:val="28"/>
          <w:szCs w:val="28"/>
          <w:rtl w:val="true"/>
          <w:lang w:bidi="fa-IR"/>
        </w:rPr>
        <w:t>لکن دعواهما الإجماع علی ذلک ممنوعة عند المتأمّل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تسلیم دعواهم الإجماعات،فلا ریب فی وهنها بما یظهر من أکثر المتأخّرین من قصر حرمة الانتفاع علی أُمورٍ خاصّة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المعتبر فی أحکام الماء </w:t>
      </w:r>
      <w:r>
        <w:rPr>
          <w:rStyle w:val="FootnoteAnchor"/>
          <w:rtl w:val="true"/>
        </w:rPr>
        <w:footnoteReference w:id="344"/>
      </w:r>
      <w:r>
        <w:rPr>
          <w:rFonts w:ascii="Amiri" w:hAnsi="Amiri" w:eastAsia="Amiri" w:cs="Amiri"/>
          <w:color w:val="111111"/>
          <w:sz w:val="28"/>
          <w:sz w:val="28"/>
          <w:szCs w:val="28"/>
          <w:rtl w:val="true"/>
          <w:lang w:bidi="ar-SA"/>
        </w:rPr>
        <w:t>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ماء </w:t>
      </w:r>
      <w:r>
        <w:rPr>
          <w:rStyle w:val="FootnoteAnchor"/>
          <w:rtl w:val="true"/>
        </w:rPr>
        <w:footnoteReference w:id="345"/>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بنجاسته لم یجز استعماله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یرید </w:t>
      </w:r>
      <w:r>
        <w:rPr>
          <w:rStyle w:val="FootnoteAnchor"/>
          <w:rtl w:val="true"/>
        </w:rPr>
        <w:footnoteReference w:id="346"/>
      </w:r>
      <w:r>
        <w:rPr>
          <w:rFonts w:ascii="IRNazanin" w:hAnsi="IRNazanin" w:eastAsia="IRNazanin"/>
          <w:color w:val="111111"/>
          <w:sz w:val="28"/>
          <w:sz w:val="28"/>
          <w:szCs w:val="28"/>
          <w:rtl w:val="true"/>
          <w:lang w:bidi="fa-IR"/>
        </w:rPr>
        <w:t>بالمنع عن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الاستعمال فی الطهارة و إزالة الخبث و الأکل و الشرب دون غیره، مثل بَلّ الطین و سقی الدابّة </w:t>
      </w:r>
      <w:r>
        <w:rPr>
          <w:rStyle w:val="FootnoteAnchor"/>
          <w:rtl w:val="true"/>
        </w:rPr>
        <w:footnoteReference w:id="3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 الصبغ و الحنّاء بذلک الماء داخل فی الغیر،فلا یحرم الانتفاع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العلّامة،فقد قَصَر حرمة استعمال الماء المتنجّس فی التحریر و القواعد و الإرشاد علی الطهارة و الأکل و الشرب </w:t>
      </w:r>
      <w:r>
        <w:rPr>
          <w:rStyle w:val="FootnoteAnchor"/>
          <w:rtl w:val="true"/>
        </w:rPr>
        <w:footnoteReference w:id="348"/>
      </w:r>
      <w:r>
        <w:rPr>
          <w:rFonts w:ascii="IRNazanin" w:hAnsi="IRNazanin" w:eastAsia="IRNazanin"/>
          <w:color w:val="111111"/>
          <w:sz w:val="28"/>
          <w:sz w:val="28"/>
          <w:szCs w:val="28"/>
          <w:rtl w:val="true"/>
          <w:lang w:bidi="fa-IR"/>
        </w:rPr>
        <w:t xml:space="preserve">و جوّز فی المنتهی الانتفاع بالعجین النجس فی علف الدوابّ،محتجّاً بأنّ المحرّم علی المکلّف تناوله،و بأنّه انتفاع فیکون سائغاً؛للأصل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کلا دلیلیه صریح فی حصر التحریم فی أکل العجین المتنجّس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ما حرم استعماله فی الصلاة و الأغذیة</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ثمّ ذکر ما یؤیّد المطلوب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الذکری فی أحکام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إزالة النجاسة</w:t>
      </w:r>
    </w:p>
    <w:p>
      <w:pPr>
        <w:pStyle w:val="BookText"/>
        <w:rPr/>
      </w:pPr>
      <w:r>
        <w:rPr>
          <w:rFonts w:ascii="IRNazanin" w:hAnsi="IRNazanin" w:eastAsia="IRNazanin"/>
          <w:color w:val="111111"/>
          <w:sz w:val="28"/>
          <w:sz w:val="28"/>
          <w:szCs w:val="28"/>
          <w:rtl w:val="true"/>
          <w:lang w:bidi="fa-IR"/>
        </w:rPr>
        <w:t>عن الثوب و البدن،ثمّ ذکر المساجد و غیرها،إلی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کلّ مستعمل فی أکل أو شرب أو ضوء تحت ظلّ؛للنهی عن النجس، و للنصّ </w:t>
      </w:r>
      <w:r>
        <w:rPr>
          <w:rStyle w:val="FootnoteAnchor"/>
          <w:rtl w:val="true"/>
        </w:rPr>
        <w:footnoteReference w:id="3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مراده </w:t>
      </w:r>
      <w:r>
        <w:rPr>
          <w:rStyle w:val="FootnoteAnchor"/>
          <w:rtl w:val="true"/>
        </w:rPr>
        <w:footnoteReference w:id="353"/>
      </w:r>
      <w:r>
        <w:rPr>
          <w:rFonts w:ascii="IRNazanin" w:hAnsi="IRNazanin" w:eastAsia="IRNazanin"/>
          <w:color w:val="111111"/>
          <w:sz w:val="28"/>
          <w:sz w:val="28"/>
          <w:szCs w:val="28"/>
          <w:rtl w:val="true"/>
          <w:lang w:bidi="fa-IR"/>
        </w:rPr>
        <w:t>بالنهی عن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أکله،و مراده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من المنع عن الاستصباح بالدهن المتنجّس تحت السقف </w:t>
      </w:r>
      <w:r>
        <w:rPr>
          <w:rStyle w:val="FootnoteAnchor"/>
          <w:rtl w:val="true"/>
        </w:rPr>
        <w:footnoteReference w:id="354"/>
      </w:r>
      <w:r>
        <w:rPr>
          <w:rFonts w:ascii="IRNazanin" w:hAnsi="IRNazanin" w:eastAsia="IRNazanin"/>
          <w:color w:val="111111"/>
          <w:sz w:val="28"/>
          <w:sz w:val="28"/>
          <w:szCs w:val="28"/>
          <w:rtl w:val="true"/>
          <w:lang w:bidi="fa-IR"/>
        </w:rPr>
        <w:t>،فانظر إلی صراحة کلامه فی أنّ المحرّم من الدهن المتنجّس بعد الأکل و الشرب خصوص الاستضاءة تحت الظلّ؛للنصّ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المطابق لما حکاه المحقّق الثانی فی حاشیة الإرشاد </w:t>
      </w:r>
      <w:r>
        <w:rPr>
          <w:rStyle w:val="FootnoteAnchor"/>
          <w:rtl w:val="true"/>
        </w:rPr>
        <w:footnoteReference w:id="355"/>
      </w:r>
      <w:r>
        <w:rPr>
          <w:rFonts w:ascii="IRNazanin" w:hAnsi="IRNazanin" w:eastAsia="IRNazanin"/>
          <w:color w:val="111111"/>
          <w:sz w:val="28"/>
          <w:sz w:val="28"/>
          <w:szCs w:val="28"/>
          <w:rtl w:val="true"/>
          <w:lang w:bidi="fa-IR"/>
        </w:rPr>
        <w:t>عنه قدّس سرّه فی بعض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الانتفاع بالدهن المتنجّس فی جمیع ما یتصوّر من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و الشهید الثانیان فی المسالک و حاشیة الإرشاد،عند قول المحقّق و العلّامة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إزالة النجاسة عن الأوانی</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إذا استعملت فی ما یتوقّف استعماله علی الطهارة،کالأکل و الشرب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358"/>
      </w:r>
      <w:r>
        <w:rPr>
          <w:rFonts w:ascii="IRNazanin" w:hAnsi="IRNazanin" w:eastAsia="IRNazanin"/>
          <w:color w:val="111111"/>
          <w:sz w:val="28"/>
          <w:sz w:val="28"/>
          <w:szCs w:val="28"/>
          <w:rtl w:val="true"/>
          <w:lang w:bidi="fa-IR"/>
        </w:rPr>
        <w:t>عن المحقّق الثانی فی حاشیة الإرشاد فی مسألة</w:t>
      </w:r>
    </w:p>
    <w:p>
      <w:pPr>
        <w:pStyle w:val="BookText"/>
        <w:rPr/>
      </w:pPr>
      <w:r>
        <w:rPr>
          <w:rFonts w:ascii="IRNazanin" w:hAnsi="IRNazanin" w:eastAsia="IRNazanin"/>
          <w:color w:val="111111"/>
          <w:sz w:val="28"/>
          <w:sz w:val="28"/>
          <w:szCs w:val="28"/>
          <w:rtl w:val="true"/>
          <w:lang w:bidi="fa-IR"/>
        </w:rPr>
        <w:t>الانتفاع بالإصباغ المتنجّسة ما یدلّ علی عدم توقّف جواز الانتفاع بها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فی ذیل قول المحقّق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مائع نجس عدا الأدهان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عدم جواز بیعها علی القول بعدم قبولها للطهارة بین صلاحیّتها للانتفاع علی بعض الوجوه و عدمه، و لا بین الإعلام بحالها و عدمه،علی ما نصّ علیه الأصحاب،و أمّا الأدهان المتنجّسة بنجاسة عارضیّة کالزیت تقع فیه الفأرة فیجوز بیعها لفائدة الاستصباح بها </w:t>
      </w:r>
      <w:r>
        <w:rPr>
          <w:rStyle w:val="FootnoteAnchor"/>
          <w:rtl w:val="true"/>
        </w:rPr>
        <w:footnoteReference w:id="359"/>
      </w:r>
      <w:r>
        <w:rPr>
          <w:rFonts w:ascii="IRNazanin" w:hAnsi="IRNazanin" w:eastAsia="IRNazanin"/>
          <w:color w:val="111111"/>
          <w:sz w:val="28"/>
          <w:sz w:val="28"/>
          <w:szCs w:val="28"/>
          <w:rtl w:val="true"/>
          <w:lang w:bidi="fa-IR"/>
        </w:rPr>
        <w:t xml:space="preserve">و إنّما خرج هذا الفرد بالنصّ،و إلّا فکان ینبغی مساواتها لغیرها من المائعات المتنجّسة التی یمکن الانتفاع بها فی بعض الوجوه، و قد ألحق بعض الأصحاب ببیعها للاستصباح بیعها لتُعمل صابوناً أو یُطلی به </w:t>
      </w:r>
      <w:r>
        <w:rPr>
          <w:rStyle w:val="FootnoteAnchor"/>
          <w:rtl w:val="true"/>
        </w:rPr>
        <w:footnoteReference w:id="360"/>
      </w:r>
      <w:r>
        <w:rPr>
          <w:rFonts w:ascii="IRNazanin" w:hAnsi="IRNazanin" w:eastAsia="IRNazanin"/>
          <w:color w:val="111111"/>
          <w:sz w:val="28"/>
          <w:sz w:val="28"/>
          <w:szCs w:val="28"/>
          <w:rtl w:val="true"/>
          <w:lang w:bidi="fa-IR"/>
        </w:rPr>
        <w:t>الأجرب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بأنّه خروج عن مورد النصّ المخالف للأصل،فإن جاز لتحقّق المنفعة،فینبغی مثله فی المائعات النجسة </w:t>
      </w:r>
      <w:r>
        <w:rPr>
          <w:rStyle w:val="FootnoteAnchor"/>
          <w:rtl w:val="true"/>
        </w:rPr>
        <w:footnoteReference w:id="361"/>
      </w:r>
      <w:r>
        <w:rPr>
          <w:rFonts w:ascii="IRNazanin" w:hAnsi="IRNazanin" w:eastAsia="IRNazanin"/>
          <w:color w:val="111111"/>
          <w:sz w:val="28"/>
          <w:sz w:val="28"/>
          <w:szCs w:val="28"/>
          <w:rtl w:val="true"/>
          <w:lang w:bidi="fa-IR"/>
        </w:rPr>
        <w:t xml:space="preserve">التی ینتفع بها،کالدبس یطعم النحل </w:t>
      </w:r>
      <w:r>
        <w:rPr>
          <w:rStyle w:val="FootnoteAnchor"/>
          <w:rtl w:val="true"/>
        </w:rPr>
        <w:footnoteReference w:id="362"/>
      </w:r>
      <w:r>
        <w:rPr>
          <w:rFonts w:ascii="IRNazanin" w:hAnsi="IRNazanin" w:eastAsia="IRNazanin"/>
          <w:color w:val="111111"/>
          <w:sz w:val="28"/>
          <w:sz w:val="28"/>
          <w:szCs w:val="28"/>
          <w:rtl w:val="true"/>
          <w:lang w:bidi="fa-IR"/>
        </w:rPr>
        <w:t xml:space="preserve">و غیره </w:t>
      </w:r>
      <w:r>
        <w:rPr>
          <w:rStyle w:val="FootnoteAnchor"/>
          <w:rtl w:val="true"/>
        </w:rPr>
        <w:footnoteReference w:id="3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ظهوره فی جواز الانتفاع بالمتنجّس،و کون المنع من بیعه لأجل النصّ،یقتصر علی مورده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کان،فالمتتبّع فی کلام المتأخّرین یقطع بما استظهرناه</w:t>
      </w:r>
      <w:bookmarkStart w:id="118" w:name="pg19762_189341"/>
    </w:p>
    <w:p>
      <w:pPr>
        <w:pStyle w:val="BookText"/>
        <w:rPr/>
      </w:pPr>
      <w:bookmarkEnd w:id="118"/>
      <w:r>
        <w:rPr>
          <w:rFonts w:ascii="IRNazanin" w:hAnsi="IRNazanin" w:eastAsia="IRNazanin"/>
          <w:color w:val="111111"/>
          <w:sz w:val="28"/>
          <w:sz w:val="28"/>
          <w:szCs w:val="28"/>
          <w:rtl w:val="true"/>
          <w:lang w:bidi="fa-IR"/>
        </w:rPr>
        <w:t>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أظنّ و إن کان الظنّ لا یغنی لغیری شیئاً أنّ کلمات القدماء ترجع إلی ما ذکره المتأخّرون،و أنّ المراد بالانتفاع فی کلمات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الانتفاعات الراجعة إلی الأکل و الشرب،و إطعام الغیر،و بیعه علی نحو بیع ما یحلّ أکله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365"/>
      </w:r>
      <w:r>
        <w:rPr>
          <w:rFonts w:ascii="IRNazanin" w:hAnsi="IRNazanin" w:eastAsia="IRNazanin"/>
          <w:color w:val="111111"/>
          <w:sz w:val="28"/>
          <w:sz w:val="28"/>
          <w:szCs w:val="28"/>
          <w:rtl w:val="true"/>
          <w:lang w:bidi="fa-IR"/>
        </w:rPr>
        <w:t xml:space="preserve">لو فرضنا مخالفة القدماء کفی موافقة المتأخّرین فی دفع </w:t>
      </w:r>
      <w:r>
        <w:rPr>
          <w:rStyle w:val="FootnoteAnchor"/>
          <w:rtl w:val="true"/>
        </w:rPr>
        <w:footnoteReference w:id="366"/>
      </w:r>
      <w:r>
        <w:rPr>
          <w:rFonts w:ascii="IRNazanin" w:hAnsi="IRNazanin" w:eastAsia="IRNazanin"/>
          <w:color w:val="111111"/>
          <w:sz w:val="28"/>
          <w:sz w:val="28"/>
          <w:szCs w:val="28"/>
          <w:rtl w:val="true"/>
          <w:lang w:bidi="fa-IR"/>
        </w:rPr>
        <w:t>الوهن عن الأصل و القاعدة السالمین عمّا یرد علیهما</w:t>
      </w:r>
      <w:r>
        <w:rPr>
          <w:rFonts w:eastAsia="IRNazanin" w:cs="IRNazanin"/>
          <w:color w:val="111111"/>
          <w:sz w:val="28"/>
          <w:szCs w:val="28"/>
          <w:rtl w:val="true"/>
          <w:lang w:bidi="fa-IR"/>
        </w:rPr>
        <w:t>.</w:t>
      </w:r>
    </w:p>
    <w:p>
      <w:pPr>
        <w:pStyle w:val="Heading6"/>
        <w:numPr>
          <w:ilvl w:val="5"/>
          <w:numId w:val="1"/>
        </w:numPr>
        <w:rPr/>
      </w:pPr>
      <w:bookmarkStart w:id="119" w:name="__RefHeading___Toc5003524_2314609296"/>
      <w:bookmarkStart w:id="120" w:name="_Toc45"/>
      <w:bookmarkEnd w:id="119"/>
      <w:r>
        <w:rPr>
          <w:rtl w:val="true"/>
        </w:rPr>
        <w:t>[</w:t>
      </w:r>
      <w:r>
        <w:rPr>
          <w:rtl w:val="true"/>
        </w:rPr>
        <w:t>جواز بیعه لغیر الاستصباح من الانتفاعات بناء علی جوازها</w:t>
      </w:r>
      <w:r>
        <w:rPr>
          <w:rtl w:val="true"/>
        </w:rPr>
        <w:t>]</w:t>
      </w:r>
      <w:bookmarkEnd w:id="120"/>
    </w:p>
    <w:p>
      <w:pPr>
        <w:pStyle w:val="BookText"/>
        <w:rPr/>
      </w:pPr>
      <w:r>
        <w:rPr>
          <w:rFonts w:ascii="IRNazanin" w:hAnsi="IRNazanin" w:eastAsia="IRNazanin"/>
          <w:color w:val="111111"/>
          <w:sz w:val="28"/>
          <w:sz w:val="28"/>
          <w:szCs w:val="28"/>
          <w:rtl w:val="true"/>
          <w:lang w:bidi="fa-IR"/>
        </w:rPr>
        <w:t>ثمّ علی تقدیر جواز غیر الاستصباح من الانتفاعات،فالظاهر جواز بیعه لهذه الانتفاعات،وفاقاً للشهید و المحقّق الثانی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الثانی فی حاشیة الإرشاد فی ذیل قول العلّامة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الدهن للاستصباح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بعض الحواشی المنسوبة إلی شیخنا الشهید أنّ الفائدة لا تنحصر فی ذلک؛إذ مع فرض فائدة أُخری للدهن لا تتوقّف علی طهارته یمکن بیعها لها،کاتّخاذ الصابون منه،قال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مرویّ،و مثله طلی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بالمصیر إلی ما ذکره شیخنا،و قد ذکر أنّ به روایة </w:t>
      </w:r>
      <w:r>
        <w:rPr>
          <w:rStyle w:val="FootnoteAnchor"/>
          <w:rtl w:val="true"/>
        </w:rPr>
        <w:footnoteReference w:id="3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21" w:name="pg19762_189342"/>
    </w:p>
    <w:p>
      <w:pPr>
        <w:pStyle w:val="BookText"/>
        <w:rPr/>
      </w:pPr>
      <w:bookmarkEnd w:id="12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إشارة إلی ما عن الراوندی فی کتاب النوادر بإسناده عن أبی الحسن موسی بن جعفر علیه السلام،و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علیه السلام عن الشحم یقع فیه شیء له دم فیموت؟قال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تبیعه لمن یعمله صابوناً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5003526_2314609296"/>
      <w:bookmarkStart w:id="123" w:name="_Toc46"/>
      <w:bookmarkEnd w:id="122"/>
      <w:r>
        <w:rPr>
          <w:rtl w:val="true"/>
        </w:rPr>
        <w:t>[</w:t>
      </w:r>
      <w:r>
        <w:rPr>
          <w:rtl w:val="true"/>
        </w:rPr>
        <w:t>حکم بیع غیر الدهن من المتنجسات</w:t>
      </w:r>
      <w:r>
        <w:rPr>
          <w:rtl w:val="true"/>
        </w:rPr>
        <w:t>]</w:t>
      </w:r>
      <w:bookmarkEnd w:id="123"/>
    </w:p>
    <w:p>
      <w:pPr>
        <w:pStyle w:val="BookText"/>
        <w:rPr/>
      </w:pPr>
      <w:r>
        <w:rPr>
          <w:rFonts w:ascii="IRNazanin" w:hAnsi="IRNazanin" w:eastAsia="IRNazanin"/>
          <w:color w:val="111111"/>
          <w:sz w:val="28"/>
          <w:sz w:val="28"/>
          <w:szCs w:val="28"/>
          <w:rtl w:val="true"/>
          <w:lang w:bidi="fa-IR"/>
        </w:rPr>
        <w:t>ثمّ لو قلنا بجواز البیع فی الدهن لغیر المنصوص من الانتفاعات المباحة،فهل یجوز بیع غیره من المتنجّسات المنتفع بها فی المنافع المقصودة المحلّلة کالصبغ و الطین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یقتصر علی المتنجّس المنصوص و هو الدهن غایة الأمر التعدّی من حیث غایة البیع إلی غیر الاستصباح؟إشکال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ظهور استثناء الدهن فی کلام المشهور فی عدم جواز بیع ما عداه،بل عرفت من المسالک </w:t>
      </w:r>
      <w:r>
        <w:rPr>
          <w:rStyle w:val="FootnoteAnchor"/>
          <w:rtl w:val="true"/>
        </w:rPr>
        <w:footnoteReference w:id="369"/>
      </w:r>
      <w:r>
        <w:rPr>
          <w:rFonts w:ascii="IRNazanin" w:hAnsi="IRNazanin" w:eastAsia="IRNazanin"/>
          <w:color w:val="111111"/>
          <w:sz w:val="28"/>
          <w:sz w:val="28"/>
          <w:szCs w:val="28"/>
          <w:rtl w:val="true"/>
          <w:lang w:bidi="fa-IR"/>
        </w:rPr>
        <w:t>نسبة عدم الفرق بین ما له منفعة محلّلة و ما لیست له إلی نصّ الأصحاب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فی مسألة جلد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الظاهر من کلمات جماعة من القدماء و المتأخّرین کالشیخ فی الخلاف و ابن زهرة و العلّامة و ولده و الفاضل المقداد و المحقّق الثانی </w:t>
      </w:r>
      <w:r>
        <w:rPr>
          <w:rStyle w:val="FootnoteAnchor"/>
          <w:rtl w:val="true"/>
        </w:rPr>
        <w:footnoteReference w:id="370"/>
      </w:r>
      <w:r>
        <w:rPr>
          <w:rFonts w:ascii="IRNazanin" w:hAnsi="IRNazanin" w:eastAsia="IRNazanin"/>
          <w:color w:val="111111"/>
          <w:sz w:val="28"/>
          <w:sz w:val="28"/>
          <w:szCs w:val="28"/>
          <w:rtl w:val="true"/>
          <w:lang w:bidi="fa-IR"/>
        </w:rPr>
        <w:t>و غیرهم دوران المنع عن بیع النجس</w:t>
      </w:r>
    </w:p>
    <w:p>
      <w:pPr>
        <w:pStyle w:val="BookText"/>
        <w:rPr/>
      </w:pPr>
      <w:r>
        <w:rPr>
          <w:rFonts w:ascii="IRNazanin" w:hAnsi="IRNazanin" w:eastAsia="IRNazanin"/>
          <w:color w:val="111111"/>
          <w:sz w:val="28"/>
          <w:sz w:val="28"/>
          <w:szCs w:val="28"/>
          <w:rtl w:val="true"/>
          <w:lang w:bidi="fa-IR"/>
        </w:rPr>
        <w:t xml:space="preserve">مدار جواز الانتفاع به و عدمه،إلّا ما خرج بالنصّ کألیات المیتة </w:t>
      </w:r>
      <w:r>
        <w:rPr>
          <w:rStyle w:val="FootnoteAnchor"/>
          <w:rtl w:val="true"/>
        </w:rPr>
        <w:footnoteReference w:id="371"/>
      </w:r>
      <w:r>
        <w:rPr>
          <w:rFonts w:ascii="IRNazanin" w:hAnsi="IRNazanin" w:eastAsia="IRNazanin"/>
          <w:color w:val="111111"/>
          <w:sz w:val="28"/>
          <w:sz w:val="28"/>
          <w:szCs w:val="28"/>
          <w:rtl w:val="true"/>
          <w:lang w:bidi="fa-IR"/>
        </w:rPr>
        <w:t xml:space="preserve">مثلاً أو مطلق نجس العین،علی ما سیأتی من الکلام فیه،و هذا هو الذی یقتضیه استصحاب الحکم قبل التنجّس </w:t>
      </w:r>
      <w:r>
        <w:rPr>
          <w:rStyle w:val="FootnoteAnchor"/>
          <w:rtl w:val="true"/>
        </w:rPr>
        <w:footnoteReference w:id="372"/>
      </w:r>
      <w:r>
        <w:rPr>
          <w:rFonts w:ascii="IRNazanin" w:hAnsi="IRNazanin" w:eastAsia="IRNazanin"/>
          <w:color w:val="111111"/>
          <w:sz w:val="28"/>
          <w:sz w:val="28"/>
          <w:szCs w:val="28"/>
          <w:rtl w:val="true"/>
          <w:lang w:bidi="fa-IR"/>
        </w:rPr>
        <w:t xml:space="preserve">و هی </w:t>
      </w:r>
      <w:r>
        <w:rPr>
          <w:rStyle w:val="FootnoteAnchor"/>
          <w:rtl w:val="true"/>
        </w:rPr>
        <w:footnoteReference w:id="373"/>
      </w:r>
      <w:r>
        <w:rPr>
          <w:rFonts w:ascii="IRNazanin" w:hAnsi="IRNazanin" w:eastAsia="IRNazanin"/>
          <w:color w:val="111111"/>
          <w:sz w:val="28"/>
          <w:sz w:val="28"/>
          <w:szCs w:val="28"/>
          <w:rtl w:val="true"/>
          <w:lang w:bidi="fa-IR"/>
        </w:rPr>
        <w:t>القاعدة المستفادة من قوله علیه السلام 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شیء یکون لهم فیه الصلاح من جهة من الجهات،فذلک کلّه حلال</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تقدّم من روایة دعائم الإسلام من حلّ بیع کلّ ما یباح الانتفاع به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فَاجْتَنِبُوهُ </w:t>
      </w:r>
      <w:r>
        <w:rPr>
          <w:rStyle w:val="FootnoteAnchor"/>
          <w:rtl w:val="true"/>
        </w:rPr>
        <w:footnoteReference w:id="376"/>
      </w:r>
      <w:r>
        <w:rPr>
          <w:rFonts w:ascii="Amiri" w:hAnsi="Amiri" w:eastAsia="Amiri" w:cs="Amiri"/>
          <w:color w:val="111111"/>
          <w:sz w:val="28"/>
          <w:sz w:val="28"/>
          <w:szCs w:val="28"/>
          <w:rtl w:val="true"/>
          <w:lang w:bidi="ar-SA"/>
        </w:rPr>
        <w:t xml:space="preserve">و قوله تعالی وَ الرُّجْزَ فَاهْجُرْ </w:t>
      </w:r>
      <w:r>
        <w:rPr>
          <w:rStyle w:val="FootnoteAnchor"/>
          <w:rtl w:val="true"/>
        </w:rPr>
        <w:footnoteReference w:id="377"/>
      </w:r>
      <w:r>
        <w:rPr>
          <w:rFonts w:ascii="IRNazanin" w:hAnsi="IRNazanin" w:eastAsia="IRNazanin"/>
          <w:color w:val="111111"/>
          <w:sz w:val="28"/>
          <w:sz w:val="28"/>
          <w:szCs w:val="28"/>
          <w:rtl w:val="true"/>
          <w:lang w:bidi="fa-IR"/>
        </w:rPr>
        <w:t xml:space="preserve">فقد عرفت أنّهما لا یدلاّن </w:t>
      </w:r>
      <w:r>
        <w:rPr>
          <w:rStyle w:val="FootnoteAnchor"/>
          <w:rtl w:val="true"/>
        </w:rPr>
        <w:footnoteReference w:id="378"/>
      </w:r>
      <w:r>
        <w:rPr>
          <w:rFonts w:ascii="IRNazanin" w:hAnsi="IRNazanin" w:eastAsia="IRNazanin"/>
          <w:color w:val="111111"/>
          <w:sz w:val="28"/>
          <w:sz w:val="28"/>
          <w:szCs w:val="28"/>
          <w:rtl w:val="true"/>
          <w:lang w:bidi="fa-IR"/>
        </w:rPr>
        <w:t>علی حرمة الانتفاع بالمتنجّس،فضلاً عن حرمة البیع علی تقدیر جواز الانتفاع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عدم صحّة الاستدلال فی ما نحن فیه بالنهی فی روایة تحف العقول عن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ملاحظة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تعلیل المنع فیها بحرمة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کلام من أطلق المنع عن بیع النجس إلّا الدهن لفائدة الاستصباح علی إرادة المائعات النجسة التی لا ینتفع بها فی غیر الأکل و الشرب منفعة محلّلة مقصودة من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استثناء الدهن بفائدة </w:t>
      </w:r>
      <w:r>
        <w:rPr>
          <w:rStyle w:val="FootnoteAnchor"/>
          <w:rtl w:val="true"/>
        </w:rPr>
        <w:footnoteReference w:id="380"/>
      </w:r>
      <w:r>
        <w:rPr>
          <w:rFonts w:ascii="IRNazanin" w:hAnsi="IRNazanin" w:eastAsia="IRNazanin"/>
          <w:color w:val="111111"/>
          <w:sz w:val="28"/>
          <w:sz w:val="28"/>
          <w:szCs w:val="28"/>
          <w:rtl w:val="true"/>
          <w:lang w:bidi="fa-IR"/>
        </w:rPr>
        <w:t>الاستصباح،نظیر استثناء بول الإبل للاستشفاء،و إن احتمل أن یکون ذکر الاستصباح لبیان ما یشترط أن یکون غایة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المقاصد فی شرح قول العلّامة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الدهن المتنجّس </w:t>
      </w:r>
      <w:r>
        <w:rPr>
          <w:rStyle w:val="FootnoteAnchor"/>
          <w:rtl w:val="true"/>
        </w:rPr>
        <w:footnoteReference w:id="381"/>
      </w:r>
      <w:r>
        <w:rPr>
          <w:rFonts w:ascii="Amiri" w:hAnsi="Amiri" w:eastAsia="Amiri" w:cs="Amiri"/>
          <w:color w:val="111111"/>
          <w:sz w:val="28"/>
          <w:sz w:val="28"/>
          <w:szCs w:val="28"/>
          <w:rtl w:val="true"/>
          <w:lang w:bidi="ar-SA"/>
        </w:rPr>
        <w:t xml:space="preserve">لتحقّق فائدة </w:t>
      </w:r>
      <w:r>
        <w:rPr>
          <w:rStyle w:val="FootnoteAnchor"/>
          <w:rtl w:val="true"/>
        </w:rPr>
        <w:footnoteReference w:id="382"/>
      </w:r>
      <w:r>
        <w:rPr>
          <w:rFonts w:ascii="Amiri" w:hAnsi="Amiri" w:eastAsia="Amiri" w:cs="Amiri"/>
          <w:color w:val="111111"/>
          <w:sz w:val="28"/>
          <w:sz w:val="28"/>
          <w:szCs w:val="28"/>
          <w:rtl w:val="true"/>
          <w:lang w:bidi="ar-SA"/>
        </w:rPr>
        <w:t>الاستصباح به تحت السماء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حصر الفائدة </w:t>
      </w:r>
      <w:r>
        <w:rPr>
          <w:rStyle w:val="FootnoteAnchor"/>
          <w:rtl w:val="true"/>
        </w:rPr>
        <w:footnoteReference w:id="383"/>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شیخنا الشهید فی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روایةٍ جواز اتّخاذ الصابون من الدهن المتنجّس،و صرّح مع ذلک بجواز الانتفاع به فیما یتصوّر من فوائده کطلی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العبارة تقتضی حصر الفائدة؛لأنّ الاستثناء فی سیاق النفی یفید الحصر،فإنّ المعنی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الدهن المتنجّس لهذه الفائدة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ذلک،لأنّ الفائدة بیان لوجه الاستثناء،أی</w:t>
      </w:r>
    </w:p>
    <w:p>
      <w:pPr>
        <w:pStyle w:val="BookText"/>
        <w:rPr/>
      </w:pPr>
      <w:r>
        <w:rPr>
          <w:rFonts w:ascii="IRNazanin" w:hAnsi="IRNazanin" w:eastAsia="IRNazanin"/>
          <w:color w:val="111111"/>
          <w:sz w:val="28"/>
          <w:sz w:val="28"/>
          <w:szCs w:val="28"/>
          <w:rtl w:val="true"/>
          <w:lang w:bidi="fa-IR"/>
        </w:rPr>
        <w:t xml:space="preserve">إلّا الدهن لتحقّق فائدة الاستصباح،و هذا لا یستلزم الحصر،و یکفی فی صحّة ما قلنا تطرّق الاحتمال فی العبارة المقتضی لعدم الحصر </w:t>
      </w:r>
      <w:r>
        <w:rPr>
          <w:rStyle w:val="FootnoteAnchor"/>
          <w:rtl w:val="true"/>
        </w:rPr>
        <w:footnoteReference w:id="3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کان،فالحکم بعموم کلمات هؤلاء لکلّ مائع متنجّس مثل الطین و الجصّ المائعین،و الصبغ،و شبه ذلک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نسبه فی المسالک من عدم فرقهم فی المنع عن بیع المتنجّس بین ما یصلح للانتفاع به و ما لا یصلح </w:t>
      </w:r>
      <w:r>
        <w:rPr>
          <w:rStyle w:val="FootnoteAnchor"/>
          <w:rtl w:val="true"/>
        </w:rPr>
        <w:footnoteReference w:id="385"/>
      </w:r>
      <w:r>
        <w:rPr>
          <w:rFonts w:ascii="IRNazanin" w:hAnsi="IRNazanin" w:eastAsia="IRNazanin"/>
          <w:color w:val="111111"/>
          <w:sz w:val="28"/>
          <w:sz w:val="28"/>
          <w:szCs w:val="28"/>
          <w:rtl w:val="true"/>
          <w:lang w:bidi="fa-IR"/>
        </w:rPr>
        <w:t xml:space="preserve">فلم یثبت صحّته،مع ما عرفت من کثیر من الأصحاب من إناطة الحکم فی کلامهم مدار الانتفاع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 ذلک استشکل المحقّق الثانی فی حاشیة الإرشاد فی ما </w:t>
      </w:r>
      <w:r>
        <w:rPr>
          <w:rStyle w:val="FootnoteAnchor"/>
          <w:rtl w:val="true"/>
        </w:rPr>
        <w:footnoteReference w:id="387"/>
      </w:r>
      <w:r>
        <w:rPr>
          <w:rFonts w:ascii="IRNazanin" w:hAnsi="IRNazanin" w:eastAsia="IRNazanin"/>
          <w:color w:val="111111"/>
          <w:sz w:val="28"/>
          <w:sz w:val="28"/>
          <w:szCs w:val="28"/>
          <w:rtl w:val="true"/>
          <w:lang w:bidi="fa-IR"/>
        </w:rPr>
        <w:t>ذکره العلّامة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ببیع ما عرض له التنجیس مع قبول الطهارة</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 أنّه لو لم یکن قابلاً للطهارة لم یجز بیعه، و هو مشکل؛إذ الأصباغ المتنجّسة لا تقبل التطهیر عند الأکثر،و الظاهر جواز بیعها؛لأنّ منافعها لا تتوقّف علی الطهارة،اللّهمّ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تؤول إلی حالة یقبل معها التطهیر،لکن بعد جفافها،بل ذلک هو</w:t>
      </w:r>
    </w:p>
    <w:p>
      <w:pPr>
        <w:pStyle w:val="BookText"/>
        <w:rPr/>
      </w:pPr>
      <w:r>
        <w:rPr>
          <w:rFonts w:ascii="IRNazanin" w:hAnsi="IRNazanin" w:eastAsia="IRNazanin"/>
          <w:color w:val="111111"/>
          <w:sz w:val="28"/>
          <w:sz w:val="28"/>
          <w:szCs w:val="28"/>
          <w:rtl w:val="true"/>
          <w:lang w:bidi="fa-IR"/>
        </w:rPr>
        <w:t xml:space="preserve">المقصود منها،فاندفع الإشکال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یعلم من مذهب العلّامة دوران المنع عن بیع المتنجّس مدار حرمة الانتفاع لم یرد علی عبارته إشکال؛لأنّ المفروض حینئذٍ التزامه بجواز الانتفاع بالإصباغ مع عدم جواز بیعها،إلّا أن یرجع الإشکال إلی حکم العلّامة و أنّه مشکل علی مختار المحقّق الثانی،لا إلی کلامه،و أنّ الحکم مشکل علی مذهب المتکلّم،فافهم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دفع به الإشکال من جعل الأصباغ قابلة للطهارة إنّما ینفع فی خصوص الأصباغ،و أمّا مثل بیع الصابون المتنجّس، فلا یندفع الإشکال عنه بما ذکره،و قد تقدّم منه </w:t>
      </w:r>
      <w:r>
        <w:rPr>
          <w:rStyle w:val="FootnoteAnchor"/>
          <w:rtl w:val="true"/>
        </w:rPr>
        <w:footnoteReference w:id="390"/>
      </w:r>
      <w:r>
        <w:rPr>
          <w:rFonts w:ascii="Amiri" w:hAnsi="Amiri" w:eastAsia="Amiri" w:cs="Amiri"/>
          <w:color w:val="111111"/>
          <w:sz w:val="28"/>
          <w:sz w:val="28"/>
          <w:szCs w:val="28"/>
          <w:rtl w:val="true"/>
          <w:lang w:bidi="ar-SA"/>
        </w:rPr>
        <w:t xml:space="preserve">سابقاً </w:t>
      </w:r>
      <w:r>
        <w:rPr>
          <w:rStyle w:val="FootnoteAnchor"/>
          <w:rtl w:val="true"/>
        </w:rPr>
        <w:footnoteReference w:id="391"/>
      </w:r>
      <w:r>
        <w:rPr>
          <w:rFonts w:ascii="IRNazanin" w:hAnsi="IRNazanin" w:eastAsia="IRNazanin"/>
          <w:color w:val="111111"/>
          <w:sz w:val="28"/>
          <w:sz w:val="28"/>
          <w:szCs w:val="28"/>
          <w:rtl w:val="true"/>
          <w:lang w:bidi="fa-IR"/>
        </w:rPr>
        <w:t>جواز بیع الدهن المتنجّس لیُعمل صابوناً؛بناءً علی أنّه من فوائده المحلّلة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ما ذکره من قبول الصبغ التطهیر بعد الجفاف محلّ نظر؛لأنّ المقصود من قبوله الطهارة قبولها قبل الانتفاع،و هو مفقود فی الأصباغ؛ لأنّ الانتفاع بها و هو الصبغ قبل الطهارة،و أمّا ما یبقی منها بعد الجفاف و هو اللون فهی نفس المنفعة،لا الانتفاع،مع أنّه لا یقبل التطهیر،و إنّما القابل هو الثوب</w:t>
      </w:r>
      <w:r>
        <w:rPr>
          <w:rFonts w:eastAsia="IRNazanin" w:cs="IRNazanin"/>
          <w:color w:val="111111"/>
          <w:sz w:val="28"/>
          <w:szCs w:val="28"/>
          <w:rtl w:val="true"/>
          <w:lang w:bidi="fa-IR"/>
        </w:rPr>
        <w:t>.</w:t>
      </w:r>
      <w:bookmarkStart w:id="124" w:name="pg19762_189347"/>
    </w:p>
    <w:p>
      <w:pPr>
        <w:pStyle w:val="Heading6"/>
        <w:numPr>
          <w:ilvl w:val="5"/>
          <w:numId w:val="1"/>
        </w:numPr>
        <w:rPr/>
      </w:pPr>
      <w:bookmarkStart w:id="125" w:name="__RefHeading___Toc5003528_2314609296"/>
      <w:bookmarkStart w:id="126" w:name="_Toc47"/>
      <w:bookmarkEnd w:id="124"/>
      <w:bookmarkEnd w:id="125"/>
      <w:r>
        <w:rPr>
          <w:rtl w:val="true"/>
        </w:rPr>
        <w:t>بقی الکلام فی حکم نجس العین،من حیث أصالة حلّ الانتفاع به فی غیر ما ثبتت حرمته،أو أصالة العکس</w:t>
      </w:r>
      <w:r>
        <w:rPr>
          <w:rtl w:val="true"/>
        </w:rPr>
        <w:t>.</w:t>
      </w:r>
      <w:bookmarkEnd w:id="126"/>
    </w:p>
    <w:p>
      <w:pPr>
        <w:pStyle w:val="BookText"/>
        <w:rPr/>
      </w:pPr>
      <w:r>
        <w:rPr>
          <w:rFonts w:ascii="IRNazanin" w:hAnsi="IRNazanin" w:eastAsia="IRNazanin"/>
          <w:color w:val="111111"/>
          <w:sz w:val="28"/>
          <w:sz w:val="28"/>
          <w:szCs w:val="28"/>
          <w:rtl w:val="true"/>
          <w:lang w:bidi="fa-IR"/>
        </w:rPr>
        <w:t>فاعلم أنّ ظاهر الأکثر أصالة حرمة الانتفاع بنجس العین، بل ظاهر فخر الدین فی شرح الإرشاد و 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ذلک،حیث استدلاّ علی عدم جواز بیع الأعیان النجسة بأنّها محرّمة الانتفاع،و کلّ ما هو کذلک لا یجوز بیعه؛قالا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الصغری فإجماعیّة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الحدائق فی مسألة الانتفاع بالدهن المتنجّس </w:t>
      </w:r>
      <w:r>
        <w:rPr>
          <w:rStyle w:val="FootnoteAnchor"/>
          <w:rtl w:val="true"/>
        </w:rPr>
        <w:footnoteReference w:id="393"/>
      </w:r>
      <w:r>
        <w:rPr>
          <w:rFonts w:ascii="IRNazanin" w:hAnsi="IRNazanin" w:eastAsia="IRNazanin"/>
          <w:color w:val="111111"/>
          <w:sz w:val="28"/>
          <w:sz w:val="28"/>
          <w:szCs w:val="28"/>
          <w:rtl w:val="true"/>
          <w:lang w:bidi="fa-IR"/>
        </w:rPr>
        <w:t xml:space="preserve">فی غیر الاستصباح نسبة ذلک إلی الأصحاب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ظواهر 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w:t>
      </w:r>
      <w:r>
        <w:rPr>
          <w:rStyle w:val="FootnoteAnchor"/>
          <w:rtl w:val="true"/>
        </w:rPr>
        <w:footnoteReference w:id="395"/>
      </w:r>
      <w:r>
        <w:rPr>
          <w:rFonts w:ascii="IRNazanin" w:hAnsi="IRNazanin" w:eastAsia="IRNazanin"/>
          <w:color w:val="111111"/>
          <w:sz w:val="28"/>
          <w:sz w:val="28"/>
          <w:szCs w:val="28"/>
          <w:rtl w:val="true"/>
          <w:lang w:bidi="fa-IR"/>
        </w:rPr>
        <w:t xml:space="preserve">بناءً علی ما ذکره الشیخ و العلّامة من إرادة جمیع الانتفاعات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w:t>
      </w:r>
      <w:r>
        <w:rPr>
          <w:rStyle w:val="FootnoteAnchor"/>
          <w:rtl w:val="true"/>
        </w:rPr>
        <w:footnoteReference w:id="397"/>
      </w:r>
      <w:r>
        <w:rPr>
          <w:rFonts w:ascii="IRNazanin" w:hAnsi="IRNazanin" w:eastAsia="IRNazanin"/>
          <w:color w:val="111111"/>
          <w:sz w:val="28"/>
          <w:sz w:val="28"/>
          <w:szCs w:val="28"/>
          <w:rtl w:val="true"/>
          <w:lang w:bidi="fa-IR"/>
        </w:rPr>
        <w:t>الدالّ علی وجوب اجتناب کلّ رجس،و هو</w:t>
      </w:r>
    </w:p>
    <w:p>
      <w:pPr>
        <w:pStyle w:val="BookText"/>
        <w:rPr/>
      </w:pPr>
      <w:r>
        <w:rPr>
          <w:rFonts w:ascii="IRNazanin" w:hAnsi="IRNazanin" w:eastAsia="IRNazanin"/>
          <w:color w:val="111111"/>
          <w:sz w:val="28"/>
          <w:sz w:val="28"/>
          <w:szCs w:val="28"/>
          <w:rtl w:val="true"/>
          <w:lang w:bidi="fa-IR"/>
        </w:rPr>
        <w:t>نجس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398"/>
      </w:r>
      <w:r>
        <w:rPr>
          <w:rFonts w:ascii="IRNazanin" w:hAnsi="IRNazanin" w:eastAsia="IRNazanin"/>
          <w:color w:val="111111"/>
          <w:sz w:val="28"/>
          <w:sz w:val="28"/>
          <w:szCs w:val="28"/>
          <w:rtl w:val="true"/>
          <w:lang w:bidi="fa-IR"/>
        </w:rPr>
        <w:t>بناءً علی أنّ هجره لا یحصل إلّا بالاجتناب عنه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تعلیله علیه السلام فی روایة تحف العقول حرمة بیع وجوه النجس بحرمة الأکل و الشرب و الإمساک و جمیع التقلّبات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أیضاً کلّ ما دلّ من الأخبار و الإجماع علی عدم جواز بیع نجس العین </w:t>
      </w:r>
      <w:r>
        <w:rPr>
          <w:rStyle w:val="FootnoteAnchor"/>
          <w:rtl w:val="true"/>
        </w:rPr>
        <w:footnoteReference w:id="399"/>
      </w:r>
      <w:r>
        <w:rPr>
          <w:rFonts w:ascii="IRNazanin" w:hAnsi="IRNazanin" w:eastAsia="IRNazanin"/>
          <w:color w:val="111111"/>
          <w:sz w:val="28"/>
          <w:sz w:val="28"/>
          <w:szCs w:val="28"/>
          <w:rtl w:val="true"/>
          <w:lang w:bidi="fa-IR"/>
        </w:rPr>
        <w:t>بناءً علی أنّ المنع من بیعه لا یکون إلّا مع حرمة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التأمّل یقضی بعدم جواز الاعتماد فی مقابلة أصالة الإباحة،علی شیء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آیات التحریم و الاجتناب و الهجر،فلظهورها فی الانتفاعات المقصودة فی کلّ نجس بحسبه،و هی فی مثل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الأکل،و فی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الشرب،و فی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به،و فی الأنصاب و الأزلام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یلیق بحالهما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تحف العقول،فالمراد بالإمساک و التقلّب فیه </w:t>
      </w:r>
      <w:r>
        <w:rPr>
          <w:rStyle w:val="FootnoteAnchor"/>
          <w:rtl w:val="true"/>
        </w:rPr>
        <w:footnoteReference w:id="400"/>
      </w:r>
      <w:r>
        <w:rPr>
          <w:rFonts w:ascii="IRNazanin" w:hAnsi="IRNazanin" w:eastAsia="IRNazanin"/>
          <w:color w:val="111111"/>
          <w:sz w:val="28"/>
          <w:sz w:val="28"/>
          <w:szCs w:val="28"/>
          <w:rtl w:val="true"/>
          <w:lang w:bidi="fa-IR"/>
        </w:rPr>
        <w:t>ما یرجع إلی الأکل و الشرب،و إلّا فسیجیء الاتّفاق علی جواز إمساک نجس العین لبعض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دلّ من الإجماع و الأخبار علی حرمة بیع نجس العین قد یدّعی اختصاصه بغیر ما یحلّ الانتفاع </w:t>
      </w:r>
      <w:r>
        <w:rPr>
          <w:rStyle w:val="FootnoteAnchor"/>
          <w:rtl w:val="true"/>
        </w:rPr>
        <w:footnoteReference w:id="401"/>
      </w:r>
      <w:r>
        <w:rPr>
          <w:rFonts w:ascii="IRNazanin" w:hAnsi="IRNazanin" w:eastAsia="IRNazanin"/>
          <w:color w:val="111111"/>
          <w:sz w:val="28"/>
          <w:sz w:val="28"/>
          <w:szCs w:val="28"/>
          <w:rtl w:val="true"/>
          <w:lang w:bidi="fa-IR"/>
        </w:rPr>
        <w:t xml:space="preserve">المعتدّ به،أو یمنع </w:t>
      </w:r>
      <w:r>
        <w:rPr>
          <w:rStyle w:val="FootnoteAnchor"/>
          <w:rtl w:val="true"/>
        </w:rPr>
        <w:footnoteReference w:id="402"/>
      </w:r>
      <w:r>
        <w:rPr>
          <w:rFonts w:ascii="IRNazanin" w:hAnsi="IRNazanin" w:eastAsia="IRNazanin"/>
          <w:color w:val="111111"/>
          <w:sz w:val="28"/>
          <w:sz w:val="28"/>
          <w:szCs w:val="28"/>
          <w:rtl w:val="true"/>
          <w:lang w:bidi="fa-IR"/>
        </w:rPr>
        <w:t>استلزامه لحرمة الانتفاع؛بناءً علی أنّ نجاسة العین مانع مستقلّ عن جواز البیع من غیر حاجة إلی إرجاعها إلی عدم المنفعة المحلّلة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الإجماع،فمدفوع بظهور کلمات کثیر منهم فی جواز الانتفاع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سرجین ما لا یؤکل لحمه و عذرة الإنسان و خرؤ الکلاب لا یجوز بیعها،و یجوز الانتفاع بها فی الزروع و الکروم و أُصول الشجر بلا خلاف </w:t>
      </w:r>
      <w:r>
        <w:rPr>
          <w:rStyle w:val="FootnoteAnchor"/>
          <w:rtl w:val="true"/>
        </w:rPr>
        <w:footnoteReference w:id="4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اقتناء الأعیان النجسة لفائدة</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و نحوها فی القواعد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قرّره علی ذلک فی جامع المقاصد،و زاد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هذه لا تصیّرها مالاً بحیث یقابل بالمال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باب الأطعمة و الأشربة من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شعر الخنزیر یجوز استعماله مطلقاً،مستدلا بأنّ نجاسته لا تمنع الانتفاع به،لما فیه من</w:t>
      </w:r>
    </w:p>
    <w:p>
      <w:pPr>
        <w:pStyle w:val="BookText"/>
        <w:rPr/>
      </w:pPr>
      <w:r>
        <w:rPr>
          <w:rFonts w:ascii="IRNazanin" w:hAnsi="IRNazanin" w:eastAsia="IRNazanin"/>
          <w:color w:val="111111"/>
          <w:sz w:val="28"/>
          <w:sz w:val="28"/>
          <w:szCs w:val="28"/>
          <w:rtl w:val="true"/>
          <w:lang w:bidi="fa-IR"/>
        </w:rPr>
        <w:t xml:space="preserve">المنفعة الخالیة عن ضرر عاجل و آجل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ما حَرُم استعماله فی الصلاة و الأغذیة؛للاستقذار،أو للتوصّل بها إلی 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لبیان مورد الحکم،و فیه تنبیه علی الأشربة،کما أنّ فی الصلاة تنبیهاً علی الطواف </w:t>
      </w:r>
      <w:r>
        <w:rPr>
          <w:rStyle w:val="FootnoteAnchor"/>
          <w:rtl w:val="true"/>
        </w:rPr>
        <w:footnoteReference w:id="4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کالنصّ فی جواز الانتفاع بالنجس فی غیر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فی الروضة عند قول المصنّف فی عداد ما لا یجوز بیعه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 له نفع حکمی کالصبغ،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أبوال و أرواث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 لهما نفع</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أنّ المراد بالنفع المفروض للدم و الأبوال و الأرواث هو النفع المحلّل،و إلّا لم یحسن ذکر هذا القید فی خصوص هذه الأشیاء دون سائر النجاسات،و لا ذکر خصوص الصبغ للدم،مع أنّ الأکل هی المنفعة المتعارفة المنصرف إلیها الإطلاق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عَلَیْکُمُ الْمَیْتَةُ وَ الدَّمُ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المسوق لها الکلام فی قوله تعالی أَوْ دَماً مَسْفُوحاً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 هو ظاهر المحقّق الثانی،حیث حکی عن الشهید،أنّه حکی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الاستصباح بدهن المیتة،ثم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بعید؛ لعموم النهی </w:t>
      </w:r>
      <w:r>
        <w:rPr>
          <w:rStyle w:val="FootnoteAnchor"/>
          <w:rtl w:val="true"/>
        </w:rPr>
        <w:footnoteReference w:id="412"/>
      </w:r>
      <w:r>
        <w:rPr>
          <w:rFonts w:ascii="IRNazanin" w:hAnsi="IRNazanin" w:eastAsia="IRNazanin"/>
          <w:color w:val="111111"/>
          <w:sz w:val="28"/>
          <w:sz w:val="28"/>
          <w:szCs w:val="28"/>
          <w:rtl w:val="true"/>
          <w:lang w:bidi="fa-IR"/>
        </w:rPr>
        <w:t>عن الانتفاع بالمیتة</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فإنّ عدوله عن التعلیل بعموم المنع عن الانتفاع بالنجس إلی ذکر خصوص المیتة یدلّ علی عدم العموم فی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یبقی بملاحظة ما ذکرنا وثوق بنقل الإجماع المتقدّم عن شرح الإرشاد و التنقیح </w:t>
      </w:r>
      <w:r>
        <w:rPr>
          <w:rStyle w:val="FootnoteAnchor"/>
          <w:rtl w:val="true"/>
        </w:rPr>
        <w:footnoteReference w:id="414"/>
      </w:r>
      <w:r>
        <w:rPr>
          <w:rFonts w:ascii="IRNazanin" w:hAnsi="IRNazanin" w:eastAsia="IRNazanin"/>
          <w:color w:val="111111"/>
          <w:sz w:val="28"/>
          <w:sz w:val="28"/>
          <w:szCs w:val="28"/>
          <w:rtl w:val="true"/>
          <w:lang w:bidi="fa-IR"/>
        </w:rPr>
        <w:t>الجابر لروایة تحف العقول الناهیة عن جمیع التقلّب فی النجس،مع احتمال أن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أنواع التعاطی،لا الاستعمالات،و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إمساکه للوجه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للإحاطة بما ذکرنا اختار بعض الأساطین </w:t>
      </w:r>
      <w:r>
        <w:rPr>
          <w:rStyle w:val="FootnoteAnchor"/>
          <w:rtl w:val="true"/>
        </w:rPr>
        <w:footnoteReference w:id="415"/>
      </w:r>
      <w:r>
        <w:rPr>
          <w:rFonts w:ascii="IRNazanin" w:hAnsi="IRNazanin" w:eastAsia="IRNazanin"/>
          <w:color w:val="111111"/>
          <w:sz w:val="28"/>
          <w:sz w:val="28"/>
          <w:szCs w:val="28"/>
          <w:rtl w:val="true"/>
          <w:lang w:bidi="fa-IR"/>
        </w:rPr>
        <w:t>فی شرحه علی القواعد جواز الانتفاع بالنجس کالمتنجّس،لکن مع تفصیل لا یرجع إلی مخالفة فی محلّ الکلام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الانتفاع بالأعیان النجسة و المتنجّسة فی غیر ما ورد النصّ بمنعه،کالمیتة النجسة التی لا یجوز الانتفاع بها فیما یسمّی استعمالاً عرفاً؛للأخبار و الإجماع،و کذا الاستصباح بالدهن المتنجّس تحت الظلال،و ما دلّ علی المنع من الانتفاع بالنجس و المتنجّس مخصوص</w:t>
      </w:r>
    </w:p>
    <w:p>
      <w:pPr>
        <w:pStyle w:val="BookText"/>
        <w:rPr/>
      </w:pPr>
      <w:r>
        <w:rPr>
          <w:rFonts w:ascii="IRNazanin" w:hAnsi="IRNazanin" w:eastAsia="IRNazanin"/>
          <w:color w:val="111111"/>
          <w:sz w:val="28"/>
          <w:sz w:val="28"/>
          <w:szCs w:val="28"/>
          <w:rtl w:val="true"/>
          <w:lang w:bidi="fa-IR"/>
        </w:rPr>
        <w:t xml:space="preserve">أو منزّل علی الانتفاع الدالّ علی عدم الاکتراث بالدین و عدم المبالاة، و أمّا من استعمله لیغسله فغیر مشمول للأدلّة و یبقی علی حکم الأصل </w:t>
      </w:r>
      <w:r>
        <w:rPr>
          <w:rStyle w:val="FootnoteAnchor"/>
          <w:rtl w:val="true"/>
        </w:rPr>
        <w:footnoteReference w:id="41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استعمالاً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رحمه اللّه لعلّه لإخراج مثل الإیقاد بالمیتة،و سدّ ساقیة الماء بها،و إطعامها لجوارح الطیر،و مراده سلب الاستعمال المضاف إلی المیتة عن هذه الأُمور؛لأنّ استعمال کلّ شیء إعماله فی العمل المقصود منه عرفاً؛فإنّ أ یقاد الباب و السریر لا یسمّی استعمالاً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بأنّ المنهیّ عنه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بالمیتة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لغیر الاستعمال المعهود المتعارف فی الشیء؛و لذا قیّد هو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یسمّی استعمالاً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هذه الاستعمالات لا تعدّ انتفاعاً، تنزیلاً لها منزلة المعدوم؛و لذا یقال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ممّا لا ینتفع به،مع قابلیّته للأُمور المذکورة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فالمنهیّ عنه هو الانتفاع بالمیتة بالمنافع المقصودة التی تعدّ </w:t>
      </w:r>
      <w:r>
        <w:rPr>
          <w:rStyle w:val="FootnoteAnchor"/>
          <w:rtl w:val="true"/>
        </w:rPr>
        <w:footnoteReference w:id="418"/>
      </w:r>
      <w:r>
        <w:rPr>
          <w:rFonts w:ascii="IRNazanin" w:hAnsi="IRNazanin" w:eastAsia="IRNazanin"/>
          <w:color w:val="111111"/>
          <w:sz w:val="28"/>
          <w:sz w:val="28"/>
          <w:szCs w:val="28"/>
          <w:rtl w:val="true"/>
          <w:lang w:bidi="fa-IR"/>
        </w:rPr>
        <w:t>غرضاً من تملّک المیتة لو لا کونها میتة،و إن کانت قد تملک لخصوص هذه</w:t>
      </w:r>
    </w:p>
    <w:p>
      <w:pPr>
        <w:pStyle w:val="BookText"/>
        <w:rPr/>
      </w:pPr>
      <w:r>
        <w:rPr>
          <w:rFonts w:ascii="IRNazanin" w:hAnsi="IRNazanin" w:eastAsia="IRNazanin"/>
          <w:color w:val="111111"/>
          <w:sz w:val="28"/>
          <w:sz w:val="28"/>
          <w:szCs w:val="28"/>
          <w:rtl w:val="true"/>
          <w:lang w:bidi="fa-IR"/>
        </w:rPr>
        <w:t>الأُمور،کما قد یشتری اللحم لإطعام الطیور و السباع،لکنّها أغراض شخصیّة،کما قد یشتری الجلّاب لإطفاء النار،و الباب للإیقاد و التسخین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النهایة فی بیان أنّ الانتفاع ببول غیر المأکول فی الشرب للدواء منفعة جزئیّة لا یعتدّ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کلّ شیء من المحرّمات لا یخلو عن منفعة کالخمر للتخلیل،و العذرة للتسمید،و المیتة لأکل جوارح الطیر و لم یعتبرها الشارع </w:t>
      </w:r>
      <w:r>
        <w:rPr>
          <w:rStyle w:val="FootnoteAnchor"/>
          <w:rtl w:val="true"/>
        </w:rPr>
        <w:footnoteReference w:id="4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الانتفاع المنفیّ فی المیتة و إن کان مطلقاً فی حیّز النفی،إلّا أنّ اختصاصه </w:t>
      </w:r>
      <w:r>
        <w:rPr>
          <w:rStyle w:val="FootnoteAnchor"/>
          <w:rtl w:val="true"/>
        </w:rPr>
        <w:footnoteReference w:id="420"/>
      </w:r>
      <w:r>
        <w:rPr>
          <w:rFonts w:ascii="IRNazanin" w:hAnsi="IRNazanin" w:eastAsia="IRNazanin"/>
          <w:color w:val="111111"/>
          <w:sz w:val="28"/>
          <w:sz w:val="28"/>
          <w:szCs w:val="28"/>
          <w:rtl w:val="true"/>
          <w:lang w:bidi="fa-IR"/>
        </w:rPr>
        <w:t xml:space="preserve">بما ادّعیناه من الأغراض المقصودة من الشیء دون الفوائد المترتّبة علیه من دون أن تعدّ مقاصد لیس من جهة انصرافه </w:t>
      </w:r>
      <w:r>
        <w:rPr>
          <w:rStyle w:val="FootnoteAnchor"/>
          <w:rtl w:val="true"/>
        </w:rPr>
        <w:footnoteReference w:id="421"/>
      </w:r>
      <w:r>
        <w:rPr>
          <w:rFonts w:ascii="IRNazanin" w:hAnsi="IRNazanin" w:eastAsia="IRNazanin"/>
          <w:color w:val="111111"/>
          <w:sz w:val="28"/>
          <w:sz w:val="28"/>
          <w:szCs w:val="28"/>
          <w:rtl w:val="true"/>
          <w:lang w:bidi="fa-IR"/>
        </w:rPr>
        <w:t>إلی المقاصد حتّی یمنع انصراف المطلق فی حیّز النفی،بل من جهة التسامح و الادّعاء العرفیّ تنزیلاً للموجود منزلة المعدوم فإنّه یقال للمیتة مع وجود تلک الفوائد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ممّا لا ینتفع 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الحال فی البول و العذرة و المنیّ،فإنّها ممّا لا ینتفع بها،و إن استفید منها بعض الفوائد،کالتسمید و الإحراق کما هو سیرة بعض الجصّاصین من العرب کما یدلّ علیه وقوع السؤال فی بعض الروایات عن الجصّ یوقد علیه العذرة و عظام الموتی و یجصّص به المسجد،فقال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و النار قد طهّراه</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،بل فی</w:t>
      </w:r>
    </w:p>
    <w:p>
      <w:pPr>
        <w:pStyle w:val="BookText"/>
        <w:rPr/>
      </w:pPr>
      <w:r>
        <w:rPr>
          <w:rFonts w:ascii="IRNazanin" w:hAnsi="IRNazanin" w:eastAsia="IRNazanin"/>
          <w:color w:val="111111"/>
          <w:sz w:val="28"/>
          <w:sz w:val="28"/>
          <w:szCs w:val="28"/>
          <w:rtl w:val="true"/>
          <w:lang w:bidi="fa-IR"/>
        </w:rPr>
        <w:t>الروایة إشعار بالتقریر،فتفطّن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تنزیل ما دلّ علی المنع عن الانتفاع بالنجس علی ما یؤذن بعدم الاکتراث بالدین و عدم المبالاة لا من استعمله لیغسله،فهو تنزیل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ینزّل علی الانتفاع به علی وجه الانتفاع بالطاهر، بأن یستعمله علی وجه یوجب تلویث بدنه و ثیابه و سائر آلات الانتفاع کالصبغ بالدم و إن بنی علی غسل الجمیع عند الحاجة إلی ما یشترط فیه الطهارة،و فی بعض الروایات 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بسنده عن الوشّاء،قال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Style w:val="FootnoteAnchor"/>
          <w:rtl w:val="true"/>
        </w:rPr>
        <w:footnoteReference w:id="423"/>
      </w:r>
      <w:r>
        <w:rPr>
          <w:rFonts w:ascii="IRNazanin" w:hAnsi="IRNazanin" w:eastAsia="IRNazanin"/>
          <w:color w:val="111111"/>
          <w:sz w:val="28"/>
          <w:sz w:val="28"/>
          <w:szCs w:val="28"/>
          <w:rtl w:val="true"/>
          <w:lang w:bidi="fa-IR"/>
        </w:rPr>
        <w:t>لأبی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 أهل الجبل تثقل عندهم ألیات الغنم فیقطعونها،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حرام؛هی میتة،فقلت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فیستصبح </w:t>
      </w:r>
      <w:r>
        <w:rPr>
          <w:rStyle w:val="FootnoteAnchor"/>
          <w:rtl w:val="true"/>
        </w:rPr>
        <w:footnoteReference w:id="424"/>
      </w:r>
      <w:r>
        <w:rPr>
          <w:rFonts w:ascii="IRNazanin" w:hAnsi="IRNazanin" w:eastAsia="IRNazanin"/>
          <w:color w:val="111111"/>
          <w:sz w:val="28"/>
          <w:sz w:val="28"/>
          <w:szCs w:val="28"/>
          <w:rtl w:val="true"/>
          <w:lang w:bidi="fa-IR"/>
        </w:rPr>
        <w:t>بها؟فقال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أنّه یصیب الید و الثوب و هو حرام؟</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بحملها علی حرمة الاستعمال علی وجه یوجب تلویث البدن و الثیاب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حمل الحرام علی النجس کما فی کلام بعض </w:t>
      </w:r>
      <w:r>
        <w:rPr>
          <w:rStyle w:val="FootnoteAnchor"/>
          <w:rtl w:val="true"/>
        </w:rPr>
        <w:footnoteReference w:id="426"/>
      </w:r>
      <w:r>
        <w:rPr>
          <w:rFonts w:ascii="IRNazanin" w:hAnsi="IRNazanin" w:eastAsia="IRNazanin"/>
          <w:color w:val="111111"/>
          <w:sz w:val="28"/>
          <w:sz w:val="28"/>
          <w:szCs w:val="28"/>
          <w:rtl w:val="true"/>
          <w:lang w:bidi="fa-IR"/>
        </w:rPr>
        <w:t>فلا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فی نجس العین،فلا ینتقض بجواز الاستصباح بالدهن المتنجّس،لاحتمال کون مزاولة نجس العین مبغوضةً </w:t>
      </w:r>
      <w:r>
        <w:rPr>
          <w:rStyle w:val="FootnoteAnchor"/>
          <w:rtl w:val="true"/>
        </w:rPr>
        <w:footnoteReference w:id="427"/>
      </w:r>
      <w:r>
        <w:rPr>
          <w:rFonts w:ascii="Amiri" w:hAnsi="Amiri" w:eastAsia="Amiri" w:cs="Amiri"/>
          <w:color w:val="111111"/>
          <w:sz w:val="28"/>
          <w:sz w:val="28"/>
          <w:szCs w:val="28"/>
          <w:rtl w:val="true"/>
          <w:lang w:bidi="ar-SA"/>
        </w:rPr>
        <w:t>للشارع،کما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منفعة النجس المحلّلة للأصل أو للنصّ قد تجعله </w:t>
      </w:r>
      <w:r>
        <w:rPr>
          <w:rStyle w:val="FootnoteAnchor"/>
          <w:rtl w:val="true"/>
        </w:rPr>
        <w:footnoteReference w:id="429"/>
      </w:r>
      <w:r>
        <w:rPr>
          <w:rFonts w:ascii="IRNazanin" w:hAnsi="IRNazanin" w:eastAsia="IRNazanin"/>
          <w:color w:val="111111"/>
          <w:sz w:val="28"/>
          <w:sz w:val="28"/>
          <w:szCs w:val="28"/>
          <w:rtl w:val="true"/>
          <w:lang w:bidi="fa-IR"/>
        </w:rPr>
        <w:t xml:space="preserve">مالاً عرفاً،إلّا أنّه منع الشرع عن بیعه،کجلد المیتة إذا قلنا بجواز الاستقاء به لغیر الوضوء کما هو مذهب جماعة </w:t>
      </w:r>
      <w:r>
        <w:rPr>
          <w:rStyle w:val="FootnoteAnchor"/>
          <w:rtl w:val="true"/>
        </w:rPr>
        <w:footnoteReference w:id="430"/>
      </w:r>
      <w:r>
        <w:rPr>
          <w:rFonts w:ascii="IRNazanin" w:hAnsi="IRNazanin" w:eastAsia="IRNazanin"/>
          <w:color w:val="111111"/>
          <w:sz w:val="28"/>
          <w:sz w:val="28"/>
          <w:szCs w:val="28"/>
          <w:rtl w:val="true"/>
          <w:lang w:bidi="fa-IR"/>
        </w:rPr>
        <w:t xml:space="preserve">مع القول بعدم جواز بیعه؛ لظاهر الإجماعات المحکیّة </w:t>
      </w:r>
      <w:r>
        <w:rPr>
          <w:rStyle w:val="FootnoteAnchor"/>
          <w:rtl w:val="true"/>
        </w:rPr>
        <w:footnoteReference w:id="431"/>
      </w:r>
      <w:r>
        <w:rPr>
          <w:rFonts w:ascii="IRNazanin" w:hAnsi="IRNazanin" w:eastAsia="IRNazanin"/>
          <w:color w:val="111111"/>
          <w:sz w:val="28"/>
          <w:sz w:val="28"/>
          <w:szCs w:val="28"/>
          <w:rtl w:val="true"/>
          <w:lang w:bidi="fa-IR"/>
        </w:rPr>
        <w:t>،و شعر الخنزیر إذا جوّزنا استعماله اختیاراً، و الکلاب الثلاثة إذا منعنا عن بیعها،فمثل هذه أموال لا تجوز المعاوضة علیها،و لا یبعد جواز هبتها؛لعدم المانع مع وجود المقتضی،فتأمّل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لا تجعله مالاً عرفاً؛لعدم ثبوت المنفعة المقصودة منه له </w:t>
      </w:r>
      <w:r>
        <w:rPr>
          <w:rStyle w:val="FootnoteAnchor"/>
          <w:rtl w:val="true"/>
        </w:rPr>
        <w:footnoteReference w:id="432"/>
      </w:r>
      <w:r>
        <w:rPr>
          <w:rFonts w:ascii="IRNazanin" w:hAnsi="IRNazanin" w:eastAsia="IRNazanin"/>
          <w:color w:val="111111"/>
          <w:sz w:val="28"/>
          <w:sz w:val="28"/>
          <w:szCs w:val="28"/>
          <w:rtl w:val="true"/>
          <w:lang w:bidi="fa-IR"/>
        </w:rPr>
        <w:t xml:space="preserve">و إن ترتّب علیه الفوائد،کالمیتة التی یجوز إطعامها لجوارح الطیر و الإیقاد بها، و العذرة للتسمید،فإنّ الظاهر أنّها لا تعدّ أموالاً عرفاً،کما اعترف به جامع المقاصد </w:t>
      </w:r>
      <w:r>
        <w:rPr>
          <w:rStyle w:val="FootnoteAnchor"/>
          <w:rtl w:val="true"/>
        </w:rPr>
        <w:footnoteReference w:id="433"/>
      </w:r>
      <w:r>
        <w:rPr>
          <w:rFonts w:ascii="IRNazanin" w:hAnsi="IRNazanin" w:eastAsia="IRNazanin"/>
          <w:color w:val="111111"/>
          <w:sz w:val="28"/>
          <w:sz w:val="28"/>
          <w:szCs w:val="28"/>
          <w:rtl w:val="true"/>
          <w:lang w:bidi="fa-IR"/>
        </w:rPr>
        <w:t>فی شرح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اقتناء الأعیان النجسة</w:t>
      </w:r>
    </w:p>
    <w:p>
      <w:pPr>
        <w:pStyle w:val="BookText"/>
        <w:rPr/>
      </w:pPr>
      <w:r>
        <w:rPr>
          <w:rFonts w:ascii="Amiri" w:hAnsi="Amiri" w:eastAsia="Amiri" w:cs="Amiri"/>
          <w:color w:val="111111"/>
          <w:sz w:val="28"/>
          <w:sz w:val="28"/>
          <w:szCs w:val="28"/>
          <w:rtl w:val="true"/>
          <w:lang w:bidi="ar-SA"/>
        </w:rPr>
        <w:t>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ثبوت حقّ الاختصاص فی هذه الأُمور الناشئ إمّا عن الحیازة،و إمّا عن کون أصلها مالاً للمالک،کما لو مات حیوان له، أو فسد لحم اشتراه للأکل علی وجه خرج عن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جواز المصالحة علی هذا الحقّ بلا عوض؛بناءً علی صحّة هذا الصلح،بل و مع </w:t>
      </w:r>
      <w:r>
        <w:rPr>
          <w:rStyle w:val="FootnoteAnchor"/>
          <w:rtl w:val="true"/>
        </w:rPr>
        <w:footnoteReference w:id="434"/>
      </w:r>
      <w:r>
        <w:rPr>
          <w:rFonts w:ascii="IRNazanin" w:hAnsi="IRNazanin" w:eastAsia="IRNazanin"/>
          <w:color w:val="111111"/>
          <w:sz w:val="28"/>
          <w:sz w:val="28"/>
          <w:szCs w:val="28"/>
          <w:rtl w:val="true"/>
          <w:lang w:bidi="fa-IR"/>
        </w:rPr>
        <w:t xml:space="preserve">العوض؛بناءً علی أنّه لا یعدّ ثمناً لنفس العین حتّی یکون سحتاً بمقتضی الأخبار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یصحّ الوصیّة بما یحلّ الانتفاع به من النجاسات، کالکلب المعلّم،و الزیت النجس لإشعاله تحت السماء،و الزبْل للانتفاع بإشعاله و التسمید به،و جلد المیتة إن سوّغنا الانتفاع به و الخمر المحترمة؛لثبوت الاختصاص فیها،و انتقالها من یدٍ إلی ید بالإرث و غیره </w:t>
      </w:r>
      <w:r>
        <w:rPr>
          <w:rStyle w:val="FootnoteAnchor"/>
          <w:rtl w:val="true"/>
        </w:rPr>
        <w:footnoteReference w:id="4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بغیر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الید الحادثة بعد إعراض الید الاُولی فلیس انتقالاً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مشکل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بذل مالاً علی أن یرفع یده عنها لیحوزها الباذل کان حسناً،کما یبذل الرجل المال علی أن یرفع الید عمّا فی تصرّفه من</w:t>
      </w:r>
    </w:p>
    <w:p>
      <w:pPr>
        <w:pStyle w:val="BookText"/>
        <w:rPr/>
      </w:pPr>
      <w:r>
        <w:rPr>
          <w:rFonts w:ascii="IRNazanin" w:hAnsi="IRNazanin" w:eastAsia="IRNazanin"/>
          <w:color w:val="111111"/>
          <w:sz w:val="28"/>
          <w:sz w:val="28"/>
          <w:szCs w:val="28"/>
          <w:rtl w:val="true"/>
          <w:lang w:bidi="fa-IR"/>
        </w:rPr>
        <w:t>الأمکنة المشترکة،کمکانه من المسجد و المدرسة و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الأساطین بعد إثبات حقّ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دفع شیء من المال لافتکاکه یشکّ فی دخوله تحت الاکتساب المحظور،فیبقی علی أصالة الجواز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یشترط فی الاختصاص بالحیازة قصد الحائز للانتفاع؛ و لذا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علم کون حیازة الشخص للماء و الکلأ لمجرّد العبث، لم یحصل له حقّ،و حینئذٍ فیشکل الأمر فی ما تعارف فی بعض البلاد من جمع العذرات،حتّی إذا صارت من الکثرة بحیث ینتفع بها فی البساتین و الزرع بُذِل له مال فأُخذت منه،فإنّ الظاهر بل المقطوع أنّه لم یحزها للانتفاع بها،و إنّما حازها لأخذ المال علیها،و من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حلّ المال فرع ثبوت الاختصاص المتوقّف علی قصد الانتفاع المعلوم انتفاؤه فی المقام،و کذا لو سبق إلی مکان من الأمکنة المذکورة من غیر قصد الانتفاع منها بالسکنی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جمعها فی مکانه المملوک،فبذل له المال علی أن یتصرّف فی ذلک المکان بالدخول لأخذها،کان حسناً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لو قلنا بکفایة مجرّد قصد الحیازة فی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یقصد الانتفاع بعینه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قلنا </w:t>
      </w:r>
      <w:r>
        <w:rPr>
          <w:rStyle w:val="FootnoteAnchor"/>
          <w:rtl w:val="true"/>
        </w:rPr>
        <w:footnoteReference w:id="439"/>
      </w:r>
      <w:r>
        <w:rPr>
          <w:rFonts w:ascii="IRNazanin" w:hAnsi="IRNazanin" w:eastAsia="IRNazanin"/>
          <w:color w:val="111111"/>
          <w:sz w:val="28"/>
          <w:sz w:val="28"/>
          <w:szCs w:val="28"/>
          <w:rtl w:val="true"/>
          <w:lang w:bidi="fa-IR"/>
        </w:rPr>
        <w:t>بجواز المعاوضة علی حقّ الاختصاص کان أسهل</w:t>
      </w:r>
      <w:r>
        <w:rPr>
          <w:rFonts w:eastAsia="IRNazanin" w:cs="IRNazanin"/>
          <w:color w:val="111111"/>
          <w:sz w:val="28"/>
          <w:szCs w:val="28"/>
          <w:rtl w:val="true"/>
          <w:lang w:bidi="fa-IR"/>
        </w:rPr>
        <w:t>.</w:t>
      </w:r>
      <w:bookmarkStart w:id="127" w:name="pg19762_189359"/>
    </w:p>
    <w:p>
      <w:pPr>
        <w:pStyle w:val="Heading3"/>
        <w:numPr>
          <w:ilvl w:val="2"/>
          <w:numId w:val="1"/>
        </w:numPr>
        <w:rPr/>
      </w:pPr>
      <w:bookmarkStart w:id="128" w:name="__RefHeading___Toc5003530_2314609296"/>
      <w:bookmarkStart w:id="129" w:name="_Toc48"/>
      <w:bookmarkEnd w:id="127"/>
      <w:bookmarkEnd w:id="128"/>
      <w:r>
        <w:rPr>
          <w:rtl w:val="true"/>
        </w:rPr>
        <w:t>النوع الثانی ممّا یحرم التکسّب به ما یحرم لتحریم ما یقصد به</w:t>
      </w:r>
      <w:bookmarkEnd w:id="129"/>
    </w:p>
    <w:p>
      <w:pPr>
        <w:pStyle w:val="Heading4"/>
        <w:numPr>
          <w:ilvl w:val="3"/>
          <w:numId w:val="1"/>
        </w:numPr>
        <w:rPr/>
      </w:pPr>
      <w:bookmarkStart w:id="130" w:name="__RefHeading___Toc5003532_2314609296"/>
      <w:bookmarkStart w:id="131" w:name="_Toc49"/>
      <w:bookmarkEnd w:id="130"/>
      <w:r>
        <w:rPr>
          <w:rtl w:val="true"/>
        </w:rPr>
        <w:t>اشاره</w:t>
      </w:r>
      <w:bookmarkEnd w:id="1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أقسام</w:t>
      </w:r>
      <w:bookmarkStart w:id="132" w:name="pg19762_189361"/>
    </w:p>
    <w:p>
      <w:pPr>
        <w:pStyle w:val="Heading4"/>
        <w:numPr>
          <w:ilvl w:val="3"/>
          <w:numId w:val="1"/>
        </w:numPr>
        <w:rPr/>
      </w:pPr>
      <w:bookmarkStart w:id="133" w:name="__RefHeading___Toc5003534_2314609296"/>
      <w:bookmarkStart w:id="134" w:name="_Toc50"/>
      <w:bookmarkEnd w:id="132"/>
      <w:bookmarkEnd w:id="133"/>
      <w:r>
        <w:rPr>
          <w:rtl w:val="true"/>
        </w:rPr>
        <w:t>الأوّل ما لا یقصد من وجوده علی نحوه الخاصّ إلّا الحرام</w:t>
      </w:r>
      <w:bookmarkEnd w:id="134"/>
    </w:p>
    <w:p>
      <w:pPr>
        <w:pStyle w:val="Heading5"/>
        <w:numPr>
          <w:ilvl w:val="4"/>
          <w:numId w:val="1"/>
        </w:numPr>
        <w:rPr/>
      </w:pPr>
      <w:bookmarkStart w:id="135" w:name="__RefHeading___Toc5003536_2314609296"/>
      <w:bookmarkStart w:id="136" w:name="_Toc51"/>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و هی أُمور</w:t>
      </w:r>
    </w:p>
    <w:p>
      <w:pPr>
        <w:pStyle w:val="Heading5"/>
        <w:numPr>
          <w:ilvl w:val="4"/>
          <w:numId w:val="1"/>
        </w:numPr>
        <w:rPr/>
      </w:pPr>
      <w:bookmarkStart w:id="137" w:name="__RefHeading___Toc5003538_2314609296"/>
      <w:bookmarkStart w:id="138" w:name="_Toc52"/>
      <w:bookmarkEnd w:id="137"/>
      <w:r>
        <w:rPr>
          <w:rtl w:val="true"/>
        </w:rPr>
        <w:t>منها</w:t>
      </w:r>
      <w:r>
        <w:rPr>
          <w:rtl w:val="true"/>
        </w:rPr>
        <w:t>:</w:t>
      </w:r>
      <w:bookmarkEnd w:id="138"/>
    </w:p>
    <w:p>
      <w:pPr>
        <w:pStyle w:val="BookText"/>
        <w:rPr/>
      </w:pPr>
      <w:r>
        <w:rPr>
          <w:rFonts w:ascii="IRNazanin" w:hAnsi="IRNazanin" w:eastAsia="IRNazanin"/>
          <w:color w:val="111111"/>
          <w:sz w:val="28"/>
          <w:sz w:val="28"/>
          <w:szCs w:val="28"/>
          <w:rtl w:val="true"/>
          <w:lang w:bidi="fa-IR"/>
        </w:rPr>
        <w:t xml:space="preserve">هیاکل العبادة المبتدعة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کالصلیب و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خلافٍ ظاهر،بل الظاهر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مواضع من روایة تحف العقول المتقدّمة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Style w:val="FootnoteAnchor"/>
          <w:rtl w:val="true"/>
        </w:rPr>
        <w:footnoteReference w:id="441"/>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أمر یکون فیه الفساد ممّا هو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یکون فیه وجه من وجوه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منهیّ</w:t>
      </w:r>
    </w:p>
    <w:p>
      <w:pPr>
        <w:pStyle w:val="BookText"/>
        <w:rPr/>
      </w:pPr>
      <w:r>
        <w:rPr>
          <w:rFonts w:ascii="IRNazanin" w:hAnsi="IRNazanin" w:eastAsia="IRNazanin"/>
          <w:color w:val="111111"/>
          <w:sz w:val="28"/>
          <w:sz w:val="28"/>
          <w:szCs w:val="28"/>
          <w:rtl w:val="true"/>
          <w:lang w:bidi="fa-IR"/>
        </w:rPr>
        <w:t>عنه ممّا یتقرّب به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حرّم اللّه الصناعة التی هی حرام کلّها ممّا یجیء منها </w:t>
      </w:r>
      <w:r>
        <w:rPr>
          <w:rStyle w:val="FootnoteAnchor"/>
          <w:rtl w:val="true"/>
        </w:rPr>
        <w:footnoteReference w:id="442"/>
      </w:r>
      <w:r>
        <w:rPr>
          <w:rFonts w:ascii="IRNazanin" w:hAnsi="IRNazanin" w:eastAsia="IRNazanin"/>
          <w:color w:val="111111"/>
          <w:sz w:val="28"/>
          <w:sz w:val="28"/>
          <w:szCs w:val="28"/>
          <w:rtl w:val="true"/>
          <w:lang w:bidi="fa-IR"/>
        </w:rPr>
        <w:t>الفساد محضاً،نظیر المزامیر و البَرابِط، و کلّ ملهوٍّ به،و الصلبان و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فحرام تعلیمه و تعلّمه، و العمل به،و أخذ الأُجرة علیه،و جمیع التقلّب فیه من جمیع وجوه الحرکات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کلّه،مضافاً إلی أنّ أکلَ المال فی مقابل هذه الأشیاء أکلٌ له بالباطل،و إلی 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بناءً علی أنّ تحریم هذه الأُمور تحریم لمنافعها الغالبة،بل الدائمة؛فإنّ الصلیب من حیث إنّه خشب بهذه الهیئة لا ینتفع به إلّا فی الحرام، و لیس بهذه الهیئة ممّا ینتفع به فی المحلّل و المحرّم،و لو فرض ذلک کان </w:t>
      </w:r>
      <w:r>
        <w:rPr>
          <w:rStyle w:val="FootnoteAnchor"/>
          <w:rtl w:val="true"/>
        </w:rPr>
        <w:footnoteReference w:id="444"/>
      </w:r>
      <w:r>
        <w:rPr>
          <w:rFonts w:ascii="IRNazanin" w:hAnsi="IRNazanin" w:eastAsia="IRNazanin"/>
          <w:color w:val="111111"/>
          <w:sz w:val="28"/>
          <w:sz w:val="28"/>
          <w:szCs w:val="28"/>
          <w:rtl w:val="true"/>
          <w:lang w:bidi="fa-IR"/>
        </w:rPr>
        <w:t>منفعة نادرة لا یقدح فی تحریم العین بقول مطلق،الذی هو المناط فی تحریم الثمن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فرض هیئة خاصّة مشترکة بین هیکل العبادة و آلة اخری لعمل محلّل بحیث لا تعدّ </w:t>
      </w:r>
      <w:r>
        <w:rPr>
          <w:rStyle w:val="FootnoteAnchor"/>
          <w:rtl w:val="true"/>
        </w:rPr>
        <w:footnoteReference w:id="445"/>
      </w:r>
      <w:r>
        <w:rPr>
          <w:rFonts w:ascii="IRNazanin" w:hAnsi="IRNazanin" w:eastAsia="IRNazanin"/>
          <w:color w:val="111111"/>
          <w:sz w:val="28"/>
          <w:sz w:val="28"/>
          <w:szCs w:val="28"/>
          <w:rtl w:val="true"/>
          <w:lang w:bidi="fa-IR"/>
        </w:rPr>
        <w:t xml:space="preserve">منفعة نادرة فالأقوی جواز البیع بقصد تلک المنفعة المحلّلة،کما اعترف به فی المسالک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ذکره بعض الأساطین </w:t>
      </w:r>
      <w:r>
        <w:rPr>
          <w:rStyle w:val="FootnoteAnchor"/>
          <w:rtl w:val="true"/>
        </w:rPr>
        <w:footnoteReference w:id="447"/>
      </w:r>
      <w:r>
        <w:rPr>
          <w:rFonts w:ascii="IRNazanin" w:hAnsi="IRNazanin" w:eastAsia="IRNazanin"/>
          <w:color w:val="111111"/>
          <w:sz w:val="28"/>
          <w:sz w:val="28"/>
          <w:szCs w:val="28"/>
          <w:rtl w:val="true"/>
          <w:lang w:bidi="fa-IR"/>
        </w:rPr>
        <w:t>من أنّ ظاهر الإجماع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قصد الجهة المحلّلة و غیرها،فلعلّه محمول علی الجهة المحلّلة التی لا دخل للهیئة فیها،أو النادرة التی ممّا للهیئة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نعم،ذکر أیضاً وفاقاً لظاهر غیره،بل الأکثر أنّه لا فرق بین قصد المادّة 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هی الباعثة علی بذل المال بإزاء ذلک الشیء و إن کان عنوان المبیع المبذول بإزائه الثمن هو ذلک الشیء،فما استظهره من الإجماع و الأخبار حسن؛لأنّ بذل المال بإزاء هذا الجسم المتشکّل بالشکل الخاصّ من حیث کونه مالاً عرفاً بذل للمال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المبیع هی المادّة،سواء تعلّق البیع بها بالخصوص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خشب هذا الصنم أو فی ضمن مجموع مرکّب کما لو وزن له وزنة حطب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بعتک،فظهر فیه صنم أو صلیب فالحکم ببطلان البیع فی الأوّل و فی مقدار الصنم فی الثانی مشکل؛لمنع شمول الأدلّة لمثل هذا الفرد؛لأنّ المتیقّن من الأدلّة المتقدّمة حرمة المعاوضة علی هذه الأُمور نظیر المعاوضة علی غیره </w:t>
      </w:r>
      <w:r>
        <w:rPr>
          <w:rStyle w:val="FootnoteAnchor"/>
          <w:rtl w:val="true"/>
        </w:rPr>
        <w:footnoteReference w:id="448"/>
      </w:r>
      <w:r>
        <w:rPr>
          <w:rFonts w:ascii="IRNazanin" w:hAnsi="IRNazanin" w:eastAsia="IRNazanin"/>
          <w:color w:val="111111"/>
          <w:sz w:val="28"/>
          <w:sz w:val="28"/>
          <w:szCs w:val="28"/>
          <w:rtl w:val="true"/>
          <w:lang w:bidi="fa-IR"/>
        </w:rPr>
        <w:t>من الأموال العرفیّة،و هو ملاحظة مطلق ما یتقوّم به مالیّة الشیء من المادّة و الهیئة و الأوصاف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الملحوظ فی البیع قد یکون مادّة الشیء من غیر</w:t>
      </w:r>
    </w:p>
    <w:p>
      <w:pPr>
        <w:pStyle w:val="BookText"/>
        <w:rPr/>
      </w:pPr>
      <w:r>
        <w:rPr>
          <w:rFonts w:ascii="IRNazanin" w:hAnsi="IRNazanin" w:eastAsia="IRNazanin"/>
          <w:color w:val="111111"/>
          <w:sz w:val="28"/>
          <w:sz w:val="28"/>
          <w:szCs w:val="28"/>
          <w:rtl w:val="true"/>
          <w:lang w:bidi="fa-IR"/>
        </w:rPr>
        <w:t xml:space="preserve">مدخلیّة الشکل،أ لا تری أنّه لو باعه وزنة </w:t>
      </w:r>
      <w:r>
        <w:rPr>
          <w:rStyle w:val="FootnoteAnchor"/>
          <w:rtl w:val="true"/>
        </w:rPr>
        <w:footnoteReference w:id="449"/>
      </w:r>
      <w:r>
        <w:rPr>
          <w:rFonts w:ascii="IRNazanin" w:hAnsi="IRNazanin" w:eastAsia="IRNazanin"/>
          <w:color w:val="111111"/>
          <w:sz w:val="28"/>
          <w:sz w:val="28"/>
          <w:szCs w:val="28"/>
          <w:rtl w:val="true"/>
          <w:lang w:bidi="fa-IR"/>
        </w:rPr>
        <w:t xml:space="preserve">نحاس فظهر فیها آنیة مکسورة،لم یکن له </w:t>
      </w:r>
      <w:r>
        <w:rPr>
          <w:rStyle w:val="FootnoteAnchor"/>
          <w:rtl w:val="true"/>
        </w:rPr>
        <w:footnoteReference w:id="450"/>
      </w:r>
      <w:r>
        <w:rPr>
          <w:rFonts w:ascii="IRNazanin" w:hAnsi="IRNazanin" w:eastAsia="IRNazanin"/>
          <w:color w:val="111111"/>
          <w:sz w:val="28"/>
          <w:sz w:val="28"/>
          <w:szCs w:val="28"/>
          <w:rtl w:val="true"/>
          <w:lang w:bidi="fa-IR"/>
        </w:rPr>
        <w:t>خیار العیب؛لأنّ المبیع هی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المال هی المادّة بشرط عدم الهیئة،مدفوعة بما صُرّح به من أنّه لو أتلف الغاصب لهذه </w:t>
      </w:r>
      <w:r>
        <w:rPr>
          <w:rStyle w:val="FootnoteAnchor"/>
          <w:rtl w:val="true"/>
        </w:rPr>
        <w:footnoteReference w:id="451"/>
      </w:r>
      <w:r>
        <w:rPr>
          <w:rFonts w:ascii="Amiri" w:hAnsi="Amiri" w:eastAsia="Amiri" w:cs="Amiri"/>
          <w:color w:val="111111"/>
          <w:sz w:val="28"/>
          <w:sz w:val="28"/>
          <w:szCs w:val="28"/>
          <w:rtl w:val="true"/>
          <w:lang w:bidi="ar-SA"/>
        </w:rPr>
        <w:t xml:space="preserve">الأُمور ضمن موادّها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حمله علی الإتلاف تدریجاً تمحّل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Style w:val="FootnoteAnchor"/>
          <w:rtl w:val="true"/>
        </w:rPr>
        <w:footnoteReference w:id="454"/>
      </w:r>
      <w:r>
        <w:rPr>
          <w:rFonts w:ascii="IRNazanin" w:hAnsi="IRNazanin" w:eastAsia="IRNazanin"/>
          <w:color w:val="111111"/>
          <w:sz w:val="28"/>
          <w:sz w:val="28"/>
          <w:szCs w:val="28"/>
          <w:rtl w:val="true"/>
          <w:lang w:bidi="fa-IR"/>
        </w:rPr>
        <w:t xml:space="preserve">محکیّ التذکرة أنّه إذا کان لمکسورها قیمة و باعها صحیحة لتُکْسَر و کان المشتری ممّن یوثق بدیانته؛فإنّه یجوز بیعها علی الأقوی </w:t>
      </w:r>
      <w:r>
        <w:rPr>
          <w:rStyle w:val="FootnoteAnchor"/>
          <w:rtl w:val="true"/>
        </w:rPr>
        <w:footnoteReference w:id="4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ذلک صاحب الکفایة </w:t>
      </w:r>
      <w:r>
        <w:rPr>
          <w:rStyle w:val="FootnoteAnchor"/>
          <w:rtl w:val="true"/>
        </w:rPr>
        <w:footnoteReference w:id="456"/>
      </w:r>
      <w:r>
        <w:rPr>
          <w:rFonts w:ascii="IRNazanin" w:hAnsi="IRNazanin" w:eastAsia="IRNazanin"/>
          <w:color w:val="111111"/>
          <w:sz w:val="28"/>
          <w:sz w:val="28"/>
          <w:szCs w:val="28"/>
          <w:rtl w:val="true"/>
          <w:lang w:bidi="fa-IR"/>
        </w:rPr>
        <w:t xml:space="preserve">و صاحب الحدائق </w:t>
      </w:r>
      <w:r>
        <w:rPr>
          <w:rStyle w:val="FootnoteAnchor"/>
          <w:rtl w:val="true"/>
        </w:rPr>
        <w:footnoteReference w:id="457"/>
      </w:r>
      <w:r>
        <w:rPr>
          <w:rFonts w:ascii="IRNazanin" w:hAnsi="IRNazanin" w:eastAsia="IRNazanin"/>
          <w:color w:val="111111"/>
          <w:sz w:val="28"/>
          <w:sz w:val="28"/>
          <w:szCs w:val="28"/>
          <w:rtl w:val="true"/>
          <w:lang w:bidi="fa-IR"/>
        </w:rPr>
        <w:t>و صاحب</w:t>
      </w:r>
    </w:p>
    <w:p>
      <w:pPr>
        <w:pStyle w:val="BookText"/>
        <w:rPr/>
      </w:pPr>
      <w:r>
        <w:rPr>
          <w:rFonts w:ascii="IRNazanin" w:hAnsi="IRNazanin" w:eastAsia="IRNazanin"/>
          <w:color w:val="111111"/>
          <w:sz w:val="28"/>
          <w:sz w:val="28"/>
          <w:szCs w:val="28"/>
          <w:rtl w:val="true"/>
          <w:lang w:bidi="fa-IR"/>
        </w:rPr>
        <w:t xml:space="preserve">الریاض </w:t>
      </w:r>
      <w:r>
        <w:rPr>
          <w:rStyle w:val="FootnoteAnchor"/>
          <w:rtl w:val="true"/>
        </w:rPr>
        <w:footnoteReference w:id="458"/>
      </w:r>
      <w:r>
        <w:rPr>
          <w:rFonts w:ascii="IRNazanin" w:hAnsi="IRNazanin" w:eastAsia="IRNazanin"/>
          <w:color w:val="111111"/>
          <w:sz w:val="28"/>
          <w:sz w:val="28"/>
          <w:szCs w:val="28"/>
          <w:rtl w:val="true"/>
          <w:lang w:bidi="fa-IR"/>
        </w:rPr>
        <w:t xml:space="preserve">نافیاً عنه الریب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التقیید فی کلام العلّامة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المشتری ممّن یوثق بدیانته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لئلّا یدخل فی باب المساعدة علی المحرّم؛فإنّ دفع ما یقصد منه المعصیة غالباً مع عدم وثوق بالمدفوع إلیه تقویة لوجه من وجوه المعاصی،فیکون باطلاً،کما فی روایة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مضافاً إلی التأمّل فی بطلان البیع لمجرّد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یمکن الاستغناء عن هذا القید </w:t>
      </w:r>
      <w:r>
        <w:rPr>
          <w:rStyle w:val="FootnoteAnchor"/>
          <w:rtl w:val="true"/>
        </w:rPr>
        <w:footnoteReference w:id="461"/>
      </w:r>
      <w:r>
        <w:rPr>
          <w:rFonts w:ascii="IRNazanin" w:hAnsi="IRNazanin" w:eastAsia="IRNazanin"/>
          <w:color w:val="111111"/>
          <w:sz w:val="28"/>
          <w:sz w:val="28"/>
          <w:szCs w:val="28"/>
          <w:rtl w:val="true"/>
          <w:lang w:bidi="fa-IR"/>
        </w:rPr>
        <w:t xml:space="preserve">بکسره قبل أن یقبضه إیّاه،فإنّ الهیئة غیر محترمة فی هذه الأُمور،کما صرّحوا به فی باب الغصب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یقال بوجوب إتلافها فوراً،و لا یبعد أن یثبت؛لوجوب حسم مادّة الفساد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 بعد حکمه بالمنع عن بیع هذه الأشیاء و إن</w:t>
      </w:r>
      <w:bookmarkStart w:id="139" w:name="pg19762_189366"/>
    </w:p>
    <w:p>
      <w:pPr>
        <w:pStyle w:val="BookText"/>
        <w:rPr/>
      </w:pPr>
      <w:bookmarkEnd w:id="139"/>
      <w:r>
        <w:rPr>
          <w:rFonts w:ascii="IRNazanin" w:hAnsi="IRNazanin" w:eastAsia="IRNazanin"/>
          <w:color w:val="111111"/>
          <w:sz w:val="28"/>
          <w:sz w:val="28"/>
          <w:szCs w:val="28"/>
          <w:rtl w:val="true"/>
          <w:lang w:bidi="fa-IR"/>
        </w:rPr>
        <w:t xml:space="preserve">أمکن الانتفاع علی حالها فی غیر محرّم </w:t>
      </w:r>
      <w:r>
        <w:rPr>
          <w:rStyle w:val="FootnoteAnchor"/>
          <w:rtl w:val="true"/>
        </w:rPr>
        <w:footnoteReference w:id="463"/>
      </w:r>
      <w:r>
        <w:rPr>
          <w:rFonts w:ascii="Amiri" w:hAnsi="Amiri" w:eastAsia="Amiri" w:cs="Amiri"/>
          <w:color w:val="111111"/>
          <w:sz w:val="28"/>
          <w:sz w:val="28"/>
          <w:szCs w:val="28"/>
          <w:rtl w:val="true"/>
          <w:lang w:bidi="ar-SA"/>
        </w:rPr>
        <w:t>منفعة لا تقصد منها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أثر لکون رضاضها الباقی بعد کسرها ممّا ینتفع به فی المحلّل و یعدّ مالاً،لأنّ بذل المال فی مقابلها و هی علی هیئتها بذل له فی المحرّم،الذی لا یعدّ مالاً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باع رضاضها الباقی بعد کسرها قبل أن یکسرها و کان المشتری موثوقاً به و أنّه یکسرها أمکن القول بصحّة البیع،و مثله باقی الأُمور المحرّمة کأوانی النقدین و الصنم </w:t>
      </w:r>
      <w:r>
        <w:rPr>
          <w:rStyle w:val="FootnoteAnchor"/>
          <w:rtl w:val="true"/>
        </w:rPr>
        <w:footnoteReference w:id="4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5"/>
        <w:numPr>
          <w:ilvl w:val="4"/>
          <w:numId w:val="1"/>
        </w:numPr>
        <w:rPr/>
      </w:pPr>
      <w:bookmarkStart w:id="140" w:name="__RefHeading___Toc5003540_2314609296"/>
      <w:bookmarkStart w:id="141" w:name="_Toc53"/>
      <w:bookmarkEnd w:id="140"/>
      <w:r>
        <w:rPr>
          <w:rtl w:val="true"/>
        </w:rPr>
        <w:t>و منها</w:t>
      </w:r>
      <w:r>
        <w:rPr>
          <w:rtl w:val="true"/>
        </w:rPr>
        <w:t>:</w:t>
      </w:r>
      <w:bookmarkEnd w:id="141"/>
    </w:p>
    <w:p>
      <w:pPr>
        <w:pStyle w:val="BookText"/>
        <w:rPr/>
      </w:pPr>
      <w:r>
        <w:rPr>
          <w:rFonts w:ascii="IRNazanin" w:hAnsi="IRNazanin" w:eastAsia="IRNazanin"/>
          <w:color w:val="111111"/>
          <w:sz w:val="28"/>
          <w:sz w:val="28"/>
          <w:szCs w:val="28"/>
          <w:rtl w:val="true"/>
          <w:lang w:bidi="fa-IR"/>
        </w:rPr>
        <w:t>آلات القمار بأنواعه</w:t>
      </w:r>
    </w:p>
    <w:p>
      <w:pPr>
        <w:pStyle w:val="BookText"/>
        <w:rPr/>
      </w:pPr>
      <w:r>
        <w:rPr>
          <w:rFonts w:ascii="IRNazanin" w:hAnsi="IRNazanin" w:eastAsia="IRNazanin"/>
          <w:color w:val="111111"/>
          <w:sz w:val="28"/>
          <w:sz w:val="28"/>
          <w:szCs w:val="28"/>
          <w:rtl w:val="true"/>
          <w:lang w:bidi="fa-IR"/>
        </w:rPr>
        <w:t>بلا خلافٍ ظاهراً،و یدلّ علیه جمیع ما تقدّم فی هیاکل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هنا أیضاً جواز بیع المادّة قبل تغییر الهیئة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لمکسورها قیمة،و باعها صحیحة لتکسر و کان المشتری ممّن یوثق بدیانته ففی جواز بیعها وجهان، و قوّی فی التذکرة </w:t>
      </w:r>
      <w:r>
        <w:rPr>
          <w:rStyle w:val="FootnoteAnchor"/>
          <w:rtl w:val="true"/>
        </w:rPr>
        <w:footnoteReference w:id="465"/>
      </w:r>
      <w:r>
        <w:rPr>
          <w:rFonts w:ascii="IRNazanin" w:hAnsi="IRNazanin" w:eastAsia="IRNazanin"/>
          <w:color w:val="111111"/>
          <w:sz w:val="28"/>
          <w:sz w:val="28"/>
          <w:szCs w:val="28"/>
          <w:rtl w:val="true"/>
          <w:lang w:bidi="fa-IR"/>
        </w:rPr>
        <w:t>الجواز مع زوال الصفة،و هو حسن،و الأکثر أطلقوا</w:t>
      </w:r>
      <w:bookmarkStart w:id="142" w:name="pg19762_189367"/>
    </w:p>
    <w:p>
      <w:pPr>
        <w:pStyle w:val="BookText"/>
        <w:rPr/>
      </w:pPr>
      <w:bookmarkEnd w:id="142"/>
      <w:r>
        <w:rPr>
          <w:rFonts w:ascii="IRNazanin" w:hAnsi="IRNazanin" w:eastAsia="IRNazanin"/>
          <w:color w:val="111111"/>
          <w:sz w:val="28"/>
          <w:sz w:val="28"/>
          <w:szCs w:val="28"/>
          <w:rtl w:val="true"/>
          <w:lang w:bidi="fa-IR"/>
        </w:rPr>
        <w:t xml:space="preserve">المنع </w:t>
      </w:r>
      <w:r>
        <w:rPr>
          <w:rStyle w:val="FootnoteAnchor"/>
          <w:rtl w:val="true"/>
        </w:rPr>
        <w:footnoteReference w:id="4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الهیئة؛فلا ینبغی الإشکال فی الجواز،و لا ینبغی جعله محلا للخلاف بین العلّامة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بالقمار مطلق المراهنة بعوض،فکلّ ما أُعدّ لها بحیث لا یقصد منه علی ما فیه من الخصوصیّات غیرها حرمت المعاوضة علیه،و أمّا المراهنة بغیر عوض فیجیء </w:t>
      </w:r>
      <w:r>
        <w:rPr>
          <w:rStyle w:val="FootnoteAnchor"/>
          <w:rtl w:val="true"/>
        </w:rPr>
        <w:footnoteReference w:id="467"/>
      </w:r>
      <w:r>
        <w:rPr>
          <w:rFonts w:ascii="IRNazanin" w:hAnsi="IRNazanin" w:eastAsia="IRNazanin"/>
          <w:color w:val="111111"/>
          <w:sz w:val="28"/>
          <w:sz w:val="28"/>
          <w:szCs w:val="28"/>
          <w:rtl w:val="true"/>
          <w:lang w:bidi="fa-IR"/>
        </w:rPr>
        <w:t>أنّه لیس بقمار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بحرمتها لحق الآلة المعدّة لها حکم آلات القمار،مثل ما یعملونه شبه الکرة،یسمّی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توپة</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و الصولجان</w:t>
      </w:r>
      <w:r>
        <w:rPr>
          <w:rFonts w:eastAsia="IRNazanin" w:cs="IRNazanin"/>
          <w:color w:val="111111"/>
          <w:sz w:val="28"/>
          <w:szCs w:val="28"/>
          <w:rtl w:val="true"/>
          <w:lang w:bidi="fa-IR"/>
        </w:rPr>
        <w:t>.</w:t>
      </w:r>
    </w:p>
    <w:p>
      <w:pPr>
        <w:pStyle w:val="Heading5"/>
        <w:numPr>
          <w:ilvl w:val="4"/>
          <w:numId w:val="1"/>
        </w:numPr>
        <w:rPr/>
      </w:pPr>
      <w:bookmarkStart w:id="143" w:name="__RefHeading___Toc5003542_2314609296"/>
      <w:bookmarkStart w:id="144" w:name="_Toc54"/>
      <w:bookmarkEnd w:id="143"/>
      <w:r>
        <w:rPr>
          <w:rtl w:val="true"/>
        </w:rPr>
        <w:t>و منها</w:t>
      </w:r>
      <w:r>
        <w:rPr>
          <w:rtl w:val="true"/>
        </w:rPr>
        <w:t>:</w:t>
      </w:r>
      <w:bookmarkEnd w:id="144"/>
    </w:p>
    <w:p>
      <w:pPr>
        <w:pStyle w:val="BookText"/>
        <w:rPr/>
      </w:pPr>
      <w:r>
        <w:rPr>
          <w:rFonts w:ascii="IRNazanin" w:hAnsi="IRNazanin" w:eastAsia="IRNazanin"/>
          <w:color w:val="111111"/>
          <w:sz w:val="28"/>
          <w:sz w:val="28"/>
          <w:szCs w:val="28"/>
          <w:rtl w:val="true"/>
          <w:lang w:bidi="fa-IR"/>
        </w:rPr>
        <w:t>آلات اللهو</w:t>
      </w:r>
    </w:p>
    <w:p>
      <w:pPr>
        <w:pStyle w:val="BookText"/>
        <w:rPr/>
      </w:pPr>
      <w:r>
        <w:rPr>
          <w:rFonts w:ascii="IRNazanin" w:hAnsi="IRNazanin" w:eastAsia="IRNazanin"/>
          <w:color w:val="111111"/>
          <w:sz w:val="28"/>
          <w:sz w:val="28"/>
          <w:szCs w:val="28"/>
          <w:rtl w:val="true"/>
          <w:lang w:bidi="fa-IR"/>
        </w:rPr>
        <w:t>علی اختلاف أصنافها بلا خلاف؛لجمیع ما تقدّم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بیع المادّة کما تقدّم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المراد بآلات اللهو ما أُعدّ له،توقّف علی تعیین معنی</w:t>
      </w:r>
      <w:bookmarkStart w:id="145" w:name="pg19762_189368"/>
    </w:p>
    <w:p>
      <w:pPr>
        <w:pStyle w:val="BookText"/>
        <w:rPr/>
      </w:pPr>
      <w:bookmarkEnd w:id="145"/>
      <w:r>
        <w:rPr>
          <w:rFonts w:ascii="Amiri" w:hAnsi="Amiri" w:eastAsia="Amiri" w:cs="Amiri"/>
          <w:color w:val="111111"/>
          <w:sz w:val="28"/>
          <w:sz w:val="28"/>
          <w:szCs w:val="28"/>
          <w:rtl w:val="true"/>
          <w:lang w:bidi="ar-SA"/>
        </w:rPr>
        <w:t>اللهو و حرمة مطلق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المتیقّن </w:t>
      </w:r>
      <w:r>
        <w:rPr>
          <w:rStyle w:val="FootnoteAnchor"/>
          <w:rtl w:val="true"/>
        </w:rPr>
        <w:footnoteReference w:id="469"/>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جنس المزامیر و آلات الأغانی، و من جنس الطبول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معنی اللهو و حکمه</w:t>
      </w:r>
      <w:r>
        <w:rPr>
          <w:rFonts w:eastAsia="IRNazanin" w:cs="IRNazanin"/>
          <w:color w:val="111111"/>
          <w:sz w:val="28"/>
          <w:szCs w:val="28"/>
          <w:rtl w:val="true"/>
          <w:lang w:bidi="fa-IR"/>
        </w:rPr>
        <w:t>.</w:t>
      </w:r>
    </w:p>
    <w:p>
      <w:pPr>
        <w:pStyle w:val="Heading5"/>
        <w:numPr>
          <w:ilvl w:val="4"/>
          <w:numId w:val="1"/>
        </w:numPr>
        <w:rPr/>
      </w:pPr>
      <w:bookmarkStart w:id="146" w:name="__RefHeading___Toc5003544_2314609296"/>
      <w:bookmarkStart w:id="147" w:name="_Toc55"/>
      <w:bookmarkEnd w:id="146"/>
      <w:r>
        <w:rPr>
          <w:rtl w:val="true"/>
        </w:rPr>
        <w:t>و منها</w:t>
      </w:r>
      <w:r>
        <w:rPr>
          <w:rtl w:val="true"/>
        </w:rPr>
        <w:t>:</w:t>
      </w:r>
      <w:bookmarkEnd w:id="147"/>
    </w:p>
    <w:p>
      <w:pPr>
        <w:pStyle w:val="BookText"/>
        <w:rPr/>
      </w:pPr>
      <w:r>
        <w:rPr>
          <w:rFonts w:ascii="IRNazanin" w:hAnsi="IRNazanin" w:eastAsia="IRNazanin"/>
          <w:color w:val="111111"/>
          <w:sz w:val="28"/>
          <w:sz w:val="28"/>
          <w:szCs w:val="28"/>
          <w:rtl w:val="true"/>
          <w:lang w:bidi="fa-IR"/>
        </w:rPr>
        <w:t>أوانی الذهب و الفضّة</w:t>
      </w:r>
    </w:p>
    <w:p>
      <w:pPr>
        <w:pStyle w:val="BookText"/>
        <w:rPr/>
      </w:pPr>
      <w:r>
        <w:rPr>
          <w:rFonts w:ascii="IRNazanin" w:hAnsi="IRNazanin" w:eastAsia="IRNazanin"/>
          <w:color w:val="111111"/>
          <w:sz w:val="28"/>
          <w:sz w:val="28"/>
          <w:szCs w:val="28"/>
          <w:rtl w:val="true"/>
          <w:lang w:bidi="fa-IR"/>
        </w:rPr>
        <w:t xml:space="preserve">إذا قلنا بتحریم اقتنائها و قصد </w:t>
      </w:r>
      <w:r>
        <w:rPr>
          <w:rStyle w:val="FootnoteAnchor"/>
          <w:rtl w:val="true"/>
        </w:rPr>
        <w:footnoteReference w:id="470"/>
      </w:r>
      <w:r>
        <w:rPr>
          <w:rFonts w:ascii="IRNazanin" w:hAnsi="IRNazanin" w:eastAsia="IRNazanin"/>
          <w:color w:val="111111"/>
          <w:sz w:val="28"/>
          <w:sz w:val="28"/>
          <w:szCs w:val="28"/>
          <w:rtl w:val="true"/>
          <w:lang w:bidi="fa-IR"/>
        </w:rPr>
        <w:t>المعاوضة علی مجموع الهیئة و المادّة،لا المادّة فقط</w:t>
      </w:r>
      <w:r>
        <w:rPr>
          <w:rFonts w:eastAsia="IRNazanin" w:cs="IRNazanin"/>
          <w:color w:val="111111"/>
          <w:sz w:val="28"/>
          <w:szCs w:val="28"/>
          <w:rtl w:val="true"/>
          <w:lang w:bidi="fa-IR"/>
        </w:rPr>
        <w:t>.</w:t>
      </w:r>
    </w:p>
    <w:p>
      <w:pPr>
        <w:pStyle w:val="Heading5"/>
        <w:numPr>
          <w:ilvl w:val="4"/>
          <w:numId w:val="1"/>
        </w:numPr>
        <w:rPr/>
      </w:pPr>
      <w:bookmarkStart w:id="148" w:name="__RefHeading___Toc5003546_2314609296"/>
      <w:bookmarkStart w:id="149" w:name="_Toc56"/>
      <w:bookmarkEnd w:id="148"/>
      <w:r>
        <w:rPr>
          <w:rtl w:val="true"/>
        </w:rPr>
        <w:t>و منها</w:t>
      </w:r>
      <w:r>
        <w:rPr>
          <w:rtl w:val="true"/>
        </w:rPr>
        <w:t>:</w:t>
      </w:r>
      <w:bookmarkEnd w:id="149"/>
    </w:p>
    <w:p>
      <w:pPr>
        <w:pStyle w:val="BookText"/>
        <w:rPr/>
      </w:pPr>
      <w:r>
        <w:rPr>
          <w:rFonts w:ascii="Amiri" w:hAnsi="Amiri" w:eastAsia="Amiri" w:cs="Amiri"/>
          <w:color w:val="111111"/>
          <w:sz w:val="28"/>
          <w:sz w:val="28"/>
          <w:szCs w:val="28"/>
          <w:rtl w:val="true"/>
          <w:lang w:bidi="ar-SA"/>
        </w:rPr>
        <w:t>الدراهم الخارجة المعمولة لأجل غشّ الناس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یفرض علی هیئتها الخاصّة منفعة محلّلة معتدّ بها،مثل التزیّن،أو الدفع إلی الظالم الذی یرید مقداراً من المال کالعَشّار</w:t>
      </w:r>
    </w:p>
    <w:p>
      <w:pPr>
        <w:pStyle w:val="BookText"/>
        <w:rPr/>
      </w:pPr>
      <w:r>
        <w:rPr>
          <w:rFonts w:ascii="IRNazanin" w:hAnsi="IRNazanin" w:eastAsia="IRNazanin"/>
          <w:color w:val="111111"/>
          <w:sz w:val="28"/>
          <w:sz w:val="28"/>
          <w:szCs w:val="28"/>
          <w:rtl w:val="true"/>
          <w:lang w:bidi="fa-IR"/>
        </w:rPr>
        <w:t>و نحوه بناءً علی جواز ذلک و عدم وجوب إتلاف مثل هذه الدراهم و لو بکسرها من باب دفع مادّة الفساد،کما یدلّ علیه قوله علیه السلام فی روایة الجعفی مشیراً إلی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اکسر هذا؛فإنّه لا یَحِلُّ بیعه و لا إنفاقه</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موسی بن بکیر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قَطَّعَه نصفین </w:t>
      </w:r>
      <w:r>
        <w:rPr>
          <w:rStyle w:val="FootnoteAnchor"/>
          <w:rtl w:val="true"/>
        </w:rPr>
        <w:footnoteReference w:id="47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ألقه فی البالوعة حتّی لا یباع شیء فیه </w:t>
      </w:r>
      <w:r>
        <w:rPr>
          <w:rStyle w:val="FootnoteAnchor"/>
          <w:rtl w:val="true"/>
        </w:rPr>
        <w:footnoteReference w:id="474"/>
      </w:r>
      <w:r>
        <w:rPr>
          <w:rFonts w:ascii="Amiri" w:hAnsi="Amiri" w:eastAsia="Amiri" w:cs="Amiri"/>
          <w:color w:val="111111"/>
          <w:sz w:val="28"/>
          <w:sz w:val="28"/>
          <w:szCs w:val="28"/>
          <w:rtl w:val="true"/>
          <w:lang w:bidi="ar-SA"/>
        </w:rPr>
        <w:t>غشّ</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تمام الکلام فیه فی باب الصرْف إن شاء اللّه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وقعت المعاوضة علیها جهلاً فتبیّن الحال لمن صار </w:t>
      </w:r>
      <w:r>
        <w:rPr>
          <w:rStyle w:val="FootnoteAnchor"/>
          <w:rtl w:val="true"/>
        </w:rPr>
        <w:footnoteReference w:id="476"/>
      </w:r>
      <w:r>
        <w:rPr>
          <w:rFonts w:ascii="IRNazanin" w:hAnsi="IRNazanin" w:eastAsia="IRNazanin"/>
          <w:color w:val="111111"/>
          <w:sz w:val="28"/>
          <w:sz w:val="28"/>
          <w:szCs w:val="28"/>
          <w:rtl w:val="true"/>
          <w:lang w:bidi="fa-IR"/>
        </w:rPr>
        <w:t xml:space="preserve">إلیه، فإن وقع عنوان المعاوضة علی الدرهم المنصرف إطلاقه إلی المسکوک بسکّة </w:t>
      </w:r>
      <w:r>
        <w:rPr>
          <w:rStyle w:val="FootnoteAnchor"/>
          <w:rtl w:val="true"/>
        </w:rPr>
        <w:footnoteReference w:id="477"/>
      </w:r>
      <w:r>
        <w:rPr>
          <w:rFonts w:ascii="IRNazanin" w:hAnsi="IRNazanin" w:eastAsia="IRNazanin"/>
          <w:color w:val="111111"/>
          <w:sz w:val="28"/>
          <w:sz w:val="28"/>
          <w:szCs w:val="28"/>
          <w:rtl w:val="true"/>
          <w:lang w:bidi="fa-IR"/>
        </w:rPr>
        <w:t xml:space="preserve">السلطان </w:t>
      </w:r>
      <w:r>
        <w:rPr>
          <w:rStyle w:val="FootnoteAnchor"/>
          <w:rtl w:val="true"/>
        </w:rPr>
        <w:footnoteReference w:id="478"/>
      </w:r>
      <w:r>
        <w:rPr>
          <w:rFonts w:ascii="IRNazanin" w:hAnsi="IRNazanin" w:eastAsia="IRNazanin"/>
          <w:color w:val="111111"/>
          <w:sz w:val="28"/>
          <w:sz w:val="28"/>
          <w:szCs w:val="28"/>
          <w:rtl w:val="true"/>
          <w:lang w:bidi="fa-IR"/>
        </w:rPr>
        <w:t>بطل البیع،و إن وقعت المعاوضة علی شخصه</w:t>
      </w:r>
    </w:p>
    <w:p>
      <w:pPr>
        <w:pStyle w:val="BookText"/>
        <w:rPr/>
      </w:pPr>
      <w:r>
        <w:rPr>
          <w:rFonts w:ascii="IRNazanin" w:hAnsi="IRNazanin" w:eastAsia="IRNazanin"/>
          <w:color w:val="111111"/>
          <w:sz w:val="28"/>
          <w:sz w:val="28"/>
          <w:szCs w:val="28"/>
          <w:rtl w:val="true"/>
          <w:lang w:bidi="fa-IR"/>
        </w:rPr>
        <w:t>من دون عنوان،فالظاهر صحّة البیع مع خیار العیب إن کانت المادّة مغشوشة،و إن کان مجرّد تفاوت السکّة،فهو خیار التدلیس،فتأمّل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ما تقدّم من الآلات،فإنّ البیع الواقع علیها لا یمکن تصحیحه بإمضائه من جهة المادّة فقط و استرداد ما قابل الهیئة من الثمن المدفوع،کما لو جمع بین الخَلّ و الخمر،لأنّ کلّ جزء من الخَلّ أو الخمر </w:t>
      </w:r>
      <w:r>
        <w:rPr>
          <w:rStyle w:val="FootnoteAnchor"/>
          <w:rtl w:val="true"/>
        </w:rPr>
        <w:footnoteReference w:id="479"/>
      </w:r>
      <w:r>
        <w:rPr>
          <w:rFonts w:ascii="IRNazanin" w:hAnsi="IRNazanin" w:eastAsia="IRNazanin"/>
          <w:color w:val="111111"/>
          <w:sz w:val="28"/>
          <w:sz w:val="28"/>
          <w:szCs w:val="28"/>
          <w:rtl w:val="true"/>
          <w:lang w:bidi="fa-IR"/>
        </w:rPr>
        <w:t>مالٌ لا بدّ أن یقابل فی المعاوضة بجزء من المال،ففساد المعاملة باعتباره یوجب فساد مقابله من المال لا غیر،بخلاف المادّة و الهیئة،فإنّ الهیئة من قبیل القید للمادّة جزء عقلیّ لا خارجی تقابل بمال علی حدة، ففساد المعاملة باعتباره فساد لمعاملة المادّة حقیقة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مطّرد فی کلّ قید فاسد بذل الثمن الخاصّ لداعی وجوده</w:t>
      </w:r>
      <w:r>
        <w:rPr>
          <w:rFonts w:eastAsia="IRNazanin" w:cs="IRNazanin"/>
          <w:color w:val="111111"/>
          <w:sz w:val="28"/>
          <w:szCs w:val="28"/>
          <w:rtl w:val="true"/>
          <w:lang w:bidi="fa-IR"/>
        </w:rPr>
        <w:t>.</w:t>
      </w:r>
      <w:bookmarkStart w:id="150" w:name="pg19762_189371"/>
    </w:p>
    <w:p>
      <w:pPr>
        <w:pStyle w:val="Heading4"/>
        <w:numPr>
          <w:ilvl w:val="3"/>
          <w:numId w:val="1"/>
        </w:numPr>
        <w:rPr/>
      </w:pPr>
      <w:bookmarkStart w:id="151" w:name="__RefHeading___Toc5003548_2314609296"/>
      <w:bookmarkStart w:id="152" w:name="_Toc57"/>
      <w:bookmarkEnd w:id="150"/>
      <w:bookmarkEnd w:id="151"/>
      <w:r>
        <w:rPr>
          <w:rtl w:val="true"/>
        </w:rPr>
        <w:t>القسم الثانی ما یقصد منه المتعاملان المنفعة المحرّمة</w:t>
      </w:r>
      <w:bookmarkEnd w:id="152"/>
    </w:p>
    <w:p>
      <w:pPr>
        <w:pStyle w:val="Heading5"/>
        <w:numPr>
          <w:ilvl w:val="4"/>
          <w:numId w:val="1"/>
        </w:numPr>
        <w:rPr/>
      </w:pPr>
      <w:bookmarkStart w:id="153" w:name="__RefHeading___Toc5003550_2314609296"/>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علی وجه یرجع إلی بذل المال فی مقابل المنفعة المحرّمة،کالمعاوضة علی العنب مع التزامهما أن لا یتصرّف فیه إلّا بالتخمیر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علی وجه یکون الحرام هو الداعی إلی المعاوضة لا غیر، کالمعاوضة علی العنب مع قصدهما تخمیره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إمّا أن یکون الحرام مقصوداً لا غیر،کبیع العنب علی أن یعمله خمراً </w:t>
      </w:r>
      <w:r>
        <w:rPr>
          <w:rStyle w:val="FootnoteAnchor"/>
          <w:rtl w:val="true"/>
        </w:rPr>
        <w:footnoteReference w:id="480"/>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الحرام مقصوداً مع الحلال،بحیث یکون بذل المال بإزائهما </w:t>
      </w:r>
      <w:r>
        <w:rPr>
          <w:rStyle w:val="FootnoteAnchor"/>
          <w:rtl w:val="true"/>
        </w:rPr>
        <w:footnoteReference w:id="481"/>
      </w:r>
      <w:r>
        <w:rPr>
          <w:rFonts w:ascii="IRNazanin" w:hAnsi="IRNazanin" w:eastAsia="IRNazanin"/>
          <w:color w:val="111111"/>
          <w:sz w:val="28"/>
          <w:sz w:val="28"/>
          <w:szCs w:val="28"/>
          <w:rtl w:val="true"/>
          <w:lang w:bidi="fa-IR"/>
        </w:rPr>
        <w:t>،کبیع الجاریة المغنّیة بثمنٍ لوحظ فیه وقوع بعضه بإزاء</w:t>
      </w:r>
      <w:bookmarkStart w:id="155" w:name="pg19762_189372"/>
    </w:p>
    <w:p>
      <w:pPr>
        <w:pStyle w:val="BookText"/>
        <w:rPr/>
      </w:pPr>
      <w:bookmarkEnd w:id="155"/>
      <w:r>
        <w:rPr>
          <w:rFonts w:ascii="Amiri" w:hAnsi="Amiri" w:eastAsia="Amiri" w:cs="Amiri"/>
          <w:color w:val="111111"/>
          <w:sz w:val="28"/>
          <w:sz w:val="28"/>
          <w:szCs w:val="28"/>
          <w:rtl w:val="true"/>
          <w:lang w:bidi="ar-SA"/>
        </w:rPr>
        <w:t>صفة التغنّی</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003552_2314609296"/>
      <w:bookmarkStart w:id="157" w:name="_Toc59"/>
      <w:bookmarkEnd w:id="156"/>
      <w:r>
        <w:rPr>
          <w:rtl w:val="true"/>
        </w:rPr>
        <w:t>فهنا مسائل ثلاث</w:t>
      </w:r>
      <w:r>
        <w:rPr>
          <w:rtl w:val="true"/>
        </w:rPr>
        <w:t>:</w:t>
      </w:r>
      <w:bookmarkEnd w:id="15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8" w:name="__RefHeading___Toc5003554_2314609296"/>
      <w:bookmarkStart w:id="159" w:name="_Toc60"/>
      <w:bookmarkEnd w:id="158"/>
      <w:r>
        <w:rPr>
          <w:rtl w:val="true"/>
        </w:rPr>
        <w:t>اشاره</w:t>
      </w:r>
      <w:bookmarkStart w:id="160" w:name="pg19762_189373"/>
      <w:bookmarkEnd w:id="159"/>
    </w:p>
    <w:p>
      <w:pPr>
        <w:pStyle w:val="Heading6"/>
        <w:numPr>
          <w:ilvl w:val="5"/>
          <w:numId w:val="1"/>
        </w:numPr>
        <w:rPr/>
      </w:pPr>
      <w:bookmarkStart w:id="161" w:name="__RefHeading___Toc5003556_2314609296"/>
      <w:bookmarkStart w:id="162" w:name="_Toc61"/>
      <w:bookmarkEnd w:id="160"/>
      <w:bookmarkEnd w:id="161"/>
      <w:r>
        <w:rPr>
          <w:rtl w:val="true"/>
        </w:rPr>
        <w:t>المسالة الاُولی بیع العنب علی أن یُعمل خمراً،و الخشب علی أن یُعمل صنماً،</w:t>
      </w:r>
      <w:bookmarkEnd w:id="162"/>
    </w:p>
    <w:p>
      <w:pPr>
        <w:pStyle w:val="BookText"/>
        <w:rPr/>
      </w:pPr>
      <w:r>
        <w:rPr>
          <w:rFonts w:ascii="Amiri" w:hAnsi="Amiri" w:eastAsia="Amiri" w:cs="Amiri"/>
          <w:color w:val="111111"/>
          <w:sz w:val="28"/>
          <w:sz w:val="28"/>
          <w:szCs w:val="28"/>
          <w:rtl w:val="true"/>
          <w:lang w:bidi="ar-SA"/>
        </w:rPr>
        <w:t xml:space="preserve">أو آلة لهو أو قمار،و إجارة </w:t>
      </w:r>
      <w:r>
        <w:rPr>
          <w:rStyle w:val="FootnoteAnchor"/>
          <w:rtl w:val="true"/>
        </w:rPr>
        <w:footnoteReference w:id="482"/>
      </w:r>
      <w:r>
        <w:rPr>
          <w:rFonts w:ascii="IRNazanin" w:hAnsi="IRNazanin" w:eastAsia="IRNazanin"/>
          <w:color w:val="111111"/>
          <w:sz w:val="28"/>
          <w:sz w:val="28"/>
          <w:szCs w:val="28"/>
          <w:rtl w:val="true"/>
          <w:lang w:bidi="fa-IR"/>
        </w:rPr>
        <w:t>المساکن لیباع أو یحرز فیها الخمر، و کذا إجارة السفُن و الحَمولة لحملها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فساد المعاملة فضلاً عن حرمته و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مضافاً إلی کونها إعانة علی الإثم،و إلی أنّ الإلزام و الالتزام بصرف المبیع فی المنفعة المحرّمة الساقطة فی نظر الشارع أکل و إیکال للمال بالباطل خبر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یؤاجر بیته فیباع فیه الخمر،قال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أُجرته</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إمّا مقیّد بما إذا استأجره لذلک،أو یدلّ علیه بالفحوی،بناءً علی ما سیجیء من حرمة العقد مع من یعلم أنّه یصرف المعقود علیه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نعم،فی مصحّحة ابن أُذینة،قال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یؤاجر سفینته أو دابّته لمن یحمل فیها أو علیها الخمر و الخنازیر،قال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لکنّها محمولة علی ما إذا اتّفق الحمل من دون أن یؤخذ رکناً أو شرطاً فی العقد؛بناءً علی أنّ خبر جابر نصّ فی ما نحن فیه و ظاهر فی هذا،عکس الصحیحة،فیطرح </w:t>
      </w:r>
      <w:r>
        <w:rPr>
          <w:rStyle w:val="FootnoteAnchor"/>
          <w:rtl w:val="true"/>
        </w:rPr>
        <w:footnoteReference w:id="486"/>
      </w:r>
      <w:r>
        <w:rPr>
          <w:rFonts w:ascii="Amiri" w:hAnsi="Amiri" w:eastAsia="Amiri" w:cs="Amiri"/>
          <w:color w:val="111111"/>
          <w:sz w:val="28"/>
          <w:sz w:val="28"/>
          <w:szCs w:val="28"/>
          <w:rtl w:val="true"/>
          <w:lang w:bidi="ar-SA"/>
        </w:rPr>
        <w:t xml:space="preserve">ظاهر کلٍّ بنصِّ الآخر،فتأمّل، مع أنّه لو سلّم التعارض کفی العمومات المتقدّمة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أیضاً فی ما نحن فیه بالأخبار المسئول فیها عن جواز بیع الخشب ممّن یتّخذه صُلباناً أو صنماً،مثل مکاتبة ابن أُذینة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خشب فباعه ممّن یتّخذه صُلباناً؟قال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عمرو بن الحریث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التوت أبیعه ممّن یصنع الصلیب أو الصنم؟قال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تلک الأخبار علی صورة اشتراط البائع المسلم علی</w:t>
      </w:r>
    </w:p>
    <w:p>
      <w:pPr>
        <w:pStyle w:val="BookText"/>
        <w:rPr/>
      </w:pPr>
      <w:r>
        <w:rPr>
          <w:rFonts w:ascii="IRNazanin" w:hAnsi="IRNazanin" w:eastAsia="IRNazanin"/>
          <w:color w:val="111111"/>
          <w:sz w:val="28"/>
          <w:sz w:val="28"/>
          <w:szCs w:val="28"/>
          <w:rtl w:val="true"/>
          <w:lang w:bidi="fa-IR"/>
        </w:rPr>
        <w:t>المشتری أو تواطئهما علی التزام صرف المبیع فی الصنم و الصلیب،بعید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مؤاجرة البیت لبیع الخمر فیه،و بیع الخشب علی أن یُعمل صلیباً أو صنماً لا یکاد یخفی </w:t>
      </w:r>
      <w:r>
        <w:rPr>
          <w:rStyle w:val="FootnoteAnchor"/>
          <w:rtl w:val="true"/>
        </w:rPr>
        <w:footnoteReference w:id="490"/>
      </w:r>
      <w:r>
        <w:rPr>
          <w:rFonts w:ascii="IRNazanin" w:hAnsi="IRNazanin" w:eastAsia="IRNazanin"/>
          <w:color w:val="111111"/>
          <w:sz w:val="28"/>
          <w:sz w:val="28"/>
          <w:szCs w:val="28"/>
          <w:rtl w:val="true"/>
          <w:lang w:bidi="fa-IR"/>
        </w:rPr>
        <w:t>،فإنّ بیع الخمر فی مکانٍ و صیرورته دُکّاناً لذلک منفعة عرفیّة یقع الإجارة علیها من المسلم کثیراً کما یؤجرون البیوت لسائر المحرّمات بخلاف جعل العنب خمراً و الخشب صلیباً،فإنّه لا غرض للمسلم فی ذلک غالباً یقصده فی بیع عنبه أو خشبه،فلا یحمل علیه موارد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 فی المسألة الآتیة بحرمة بیع الخشب ممّن یعلم أنّه یعمله صنماً لظاهر هذه الأخبار صحّ الاستدلال بفحواها علی ما نحن فیه،لکنّ ظاهر هذه الأخبار معارض بمثله أو بأصرح منه،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یلحق بما ذکر من بیع العنب و الخشب علی أن یعملا خمراً و صلیباً </w:t>
      </w:r>
      <w:r>
        <w:rPr>
          <w:rStyle w:val="FootnoteAnchor"/>
          <w:rtl w:val="true"/>
        </w:rPr>
        <w:footnoteReference w:id="491"/>
      </w:r>
      <w:r>
        <w:rPr>
          <w:rFonts w:ascii="IRNazanin" w:hAnsi="IRNazanin" w:eastAsia="IRNazanin"/>
          <w:color w:val="111111"/>
          <w:sz w:val="28"/>
          <w:sz w:val="28"/>
          <w:szCs w:val="28"/>
          <w:rtl w:val="true"/>
          <w:lang w:bidi="fa-IR"/>
        </w:rPr>
        <w:t xml:space="preserve">بیع کلّ ذی منفعة محلّلة علی أن یصرف فی الحرام؛لأنّ حصر الانتفاع بالمبیع </w:t>
      </w:r>
      <w:r>
        <w:rPr>
          <w:rStyle w:val="FootnoteAnchor"/>
          <w:rtl w:val="true"/>
        </w:rPr>
        <w:footnoteReference w:id="492"/>
      </w:r>
      <w:r>
        <w:rPr>
          <w:rFonts w:ascii="IRNazanin" w:hAnsi="IRNazanin" w:eastAsia="IRNazanin"/>
          <w:color w:val="111111"/>
          <w:sz w:val="28"/>
          <w:sz w:val="28"/>
          <w:szCs w:val="28"/>
          <w:rtl w:val="true"/>
          <w:lang w:bidi="fa-IR"/>
        </w:rPr>
        <w:t>فی الحرام یوجب کون أکل الثمن بإزائه أکلاً للمال بالباطل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بین ذکر </w:t>
      </w:r>
      <w:r>
        <w:rPr>
          <w:rStyle w:val="FootnoteAnchor"/>
          <w:rtl w:val="true"/>
        </w:rPr>
        <w:footnoteReference w:id="493"/>
      </w:r>
      <w:r>
        <w:rPr>
          <w:rFonts w:ascii="IRNazanin" w:hAnsi="IRNazanin" w:eastAsia="IRNazanin"/>
          <w:color w:val="111111"/>
          <w:sz w:val="28"/>
          <w:sz w:val="28"/>
          <w:szCs w:val="28"/>
          <w:rtl w:val="true"/>
          <w:lang w:bidi="fa-IR"/>
        </w:rPr>
        <w:t>الشرط المذکور فی متن العقد،و بین</w:t>
      </w:r>
    </w:p>
    <w:p>
      <w:pPr>
        <w:pStyle w:val="BookText"/>
        <w:rPr/>
      </w:pPr>
      <w:r>
        <w:rPr>
          <w:rFonts w:ascii="IRNazanin" w:hAnsi="IRNazanin" w:eastAsia="IRNazanin"/>
          <w:color w:val="111111"/>
          <w:sz w:val="28"/>
          <w:sz w:val="28"/>
          <w:szCs w:val="28"/>
          <w:rtl w:val="true"/>
          <w:lang w:bidi="fa-IR"/>
        </w:rPr>
        <w:t>التواطؤ علیه خارج العقد و وقوع العقد علیه،و لو کان فرقٌ فإنّما هو فی لزوم الشرط و عدمه،لا فیما هو مناط الحکم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أنّه لا یبنی فساد هذا العقد علی کون الشرط الفاسد مفسداً،بل الأظهر فساده و إن لم نقل بإفساد الشرط الفاسد؛ لما عرفت من رجوعه فی الحقیقة إلی أکل المال فی مقابل المنفعة المحرّمة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الحکم بفساد المعاوضة علی آلات المحرّم مع کون موادّها أموالاً مشتملة علی منافع محلّلة،مع أنّ الجزء أقبل للتفکیک بینه و بین الجزء الآخر من الشرط و المشروط،و سیجیء أیضاً فی المسألة الآتیة ما یؤیّد هذا أیضاً،إن شاء اللّه</w:t>
      </w:r>
      <w:r>
        <w:rPr>
          <w:rFonts w:eastAsia="IRNazanin" w:cs="IRNazanin"/>
          <w:color w:val="111111"/>
          <w:sz w:val="28"/>
          <w:szCs w:val="28"/>
          <w:rtl w:val="true"/>
          <w:lang w:bidi="fa-IR"/>
        </w:rPr>
        <w:t>.</w:t>
      </w:r>
      <w:bookmarkStart w:id="163" w:name="pg19762_189377"/>
    </w:p>
    <w:p>
      <w:pPr>
        <w:pStyle w:val="Heading6"/>
        <w:numPr>
          <w:ilvl w:val="5"/>
          <w:numId w:val="1"/>
        </w:numPr>
        <w:rPr/>
      </w:pPr>
      <w:bookmarkStart w:id="164" w:name="__RefHeading___Toc5003558_2314609296"/>
      <w:bookmarkStart w:id="165" w:name="_Toc62"/>
      <w:bookmarkEnd w:id="163"/>
      <w:bookmarkEnd w:id="164"/>
      <w:r>
        <w:rPr>
          <w:rtl w:val="true"/>
        </w:rPr>
        <w:t>المسألة الثانیة یحرم المعاوضة علی الجاریة المغنّیة،و کلّ عین مشتملة علی صفة یُقصد منها الحرام</w:t>
      </w:r>
      <w:bookmarkEnd w:id="165"/>
    </w:p>
    <w:p>
      <w:pPr>
        <w:pStyle w:val="BookText"/>
        <w:rPr/>
      </w:pPr>
      <w:r>
        <w:rPr>
          <w:rFonts w:ascii="IRNazanin" w:hAnsi="IRNazanin" w:eastAsia="IRNazanin"/>
          <w:color w:val="111111"/>
          <w:sz w:val="28"/>
          <w:sz w:val="28"/>
          <w:szCs w:val="28"/>
          <w:rtl w:val="true"/>
          <w:lang w:bidi="fa-IR"/>
        </w:rPr>
        <w:t xml:space="preserve">إذا قُصِد منها ذلک،و قصد اعتبارها فی البیع علی وجه یکون دخیلاً فی زیادة الثمن کالعبد الماهر فی القمار أو اللهو و السرقة </w:t>
      </w:r>
      <w:r>
        <w:rPr>
          <w:rStyle w:val="FootnoteAnchor"/>
          <w:rtl w:val="true"/>
        </w:rPr>
        <w:footnoteReference w:id="494"/>
      </w:r>
      <w:r>
        <w:rPr>
          <w:rFonts w:ascii="IRNazanin" w:hAnsi="IRNazanin" w:eastAsia="IRNazanin"/>
          <w:color w:val="111111"/>
          <w:sz w:val="28"/>
          <w:sz w:val="28"/>
          <w:szCs w:val="28"/>
          <w:rtl w:val="true"/>
          <w:lang w:bidi="fa-IR"/>
        </w:rPr>
        <w:t>،إذا لوحظ فیه هذه الصفة و بُذل بإزائها شیء من الثمن لا ما کان علی وجه الداعی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علیه أنّ بذل شیء </w:t>
      </w:r>
      <w:r>
        <w:rPr>
          <w:rStyle w:val="FootnoteAnchor"/>
          <w:rtl w:val="true"/>
        </w:rPr>
        <w:footnoteReference w:id="495"/>
      </w:r>
      <w:r>
        <w:rPr>
          <w:rFonts w:ascii="IRNazanin" w:hAnsi="IRNazanin" w:eastAsia="IRNazanin"/>
          <w:color w:val="111111"/>
          <w:sz w:val="28"/>
          <w:sz w:val="28"/>
          <w:szCs w:val="28"/>
          <w:rtl w:val="true"/>
          <w:lang w:bidi="fa-IR"/>
        </w:rPr>
        <w:t>من الثمن بملاحظة الصفة المحرّمة أکل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التفکیک بین القید و المقیّد بصحّة العقد فی المقیّد و بطلانه فی القید بما قابلة من الثمن غیر معروف عرفاً،لأنّ القید أمرٌ معنویٌّ لا یوزَّع علیه شیء من المال و إن کان یبذل المال بملاحظة وجوده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واقع شرعاً،علی ما اشتهر من أنّ الثمن لا یوزَّع علی الشروط، فتعیّن بطلان العقد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النصّ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الجاریة المغنّیة سحت</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للرجل الجاریة تُلهیه؛و ما ثمنها إلّا کثمن الکلب</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لم تلاحظ الصفة أصلاً فی کمّیّة الثمن،فلا إشکال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لوحظت من حیث إنّها صفة کمال قد تصرف إلی المحلّل فیزید لأجلها الثمن،فإن کانت المنفعة المحلّلة لتلک الصفة ممّا یعتدّ بها، فلا إشکال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نادرة بالنسبة إلی المنفعة المحرّمة،ففی إلحاقها بالعین فی عدم جواز بذل المال إلّا لما اشتمل علی منفعة محلّلة غیر نادرة بالنسبة إلی المحرّمة،و عدمه لأنّ المقابل بالمبذول هو الموصوف،و لا ضیر فی زیادة ثمنه بملاحظة منفعة نادرة وجهان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الثانی،إذ لا یُعدّ أکلاً للمال بالباطل،و النصّ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المغنّیة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علی الغالب</w:t>
      </w:r>
      <w:r>
        <w:rPr>
          <w:rFonts w:eastAsia="Amiri" w:cs="Amiri" w:ascii="Amiri" w:hAnsi="Amiri"/>
          <w:color w:val="111111"/>
          <w:sz w:val="28"/>
          <w:szCs w:val="28"/>
          <w:rtl w:val="true"/>
          <w:lang w:bidi="ar-SA"/>
        </w:rPr>
        <w:t>.</w:t>
      </w:r>
      <w:bookmarkStart w:id="166" w:name="pg19762_189379"/>
    </w:p>
    <w:p>
      <w:pPr>
        <w:pStyle w:val="Heading6"/>
        <w:numPr>
          <w:ilvl w:val="5"/>
          <w:numId w:val="1"/>
        </w:numPr>
        <w:rPr/>
      </w:pPr>
      <w:bookmarkStart w:id="167" w:name="__RefHeading___Toc5003560_2314609296"/>
      <w:bookmarkStart w:id="168" w:name="_Toc63"/>
      <w:bookmarkEnd w:id="166"/>
      <w:bookmarkEnd w:id="167"/>
      <w:r>
        <w:rPr>
          <w:rtl w:val="true"/>
        </w:rPr>
        <w:t>المسألة الثالثة یحرم بیع العنب ممّن یعمله خمراً بقصد أن یعمله،</w:t>
      </w:r>
      <w:bookmarkEnd w:id="168"/>
    </w:p>
    <w:p>
      <w:pPr>
        <w:pStyle w:val="BookText"/>
        <w:rPr/>
      </w:pPr>
      <w:r>
        <w:rPr>
          <w:rFonts w:ascii="IRNazanin" w:hAnsi="IRNazanin" w:eastAsia="IRNazanin"/>
          <w:color w:val="111111"/>
          <w:sz w:val="28"/>
          <w:sz w:val="28"/>
          <w:szCs w:val="28"/>
          <w:rtl w:val="true"/>
          <w:lang w:bidi="fa-IR"/>
        </w:rPr>
        <w:t>و کذا بیع الخشب بقصد أن یعمله صنماً أو صلیباً؛لأنّ فیه إعانةً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و لا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یقصد ذلک،فالأکثر علی عدم التحریم،للأخبار المستفیضة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ابن أُذینة،قال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عبد اللّه علیه السلام أسأله عن رجل له کَرْمٌ </w:t>
      </w:r>
      <w:r>
        <w:rPr>
          <w:rStyle w:val="FootnoteAnchor"/>
          <w:rtl w:val="true"/>
        </w:rPr>
        <w:footnoteReference w:id="498"/>
      </w:r>
      <w:r>
        <w:rPr>
          <w:rFonts w:ascii="IRNazanin" w:hAnsi="IRNazanin" w:eastAsia="IRNazanin"/>
          <w:color w:val="111111"/>
          <w:sz w:val="28"/>
          <w:sz w:val="28"/>
          <w:szCs w:val="28"/>
          <w:rtl w:val="true"/>
          <w:lang w:bidi="fa-IR"/>
        </w:rPr>
        <w:t xml:space="preserve">یبیع العنب </w:t>
      </w:r>
      <w:r>
        <w:rPr>
          <w:rStyle w:val="FootnoteAnchor"/>
          <w:rtl w:val="true"/>
        </w:rPr>
        <w:footnoteReference w:id="499"/>
      </w:r>
      <w:r>
        <w:rPr>
          <w:rFonts w:ascii="IRNazanin" w:hAnsi="IRNazanin" w:eastAsia="IRNazanin"/>
          <w:color w:val="111111"/>
          <w:sz w:val="28"/>
          <w:sz w:val="28"/>
          <w:szCs w:val="28"/>
          <w:rtl w:val="true"/>
          <w:lang w:bidi="fa-IR"/>
        </w:rPr>
        <w:t>ممّن یعلم أنّه یجعله خمراً أو مسکراً؟فقال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باعه حلالاً فی الإبّان الذی یحلّ شربه أو أکله،فلا بأس ببیعه</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روایة أبی کَهْمَس،قال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نحن نبیع تمرنا ممّن نعلم أنّه یصنعه خمراً</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هو دونهما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یعارض ذلک </w:t>
      </w:r>
      <w:r>
        <w:rPr>
          <w:rStyle w:val="FootnoteAnchor"/>
          <w:rtl w:val="true"/>
        </w:rPr>
        <w:footnoteReference w:id="503"/>
      </w:r>
      <w:r>
        <w:rPr>
          <w:rFonts w:ascii="IRNazanin" w:hAnsi="IRNazanin" w:eastAsia="IRNazanin"/>
          <w:color w:val="111111"/>
          <w:sz w:val="28"/>
          <w:sz w:val="28"/>
          <w:szCs w:val="28"/>
          <w:rtl w:val="true"/>
          <w:lang w:bidi="fa-IR"/>
        </w:rPr>
        <w:t>بمکاتبة ابن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له خشب فباعه ممّن یتّخذه صُلباناً،قال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التوت </w:t>
      </w:r>
      <w:r>
        <w:rPr>
          <w:rStyle w:val="FootnoteAnchor"/>
          <w:rtl w:val="true"/>
        </w:rPr>
        <w:footnoteReference w:id="505"/>
      </w:r>
      <w:r>
        <w:rPr>
          <w:rFonts w:ascii="IRNazanin" w:hAnsi="IRNazanin" w:eastAsia="IRNazanin"/>
          <w:color w:val="111111"/>
          <w:sz w:val="28"/>
          <w:sz w:val="28"/>
          <w:szCs w:val="28"/>
          <w:rtl w:val="true"/>
          <w:lang w:bidi="fa-IR"/>
        </w:rPr>
        <w:t>أبیعه ممّن یصنع الصلیب أو الصنم؟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یجمع بینهما و بین الأخبار المجوّزة،بحمل المانعة علی صورة اشتراط جعل الخشب صلیباً أو صنماً،أو تواطؤهما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فی غایة البعد؛إذ لا داعی للمسلم علی اشتراط صناعة الخشب صنماً فی متن بیعه أو فی خارجه،ثمّ یجیء و یسأل الإمام علیه السلام عن جواز فعل هذا فی المستقبل و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یحتمل أن یرید الراوی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أبیع التوت </w:t>
      </w:r>
      <w:r>
        <w:rPr>
          <w:rStyle w:val="FootnoteAnchor"/>
          <w:rtl w:val="true"/>
        </w:rPr>
        <w:footnoteReference w:id="507"/>
      </w:r>
      <w:r>
        <w:rPr>
          <w:rFonts w:ascii="IRNazanin" w:hAnsi="IRNazanin" w:eastAsia="IRNazanin"/>
          <w:color w:val="111111"/>
          <w:sz w:val="28"/>
          <w:sz w:val="28"/>
          <w:szCs w:val="28"/>
          <w:rtl w:val="true"/>
          <w:lang w:bidi="fa-IR"/>
        </w:rPr>
        <w:t>ممّن یصنع الصنم و الصلیب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أبیعه مشترطاً علیه و ملزماً فی متن العقد أو قبله أن لا یتصرّف فیه إلّا بجعله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الأخبار المانعة علی الکراهة؛لشهادة غیر واحد من الأخبار علی الکراهة </w:t>
      </w:r>
      <w:r>
        <w:rPr>
          <w:rStyle w:val="FootnoteAnchor"/>
          <w:rtl w:val="true"/>
        </w:rPr>
        <w:footnoteReference w:id="508"/>
      </w:r>
      <w:r>
        <w:rPr>
          <w:rFonts w:ascii="IRNazanin" w:hAnsi="IRNazanin" w:eastAsia="IRNazanin"/>
          <w:color w:val="111111"/>
          <w:sz w:val="28"/>
          <w:sz w:val="28"/>
          <w:szCs w:val="28"/>
          <w:rtl w:val="true"/>
          <w:lang w:bidi="fa-IR"/>
        </w:rPr>
        <w:t xml:space="preserve">کما أفتی به </w:t>
      </w:r>
      <w:r>
        <w:rPr>
          <w:rStyle w:val="FootnoteAnchor"/>
          <w:rtl w:val="true"/>
        </w:rPr>
        <w:footnoteReference w:id="509"/>
      </w:r>
      <w:r>
        <w:rPr>
          <w:rFonts w:ascii="Amiri" w:hAnsi="Amiri" w:eastAsia="Amiri" w:cs="Amiri"/>
          <w:color w:val="111111"/>
          <w:sz w:val="28"/>
          <w:sz w:val="28"/>
          <w:szCs w:val="28"/>
          <w:rtl w:val="true"/>
          <w:lang w:bidi="ar-SA"/>
        </w:rPr>
        <w:t xml:space="preserve">جماعة </w:t>
      </w:r>
      <w:r>
        <w:rPr>
          <w:rStyle w:val="FootnoteAnchor"/>
          <w:rtl w:val="true"/>
        </w:rPr>
        <w:footnoteReference w:id="510"/>
      </w:r>
      <w:r>
        <w:rPr>
          <w:rFonts w:ascii="IRNazanin" w:hAnsi="IRNazanin" w:eastAsia="IRNazanin"/>
          <w:color w:val="111111"/>
          <w:sz w:val="28"/>
          <w:sz w:val="28"/>
          <w:szCs w:val="28"/>
          <w:rtl w:val="true"/>
          <w:lang w:bidi="fa-IR"/>
        </w:rPr>
        <w:t xml:space="preserve">و یشهد له روایة الحلبی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بیع العصیر ممّن یصنعه خمراً،قال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بَیْعه </w:t>
      </w:r>
      <w:r>
        <w:rPr>
          <w:rStyle w:val="FootnoteAnchor"/>
          <w:rtl w:val="true"/>
        </w:rPr>
        <w:footnoteReference w:id="512"/>
      </w:r>
      <w:r>
        <w:rPr>
          <w:rFonts w:ascii="Amiri" w:hAnsi="Amiri" w:eastAsia="Amiri" w:cs="Amiri"/>
          <w:color w:val="111111"/>
          <w:sz w:val="28"/>
          <w:sz w:val="28"/>
          <w:szCs w:val="28"/>
          <w:rtl w:val="true"/>
          <w:lang w:bidi="ar-SA"/>
        </w:rPr>
        <w:t>ممّن یطبخه أو یصنعه خلاّ أحبّ إلیَّ،و لا أری به بأساً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التزام الحرمة فی بیع الخشب ممّن یعمله صلیباً أو صنماً لظاهر تلک الأخبار،و العمل فی مسألة بیع العنب و شبهها علی الأخبار المجوّزة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الجمع قول فصل لو لم یکن قولاً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یستدلّ علی حرمة البیع ممّن یعلم أنّه یصرف المبیع فی الحرام بعموم النهی عن التعاون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فی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یمنع؛حیث لم یقع القصد إلی وقوع الفعل من المُعان؛بناءً علی أنّ الإعانة هی فعل بعض مقدّمات فعل الغیر بقصد حصوله منه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من أشار إلی هذا،المحقّق الثانی فی حاشیة الإرشاد فی هذه المسألة؛حیث إنّه بعد حکایة القول بالمنع مستنداً إلی الأخبار المانعة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یؤیّده قوله تعالی وَ لاٰ تَعٰاوَنُوا عَلَی الْإِثْمِ </w:t>
      </w:r>
      <w:r>
        <w:rPr>
          <w:rStyle w:val="FootnoteAnchor"/>
          <w:rtl w:val="true"/>
        </w:rPr>
        <w:footnoteReference w:id="514"/>
      </w:r>
      <w:r>
        <w:rPr>
          <w:rFonts w:ascii="IRNazanin" w:hAnsi="IRNazanin" w:eastAsia="IRNazanin"/>
          <w:color w:val="111111"/>
          <w:sz w:val="28"/>
          <w:sz w:val="28"/>
          <w:szCs w:val="28"/>
          <w:rtl w:val="true"/>
          <w:lang w:bidi="fa-IR"/>
        </w:rPr>
        <w:t>و یشکل بلزوم عدم جواز بیع شیء ممّا یعلم عادة التوصّل به إلی محرّم، لو تمّ هذا الاستدلال،فیمنع معاملة أکثر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المنع من کون محلّ النزاع معاونة،مع أنّ الأصل الإباحة،و إنّما یظهر المعاونة مع بیعه لذلک</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وافقه فی اعتبار القصد فی مفهوم الإعانة جماعة من متأخّری المتأخّرین،کصاحب الکفایة </w:t>
      </w:r>
      <w:r>
        <w:rPr>
          <w:rStyle w:val="FootnoteAnchor"/>
          <w:rtl w:val="true"/>
        </w:rPr>
        <w:footnoteReference w:id="516"/>
      </w:r>
      <w:r>
        <w:rPr>
          <w:rFonts w:ascii="IRNazanin" w:hAnsi="IRNazanin" w:eastAsia="IRNazanin"/>
          <w:color w:val="111111"/>
          <w:sz w:val="28"/>
          <w:sz w:val="28"/>
          <w:szCs w:val="28"/>
          <w:rtl w:val="true"/>
          <w:lang w:bidi="fa-IR"/>
        </w:rPr>
        <w:t xml:space="preserve">و غیره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هذا،و ربّما زاد بعض المعاصرین </w:t>
      </w:r>
      <w:r>
        <w:rPr>
          <w:rStyle w:val="FootnoteAnchor"/>
          <w:rtl w:val="true"/>
        </w:rPr>
        <w:footnoteReference w:id="518"/>
      </w:r>
      <w:r>
        <w:rPr>
          <w:rFonts w:ascii="IRNazanin" w:hAnsi="IRNazanin" w:eastAsia="IRNazanin"/>
          <w:color w:val="111111"/>
          <w:sz w:val="28"/>
          <w:sz w:val="28"/>
          <w:szCs w:val="28"/>
          <w:rtl w:val="true"/>
          <w:lang w:bidi="fa-IR"/>
        </w:rPr>
        <w:t>علی اعتبار القصد اعتبار وقوع المعان علیه فی تحقّق مفهوم الإعانة فی الخارج،و تخیّل أنّه لو فعل فعلاً بقصد تحقّق الإثم الفلانی من الغیر فلم یتحقّق منه،لم یحرم من جهة صدق الإعانة،بل من جهة قصدها؛بناءً علی ما حرّره من حرمة الاشتغال بمقدّمات الحرام بقصد تحقّقه،و أنّه لو تحقّق الفعل کان حراماً من جهة القصد إلی المحرّم و من جهة الإعانة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تأمّل،فإنّ حقیقة الإعانة علی الشیء هو الفعل بقصد حصول الشیء،سواء حصل أم لا،و من اشتغل ببعض مقدّمات الحرام الصادر عن الغیر بقصد التوصّل إلیه،فهو داخل فی الإعانة علی الإثم،و لو تحقّق الحرام لم یتعدّد العقاب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أبعد ما بین ما ذکره المعاصر و بین ما یظهر من الأکثر من عدم اعتبار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وجوب بذل الطعام لمن یخاف تلفه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علی قتل مسلم و لو بشطر کلمة جاء یوم القیامة مکتوباً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استدلّ فی التذکرة علی حرمة بیع السلاح من أعداء الدین بأنّ فیه إعانة علی الظلم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المحقّق الثانی علی حرمة بیع العصیر المتنجّس ممّن یستحلّه بأنّ فیه إعانة علی الإثم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المحقّق الأردبیلی علی ما حکی عنه من القول بالحرمة فی مسألتنا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فیه إعانة علی الإثم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قرّره علی ذلک فی الحدائق،فقال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جیّد فی حدّ ذاته لو سلم من المعارضة بأخبار الجواز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 بعد ذکر الأخبار السابقة الدالّة علی الجواز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النصوص و إن کثرت و اشتهرت و ظهرت دلالتها بل ربّما کان بعضها صریحاً،لکن فی مقابلتها للأُصول و النصوص المعتضدة بالعقول إشکال </w:t>
      </w:r>
      <w:r>
        <w:rPr>
          <w:rStyle w:val="FootnoteAnchor"/>
          <w:rtl w:val="true"/>
        </w:rPr>
        <w:footnoteReference w:id="5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الظاهر،أنّ مراده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بوجوب التوصّل إلی دفع المنکر مهما أمکن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ذکروه من صدق الإعانة بدون القصد إطلاقها فی غیر واحد</w:t>
      </w:r>
    </w:p>
    <w:p>
      <w:pPr>
        <w:pStyle w:val="BookText"/>
        <w:rPr/>
      </w:pP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النبویّ المرویّ فی الکافی،عن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الطین فمات فقد أعان علی نفسه</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العلویّ الوارد فی الطین المرویّ أیضاً فی الکافی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أکلته و مُتّ فقد أعنت علی نفسک</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غیر واحد ممّا ورد فی أعوان الظلمة،و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حُکِی أنّه سئل بعض الأکابر </w:t>
      </w:r>
      <w:r>
        <w:rPr>
          <w:rStyle w:val="FootnoteAnchor"/>
          <w:rtl w:val="true"/>
        </w:rPr>
        <w:footnoteReference w:id="527"/>
      </w: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خیّاط أخیط للسلطان ثیابه فهل ترانی داخلاً بذلک فی أعوان الظلمة؟فقال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المُعین لهم من یبیعک الإبر و الخیوط،و أمّا أنت فمن الظلمة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الأردبیلی فی آیات أحکامه فی الکلام علی الآیة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الإعانة </w:t>
      </w:r>
      <w:r>
        <w:rPr>
          <w:rStyle w:val="FootnoteAnchor"/>
          <w:rtl w:val="true"/>
        </w:rPr>
        <w:footnoteReference w:id="528"/>
      </w:r>
      <w:r>
        <w:rPr>
          <w:rFonts w:ascii="IRNazanin" w:hAnsi="IRNazanin" w:eastAsia="IRNazanin"/>
          <w:color w:val="111111"/>
          <w:sz w:val="28"/>
          <w:sz w:val="28"/>
          <w:szCs w:val="28"/>
          <w:rtl w:val="true"/>
          <w:lang w:bidi="fa-IR"/>
        </w:rPr>
        <w:t>علی المعاصی مع القصد،أو علی الوجه الذی یصدق أنّها إعانة مثل أن یطلب الظالم العصا من شخص لضرب مظلوم فیعطیه إیّاها،أو یطلب القلم لکتابة ظلم فیعطیه إیّاه،</w:t>
      </w:r>
    </w:p>
    <w:p>
      <w:pPr>
        <w:pStyle w:val="BookText"/>
        <w:rPr/>
      </w:pPr>
      <w:r>
        <w:rPr>
          <w:rFonts w:ascii="IRNazanin" w:hAnsi="IRNazanin" w:eastAsia="IRNazanin"/>
          <w:color w:val="111111"/>
          <w:sz w:val="28"/>
          <w:sz w:val="28"/>
          <w:szCs w:val="28"/>
          <w:rtl w:val="true"/>
          <w:lang w:bidi="fa-IR"/>
        </w:rPr>
        <w:t xml:space="preserve">و نحو ذلک ممّا یعدّ معونة عرفاً فلا یصدق علی التاجر الذی یتّجر لتحصیل غرضه أنّه معاون للظالم العاشر فی أخذ العشور،و لا علی الحاجّ الذی یؤخذ منه المال ظلماً،و غیر ذلک ممّا لا یحصی،فلا یعلم صدقها علی بیع العنب ممّن یعمله خمراً،أو الخشب ممّن یعمله صنماً؛ و لذا ورد فی الروایات الصحیحة جوازه،و علیه الأکثر و نحو ذلک ممّا لا یخفی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دقّق النظر حیث لم یعلّق صدق الإعانة علی القصد، و لا أطلق القول بصدقه </w:t>
      </w:r>
      <w:r>
        <w:rPr>
          <w:rStyle w:val="FootnoteAnchor"/>
          <w:rtl w:val="true"/>
        </w:rPr>
        <w:footnoteReference w:id="530"/>
      </w:r>
      <w:r>
        <w:rPr>
          <w:rFonts w:ascii="IRNazanin" w:hAnsi="IRNazanin" w:eastAsia="IRNazanin"/>
          <w:color w:val="111111"/>
          <w:sz w:val="28"/>
          <w:sz w:val="28"/>
          <w:szCs w:val="28"/>
          <w:rtl w:val="true"/>
          <w:lang w:bidi="fa-IR"/>
        </w:rPr>
        <w:t xml:space="preserve">بدونه،بل علّقه بالقصد،أو </w:t>
      </w:r>
      <w:r>
        <w:rPr>
          <w:rStyle w:val="FootnoteAnchor"/>
          <w:rtl w:val="true"/>
        </w:rPr>
        <w:footnoteReference w:id="531"/>
      </w:r>
      <w:r>
        <w:rPr>
          <w:rFonts w:ascii="IRNazanin" w:hAnsi="IRNazanin" w:eastAsia="IRNazanin"/>
          <w:color w:val="111111"/>
          <w:sz w:val="28"/>
          <w:sz w:val="28"/>
          <w:szCs w:val="28"/>
          <w:rtl w:val="true"/>
          <w:lang w:bidi="fa-IR"/>
        </w:rPr>
        <w:t>بالصدق العرفی و إن لم یکن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أنّه إذا لم یکن مقصود الفاعل من الفعل وصول الغیر إلی مقصده و لا إلی مقدّمة من مقدّماته بل یترتّب علیه الوصول من دون قصد الفاعل فلا یسمّی إعانة،کما فی تجارة التاجر بالنسبة إلی أخذ العشور،و مسیر الحاجّ بالنسبة إلی أخذ المال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إشکال فیما إذا قصد الفاعل بفعله و دعاه إلیه وصول </w:t>
      </w:r>
      <w:r>
        <w:rPr>
          <w:rStyle w:val="FootnoteAnchor"/>
          <w:rtl w:val="true"/>
        </w:rPr>
        <w:footnoteReference w:id="532"/>
      </w:r>
      <w:r>
        <w:rPr>
          <w:rFonts w:ascii="IRNazanin" w:hAnsi="IRNazanin" w:eastAsia="IRNazanin"/>
          <w:color w:val="111111"/>
          <w:sz w:val="28"/>
          <w:sz w:val="28"/>
          <w:szCs w:val="28"/>
          <w:rtl w:val="true"/>
          <w:lang w:bidi="fa-IR"/>
        </w:rPr>
        <w:t>الغیر إلی مطلبه الخاصّ،فإنّه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أعانه علی ذلک المطلب، فإن کان عدواناً مع علم المُعین به،صَدَق الإعانة علی العدوان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فیما إذا قصد الفاعل بفعله وصول الغیر إلی مقدّمة</w:t>
      </w:r>
    </w:p>
    <w:p>
      <w:pPr>
        <w:pStyle w:val="BookText"/>
        <w:rPr/>
      </w:pPr>
      <w:r>
        <w:rPr>
          <w:rFonts w:ascii="IRNazanin" w:hAnsi="IRNazanin" w:eastAsia="IRNazanin"/>
          <w:color w:val="111111"/>
          <w:sz w:val="28"/>
          <w:sz w:val="28"/>
          <w:szCs w:val="28"/>
          <w:rtl w:val="true"/>
          <w:lang w:bidi="fa-IR"/>
        </w:rPr>
        <w:t xml:space="preserve">مشترکة بین المعصیة و غیرها مع العلم بصرف الغیر إیّاها إلی المعصیة، کما إذا باعه العنب،فإنّ مقصود البائع تملّک المشتری له و انتفاعه به، فهی </w:t>
      </w:r>
      <w:r>
        <w:rPr>
          <w:rStyle w:val="FootnoteAnchor"/>
          <w:rtl w:val="true"/>
        </w:rPr>
        <w:footnoteReference w:id="533"/>
      </w:r>
      <w:r>
        <w:rPr>
          <w:rFonts w:ascii="IRNazanin" w:hAnsi="IRNazanin" w:eastAsia="IRNazanin"/>
          <w:color w:val="111111"/>
          <w:sz w:val="28"/>
          <w:sz w:val="28"/>
          <w:szCs w:val="28"/>
          <w:rtl w:val="true"/>
          <w:lang w:bidi="fa-IR"/>
        </w:rPr>
        <w:t>إعانة له بالنسبة إلی أصل تملّک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لو فرض ورود النهی عن معاونة هذا المشتری الخاصّ فی جمیع أُموره،أو فی خصوص تملّک العنب حرم بیع العنب علیه مطلقاً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فمسألة بیع العنب ممّن یعلم أنّه یجعله خمراً نظیر إعطاء السیف أو العصا لمن یرید قتلاً أو ضرباً،حیث إنّ الغرض من الإعطاء هو ثبوته بیده و التمکّن منه،کما أنّ الغرض من بیع العنب تملّکه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البیع و الإعطاء بالنسبة إلی أصل تملّک الشخص و استقراره فی یده إعانة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الإشکال فی أنّ العلم بصرف ما حصل بإعانة البائع و المعطی فی الحرام هل یوجب صدق الإعانة علی الحرام أم لا؟ فحاصل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الإعانة علی شرط الحرام مع العلم بصرفه فی الحرام هل هی إعانة علی الحرام أم لا؟ فظهر الفرق بین بیع العنب و بین تجارة التاجر و مسیر الحاجّ،و أنّ الفرق بین إعطاء السوط للظالم و بین بیع العنب لا وجه له،و أنّ إعطاء السوط إذا کان إعانة کما اعترف به فیما تقدّم من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بیع العنب کذلک،کما اعترف به </w:t>
      </w:r>
      <w:r>
        <w:rPr>
          <w:rStyle w:val="FootnoteAnchor"/>
          <w:rtl w:val="true"/>
        </w:rPr>
        <w:footnoteReference w:id="535"/>
      </w:r>
      <w:r>
        <w:rPr>
          <w:rFonts w:ascii="IRNazanin" w:hAnsi="IRNazanin" w:eastAsia="IRNazanin"/>
          <w:color w:val="111111"/>
          <w:sz w:val="28"/>
          <w:sz w:val="28"/>
          <w:szCs w:val="28"/>
          <w:rtl w:val="true"/>
          <w:lang w:bidi="fa-IR"/>
        </w:rPr>
        <w:t xml:space="preserve">فی شرح الإرشاد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بنینا علی أنّ شرط الحرام حرام مع فعله توصّلاً إلی الحرام کما جزم به بعض </w:t>
      </w:r>
      <w:r>
        <w:rPr>
          <w:rStyle w:val="FootnoteAnchor"/>
          <w:rtl w:val="true"/>
        </w:rPr>
        <w:footnoteReference w:id="537"/>
      </w:r>
      <w:r>
        <w:rPr>
          <w:rFonts w:ascii="IRNazanin" w:hAnsi="IRNazanin" w:eastAsia="IRNazanin"/>
          <w:color w:val="111111"/>
          <w:sz w:val="28"/>
          <w:sz w:val="28"/>
          <w:szCs w:val="28"/>
          <w:rtl w:val="true"/>
          <w:lang w:bidi="fa-IR"/>
        </w:rPr>
        <w:t>دخل ما نحن فیه فی الإعانة علی المحرّم، فیکون بیع العنب إعانة علی تملّک العنب المحرّم مع قصد التوصّل به إلی التخمیر،و إن لم یکن إعانة علی نفس التخمیر أو علی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شراء العنب للتخمیر حرام،کغرس العنب لأجل ذلک،فالبائع إنّما یعین علی الشراء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یعلم أنّ الشراء لأجل التخمیر لم یحرم و إن علم أنّه سیخمّر العنب بإرادة جدیدة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بائع الطعام علی من یرتکب المعاصی،فإنّه لو علم إرادته من الطعام المبیع التقوّی به عند التملّک علی المعصیة،حرم البیع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العلم بأنّه یحصل من هذا الطعام قوّة علی المعصیة یتوصّل بها إلیها فلا یوجب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الحکم بحرمة الإتیان بشرط الحرام توصّلاً إلیه قد یمنع، إلّا من حیث صدق التجرّی،و البیع لیس إعانة علیه،و إن کان إعانة علی الشراء،إلّا أنّه فی نفسه لیس تجرّیاً،فإنّ التجرّی یحصل بالفعل المتلبّس بالقصد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الفعل مقدّمة له فیحرم الإعانة،مدفوع بأنّه لم یوجد قصد إلی التجرّی حتّی یحرم و إلّا لزم التسلسل،فافهم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ورد النهی بالخصوص عن بعض شروط الحرام کالغرس للخمر دخل الإعانة علیه فی الإعانة علی الإثم،کما أنّه لو استدللنا بفحوی ما دلّ علی لعن الغارس </w:t>
      </w:r>
      <w:r>
        <w:rPr>
          <w:rStyle w:val="FootnoteAnchor"/>
          <w:rtl w:val="true"/>
        </w:rPr>
        <w:footnoteReference w:id="538"/>
      </w:r>
      <w:r>
        <w:rPr>
          <w:rFonts w:ascii="IRNazanin" w:hAnsi="IRNazanin" w:eastAsia="IRNazanin"/>
          <w:color w:val="111111"/>
          <w:sz w:val="28"/>
          <w:sz w:val="28"/>
          <w:szCs w:val="28"/>
          <w:rtl w:val="true"/>
          <w:lang w:bidi="fa-IR"/>
        </w:rPr>
        <w:t>علی حرمة التملّک للتخمیر،حرم الإعانة علیه أیضاً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أنّ قصد الغیر لفعل الحرام معتبر قطعاً فی حرمة فعل المُعین،و أنّ محلّ الکلام هی الإعانة علی شرط الحرام بقصد تحقّق الشرط دون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هل تعدّ إعانة علی المشروط،فتحرم، أم لا؟فلا تحرم ما لم تثبت حرمة الشرط من غیر جهة التجرّی، و أنّ مجرّد بیع العنب ممّن یعلم أنّه سیجعله خمراً من دون العلم بقصده ذلک من الشراء لیس محرّماً أصلاً،لا من جهة الشرط و لا من جهة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یعلم ما فیما تقدّم عن حاشیة الإرشاد من أنّه لو کان بیع العنب ممّن یعمله خمراً إعانة،لزم المنع عن معاملة أکثر الناس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محلّ الکلام فی ما یعدّ شرطاً للمعصیة الصادرة عن الغیر، فما تقدّم من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حرمة ترک بذل الطعام لخائف التلف مستنداً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علی قتل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40"/>
      </w:r>
      <w:r>
        <w:rPr>
          <w:rFonts w:ascii="Amiri" w:hAnsi="Amiri" w:eastAsia="Amiri" w:cs="Amiri"/>
          <w:color w:val="111111"/>
          <w:sz w:val="28"/>
          <w:sz w:val="28"/>
          <w:szCs w:val="28"/>
          <w:rtl w:val="true"/>
          <w:lang w:bidi="ar-SA"/>
        </w:rPr>
        <w:t>محلّ تأمّل،إلّا أن یرید الفحوی</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استدلّ فی المختلف بعد حکایة ذلک عن الشیخ بوجوب</w:t>
      </w:r>
    </w:p>
    <w:p>
      <w:pPr>
        <w:pStyle w:val="BookText"/>
        <w:rPr/>
      </w:pPr>
      <w:r>
        <w:rPr>
          <w:rFonts w:ascii="Amiri" w:hAnsi="Amiri" w:eastAsia="Amiri" w:cs="Amiri"/>
          <w:color w:val="111111"/>
          <w:sz w:val="28"/>
          <w:sz w:val="28"/>
          <w:szCs w:val="28"/>
          <w:rtl w:val="true"/>
          <w:lang w:bidi="ar-SA"/>
        </w:rPr>
        <w:t xml:space="preserve">حفظ النفس مع القدرة و عدم الضرر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یمکن التفصیل فی شروط الحرام المعان علیها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ما ینحصر فائدته و منفعته عرفاً فی المشروط المحرّم،کحصول العصا فی ید الظالم المستعیر لها </w:t>
      </w:r>
      <w:r>
        <w:rPr>
          <w:rStyle w:val="FootnoteAnchor"/>
          <w:rtl w:val="true"/>
        </w:rPr>
        <w:footnoteReference w:id="543"/>
      </w:r>
      <w:r>
        <w:rPr>
          <w:rFonts w:ascii="IRNazanin" w:hAnsi="IRNazanin" w:eastAsia="IRNazanin"/>
          <w:color w:val="111111"/>
          <w:sz w:val="28"/>
          <w:sz w:val="28"/>
          <w:szCs w:val="28"/>
          <w:rtl w:val="true"/>
          <w:lang w:bidi="fa-IR"/>
        </w:rPr>
        <w:t xml:space="preserve">من غیره لضرب أحد،فإنّ ملکه للانتفاع بها </w:t>
      </w:r>
      <w:r>
        <w:rPr>
          <w:rStyle w:val="FootnoteAnchor"/>
          <w:rtl w:val="true"/>
        </w:rPr>
        <w:footnoteReference w:id="544"/>
      </w:r>
      <w:r>
        <w:rPr>
          <w:rFonts w:ascii="IRNazanin" w:hAnsi="IRNazanin" w:eastAsia="IRNazanin"/>
          <w:color w:val="111111"/>
          <w:sz w:val="28"/>
          <w:sz w:val="28"/>
          <w:szCs w:val="28"/>
          <w:rtl w:val="true"/>
          <w:lang w:bidi="fa-IR"/>
        </w:rPr>
        <w:t>فی هذا الزمان ینحصر فائدته عرفاً فی الضرب،و کذا من استعار کأساً لیشرب الخمر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ما لم یکن کذلک،کتملیک </w:t>
      </w:r>
      <w:r>
        <w:rPr>
          <w:rStyle w:val="FootnoteAnchor"/>
          <w:rtl w:val="true"/>
        </w:rPr>
        <w:footnoteReference w:id="545"/>
      </w:r>
      <w:r>
        <w:rPr>
          <w:rFonts w:ascii="IRNazanin" w:hAnsi="IRNazanin" w:eastAsia="IRNazanin"/>
          <w:color w:val="111111"/>
          <w:sz w:val="28"/>
          <w:sz w:val="28"/>
          <w:szCs w:val="28"/>
          <w:rtl w:val="true"/>
          <w:lang w:bidi="fa-IR"/>
        </w:rPr>
        <w:t xml:space="preserve">الخمّار للعنب،فإنّ منفعة التملیک </w:t>
      </w:r>
      <w:r>
        <w:rPr>
          <w:rStyle w:val="FootnoteAnchor"/>
          <w:rtl w:val="true"/>
        </w:rPr>
        <w:footnoteReference w:id="546"/>
      </w:r>
      <w:r>
        <w:rPr>
          <w:rFonts w:ascii="IRNazanin" w:hAnsi="IRNazanin" w:eastAsia="IRNazanin"/>
          <w:color w:val="111111"/>
          <w:sz w:val="28"/>
          <w:sz w:val="28"/>
          <w:szCs w:val="28"/>
          <w:rtl w:val="true"/>
          <w:lang w:bidi="fa-IR"/>
        </w:rPr>
        <w:t>و فائدته غیر منحصرة عرفاً فی الخمر حتّی عند 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فیعدّ الأوّل عرفاً إعانة علی المشروط المحرّم،بخلاف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من جعل بیع السلاح من أعداء الدین حال قیام الحرب من المساعدة علی المحرّم،و جوّز بیع العنب ممّن یعمله خمراً کالفاضلین فی الشرائع و التذکرة </w:t>
      </w:r>
      <w:r>
        <w:rPr>
          <w:rStyle w:val="FootnoteAnchor"/>
          <w:rtl w:val="true"/>
        </w:rPr>
        <w:footnoteReference w:id="547"/>
      </w:r>
      <w:r>
        <w:rPr>
          <w:rFonts w:ascii="IRNazanin" w:hAnsi="IRNazanin" w:eastAsia="IRNazanin"/>
          <w:color w:val="111111"/>
          <w:sz w:val="28"/>
          <w:sz w:val="28"/>
          <w:szCs w:val="28"/>
          <w:rtl w:val="true"/>
          <w:lang w:bidi="fa-IR"/>
        </w:rPr>
        <w:t xml:space="preserve">و غیرهما </w:t>
      </w:r>
      <w:r>
        <w:rPr>
          <w:rStyle w:val="FootnoteAnchor"/>
          <w:rtl w:val="true"/>
        </w:rPr>
        <w:footnoteReference w:id="548"/>
      </w:r>
      <w:r>
        <w:rPr>
          <w:rFonts w:ascii="IRNazanin" w:hAnsi="IRNazanin" w:eastAsia="IRNazanin"/>
          <w:color w:val="111111"/>
          <w:sz w:val="28"/>
          <w:sz w:val="28"/>
          <w:szCs w:val="28"/>
          <w:rtl w:val="true"/>
          <w:lang w:bidi="fa-IR"/>
        </w:rPr>
        <w:t>نظر إلی ذلک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المحقّق الثانی،حیث منع من بیع العصیر المتنجّس علی</w:t>
      </w:r>
    </w:p>
    <w:p>
      <w:pPr>
        <w:pStyle w:val="BookText"/>
        <w:rPr/>
      </w:pPr>
      <w:r>
        <w:rPr>
          <w:rFonts w:ascii="IRNazanin" w:hAnsi="IRNazanin" w:eastAsia="IRNazanin"/>
          <w:color w:val="111111"/>
          <w:sz w:val="28"/>
          <w:sz w:val="28"/>
          <w:szCs w:val="28"/>
          <w:rtl w:val="true"/>
          <w:lang w:bidi="fa-IR"/>
        </w:rPr>
        <w:t xml:space="preserve">مستحلّه؛مستنداً إلی کونه من الإعانة علی الإثم،و منع من کون بیع العنب ممّن یعلم أنّه یجعله خمراً من الإعانة </w:t>
      </w:r>
      <w:r>
        <w:rPr>
          <w:rStyle w:val="FootnoteAnchor"/>
          <w:rtl w:val="true"/>
        </w:rPr>
        <w:footnoteReference w:id="549"/>
      </w:r>
      <w:r>
        <w:rPr>
          <w:rFonts w:ascii="IRNazanin" w:hAnsi="IRNazanin" w:eastAsia="IRNazanin"/>
          <w:color w:val="111111"/>
          <w:sz w:val="28"/>
          <w:sz w:val="28"/>
          <w:szCs w:val="28"/>
          <w:rtl w:val="true"/>
          <w:lang w:bidi="fa-IR"/>
        </w:rPr>
        <w:t>فإنّ تملّک المستحلّ للعصیر منحصر فائدته عرفاً عنده فی الانتفاع به حال النجاسة،بخلاف تملّک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کان،فلو ثبت تمیّز موارد الإعانة من العرف فهو،و إلّا فالظاهر مدخلیّة قصد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الاستدلال علی حرمة بیع الشیء ممّن یعلم أنّه یصرف المبیع فی الحرام،بأنّ دفع المنکر کرفعه واجب،و لا یتمّ إلّا بترک البیع، 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أشار المحقّق الأردبیلی رحمه اللّه حیث استدلّ علی حرمة بیع العنب فی المسألة بعد عموم النهی عن الإعانة بأدلّة النهی عن المنکر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لهذا </w:t>
      </w:r>
      <w:r>
        <w:rPr>
          <w:rStyle w:val="FootnoteAnchor"/>
          <w:rtl w:val="true"/>
        </w:rPr>
        <w:footnoteReference w:id="551"/>
      </w:r>
      <w:r>
        <w:rPr>
          <w:rFonts w:ascii="IRNazanin" w:hAnsi="IRNazanin" w:eastAsia="IRNazanin"/>
          <w:color w:val="111111"/>
          <w:sz w:val="28"/>
          <w:sz w:val="28"/>
          <w:szCs w:val="28"/>
          <w:rtl w:val="true"/>
          <w:lang w:bidi="fa-IR"/>
        </w:rPr>
        <w:t>ما ورد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 بنی أُمیّة وجدوا من یجبی لهم الصدقات و یشهد جماعتهم ما سلبونا </w:t>
      </w:r>
      <w:r>
        <w:rPr>
          <w:rStyle w:val="FootnoteAnchor"/>
          <w:rtl w:val="true"/>
        </w:rPr>
        <w:footnoteReference w:id="552"/>
      </w:r>
      <w:r>
        <w:rPr>
          <w:rFonts w:ascii="Amiri" w:hAnsi="Amiri" w:eastAsia="Amiri" w:cs="Amiri"/>
          <w:color w:val="111111"/>
          <w:sz w:val="28"/>
          <w:sz w:val="28"/>
          <w:szCs w:val="28"/>
          <w:rtl w:val="true"/>
          <w:lang w:bidi="ar-SA"/>
        </w:rPr>
        <w:t>حقّنا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علی مذمّة الناس فی فعل ما لو ترکوه،لم یتحقّق المعصیة من</w:t>
      </w:r>
    </w:p>
    <w:p>
      <w:pPr>
        <w:pStyle w:val="BookText"/>
        <w:rPr/>
      </w:pPr>
      <w:r>
        <w:rPr>
          <w:rFonts w:ascii="Amiri" w:hAnsi="Amiri" w:eastAsia="Amiri" w:cs="Amiri"/>
          <w:color w:val="111111"/>
          <w:sz w:val="28"/>
          <w:sz w:val="28"/>
          <w:szCs w:val="28"/>
          <w:rtl w:val="true"/>
          <w:lang w:bidi="ar-SA"/>
        </w:rPr>
        <w:t>بنی أُمیّة،فدلّ علی ثبوت الذمّ لکلّ ما لو ترک،لم یتحقّق المعصیة من الغیر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 إن دلّ بظاهره علی حرمة بیع العنب و لو ممّن یعلم أنّه سیجعله خمراً مع عدم قصد ذلک حین الشراء إلّا أنّه لم یقم دلیل علی وجوب تعجیز من یعلم أنّه سیهمّ بالمعصیة،و إنّما الثابت من النقل و العقل القاضی بوجوب اللطف وجوب ردع من همّ بها و أشرف علیها بحیث لو لا الردع لفعلها أو استمرّ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الاستدلال المذکور إنّما یحسن مع علم البائع بأنّه لو لم یبعه لم یحصل المعصیة؛لأنّه حینئذٍ قادر علی الردع،أمّا لو لم یعلم ذلک، أو علم بأنّه یحصل منه المعصیة بفعل الغیر،فلا یتحقّق الارتداع بترک البیع،کمن یعلم عدم الانتهاء بنهیه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البیع حرام علی کلّ أحد فلا یسوغ لهذا الشخص فعله معتذراً بأنّه لو ترکه لفعله غیره مدفوع بأنّ ذلک فی ما کان محرّماً علی کلّ واحد علی سبیل الاستقلال،فلا یجوز لواحد منهم الاعتذار بأنّ هذا الفعل واقع لا محالة و لو من غیری،فلا ینفع ترکی 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وجب علی جماعة شیء واحد کحمل ثقیل مثلاً بحیث یراد منهم الاجتماع علیه </w:t>
      </w:r>
      <w:r>
        <w:rPr>
          <w:rStyle w:val="FootnoteAnchor"/>
          <w:rtl w:val="true"/>
        </w:rPr>
        <w:footnoteReference w:id="554"/>
      </w:r>
      <w:r>
        <w:rPr>
          <w:rFonts w:ascii="IRNazanin" w:hAnsi="IRNazanin" w:eastAsia="IRNazanin"/>
          <w:color w:val="111111"/>
          <w:sz w:val="28"/>
          <w:sz w:val="28"/>
          <w:szCs w:val="28"/>
          <w:rtl w:val="true"/>
          <w:lang w:bidi="fa-IR"/>
        </w:rPr>
        <w:t>،فإذا علم واحد من حال الباقی عدم القیام به و الاتّفاق معه فی إیجاد الفعل کان قیامه بنفسه بذلک الفعل لغواً، فلا یجب،و ما نحن فیه من هذا القبیل؛فإنّ عدم تحقّق المعصیة من مشتری العنب موقوف علی تحقّق ترک البیع من کلّ بائع،فترک المجموع</w:t>
      </w:r>
    </w:p>
    <w:p>
      <w:pPr>
        <w:pStyle w:val="BookText"/>
        <w:rPr/>
      </w:pPr>
      <w:r>
        <w:rPr>
          <w:rFonts w:ascii="IRNazanin" w:hAnsi="IRNazanin" w:eastAsia="IRNazanin"/>
          <w:color w:val="111111"/>
          <w:sz w:val="28"/>
          <w:sz w:val="28"/>
          <w:szCs w:val="28"/>
          <w:rtl w:val="true"/>
          <w:lang w:bidi="fa-IR"/>
        </w:rPr>
        <w:t>للبیع سبب واحد لترک المعصیة،کما أنّ بیع واحد منهم علی البدل شرط لتحقّقها،فإذا علم واحد منهم عدم اجتماع الباقی معه فی تحصیل السبب و المفروض أنّ قیامه منفرداً لغو سقط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تقدّم من الخبر فی أتباع بنی أُمیّة،فالذمّ فیه إنّما هو علی إعانتهم بالأُمور المذکورة فی الروایة،و سیأتی تحریم کون الرجل من أعوان الظلمة،حتّی فی المباحات التی لا دخل لها برئاستهم،فضلاً عن مثل جبایة الصدقات و حضور الجماعات و شبههما ممّا هو من أعظم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تلخّص ممّا ذکرنا أنّ فعل ما هو من قبیل الشرط لتحقّق المعصیة من الغیر من دون قصد توصّل الغیر به إلی المعصیة غیر محرّم؛لعدم کونها </w:t>
      </w:r>
      <w:r>
        <w:rPr>
          <w:rStyle w:val="FootnoteAnchor"/>
          <w:rtl w:val="true"/>
        </w:rPr>
        <w:footnoteReference w:id="555"/>
      </w:r>
      <w:r>
        <w:rPr>
          <w:rFonts w:ascii="IRNazanin" w:hAnsi="IRNazanin" w:eastAsia="IRNazanin"/>
          <w:color w:val="111111"/>
          <w:sz w:val="28"/>
          <w:sz w:val="28"/>
          <w:szCs w:val="28"/>
          <w:rtl w:val="true"/>
          <w:lang w:bidi="fa-IR"/>
        </w:rPr>
        <w:t xml:space="preserve">فی العرف إعانة مطلقاً،أو علی التفصیل الذی احتملناه أخیراً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ترک هذا الفعل،فإن کان سبباً یعنی علّة تامّة لعدم المعصیة من الغیر کما إذا انحصر العنب عنده وجب؛لوجوب الردع عن المعصیة عقلاً و نقلاً،و أمّا لو لم یکن سبباً،بل کان السبب ترکه منضمّاً إلی ترک غیره،فإن علم أو ظنّ أو احتمل قیام الغیر بالترک وجب قیامه به أیضاً،و إن علم أو ظنّ عدم قیام الغیر سقط عنه وجوب الترک؛لأنّ ترکه بنفسه لیس برادع حتّی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نعم،هو جزء للرادع المرکّب من مجموع تروک أرباب العنب </w:t>
      </w:r>
      <w:r>
        <w:rPr>
          <w:rStyle w:val="FootnoteAnchor"/>
          <w:rtl w:val="true"/>
        </w:rPr>
        <w:footnoteReference w:id="557"/>
      </w:r>
      <w:r>
        <w:rPr>
          <w:rFonts w:ascii="IRNazanin" w:hAnsi="IRNazanin" w:eastAsia="IRNazanin"/>
          <w:color w:val="111111"/>
          <w:sz w:val="28"/>
          <w:sz w:val="28"/>
          <w:szCs w:val="28"/>
          <w:rtl w:val="true"/>
          <w:lang w:bidi="fa-IR"/>
        </w:rPr>
        <w:t>، لکن یسقط وجوب الجزء إذا علم بعدم تحقّق الکلّ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ذکرناه فی هذا المقام أنّ فعل ما هو شرط للحرام الصادر من الغیر یقع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من الفاعل قصداً منه لتوصّل الغیر به إلی الحرام، و هذا لا إشکال فی حرمته؛لکونه إعانة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منه من دون قصد لحصول الحرام،و لا لحصول ما هو مقدّمة له مثل تجارة التاجر بالنسبة إلی معصیة العاشر؛فإنّه لم یقصد بها تسلّط العاشر علیه الذی هو شرط لأخذ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 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منه بقصد حصول ما هو من مقدّمات حصول الحرام من </w:t>
      </w:r>
      <w:r>
        <w:rPr>
          <w:rStyle w:val="FootnoteAnchor"/>
          <w:rtl w:val="true"/>
        </w:rPr>
        <w:footnoteReference w:id="558"/>
      </w:r>
      <w:r>
        <w:rPr>
          <w:rFonts w:ascii="IRNazanin" w:hAnsi="IRNazanin" w:eastAsia="IRNazanin"/>
          <w:color w:val="111111"/>
          <w:sz w:val="28"/>
          <w:sz w:val="28"/>
          <w:szCs w:val="28"/>
          <w:rtl w:val="true"/>
          <w:lang w:bidi="fa-IR"/>
        </w:rPr>
        <w:t>الغیر،لا لحصول نفس الحرام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قد یکون من دون قصد الغیر التوصّل </w:t>
      </w:r>
      <w:r>
        <w:rPr>
          <w:rStyle w:val="FootnoteAnchor"/>
          <w:rtl w:val="true"/>
        </w:rPr>
        <w:footnoteReference w:id="559"/>
      </w:r>
      <w:r>
        <w:rPr>
          <w:rFonts w:ascii="IRNazanin" w:hAnsi="IRNazanin" w:eastAsia="IRNazanin"/>
          <w:color w:val="111111"/>
          <w:sz w:val="28"/>
          <w:sz w:val="28"/>
          <w:szCs w:val="28"/>
          <w:rtl w:val="true"/>
          <w:lang w:bidi="fa-IR"/>
        </w:rPr>
        <w:t>بذلک الشرط إلی الحرام،کبیع العنب من الخمّار المقصود منه تملّکه للعنب الذی هو شرط لتخمیره لا نفس التخمیر مع عدم قصد الغیر أیضاً التخمیر حال الشراء،و هذا أیضاً لا إشکال فی عدم حرمته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مع قصد الغیر التوصّل به إلی الحرام أعنی التخمیر حال شراء العنب،و هذا أیضاً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یکون ترک هذا الفعل من الفاعل علّة تامّة لعدم تحقّق الحرام من الغیر،و الأقوی هنا وجوب الترک و حرمة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أن لا یکون کذلک،بل یعلم عادة أو یظنّ بحصول الحرام من الغیر من غیر تأثیر لترک ذلک الفعل،و الظاهر عدم وجوب الترک حینئذٍ؛بناءً علی ما ذکرنا من اعتبار قصد الحرام فی صدق الإعانة علیه مطلقاً،أو علی ما احتملناه من التفصیل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کلّ مورد حکم فیه بحرمة البیع من هذه الموارد الخمسة، فالظاهر عدم فساد البیع؛لتعلّق النهی بما هو خارج عن المعاملة،أعنی الإعانة علی الإثم،أو المسامحة فی الردع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الفساد؛لإشعار قوله علیه السلام فی روایة التحف المتقدّمة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بیع </w:t>
      </w:r>
      <w:r>
        <w:rPr>
          <w:rStyle w:val="FootnoteAnchor"/>
          <w:rtl w:val="true"/>
        </w:rPr>
        <w:footnoteReference w:id="561"/>
      </w:r>
      <w:r>
        <w:rPr>
          <w:rFonts w:ascii="IRNazanin" w:hAnsi="IRNazanin" w:eastAsia="IRNazanin"/>
          <w:color w:val="111111"/>
          <w:sz w:val="28"/>
          <w:sz w:val="28"/>
          <w:szCs w:val="28"/>
          <w:rtl w:val="true"/>
          <w:lang w:bidi="fa-IR"/>
        </w:rPr>
        <w:t>ملهوّ به،و کلّ منهیّ عنه ممّا یتقرّب به لغیر اللّه أو یقوی به الکفر و الشرک فی جمیع وجوه المعاصی،أو باب یوهن 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حرام محرّم بیعه و شراؤه و إمساکه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التحریم مسوق لبیان الفساد فی تلک الروایة،کما لا یخفی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الدلالة تأمّل،و لو تمّت لثبت الفساد مع قصد المشتری خاصّة للحرام؛لأنّ الفساد لا یتبعّض</w:t>
      </w:r>
      <w:r>
        <w:rPr>
          <w:rFonts w:eastAsia="IRNazanin" w:cs="IRNazanin"/>
          <w:color w:val="111111"/>
          <w:sz w:val="28"/>
          <w:szCs w:val="28"/>
          <w:rtl w:val="true"/>
          <w:lang w:bidi="fa-IR"/>
        </w:rPr>
        <w:t>.</w:t>
      </w:r>
      <w:bookmarkStart w:id="169" w:name="pg19762_189397"/>
    </w:p>
    <w:p>
      <w:pPr>
        <w:pStyle w:val="Heading4"/>
        <w:numPr>
          <w:ilvl w:val="3"/>
          <w:numId w:val="1"/>
        </w:numPr>
        <w:rPr/>
      </w:pPr>
      <w:bookmarkStart w:id="170" w:name="__RefHeading___Toc5003562_2314609296"/>
      <w:bookmarkStart w:id="171" w:name="_Toc64"/>
      <w:bookmarkEnd w:id="169"/>
      <w:bookmarkEnd w:id="170"/>
      <w:r>
        <w:rPr>
          <w:rtl w:val="true"/>
        </w:rPr>
        <w:t>القسم الثالث ما یحرم لتحریم ما یقصد منه شأناً</w:t>
      </w:r>
      <w:bookmarkEnd w:id="171"/>
    </w:p>
    <w:p>
      <w:pPr>
        <w:pStyle w:val="Heading5"/>
        <w:numPr>
          <w:ilvl w:val="4"/>
          <w:numId w:val="1"/>
        </w:numPr>
        <w:rPr/>
      </w:pPr>
      <w:bookmarkStart w:id="172" w:name="__RefHeading___Toc5003564_2314609296"/>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بمعنی أنّ من شأنه أن یقصد منه الحرام و تحریم هذا مقصور علی النصّ،إذ لا یدخل ذلک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مع عدم العلم بصرف الغیر له فی الحرام،کبیع السلاح من أعداء الدین مع عدم قصد تقوّیهم،بل و عدم العلم باستعمالهم لهذا المبیع </w:t>
      </w:r>
      <w:r>
        <w:rPr>
          <w:rStyle w:val="FootnoteAnchor"/>
          <w:rtl w:val="true"/>
        </w:rPr>
        <w:footnoteReference w:id="562"/>
      </w:r>
      <w:r>
        <w:rPr>
          <w:rFonts w:ascii="IRNazanin" w:hAnsi="IRNazanin" w:eastAsia="IRNazanin"/>
          <w:color w:val="111111"/>
          <w:sz w:val="28"/>
          <w:sz w:val="28"/>
          <w:szCs w:val="28"/>
          <w:rtl w:val="true"/>
          <w:lang w:bidi="fa-IR"/>
        </w:rPr>
        <w:t xml:space="preserve">الخاصّ فی حرب المسلمین،إلّا أنّ المعروف بین الأصحاب حرمته،بل لا خلاف فیها </w:t>
      </w:r>
      <w:r>
        <w:rPr>
          <w:rStyle w:val="FootnoteAnchor"/>
          <w:rtl w:val="true"/>
        </w:rPr>
        <w:footnoteReference w:id="563"/>
      </w:r>
    </w:p>
    <w:p>
      <w:pPr>
        <w:pStyle w:val="Heading5"/>
        <w:numPr>
          <w:ilvl w:val="4"/>
          <w:numId w:val="1"/>
        </w:numPr>
        <w:rPr/>
      </w:pPr>
      <w:bookmarkStart w:id="174" w:name="__RefHeading___Toc5003566_2314609296"/>
      <w:bookmarkStart w:id="175" w:name="_Toc66"/>
      <w:bookmarkEnd w:id="174"/>
      <w:r>
        <w:rPr>
          <w:rtl w:val="true"/>
        </w:rPr>
        <w:t>و الأخبار بها مستفیضة</w:t>
      </w:r>
      <w:r>
        <w:rPr>
          <w:rtl w:val="true"/>
        </w:rPr>
        <w:t>:</w:t>
      </w:r>
      <w:bookmarkEnd w:id="175"/>
    </w:p>
    <w:p>
      <w:pPr>
        <w:pStyle w:val="Heading6"/>
        <w:numPr>
          <w:ilvl w:val="5"/>
          <w:numId w:val="1"/>
        </w:numPr>
        <w:rPr/>
      </w:pPr>
      <w:bookmarkStart w:id="176" w:name="__RefHeading___Toc5003568_2314609296"/>
      <w:bookmarkStart w:id="177" w:name="_Toc67"/>
      <w:bookmarkEnd w:id="176"/>
      <w:r>
        <w:rPr>
          <w:rtl w:val="true"/>
        </w:rPr>
        <w:t>منها</w:t>
      </w:r>
      <w:r>
        <w:rPr>
          <w:rtl w:val="true"/>
        </w:rPr>
        <w:t>:</w:t>
      </w:r>
      <w:r>
        <w:rPr>
          <w:rtl w:val="true"/>
        </w:rPr>
        <w:t>روایة الحضرمی،</w:t>
      </w:r>
      <w:bookmarkEnd w:id="17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أبی عبد اللّه علیه السلام فقال له حکم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من یحمل إلی الشام من السروج و أداتها؟قال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بأس،أنتم الیوم بمنزلة أصحاب رسول اللّه صلّی اللّه علیه و آله و سلم، أنتم فی هدنة،فإذا کانت المباینة حرم علیکم أن تحملوا إلیهم السلاح</w:t>
      </w:r>
      <w:bookmarkStart w:id="178" w:name="pg19762_189398"/>
    </w:p>
    <w:p>
      <w:pPr>
        <w:pStyle w:val="BookText"/>
        <w:rPr/>
      </w:pPr>
      <w:bookmarkEnd w:id="178"/>
      <w:r>
        <w:rPr>
          <w:rFonts w:ascii="IRNazanin" w:hAnsi="IRNazanin" w:eastAsia="IRNazanin"/>
          <w:color w:val="111111"/>
          <w:sz w:val="28"/>
          <w:sz w:val="28"/>
          <w:szCs w:val="28"/>
          <w:rtl w:val="true"/>
          <w:lang w:bidi="fa-IR"/>
        </w:rPr>
        <w:t>و السروج</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5003570_2314609296"/>
      <w:bookmarkStart w:id="180" w:name="_Toc68"/>
      <w:bookmarkEnd w:id="179"/>
      <w:r>
        <w:rPr>
          <w:rtl w:val="true"/>
        </w:rPr>
        <w:t>و منها</w:t>
      </w:r>
      <w:r>
        <w:rPr>
          <w:rtl w:val="true"/>
        </w:rPr>
        <w:t>:</w:t>
      </w:r>
      <w:r>
        <w:rPr>
          <w:rtl w:val="true"/>
        </w:rPr>
        <w:t>روایة هند السرّاج،</w:t>
      </w:r>
      <w:bookmarkEnd w:id="18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أحمل السلاح إلی أهل الشام فأبیعه منهم، فلمّا عرّفنی اللّه هذا الأمر ضقت بذلک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أحمل إلی أعداء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احمل إلیهم و بعهم،فإنّ اللّه یدفع بهم عدوّنا و عدوّکم یعنی الروم فإذا کان الحرب بیننا </w:t>
      </w:r>
      <w:r>
        <w:rPr>
          <w:rStyle w:val="FootnoteAnchor"/>
          <w:rtl w:val="true"/>
        </w:rPr>
        <w:footnoteReference w:id="565"/>
      </w:r>
      <w:r>
        <w:rPr>
          <w:rFonts w:ascii="IRNazanin" w:hAnsi="IRNazanin" w:eastAsia="IRNazanin"/>
          <w:color w:val="111111"/>
          <w:sz w:val="28"/>
          <w:sz w:val="28"/>
          <w:szCs w:val="28"/>
          <w:rtl w:val="true"/>
          <w:lang w:bidi="fa-IR"/>
        </w:rPr>
        <w:t>فمن حمل إلی عدوّنا سلاحاً یستعینون به علینا فهو مشرک</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صریح الروایتین اختصاص الحکم بصورة قیام الحرب بینهم و بین المسلمین بمعنی وجود المباینة فی مقابل الهدنة،و بهما یقیّد المطلقات جوازاً و </w:t>
      </w:r>
      <w:r>
        <w:rPr>
          <w:rStyle w:val="FootnoteAnchor"/>
          <w:rtl w:val="true"/>
        </w:rPr>
        <w:footnoteReference w:id="567"/>
      </w:r>
      <w:r>
        <w:rPr>
          <w:rFonts w:ascii="IRNazanin" w:hAnsi="IRNazanin" w:eastAsia="IRNazanin"/>
          <w:color w:val="111111"/>
          <w:sz w:val="28"/>
          <w:sz w:val="28"/>
          <w:szCs w:val="28"/>
          <w:rtl w:val="true"/>
          <w:lang w:bidi="fa-IR"/>
        </w:rPr>
        <w:t xml:space="preserve">منعاً،مع إمکان دعوی ظهور بعضها فی ذلک،مثل مکاتبة الصیقل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السیوف و أبیعها من السلطان أ جائز لی بیعها؟فکتب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5003572_2314609296"/>
      <w:bookmarkStart w:id="182" w:name="_Toc69"/>
      <w:bookmarkEnd w:id="181"/>
      <w:r>
        <w:rPr>
          <w:rtl w:val="true"/>
        </w:rPr>
        <w:t>[</w:t>
      </w:r>
      <w:r>
        <w:rPr>
          <w:rtl w:val="true"/>
        </w:rPr>
        <w:t>منها روایة علیّ بن جعفر</w:t>
      </w:r>
      <w:r>
        <w:rPr>
          <w:rtl w:val="true"/>
        </w:rPr>
        <w:t>]</w:t>
      </w:r>
      <w:bookmarkEnd w:id="1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بن جعفر،عن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حمل</w:t>
      </w:r>
      <w:bookmarkStart w:id="183" w:name="pg19762_189399"/>
    </w:p>
    <w:p>
      <w:pPr>
        <w:pStyle w:val="BookText"/>
        <w:rPr/>
      </w:pPr>
      <w:bookmarkEnd w:id="183"/>
      <w:r>
        <w:rPr>
          <w:rFonts w:ascii="IRNazanin" w:hAnsi="IRNazanin" w:eastAsia="IRNazanin"/>
          <w:color w:val="111111"/>
          <w:sz w:val="28"/>
          <w:sz w:val="28"/>
          <w:szCs w:val="28"/>
          <w:rtl w:val="true"/>
          <w:lang w:bidi="fa-IR"/>
        </w:rPr>
        <w:t>المسلمین إلی المشرکین التجارة،قال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یحملوا سلاحاً فلا بأس</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 w:name="__RefHeading___Toc5003574_2314609296"/>
      <w:bookmarkStart w:id="185" w:name="_Toc70"/>
      <w:bookmarkEnd w:id="184"/>
      <w:r>
        <w:rPr>
          <w:rtl w:val="true"/>
        </w:rPr>
        <w:t>[</w:t>
      </w:r>
      <w:r>
        <w:rPr>
          <w:rtl w:val="true"/>
        </w:rPr>
        <w:t>منها ما فی وصیّة النبیّ صلّی اللّه علیه و آله و سلم لعلیّ علیه السلام</w:t>
      </w:r>
      <w:r>
        <w:rPr>
          <w:rtl w:val="true"/>
        </w:rPr>
        <w:t>]</w:t>
      </w:r>
      <w:bookmarkEnd w:id="185"/>
    </w:p>
    <w:p>
      <w:pPr>
        <w:pStyle w:val="BookText"/>
        <w:rPr/>
      </w:pPr>
      <w:r>
        <w:rPr>
          <w:rFonts w:ascii="IRNazanin" w:hAnsi="IRNazanin" w:eastAsia="IRNazanin"/>
          <w:color w:val="111111"/>
          <w:sz w:val="28"/>
          <w:sz w:val="28"/>
          <w:szCs w:val="28"/>
          <w:rtl w:val="true"/>
          <w:lang w:bidi="fa-IR"/>
        </w:rPr>
        <w:t>و مثله ما فی وصیّة النبیّ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کفر باللّه العظیم من هذه الأُمّة عشرة </w:t>
      </w:r>
      <w:r>
        <w:rPr>
          <w:rStyle w:val="FootnoteAnchor"/>
          <w:rtl w:val="true"/>
        </w:rPr>
        <w:footnoteReference w:id="571"/>
      </w:r>
      <w:r>
        <w:rPr>
          <w:rFonts w:ascii="IRNazanin" w:hAnsi="IRNazanin" w:eastAsia="IRNazanin"/>
          <w:color w:val="111111"/>
          <w:sz w:val="28"/>
          <w:sz w:val="28"/>
          <w:szCs w:val="28"/>
          <w:rtl w:val="true"/>
          <w:lang w:bidi="fa-IR"/>
        </w:rPr>
        <w:t>أصناف و عدّ منها بائع السلاح من أهل الحرب</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عن حواشی الشهید من أنّ المنقول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السلاح حرام مطلقاً فی حال الحرب و الصلح و الهدنة،لأنّ فیه تقویة الکافر علی المسلم،فلا یجوز علی کلّ حال</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شبه الاجتهاد فی مقابل النصّ،مع ضعف دلیله،کما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الروایات شمول الحکم لما إذا لم یقصد البائع المعونة و المساعدة أصلاً،بل صریح مورد السؤال فی روایتی الحکم و هند </w:t>
      </w:r>
      <w:r>
        <w:rPr>
          <w:rStyle w:val="FootnoteAnchor"/>
          <w:rtl w:val="true"/>
        </w:rPr>
        <w:footnoteReference w:id="575"/>
      </w:r>
      <w:r>
        <w:rPr>
          <w:rFonts w:ascii="IRNazanin" w:hAnsi="IRNazanin" w:eastAsia="IRNazanin"/>
          <w:color w:val="111111"/>
          <w:sz w:val="28"/>
          <w:sz w:val="28"/>
          <w:szCs w:val="28"/>
          <w:rtl w:val="true"/>
          <w:lang w:bidi="fa-IR"/>
        </w:rPr>
        <w:t xml:space="preserve">هو صورة عدم قصد ذلک،فالقول باختصاص حرمة البیع </w:t>
      </w:r>
      <w:r>
        <w:rPr>
          <w:rStyle w:val="FootnoteAnchor"/>
          <w:rtl w:val="true"/>
        </w:rPr>
        <w:footnoteReference w:id="576"/>
      </w:r>
      <w:r>
        <w:rPr>
          <w:rFonts w:ascii="IRNazanin" w:hAnsi="IRNazanin" w:eastAsia="IRNazanin"/>
          <w:color w:val="111111"/>
          <w:sz w:val="28"/>
          <w:sz w:val="28"/>
          <w:szCs w:val="28"/>
          <w:rtl w:val="true"/>
          <w:lang w:bidi="fa-IR"/>
        </w:rPr>
        <w:t xml:space="preserve">بصورة قصد المساعدة کما یظهر من بعض العبائر </w:t>
      </w:r>
      <w:r>
        <w:rPr>
          <w:rStyle w:val="FootnoteAnchor"/>
          <w:rtl w:val="true"/>
        </w:rPr>
        <w:footnoteReference w:id="577"/>
      </w:r>
      <w:r>
        <w:rPr>
          <w:rFonts w:ascii="Amiri" w:hAnsi="Amiri" w:eastAsia="Amiri" w:cs="Amiri"/>
          <w:color w:val="111111"/>
          <w:sz w:val="28"/>
          <w:sz w:val="28"/>
          <w:szCs w:val="28"/>
          <w:rtl w:val="true"/>
          <w:lang w:bidi="ar-SA"/>
        </w:rPr>
        <w:t>ضعیف جدّاً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ظاهرها الشمول لما إذا لم یعلم باستعمال أهل الحرب</w:t>
      </w:r>
    </w:p>
    <w:p>
      <w:pPr>
        <w:pStyle w:val="BookText"/>
        <w:rPr/>
      </w:pPr>
      <w:r>
        <w:rPr>
          <w:rFonts w:ascii="IRNazanin" w:hAnsi="IRNazanin" w:eastAsia="IRNazanin"/>
          <w:color w:val="111111"/>
          <w:sz w:val="28"/>
          <w:sz w:val="28"/>
          <w:szCs w:val="28"/>
          <w:rtl w:val="true"/>
          <w:lang w:bidi="fa-IR"/>
        </w:rPr>
        <w:t>للمبیع فی الحرب،بل یکفی مظنّة ذلک بحسب غلبة ذلک مع قیام الحرب،بحیث یصدق حصول التقوّی لهم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فالحکم مخالف للأُصول،صِیرَ إلیه للأخبار المذکورة، و عموم روایة تحف العقول المتقدّمة فیقتصر فیه علی مورد الدلیل، و هو السلاح،دون ما لا یصدق علیه ذلک کالمِجَنّ و الدِّرْع و المِغْفَر و سائر ما یَکِنّ وفاقاً للنهایة </w:t>
      </w:r>
      <w:r>
        <w:rPr>
          <w:rStyle w:val="FootnoteAnchor"/>
          <w:rtl w:val="true"/>
        </w:rPr>
        <w:footnoteReference w:id="578"/>
      </w:r>
      <w:r>
        <w:rPr>
          <w:rFonts w:ascii="IRNazanin" w:hAnsi="IRNazanin" w:eastAsia="IRNazanin"/>
          <w:color w:val="111111"/>
          <w:sz w:val="28"/>
          <w:sz w:val="28"/>
          <w:szCs w:val="28"/>
          <w:rtl w:val="true"/>
          <w:lang w:bidi="fa-IR"/>
        </w:rPr>
        <w:t xml:space="preserve">و ظاهر السرائر </w:t>
      </w:r>
      <w:r>
        <w:rPr>
          <w:rStyle w:val="FootnoteAnchor"/>
          <w:rtl w:val="true"/>
        </w:rPr>
        <w:footnoteReference w:id="579"/>
      </w:r>
      <w:r>
        <w:rPr>
          <w:rFonts w:ascii="IRNazanin" w:hAnsi="IRNazanin" w:eastAsia="IRNazanin"/>
          <w:color w:val="111111"/>
          <w:sz w:val="28"/>
          <w:sz w:val="28"/>
          <w:szCs w:val="28"/>
          <w:rtl w:val="true"/>
          <w:lang w:bidi="fa-IR"/>
        </w:rPr>
        <w:t xml:space="preserve">و أکثر کتب العلّامة </w:t>
      </w:r>
      <w:r>
        <w:rPr>
          <w:rStyle w:val="FootnoteAnchor"/>
          <w:rtl w:val="true"/>
        </w:rPr>
        <w:footnoteReference w:id="58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58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582"/>
      </w:r>
      <w:r>
        <w:rPr>
          <w:rFonts w:ascii="IRNazanin" w:hAnsi="IRNazanin" w:eastAsia="IRNazanin"/>
          <w:color w:val="111111"/>
          <w:sz w:val="28"/>
          <w:sz w:val="28"/>
          <w:szCs w:val="28"/>
          <w:rtl w:val="true"/>
          <w:lang w:bidi="fa-IR"/>
        </w:rPr>
        <w:t xml:space="preserve">للأصل،و ما استدلّ به فی التذکرة </w:t>
      </w:r>
      <w:r>
        <w:rPr>
          <w:rStyle w:val="FootnoteAnchor"/>
          <w:rtl w:val="true"/>
        </w:rPr>
        <w:footnoteReference w:id="583"/>
      </w:r>
      <w:r>
        <w:rPr>
          <w:rFonts w:ascii="IRNazanin" w:hAnsi="IRNazanin" w:eastAsia="IRNazanin"/>
          <w:color w:val="111111"/>
          <w:sz w:val="28"/>
          <w:sz w:val="28"/>
          <w:szCs w:val="28"/>
          <w:rtl w:val="true"/>
          <w:lang w:bidi="fa-IR"/>
        </w:rPr>
        <w:t>من روایة محمد بن قیس،قال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الفئتین من أهل الباطل تلتقیان،أبیعهما السلاح؟قال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بعهما ما یَکِنّهما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 و الخُفَّیْن و نحوهما</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روایة تحف العقول إناطة الحکم علی تقوّی الکفر و وهن الحقّ،و ظاهر قوله علیه السلام فی روایة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حمل إلی عدوّنا سلاحاً یستعینون به علینا</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أنّ الحکم منوط بالاستعانة،و الکلّ موجود فیما یَکِنّ أیضاً،کما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إلی فحوی روایة الحَکَم المانعة عن بیع السروج </w:t>
      </w:r>
      <w:r>
        <w:rPr>
          <w:rStyle w:val="FootnoteAnchor"/>
          <w:rtl w:val="true"/>
        </w:rPr>
        <w:footnoteReference w:id="586"/>
      </w:r>
      <w:r>
        <w:rPr>
          <w:rFonts w:ascii="IRNazanin" w:hAnsi="IRNazanin" w:eastAsia="IRNazanin"/>
          <w:color w:val="111111"/>
          <w:sz w:val="28"/>
          <w:sz w:val="28"/>
          <w:szCs w:val="28"/>
          <w:rtl w:val="true"/>
          <w:lang w:bidi="fa-IR"/>
        </w:rPr>
        <w:t>،و حملها علی السیوف السریجیّة لا یناسبه صدر الروایة،مع کون الراوی سرّاجاً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محمد بن قیس،فلا دلالة لها علی المطلوب؛لأنّ مدلولها بمقتضی أنّ التفصیل قاطع للشرکة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فی ما یَکِنّ، و التحریم فی غیره،مع کون الفئتین من أهل الباطل،فلا بدّ من حملها علی فریقین محقونی الدماء،إذ لو کان کلاهما أو أحدهما مهدور الدم لم یکن وجه للمنع من بیع السلاح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من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کلٍّ منهما عن صاحبه و تترّسه بما یَکِنّ،و هذا غیر مقصود فی ما نحن فیه،بل تحفّظ أعداء الدین عن بأس المسلمین خلاف مقصود الشارع،فالتعدّی عن مورد الروایة إلی ما نحن فیه یشبه 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لما ذکر قیّد الشهید فیما حکی عن حواشیه علی القواعد </w:t>
      </w:r>
      <w:r>
        <w:rPr>
          <w:rStyle w:val="FootnoteAnchor"/>
          <w:rtl w:val="true"/>
        </w:rPr>
        <w:footnoteReference w:id="587"/>
      </w:r>
      <w:r>
        <w:rPr>
          <w:rFonts w:ascii="IRNazanin" w:hAnsi="IRNazanin" w:eastAsia="IRNazanin"/>
          <w:color w:val="111111"/>
          <w:sz w:val="28"/>
          <w:sz w:val="28"/>
          <w:szCs w:val="28"/>
          <w:rtl w:val="true"/>
          <w:lang w:bidi="fa-IR"/>
        </w:rPr>
        <w:t xml:space="preserve">إطلاق العلّامة جواز بیع ما یکنّ </w:t>
      </w:r>
      <w:r>
        <w:rPr>
          <w:rStyle w:val="FootnoteAnchor"/>
          <w:rtl w:val="true"/>
        </w:rPr>
        <w:footnoteReference w:id="588"/>
      </w:r>
      <w:r>
        <w:rPr>
          <w:rFonts w:ascii="IRNazanin" w:hAnsi="IRNazanin" w:eastAsia="IRNazanin"/>
          <w:color w:val="111111"/>
          <w:sz w:val="28"/>
          <w:sz w:val="28"/>
          <w:szCs w:val="28"/>
          <w:rtl w:val="true"/>
          <w:lang w:bidi="fa-IR"/>
        </w:rPr>
        <w:t>بصورة الهدنة و عدم قیام الحرب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الاقتصار علی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التعدّی إلی</w:t>
      </w:r>
    </w:p>
    <w:p>
      <w:pPr>
        <w:pStyle w:val="BookText"/>
        <w:rPr/>
      </w:pPr>
      <w:r>
        <w:rPr>
          <w:rFonts w:ascii="IRNazanin" w:hAnsi="IRNazanin" w:eastAsia="IRNazanin"/>
          <w:color w:val="111111"/>
          <w:sz w:val="28"/>
          <w:sz w:val="28"/>
          <w:szCs w:val="28"/>
          <w:rtl w:val="true"/>
          <w:lang w:bidi="fa-IR"/>
        </w:rPr>
        <w:t>غیر أعداء الدین کقُطّاع الطریق،إلّا أنّ المستفاد من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إناطة الحکم بتقوّی الباطل و وهن الحقّ،فلعلّه یشمل ذلک، و فیه تأمّل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النهی </w:t>
      </w:r>
      <w:r>
        <w:rPr>
          <w:rStyle w:val="FootnoteAnchor"/>
          <w:rtl w:val="true"/>
        </w:rPr>
        <w:footnoteReference w:id="589"/>
      </w:r>
      <w:r>
        <w:rPr>
          <w:rFonts w:ascii="IRNazanin" w:hAnsi="IRNazanin" w:eastAsia="IRNazanin"/>
          <w:color w:val="111111"/>
          <w:sz w:val="28"/>
          <w:sz w:val="28"/>
          <w:szCs w:val="28"/>
          <w:rtl w:val="true"/>
          <w:lang w:bidi="fa-IR"/>
        </w:rPr>
        <w:t>فی هذه الأخبار لا یدلّ علی الفساد،فلا مستند له سوی ظاهر خبر تحف العقول الوارد فی بیان المکاسب الصحیحة و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186" w:name="pg19762_1894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5003576_2314609296"/>
      <w:bookmarkStart w:id="188" w:name="_Toc71"/>
      <w:bookmarkEnd w:id="186"/>
      <w:bookmarkEnd w:id="187"/>
      <w:r>
        <w:rPr>
          <w:rtl w:val="true"/>
        </w:rPr>
        <w:t>النوع الثالث ممّا یحرم الاکتساب به ما لا منفعةَ فیه محلّلةً معتدّاً بها عند العقلاء</w:t>
      </w:r>
      <w:bookmarkEnd w:id="188"/>
    </w:p>
    <w:p>
      <w:pPr>
        <w:pStyle w:val="BookText"/>
        <w:rPr/>
      </w:pPr>
      <w:r>
        <w:rPr>
          <w:rFonts w:ascii="IRNazanin" w:hAnsi="IRNazanin" w:eastAsia="IRNazanin"/>
          <w:color w:val="111111"/>
          <w:sz w:val="28"/>
          <w:sz w:val="28"/>
          <w:szCs w:val="28"/>
          <w:rtl w:val="true"/>
          <w:lang w:bidi="fa-IR"/>
        </w:rPr>
        <w:t>النوع الثالث ممّا یحرم الاکتساب به ما لا منفعةَ فیه محلّلةً معتدّاً بها عند العقلاء و التحریم فی هذا القسم لیس إلّا من حیث فساد المعاملة،و عدم تملّک الثمن،و لیس کالاکتساب بالخمر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الفساد فی هذا القسم علی ما صرّح به فی الإیضاح </w:t>
      </w:r>
      <w:r>
        <w:rPr>
          <w:rStyle w:val="FootnoteAnchor"/>
          <w:rtl w:val="true"/>
        </w:rPr>
        <w:footnoteReference w:id="590"/>
      </w:r>
      <w:r>
        <w:rPr>
          <w:rFonts w:ascii="IRNazanin" w:hAnsi="IRNazanin" w:eastAsia="IRNazanin"/>
          <w:color w:val="111111"/>
          <w:sz w:val="28"/>
          <w:sz w:val="28"/>
          <w:szCs w:val="28"/>
          <w:rtl w:val="true"/>
          <w:lang w:bidi="fa-IR"/>
        </w:rPr>
        <w:t>کون أکل المال بإزائه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تأمّل؛لأنّ منافع کثیر من الأشیاء التی ذکروها فی المقام تقابل عرفاً بمالٍ و لو قلیلاً بحیث لا یکون بذل مقدار قلیل من المال بإزائه </w:t>
      </w:r>
      <w:r>
        <w:rPr>
          <w:rStyle w:val="FootnoteAnchor"/>
          <w:rtl w:val="true"/>
        </w:rPr>
        <w:footnoteReference w:id="591"/>
      </w:r>
      <w:r>
        <w:rPr>
          <w:rFonts w:ascii="Amiri" w:hAnsi="Amiri" w:eastAsia="Amiri" w:cs="Amiri"/>
          <w:color w:val="111111"/>
          <w:sz w:val="28"/>
          <w:sz w:val="28"/>
          <w:szCs w:val="28"/>
          <w:rtl w:val="true"/>
          <w:lang w:bidi="ar-SA"/>
        </w:rPr>
        <w:t>سفهاً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فالعمدة ما یستفاد من الفتاوی و النصوص </w:t>
      </w:r>
      <w:r>
        <w:rPr>
          <w:rStyle w:val="FootnoteAnchor"/>
          <w:rtl w:val="true"/>
        </w:rPr>
        <w:footnoteReference w:id="592"/>
      </w:r>
      <w:r>
        <w:rPr>
          <w:rFonts w:ascii="IRNazanin" w:hAnsi="IRNazanin" w:eastAsia="IRNazanin"/>
          <w:color w:val="111111"/>
          <w:sz w:val="28"/>
          <w:sz w:val="28"/>
          <w:szCs w:val="28"/>
          <w:rtl w:val="true"/>
          <w:lang w:bidi="fa-IR"/>
        </w:rPr>
        <w:t>من عدم اعتناء الشارع بالمنافع النادرة و کونها فی نظره کالمعدومة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الحیوان الطاهر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ینتفع به،و الآخر لا ینتفع به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لا ینتفع به</w:t>
      </w:r>
    </w:p>
    <w:p>
      <w:pPr>
        <w:pStyle w:val="BookText"/>
        <w:rPr/>
      </w:pPr>
      <w:r>
        <w:rPr>
          <w:rFonts w:ascii="IRNazanin" w:hAnsi="IRNazanin" w:eastAsia="IRNazanin"/>
          <w:color w:val="111111"/>
          <w:sz w:val="28"/>
          <w:sz w:val="28"/>
          <w:szCs w:val="28"/>
          <w:rtl w:val="true"/>
          <w:lang w:bidi="fa-IR"/>
        </w:rPr>
        <w:t>فلا یجوز بیعه بلا خلاف،مثل الأسد و الذئب،و سائر الحشرات،مثل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الحیّات،و العقارب،و الفأر،و الخَنافِس،و الجِعلان،و الحِدأَة،و الرخَمَة، و النسْر،و بُغاث الطیر،و کذلک الغِرْبان </w:t>
      </w:r>
      <w:r>
        <w:rPr>
          <w:rStyle w:val="FootnoteAnchor"/>
          <w:rtl w:val="true"/>
        </w:rPr>
        <w:footnoteReference w:id="5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الغنیة الإجماع علی ذلک أیضاً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یشعر به عبارة التذکرة،حیث استدلّ علی ذلک بخسّة تلک الأشیاء، و عدم نظر الشارع إلی مثلها فی التقویم،و لا یثبت یدٌ لأحدٍ علیها،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اعتبار بما ورد فی الخواص من منافعها؛لأنّها لا تُعدّ مع ذلک مالاً،و کذا عند الشافعی </w:t>
      </w:r>
      <w:r>
        <w:rPr>
          <w:rStyle w:val="FootnoteAnchor"/>
          <w:rtl w:val="true"/>
        </w:rPr>
        <w:footnoteReference w:id="5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اتفاقنا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عدم جواز بیع ما لا یُعدّ مالاً ممّا لا إشکال فیه، و إنّما الکلام فیما عدّوه من هذا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محکیّ إیضاح النافع و نعم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جرت عادة الأصحاب بعنوان هذا الباب و ذکر أشیاء معیّنة علی سبیل المثال،فإن کان ذلک لأنّ عدم النفع مفروض فیها،فلا نزاع،و إن کان لأنّ ما مثّل به لا یصحّ بیعه لأنّه محکومٌ بعدم الانتفاع فالمنع متوجّه فی أشیاء کثیرة </w:t>
      </w:r>
      <w:r>
        <w:rPr>
          <w:rStyle w:val="FootnoteAnchor"/>
          <w:rtl w:val="true"/>
        </w:rPr>
        <w:footnoteReference w:id="5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بالجملة،فکون الحیوان من المسوخ أو السباع أو الحشرات لا دلیل علی کونه کالنجاسة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فالمتعین فیما اشتمل منها علی منفعة مقصودة للعقلاء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جاز الوصیة به لکونه مقصوداً بالانتفاع للعقلاء فینبغی جواز بیعه إلّا ما دلّ الدلیل علی المنع فیه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فی التذکرة بجواز الوصیة بمثل الفیل و الأسد و غیرهما من المسوخ و المؤذیات،و إن منعنا عن بیعها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هذا الکلام أنّ المنع من بیعها علی القول به،للتعبّد، لا لعدم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تقدم 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اعتبار بما ورد فی الخواص من منافعها،لأنّها لا تعدّ مالاً مع ذلک</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یشکل بأنّه إذا اطّلع العرف علی خاصیة فی إحدی الحشرات معلومة بالتجربة أو غیرها فأیّ فرق بینها </w:t>
      </w:r>
      <w:r>
        <w:rPr>
          <w:rStyle w:val="FootnoteAnchor"/>
          <w:rtl w:val="true"/>
        </w:rPr>
        <w:footnoteReference w:id="599"/>
      </w:r>
      <w:r>
        <w:rPr>
          <w:rFonts w:ascii="IRNazanin" w:hAnsi="IRNazanin" w:eastAsia="IRNazanin"/>
          <w:color w:val="111111"/>
          <w:sz w:val="28"/>
          <w:sz w:val="28"/>
          <w:szCs w:val="28"/>
          <w:rtl w:val="true"/>
          <w:lang w:bidi="fa-IR"/>
        </w:rPr>
        <w:t xml:space="preserve">و بین نبات من الأدویة علم فیه تلک الخاصیة؟و حینئذ فعدم جواز بیعه </w:t>
      </w:r>
      <w:r>
        <w:rPr>
          <w:rStyle w:val="FootnoteAnchor"/>
          <w:rtl w:val="true"/>
        </w:rPr>
        <w:footnoteReference w:id="600"/>
      </w:r>
      <w:r>
        <w:rPr>
          <w:rFonts w:ascii="IRNazanin" w:hAnsi="IRNazanin" w:eastAsia="IRNazanin"/>
          <w:color w:val="111111"/>
          <w:sz w:val="28"/>
          <w:sz w:val="28"/>
          <w:szCs w:val="28"/>
          <w:rtl w:val="true"/>
          <w:lang w:bidi="fa-IR"/>
        </w:rPr>
        <w:t xml:space="preserve">و أخذ المال فی مقابله </w:t>
      </w:r>
      <w:r>
        <w:rPr>
          <w:rStyle w:val="FootnoteAnchor"/>
          <w:rtl w:val="true"/>
        </w:rPr>
        <w:footnoteReference w:id="601"/>
      </w:r>
      <w:r>
        <w:rPr>
          <w:rFonts w:ascii="IRNazanin" w:hAnsi="IRNazanin" w:eastAsia="IRNazanin"/>
          <w:color w:val="111111"/>
          <w:sz w:val="28"/>
          <w:sz w:val="28"/>
          <w:szCs w:val="28"/>
          <w:rtl w:val="true"/>
          <w:lang w:bidi="fa-IR"/>
        </w:rPr>
        <w:t>بملاحظة تلک الخاصیة یحتاج إلی دلیل؛لأنّه حینئذ لیس أکلاً للمال بالباطل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تقدّم فی روایة التحف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لهم</w:t>
      </w:r>
    </w:p>
    <w:p>
      <w:pPr>
        <w:pStyle w:val="BookText"/>
        <w:rPr/>
      </w:pPr>
      <w:r>
        <w:rPr>
          <w:rFonts w:ascii="IRNazanin" w:hAnsi="IRNazanin" w:eastAsia="IRNazanin"/>
          <w:color w:val="111111"/>
          <w:sz w:val="28"/>
          <w:sz w:val="28"/>
          <w:szCs w:val="28"/>
          <w:rtl w:val="true"/>
          <w:lang w:bidi="fa-IR"/>
        </w:rPr>
        <w:t>فیه الصلاح من جهة من الجهات فذلک حلال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أجاد فی الدروس،حیث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نفع فیه مقصوداً للعقلاء، کالحشار و فضلات الإنسان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نفع فیه بوجه من الوجوه،کالخَنافِس و الدیدان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النظر فی ما ذکره فی التذکرة من الإشکال فی جواز بیع العلق الذی ینتفع به لامتصاص الدم،و دیدان القزّ التی یصاد بها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استقرب المنع،قال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لندور الانتفاع،فیشبه </w:t>
      </w:r>
      <w:r>
        <w:rPr>
          <w:rStyle w:val="FootnoteAnchor"/>
          <w:rtl w:val="true"/>
        </w:rPr>
        <w:footnoteReference w:id="604"/>
      </w:r>
      <w:r>
        <w:rPr>
          <w:rFonts w:ascii="IRNazanin" w:hAnsi="IRNazanin" w:eastAsia="IRNazanin"/>
          <w:color w:val="111111"/>
          <w:sz w:val="28"/>
          <w:sz w:val="28"/>
          <w:szCs w:val="28"/>
          <w:rtl w:val="true"/>
          <w:lang w:bidi="fa-IR"/>
        </w:rPr>
        <w:t xml:space="preserve">ما لا منفعة فیه؛ إذ کلّ شیء فله نفع ما </w:t>
      </w:r>
      <w:r>
        <w:rPr>
          <w:rStyle w:val="FootnoteAnchor"/>
          <w:rtl w:val="true"/>
        </w:rPr>
        <w:footnoteReference w:id="6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التزام جواز بیع کلّ ما له نفع ما،و لو فرض الشک فی صدق المال علی مثل هذه الأشیاء المستلزم للشک فی صدق البیع أمکن الحکم بصحة المعاوضة علیها؛لعمومات التجارة و الصلح و العقود و الهبة المعوّضة و غیرها،و عدم المانع؛لأنّه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عدم تحققه هنا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عدم الاعتناء بالمنافع النادرة، و هو الظاهر من التأمّل فی الأخبار أیضاً،مثل ما دلّ علی تحریم بیع</w:t>
      </w:r>
    </w:p>
    <w:p>
      <w:pPr>
        <w:pStyle w:val="BookText"/>
        <w:rPr/>
      </w:pPr>
      <w:r>
        <w:rPr>
          <w:rFonts w:ascii="IRNazanin" w:hAnsi="IRNazanin" w:eastAsia="IRNazanin"/>
          <w:color w:val="111111"/>
          <w:sz w:val="28"/>
          <w:sz w:val="28"/>
          <w:szCs w:val="28"/>
          <w:rtl w:val="true"/>
          <w:lang w:bidi="fa-IR"/>
        </w:rPr>
        <w:t>ما یحرم منفعته الغالبة مع اشتماله علی منفعة نادرة محلَّلة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حُرِّمَت علیهم الشحوم فباعوها و أکلوا ثمنها</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بناءً علی أنّ للشحوم منفعة نادرة محلّلة علی الیهود؛لأنّ ظاهر تحریمها علیهم تحریم أکلها،أو سائر منافعها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أنّ النادر فی نظر الشارع کالمعدوم لم یکن وجه للمنع عن البیع،کما لم یمنع الشارع عن بیع ما له منفعة محلّلة مساویة للمحرمة فی التعارف و الاعتداد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فیها تعبّد؛للنجاسة،لا من حیث عدم المنفعة المتعارفة؛فتأمّل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ذلک قوله علیه السلام فی روایة تحف العقول فی ضابط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 فیه الصلاح من جهة من الجهات فذلک کلّه حلال بیعه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إذ لا یراد منه مجرد المنفعة و إلّا لعَمَّ </w:t>
      </w:r>
      <w:r>
        <w:rPr>
          <w:rStyle w:val="FootnoteAnchor"/>
          <w:rtl w:val="true"/>
        </w:rPr>
        <w:footnoteReference w:id="609"/>
      </w:r>
      <w:r>
        <w:rPr>
          <w:rFonts w:ascii="IRNazanin" w:hAnsi="IRNazanin" w:eastAsia="IRNazanin"/>
          <w:color w:val="111111"/>
          <w:sz w:val="28"/>
          <w:sz w:val="28"/>
          <w:szCs w:val="28"/>
          <w:rtl w:val="true"/>
          <w:lang w:bidi="fa-IR"/>
        </w:rPr>
        <w:t xml:space="preserve">الأشیاء کلَّها،و قوله فی آخره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یجیء منها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کذا و کذا إلی آخر ما ذکره فإنَّ کثیراً من الأمثلة المذکورة هناک لها منافع محلّلة؛فإنّ الأشربة المحرّمة کثیراً ما ینتفع بها فی معالجة الدوابّ،بل المرضی،فجعلها ممّا یجیء منه الفساد</w:t>
      </w:r>
    </w:p>
    <w:p>
      <w:pPr>
        <w:pStyle w:val="BookText"/>
        <w:rPr/>
      </w:pPr>
      <w:r>
        <w:rPr>
          <w:rFonts w:ascii="IRNazanin" w:hAnsi="IRNazanin" w:eastAsia="IRNazanin"/>
          <w:color w:val="111111"/>
          <w:sz w:val="28"/>
          <w:sz w:val="28"/>
          <w:szCs w:val="28"/>
          <w:rtl w:val="true"/>
          <w:lang w:bidi="fa-IR"/>
        </w:rPr>
        <w:t>محضاً باعتبار عدم الاعتناء بهذه المصالح،لندرتها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الإشکال فی تعیین المنفعة النادرة و تمییزها عن غیرها، فالواجب الرجوع فی مقام الشک إلی أدلّة التجارة </w:t>
      </w:r>
      <w:r>
        <w:rPr>
          <w:rStyle w:val="FootnoteAnchor"/>
          <w:rtl w:val="true"/>
        </w:rPr>
        <w:footnoteReference w:id="611"/>
      </w:r>
      <w:r>
        <w:rPr>
          <w:rFonts w:ascii="IRNazanin" w:hAnsi="IRNazanin" w:eastAsia="IRNazanin"/>
          <w:color w:val="111111"/>
          <w:sz w:val="28"/>
          <w:sz w:val="28"/>
          <w:szCs w:val="28"/>
          <w:rtl w:val="true"/>
          <w:lang w:bidi="fa-IR"/>
        </w:rPr>
        <w:t xml:space="preserve">و نحوها </w:t>
      </w:r>
      <w:r>
        <w:rPr>
          <w:rStyle w:val="FootnoteAnchor"/>
          <w:rtl w:val="true"/>
        </w:rPr>
        <w:footnoteReference w:id="612"/>
      </w:r>
      <w:r>
        <w:rPr>
          <w:rFonts w:ascii="Amiri" w:hAnsi="Amiri" w:eastAsia="Amiri" w:cs="Amiri"/>
          <w:color w:val="111111"/>
          <w:sz w:val="28"/>
          <w:sz w:val="28"/>
          <w:szCs w:val="28"/>
          <w:rtl w:val="true"/>
          <w:lang w:bidi="ar-SA"/>
        </w:rPr>
        <w:t>ممّا ذکرنا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یظهر أنّ الأقوی جواز بیع السباع بناءً علی وقوع التذکیة علیها للانتفاع البیّن بجلودها،و قد نصّ فی الروایة علی بعضها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شحومها و عظامها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لحومها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فالمصرّح به فی التذکرة عدم الجواز معلَّلاً بندور المنفعة المحلّلة المقصودة منه،کإطعام الکلاب المحترمة و جوارح الطیر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أیضاً جواز بیع الهرّة،و هو المنصوص فی غیر واحد من الروایات </w:t>
      </w:r>
      <w:r>
        <w:rPr>
          <w:rStyle w:val="FootnoteAnchor"/>
          <w:rtl w:val="true"/>
        </w:rPr>
        <w:footnoteReference w:id="615"/>
      </w:r>
      <w:r>
        <w:rPr>
          <w:rFonts w:ascii="IRNazanin" w:hAnsi="IRNazanin" w:eastAsia="IRNazanin"/>
          <w:color w:val="111111"/>
          <w:sz w:val="28"/>
          <w:sz w:val="28"/>
          <w:szCs w:val="28"/>
          <w:rtl w:val="true"/>
          <w:lang w:bidi="fa-IR"/>
        </w:rPr>
        <w:t xml:space="preserve">و نسبه فی موضع من التذکرة إلی علمائنا </w:t>
      </w:r>
      <w:r>
        <w:rPr>
          <w:rStyle w:val="FootnoteAnchor"/>
          <w:rtl w:val="true"/>
        </w:rPr>
        <w:footnoteReference w:id="616"/>
      </w:r>
      <w:r>
        <w:rPr>
          <w:rFonts w:ascii="Amiri" w:hAnsi="Amiri" w:eastAsia="Amiri" w:cs="Amiri"/>
          <w:color w:val="111111"/>
          <w:sz w:val="28"/>
          <w:sz w:val="28"/>
          <w:szCs w:val="28"/>
          <w:rtl w:val="true"/>
          <w:lang w:bidi="ar-SA"/>
        </w:rPr>
        <w:t>،بخلاف القرد؛ لأنّ المصلحة المقصودة منه و هو حفظ المتاع 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أنّ عدم المنفعة المعتدّ بها یستند تارة إلی خِسّة الشیء کما ذکر من الأمثلة فی عبارة المبسوط </w:t>
      </w:r>
      <w:r>
        <w:rPr>
          <w:rStyle w:val="FootnoteAnchor"/>
          <w:rtl w:val="true"/>
        </w:rPr>
        <w:footnoteReference w:id="617"/>
      </w:r>
      <w:r>
        <w:rPr>
          <w:rFonts w:ascii="Amiri" w:hAnsi="Amiri" w:eastAsia="Amiri" w:cs="Amiri"/>
          <w:color w:val="111111"/>
          <w:sz w:val="28"/>
          <w:sz w:val="28"/>
          <w:szCs w:val="28"/>
          <w:rtl w:val="true"/>
          <w:lang w:bidi="ar-SA"/>
        </w:rPr>
        <w:t>و أُخری إلی قلّته،کجزءٍ یسیر من المال لا یبذل فی مقابله مال،کحبّةِ 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الأوّل لا یملک،و لا یدخل تحت الید کما عرفت من التذکرة </w:t>
      </w:r>
      <w:r>
        <w:rPr>
          <w:rStyle w:val="FootnoteAnchor"/>
          <w:rtl w:val="true"/>
        </w:rPr>
        <w:footnoteReference w:id="618"/>
      </w:r>
      <w:r>
        <w:rPr>
          <w:rFonts w:ascii="IRNazanin" w:hAnsi="IRNazanin" w:eastAsia="IRNazanin"/>
          <w:color w:val="111111"/>
          <w:sz w:val="28"/>
          <w:sz w:val="28"/>
          <w:szCs w:val="28"/>
          <w:rtl w:val="true"/>
          <w:lang w:bidi="fa-IR"/>
        </w:rPr>
        <w:t>بخلاف الثانی فإنّه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غصبه غاصب کان علیه مثله إن کان مِثلیّاً،خلافاً للتذکرة فلم یوجب شیئاً </w:t>
      </w:r>
      <w:r>
        <w:rPr>
          <w:rStyle w:val="FootnoteAnchor"/>
          <w:rtl w:val="true"/>
        </w:rPr>
        <w:footnoteReference w:id="619"/>
      </w:r>
      <w:r>
        <w:rPr>
          <w:rFonts w:ascii="IRNazanin" w:hAnsi="IRNazanin" w:eastAsia="IRNazanin"/>
          <w:color w:val="111111"/>
          <w:sz w:val="28"/>
          <w:sz w:val="28"/>
          <w:szCs w:val="28"/>
          <w:rtl w:val="true"/>
          <w:lang w:bidi="fa-IR"/>
        </w:rPr>
        <w:t>کغیر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ضعّفه بعضٌ بأنّ اللازم حینئذٍ عدم الغرامة فیما لو غصب صبرة تدریجاً </w:t>
      </w:r>
      <w:r>
        <w:rPr>
          <w:rStyle w:val="FootnoteAnchor"/>
          <w:rtl w:val="true"/>
        </w:rPr>
        <w:footnoteReference w:id="620"/>
      </w:r>
      <w:r>
        <w:rPr>
          <w:rFonts w:ascii="IRNazanin" w:hAnsi="IRNazanin" w:eastAsia="IRNazanin"/>
          <w:color w:val="111111"/>
          <w:sz w:val="28"/>
          <w:sz w:val="28"/>
          <w:szCs w:val="28"/>
          <w:rtl w:val="true"/>
          <w:lang w:bidi="fa-IR"/>
        </w:rPr>
        <w:t>،و یمکن أن یلتزم فیه بما یلتزم فی غیر المِثلی،فافهم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منع حق الاختصاص فی القسم الأول مشکل،مع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 إلیه أحد من المسلمین فهو أحقُّ به</w:t>
      </w:r>
      <w:r>
        <w:rPr>
          <w:rFonts w:eastAsia="IRNazanin" w:cs="IRNazanin"/>
          <w:color w:val="111111"/>
          <w:sz w:val="28"/>
          <w:szCs w:val="28"/>
          <w:rtl w:val="true"/>
          <w:lang w:bidi="fa-IR"/>
        </w:rPr>
        <w:t xml:space="preserve">» </w:t>
      </w:r>
      <w:r>
        <w:rPr>
          <w:rStyle w:val="FootnoteAnchor"/>
          <w:rtl w:val="true"/>
        </w:rPr>
        <w:footnoteReference w:id="621"/>
      </w:r>
      <w:r>
        <w:rPr>
          <w:rFonts w:ascii="Amiri" w:hAnsi="Amiri" w:eastAsia="Amiri" w:cs="Amiri"/>
          <w:color w:val="111111"/>
          <w:sz w:val="28"/>
          <w:sz w:val="28"/>
          <w:szCs w:val="28"/>
          <w:rtl w:val="true"/>
          <w:lang w:bidi="ar-SA"/>
        </w:rPr>
        <w:t>مع عدِّ أخذه قهراً ظلماً عرفاً</w:t>
      </w:r>
      <w:r>
        <w:rPr>
          <w:rFonts w:eastAsia="Amiri" w:cs="Amiri" w:ascii="Amiri" w:hAnsi="Amiri"/>
          <w:color w:val="111111"/>
          <w:sz w:val="28"/>
          <w:szCs w:val="28"/>
          <w:rtl w:val="true"/>
          <w:lang w:bidi="ar-SA"/>
        </w:rPr>
        <w:t>.</w:t>
      </w:r>
      <w:bookmarkStart w:id="189" w:name="pg19762_189413"/>
    </w:p>
    <w:p>
      <w:pPr>
        <w:pStyle w:val="Heading3"/>
        <w:numPr>
          <w:ilvl w:val="2"/>
          <w:numId w:val="1"/>
        </w:numPr>
        <w:rPr/>
      </w:pPr>
      <w:bookmarkStart w:id="190" w:name="__RefHeading___Toc5003578_2314609296"/>
      <w:bookmarkStart w:id="191" w:name="_Toc72"/>
      <w:bookmarkEnd w:id="189"/>
      <w:bookmarkEnd w:id="190"/>
      <w:r>
        <w:rPr>
          <w:rtl w:val="true"/>
        </w:rPr>
        <w:t>النوع الرابع ما یَحرم الاکتساب به لکونه عملاً محرَّماً فی نفسه</w:t>
      </w:r>
      <w:bookmarkEnd w:id="1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5003580_2314609296"/>
      <w:bookmarkStart w:id="193" w:name="_Toc73"/>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و هذا النوع و إن کان أفراده هی جمیع الأعمال المحرَّمة القابلة لمقابلة المال بها فی الإجارة و الجُعالة و غیرهما،إلّا أنّه جرت عادة الأصحاب بذکر کثیرٍ ممّا من شأنه الاکتساب به من المحرّمات،بل و لغیر </w:t>
      </w:r>
      <w:r>
        <w:rPr>
          <w:rStyle w:val="FootnoteAnchor"/>
          <w:rtl w:val="true"/>
        </w:rPr>
        <w:footnoteReference w:id="622"/>
      </w:r>
      <w:r>
        <w:rPr>
          <w:rFonts w:ascii="IRNazanin" w:hAnsi="IRNazanin" w:eastAsia="IRNazanin"/>
          <w:color w:val="111111"/>
          <w:sz w:val="28"/>
          <w:sz w:val="28"/>
          <w:szCs w:val="28"/>
          <w:rtl w:val="true"/>
          <w:lang w:bidi="fa-IR"/>
        </w:rPr>
        <w:t>ذلک مما لم یتعارف الاکتساب به،کالغیبة و الکذب و نحوهما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کان،فنقتفی آثارهم بذکر أکثرها فی مسائل مرتبة بترتیب حروف أوائل عنواناتها،إن شاء اللّه تعالی،فنقول</w:t>
      </w:r>
      <w:r>
        <w:rPr>
          <w:rFonts w:eastAsia="IRNazanin" w:cs="IRNazanin"/>
          <w:color w:val="111111"/>
          <w:sz w:val="28"/>
          <w:szCs w:val="28"/>
          <w:rtl w:val="true"/>
          <w:lang w:bidi="fa-IR"/>
        </w:rPr>
        <w:t>:</w:t>
      </w:r>
      <w:bookmarkStart w:id="194" w:name="pg19762_189415"/>
    </w:p>
    <w:p>
      <w:pPr>
        <w:pStyle w:val="Heading4"/>
        <w:numPr>
          <w:ilvl w:val="3"/>
          <w:numId w:val="1"/>
        </w:numPr>
        <w:rPr/>
      </w:pPr>
      <w:bookmarkStart w:id="195" w:name="__RefHeading___Toc5003582_2314609296"/>
      <w:bookmarkStart w:id="196" w:name="_Toc74"/>
      <w:bookmarkEnd w:id="194"/>
      <w:bookmarkEnd w:id="195"/>
      <w:r>
        <w:rPr>
          <w:rtl w:val="true"/>
        </w:rPr>
        <w:t>المسألة الأُولی تدلیس الماشطة المرأة التی یراد تزویجها أو الأمة التی یراد بیعها</w:t>
      </w:r>
      <w:bookmarkEnd w:id="196"/>
    </w:p>
    <w:p>
      <w:pPr>
        <w:pStyle w:val="BookText"/>
        <w:rPr/>
      </w:pPr>
      <w:r>
        <w:rPr>
          <w:rFonts w:ascii="IRNazanin" w:hAnsi="IRNazanin" w:eastAsia="IRNazanin"/>
          <w:color w:val="111111"/>
          <w:sz w:val="28"/>
          <w:sz w:val="28"/>
          <w:szCs w:val="28"/>
          <w:rtl w:val="true"/>
          <w:lang w:bidi="fa-IR"/>
        </w:rPr>
        <w:t xml:space="preserve">حرام بلا خلافٍ،کما عن الریاض </w:t>
      </w:r>
      <w:r>
        <w:rPr>
          <w:rStyle w:val="FootnoteAnchor"/>
          <w:rtl w:val="true"/>
        </w:rPr>
        <w:footnoteReference w:id="623"/>
      </w:r>
      <w:r>
        <w:rPr>
          <w:rFonts w:ascii="IRNazanin" w:hAnsi="IRNazanin" w:eastAsia="IRNazanin"/>
          <w:color w:val="111111"/>
          <w:sz w:val="28"/>
          <w:sz w:val="28"/>
          <w:szCs w:val="28"/>
          <w:rtl w:val="true"/>
          <w:lang w:bidi="fa-IR"/>
        </w:rPr>
        <w:t>،و عن مجمع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624"/>
      </w:r>
      <w:r>
        <w:rPr>
          <w:rFonts w:ascii="IRNazanin" w:hAnsi="IRNazanin" w:eastAsia="IRNazanin"/>
          <w:color w:val="111111"/>
          <w:sz w:val="28"/>
          <w:sz w:val="28"/>
          <w:szCs w:val="28"/>
          <w:rtl w:val="true"/>
          <w:lang w:bidi="fa-IR"/>
        </w:rPr>
        <w:t xml:space="preserve">، و کذا </w:t>
      </w:r>
      <w:r>
        <w:rPr>
          <w:rStyle w:val="FootnoteAnchor"/>
          <w:rtl w:val="true"/>
        </w:rPr>
        <w:footnoteReference w:id="625"/>
      </w:r>
      <w:r>
        <w:rPr>
          <w:rFonts w:ascii="IRNazanin" w:hAnsi="IRNazanin" w:eastAsia="IRNazanin"/>
          <w:color w:val="111111"/>
          <w:sz w:val="28"/>
          <w:sz w:val="28"/>
          <w:szCs w:val="28"/>
          <w:rtl w:val="true"/>
          <w:lang w:bidi="fa-IR"/>
        </w:rPr>
        <w:t>فعل المرأة ذلک بنفسها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یحصل بوشم الخدود کما فی المقنعة و السرائر و النهایة،و عن جماعة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المواشط حلال إذا لم یغششن و لم یدلّسن فی عملهن،فیصلن شعور النساء بشعور غیرهن من الناس و یشمن الخدود و یستعملن ما لا یجوز فی شریعة الإسلام،فإن وصلن شعرهن بشعر غیر الناس لم یکن بذلک بأس،انتهی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بعینه عبارة</w:t>
      </w:r>
    </w:p>
    <w:p>
      <w:pPr>
        <w:pStyle w:val="BookText"/>
        <w:rPr/>
      </w:pPr>
      <w:r>
        <w:rPr>
          <w:rFonts w:ascii="IRNazanin" w:hAnsi="IRNazanin" w:eastAsia="IRNazanin"/>
          <w:color w:val="111111"/>
          <w:sz w:val="28"/>
          <w:sz w:val="28"/>
          <w:szCs w:val="28"/>
          <w:rtl w:val="true"/>
          <w:lang w:bidi="fa-IR"/>
        </w:rPr>
        <w:t xml:space="preserve">النهایة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السرائر فی عداد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المواشط </w:t>
      </w:r>
      <w:r>
        <w:rPr>
          <w:rStyle w:val="FootnoteAnchor"/>
          <w:rtl w:val="true"/>
        </w:rPr>
        <w:footnoteReference w:id="628"/>
      </w:r>
      <w:r>
        <w:rPr>
          <w:rFonts w:ascii="IRNazanin" w:hAnsi="IRNazanin" w:eastAsia="IRNazanin"/>
          <w:color w:val="111111"/>
          <w:sz w:val="28"/>
          <w:sz w:val="28"/>
          <w:szCs w:val="28"/>
          <w:rtl w:val="true"/>
          <w:lang w:bidi="fa-IR"/>
        </w:rPr>
        <w:t xml:space="preserve">بالتدلیس،بأن یَشِمْنَ الخدود و یحمِّرنها،و ینقشن بالأیدی و الأرجل، و یصلن شعر النساء بشعر غیرهن،و ما جری مجری ذلک </w:t>
      </w:r>
      <w:r>
        <w:rPr>
          <w:rStyle w:val="FootnoteAnchor"/>
          <w:rtl w:val="true"/>
        </w:rPr>
        <w:footnoteReference w:id="6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نحوه عن الدروس </w:t>
      </w:r>
      <w:r>
        <w:rPr>
          <w:rStyle w:val="FootnoteAnchor"/>
          <w:rtl w:val="true"/>
        </w:rPr>
        <w:footnoteReference w:id="630"/>
      </w:r>
      <w:r>
        <w:rPr>
          <w:rFonts w:ascii="IRNazanin" w:hAnsi="IRNazanin" w:eastAsia="IRNazanin"/>
          <w:color w:val="111111"/>
          <w:sz w:val="28"/>
          <w:sz w:val="28"/>
          <w:szCs w:val="28"/>
          <w:rtl w:val="true"/>
          <w:lang w:bidi="fa-IR"/>
        </w:rPr>
        <w:t xml:space="preserve">و حاشیة الإرشاد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عدّ وشم الخدود من جملة التدلیس تأمّل؛لأنّ الوشم فی نفسه 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التأمّل فی التفصیل بین وصل الشعر بشعر الإنسان،و وصله بشعر غیره؛فإنّ ذلک لا مدخل له فی التدلیس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یوجّه الأول بأنّه قد یکون الغرض من الوشم أن یحدث فی البدن نقطة خضراء حتی یتراءی بیاض سائر البدن و صفاؤه أکثر مما کان یری لو لا هذه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یوجّه الثانی بأنّ شعر غیر المرأة لا یلتبس علی الشعر الأصلی للمرأة،فلا یحصل التدلیس به،بخلاف شعر المرأة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کان،یظهر من بعض الأخبار المنع عن الوشم و وصل الشعر</w:t>
      </w:r>
    </w:p>
    <w:p>
      <w:pPr>
        <w:pStyle w:val="BookText"/>
        <w:rPr/>
      </w:pPr>
      <w:r>
        <w:rPr>
          <w:rFonts w:ascii="IRNazanin" w:hAnsi="IRNazanin" w:eastAsia="IRNazanin"/>
          <w:color w:val="111111"/>
          <w:sz w:val="28"/>
          <w:sz w:val="28"/>
          <w:szCs w:val="28"/>
          <w:rtl w:val="true"/>
          <w:lang w:bidi="fa-IR"/>
        </w:rPr>
        <w:t>بشعر الغیر،و ظاهرها المنع و لو فی غیر مقام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مرسلة ابن أبی عمیر،عن رجل،عن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ماشطة علی رسول اللّه صلّی اللّه علیه و آله و سلم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ترکت عملک أو أقمت علیه؟قالت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أعمله إلّا أن تنهانی عنه فأنتهی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افعلی،فإذا مشَّطتِ فلا تجلی الوجه بالخرقة،فإنّها تذهب بماء الوجه،و لا تَصِلی شعر </w:t>
      </w:r>
      <w:r>
        <w:rPr>
          <w:rStyle w:val="FootnoteAnchor"/>
          <w:rtl w:val="true"/>
        </w:rPr>
        <w:footnoteReference w:id="632"/>
      </w:r>
      <w:r>
        <w:rPr>
          <w:rFonts w:ascii="IRNazanin" w:hAnsi="IRNazanin" w:eastAsia="IRNazanin"/>
          <w:color w:val="111111"/>
          <w:sz w:val="28"/>
          <w:sz w:val="28"/>
          <w:szCs w:val="28"/>
          <w:rtl w:val="true"/>
          <w:lang w:bidi="fa-IR"/>
        </w:rPr>
        <w:t>المرأة بشعر امرأة غیرها،و أما شعر المعز فلا بأس بأن یوصل بشعر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بکسب الماشطة إذا لم تشارط و قبلت ما تُعطی،و لا تَصِل شعر المرأة بشعر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شعر المعز فلا بأس بأن یوصل </w:t>
      </w:r>
      <w:r>
        <w:rPr>
          <w:rStyle w:val="FootnoteAnchor"/>
          <w:rtl w:val="true"/>
        </w:rPr>
        <w:footnoteReference w:id="634"/>
      </w:r>
      <w:r>
        <w:rPr>
          <w:rFonts w:ascii="Amiri" w:hAnsi="Amiri" w:eastAsia="Amiri" w:cs="Amiri"/>
          <w:color w:val="111111"/>
          <w:sz w:val="28"/>
          <w:sz w:val="28"/>
          <w:szCs w:val="28"/>
          <w:rtl w:val="true"/>
          <w:lang w:bidi="ar-SA"/>
        </w:rPr>
        <w:t>بشعر المرأة</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معانی الأخبار بسنده عن علیّ بن غراب،عن جعفر بن محمد صلوات اللّه علیهما،قال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النامِصة و المنتمِصة، و الواشِرة و الموتشِرة،و الواصِلة و المستوصِلة،و الواشِمة و المستوشِمة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النامصة التی تنتف الشعر،</w:t>
      </w:r>
    </w:p>
    <w:p>
      <w:pPr>
        <w:pStyle w:val="BookText"/>
        <w:rPr/>
      </w:pPr>
      <w:r>
        <w:rPr>
          <w:rFonts w:ascii="IRNazanin" w:hAnsi="IRNazanin" w:eastAsia="IRNazanin"/>
          <w:color w:val="111111"/>
          <w:sz w:val="28"/>
          <w:sz w:val="28"/>
          <w:szCs w:val="28"/>
          <w:rtl w:val="true"/>
          <w:lang w:bidi="fa-IR"/>
        </w:rPr>
        <w:t>و المنتمِصة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یفعل ذلک بها،و الواشِرة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تشِر أسنان المرأة، و الموتشِرة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یفعل ذلک بها،و الواصِلة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تصِل شعر المرأة بشعر امرأة غیرها،و المستوصِلة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یفعل ذلک بها،و الواشِمة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تشِم فی ید المرأة أو فی شیء من بدنها،و هو أن تغرز بدنها أو ظهر کفّها بإبرة حتی تؤثّر فیه،ثم تحشوها بالکُحْل أو شیء من النورة فتخضرّ، و المستوشِمة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یفعل بها ذلک</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بعض الأخبار کراهة الوصل و لو بشعر غیر المرأة،مثل ما عن عبد اللّه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القَرامِل،قال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القَرامِل؟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 تجعله النساء فی رؤوسهن،قال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صوفاً فلا بأس، و إن کان شعراً فلا خیر فیه من الواصِلة و المستوصِلة</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بعض الأخبار الجواز مطلقاً،ففی روایة سعد الإسکاف،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جعفر عن القرامل التی تضعها النساء فی رؤوسهن یصلن شعورهن،قال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 المرأة بما تزیّنت به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رسول اللّه صلّی اللّه علیه و آله و سلم لعن الواصِلة و المستوصِلة،فقال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هناک،إنّما لعن رسول اللّه صلّی اللّه علیه و آله و سلم الواصِلة التی تزنی فی شبابها فإذا کبرت قادت النساء إلی الرجال،فتلک الواصِلة</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الجمع بین الأخبار بالحکم بکراهة وصل مطلق الشعر کما فی روایة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الکراهة فی الوصل بشعر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الخلاف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أنّه یکره وصل شعرها بشعر غیرها رجلاً کان أو امرأة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عدا الوصل مما ذکر فی روایة معانی الأخبار فیمکن حملها </w:t>
      </w:r>
      <w:r>
        <w:rPr>
          <w:rStyle w:val="FootnoteAnchor"/>
          <w:rtl w:val="true"/>
        </w:rPr>
        <w:footnoteReference w:id="640"/>
      </w:r>
      <w:r>
        <w:rPr>
          <w:rFonts w:ascii="IRNazanin" w:hAnsi="IRNazanin" w:eastAsia="IRNazanin"/>
          <w:color w:val="111111"/>
          <w:sz w:val="28"/>
          <w:sz w:val="28"/>
          <w:szCs w:val="28"/>
          <w:rtl w:val="true"/>
          <w:lang w:bidi="fa-IR"/>
        </w:rPr>
        <w:t>أیضاً علی الکراهة،لثبوت الرخصة من روایة سعد فی مطلق الزینة،خصوصاً مع صرف الإمام للنبویّ الواردة فی الواصلة عن ظاهره،المتّحد سیاقاً مع سائر ما ذکر فی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أولی من تخصیص عموم الرخصة بهذه الأُمور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لا الصرف لکان الواجب إمّا تخصیص الشعر بشعر المرأة، أو تقییده بما إذا کان هو أو أحد </w:t>
      </w:r>
      <w:r>
        <w:rPr>
          <w:rStyle w:val="FootnoteAnchor"/>
          <w:rtl w:val="true"/>
        </w:rPr>
        <w:footnoteReference w:id="641"/>
      </w:r>
      <w:r>
        <w:rPr>
          <w:rFonts w:ascii="IRNazanin" w:hAnsi="IRNazanin" w:eastAsia="IRNazanin"/>
          <w:color w:val="111111"/>
          <w:sz w:val="28"/>
          <w:sz w:val="28"/>
          <w:szCs w:val="28"/>
          <w:rtl w:val="true"/>
          <w:lang w:bidi="fa-IR"/>
        </w:rPr>
        <w:t>أخواته فی مقام التدلیس،فلا دلیل علی تحریمها فی غیر مقام التدلیس کفعل المرأة المزوَّجة ذلک لزوجها خصوصاً بملاحظة ما فی روایة علی بن جعفر عن أخیه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تحفّ الشعر عن وجهها،قال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أیضاً قرینة علی صرف إطلاق لعن النامصة </w:t>
      </w:r>
      <w:r>
        <w:rPr>
          <w:rStyle w:val="FootnoteAnchor"/>
          <w:rtl w:val="true"/>
        </w:rPr>
        <w:footnoteReference w:id="643"/>
      </w:r>
      <w:r>
        <w:rPr>
          <w:rFonts w:ascii="IRNazanin" w:hAnsi="IRNazanin" w:eastAsia="IRNazanin"/>
          <w:color w:val="111111"/>
          <w:sz w:val="28"/>
          <w:sz w:val="28"/>
          <w:szCs w:val="28"/>
          <w:rtl w:val="true"/>
          <w:lang w:bidi="fa-IR"/>
        </w:rPr>
        <w:t>فی النبوی عن ظاهره،بإرادة التدلیس،أو الحمل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یشکل الأمر فی وشم الأطفال،من حیث إنّه إیذاء لهم بغیر مصلحة؛بناءً علی أن لا مصلحة فیه لغیر المرأة المزوّجة إلّا التدلیس بإظهار شدة بیاض البدن و صفائه،بملاحظة النقطة الخضراء الکدرة فی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الإنصاف،أنّ کون ذلک تدلیساً مشکل،بل ممنوع،بل هو تزیین للمرأة من حیث خلط البیاض بالخضرة،فهو تزیین،لا موهِم لما لیس فی البدن واقعاً من البیاض و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نعم،مثل نقش الأیدی و الأرجل بالسواد یمکن أن یکون الغالب فیه إرادة إیهام بیاض البدن و صفائه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الخط الأسود فوق الحاجبین،أو وصل الحاجبین بالسواد لتوهّم طولهما و تقوّسهما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التدلیس بما ذکرنا إنما یحصل بمجرد رغبة الخاطب أو المشتری،و إن علما أنّ هذا البیاض و الصفاء لیس واقعیاً،بل حدث بواسطة هذه الأُمور،فلا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بتدلیس؛لعدم خفاء أثرها علی الناظر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فینبغی أن یعدّ من التدلیس لبس المرأة أو الأمة الثیاب الحُمْر أو الخُضْر الموجبة لظهور بیاض البدن و صفائه،و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المرسلة المتقدّمة عن الفقیه </w:t>
      </w:r>
      <w:r>
        <w:rPr>
          <w:rStyle w:val="FootnoteAnchor"/>
          <w:rtl w:val="true"/>
        </w:rPr>
        <w:footnoteReference w:id="644"/>
      </w:r>
      <w:r>
        <w:rPr>
          <w:rFonts w:ascii="IRNazanin" w:hAnsi="IRNazanin" w:eastAsia="IRNazanin"/>
          <w:color w:val="111111"/>
          <w:sz w:val="28"/>
          <w:sz w:val="28"/>
          <w:szCs w:val="28"/>
          <w:rtl w:val="true"/>
          <w:lang w:bidi="fa-IR"/>
        </w:rPr>
        <w:t xml:space="preserve">دلّت علی کراهة کسب الماشطة مع شرط الأُجرة المعیّنة،و حکی الفتوی به </w:t>
      </w:r>
      <w:r>
        <w:rPr>
          <w:rStyle w:val="FootnoteAnchor"/>
          <w:rtl w:val="true"/>
        </w:rPr>
        <w:footnoteReference w:id="645"/>
      </w:r>
      <w:r>
        <w:rPr>
          <w:rFonts w:ascii="IRNazanin" w:hAnsi="IRNazanin" w:eastAsia="IRNazanin"/>
          <w:color w:val="111111"/>
          <w:sz w:val="28"/>
          <w:sz w:val="28"/>
          <w:szCs w:val="28"/>
          <w:rtl w:val="true"/>
          <w:lang w:bidi="fa-IR"/>
        </w:rPr>
        <w:t xml:space="preserve">عن المقنع و غیره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قبلت ما تعطی</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البناء علی ذلک حین العمل،و إلّا فلا یلحق العمل بعد وقوعه ما یوجب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أولویّة قبول ما یعطی و عدم مطالبة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لأنّ الغالب عدم نقص ما تُعطی عن اجرة مثل العمل،إلّا أنّ مثل الماشطة و الحجّام و الختّان و نحوهم کثیراً ما یتوقّعون أزید ممّا یستحقّون خصوصاً من أُولی المروءة و الثروة و ربما یبادرون إلی هتک العرض إذا منعوا،و لا یُعْطَون ما یتوقّعون من الزیادة أو بعضه إلّا استحیاءً و صیانةً للعرض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یخلو عن شبهة،فأُمروا فی الشریعة بالقناعة بما یعطون و ترک مطالبة الزائد،فلا ینافی ذلک جواز مطالبة الزائد و الامتناع عن قبول ما یُعطی إذا اتفق کونه دون اجرة المثل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لأنّ المشارطة فی مثل هذه الأُمور لا یلیق بشأن کثیر من</w:t>
      </w:r>
    </w:p>
    <w:p>
      <w:pPr>
        <w:pStyle w:val="BookText"/>
        <w:rPr/>
      </w:pPr>
      <w:r>
        <w:rPr>
          <w:rFonts w:ascii="IRNazanin" w:hAnsi="IRNazanin" w:eastAsia="IRNazanin"/>
          <w:color w:val="111111"/>
          <w:sz w:val="28"/>
          <w:sz w:val="28"/>
          <w:szCs w:val="28"/>
          <w:rtl w:val="true"/>
          <w:lang w:bidi="fa-IR"/>
        </w:rPr>
        <w:t>الأشخاص؛لأنّ المماکسة فیها خلاف المروءة،و المسامحة فیها قد لا تکون مصلحة؛لکثرة طمع هذه الأصناف،فأُمروا بترک المشارطة و الإقدام علی العمل بأقل ما یعطی و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مطالبة الزائد مستحبّ للعامل،و إن وجب علی من عُمل له إیفاء تمام ما یستحقّه من اجرة المثل،فهو مکلّف وجوباً بالإیفاء، و العامل مکلف ندباً بالسکوت و ترک المطالبة،خصوصاً علی ما یعتاده هؤلاء من سوء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648"/>
      </w:r>
      <w:r>
        <w:rPr>
          <w:rFonts w:ascii="IRNazanin" w:hAnsi="IRNazanin" w:eastAsia="IRNazanin"/>
          <w:color w:val="111111"/>
          <w:sz w:val="28"/>
          <w:sz w:val="28"/>
          <w:szCs w:val="28"/>
          <w:rtl w:val="true"/>
          <w:lang w:bidi="fa-IR"/>
        </w:rPr>
        <w:t>لأنّ الأولی فی حق العامل قصد التبرع بالعمل،و قبول ما یعطی علی وجه التبرّع أیضاً،فلا ینافی ذلک ما ورد من قوله علیه السلام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تستعملنّ أجیراً حتی تقاطعه</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bookmarkStart w:id="197" w:name="pg19762_189423"/>
    </w:p>
    <w:p>
      <w:pPr>
        <w:pStyle w:val="Heading4"/>
        <w:numPr>
          <w:ilvl w:val="3"/>
          <w:numId w:val="1"/>
        </w:numPr>
        <w:rPr/>
      </w:pPr>
      <w:bookmarkStart w:id="198" w:name="__RefHeading___Toc5003584_2314609296"/>
      <w:bookmarkStart w:id="199" w:name="_Toc75"/>
      <w:bookmarkEnd w:id="197"/>
      <w:bookmarkEnd w:id="198"/>
      <w:r>
        <w:rPr>
          <w:rtl w:val="true"/>
        </w:rPr>
        <w:t>المسألة الثانیة تزیین الرجل بما یحرم علیه من لبس الحریر و الذهب</w:t>
      </w:r>
      <w:bookmarkEnd w:id="199"/>
    </w:p>
    <w:p>
      <w:pPr>
        <w:pStyle w:val="BookText"/>
        <w:rPr/>
      </w:pPr>
      <w:r>
        <w:rPr>
          <w:rFonts w:ascii="IRNazanin" w:hAnsi="IRNazanin" w:eastAsia="IRNazanin"/>
          <w:color w:val="111111"/>
          <w:sz w:val="28"/>
          <w:sz w:val="28"/>
          <w:szCs w:val="28"/>
          <w:rtl w:val="true"/>
          <w:lang w:bidi="fa-IR"/>
        </w:rPr>
        <w:t xml:space="preserve">،حرام؛ لما ثبت فی محلّه من حرمتهما علی الرجال،و ما یختص بالنساء من اللباس کالسوار و الخلخال و الثیاب المختصة بهن فی العادات علی ما ذکره فی المسالک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العکس،أعنی تزیین المرأة بما یختصّ بالرجال کالمِنْطَقَة و 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باختلاف العادات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اعترف غیر واحد بعدم العثور علی دلیلٍ لهذا الحکم </w:t>
      </w:r>
      <w:r>
        <w:rPr>
          <w:rStyle w:val="FootnoteAnchor"/>
          <w:rtl w:val="true"/>
        </w:rPr>
        <w:footnoteReference w:id="651"/>
      </w:r>
      <w:r>
        <w:rPr>
          <w:rFonts w:ascii="IRNazanin" w:hAnsi="IRNazanin" w:eastAsia="IRNazanin"/>
          <w:color w:val="111111"/>
          <w:sz w:val="28"/>
          <w:sz w:val="28"/>
          <w:szCs w:val="28"/>
          <w:rtl w:val="true"/>
          <w:lang w:bidi="fa-IR"/>
        </w:rPr>
        <w:t>عدا النبویّ المشهور،المحکی عن الکافی و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المتشبّهین من</w:t>
      </w:r>
    </w:p>
    <w:p>
      <w:pPr>
        <w:pStyle w:val="BookText"/>
        <w:rPr/>
      </w:pPr>
      <w:r>
        <w:rPr>
          <w:rFonts w:ascii="IRNazanin" w:hAnsi="IRNazanin" w:eastAsia="IRNazanin"/>
          <w:color w:val="111111"/>
          <w:sz w:val="28"/>
          <w:sz w:val="28"/>
          <w:szCs w:val="28"/>
          <w:rtl w:val="true"/>
          <w:lang w:bidi="fa-IR"/>
        </w:rPr>
        <w:t>الرجال بالنساء و المتشبّهات من النساء بالرجال</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دلالته قصور؛لأنّ الظاهر من التشبّه </w:t>
      </w:r>
      <w:r>
        <w:rPr>
          <w:rStyle w:val="FootnoteAnchor"/>
          <w:rtl w:val="true"/>
        </w:rPr>
        <w:footnoteReference w:id="653"/>
      </w:r>
      <w:r>
        <w:rPr>
          <w:rFonts w:ascii="IRNazanin" w:hAnsi="IRNazanin" w:eastAsia="IRNazanin"/>
          <w:color w:val="111111"/>
          <w:sz w:val="28"/>
          <w:sz w:val="28"/>
          <w:szCs w:val="28"/>
          <w:rtl w:val="true"/>
          <w:lang w:bidi="fa-IR"/>
        </w:rPr>
        <w:t>تأنّث الذکر و تذکّر الأُنثی،لا مجرد لبس أحدهما لباس الآخر مع عدم قصد التشبّه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المحکی عن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علیه السلام رأی رجلاً به تأنیث </w:t>
      </w:r>
      <w:r>
        <w:rPr>
          <w:rStyle w:val="FootnoteAnchor"/>
          <w:rtl w:val="true"/>
        </w:rPr>
        <w:footnoteReference w:id="654"/>
      </w:r>
      <w:r>
        <w:rPr>
          <w:rFonts w:ascii="IRNazanin" w:hAnsi="IRNazanin" w:eastAsia="IRNazanin"/>
          <w:color w:val="111111"/>
          <w:sz w:val="28"/>
          <w:sz w:val="28"/>
          <w:szCs w:val="28"/>
          <w:rtl w:val="true"/>
          <w:lang w:bidi="fa-IR"/>
        </w:rPr>
        <w:t>فی مسجد رسول اللّه صلّی اللّه علیه و آله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مسجد رسول اللّه صلّی اللّه علیه و آله و سلم فإنّی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یعقوب بن جعفر الواردة فی 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المتشبّهات بالرجال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خدیجة،عن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المتشبّهین من الرجال بالنساء و المتشبّهات من النساء بالرجال،و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المخنّثون،و اللائی ینکحن بعضهن بعضاً</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w:t>
      </w:r>
      <w:r>
        <w:rPr>
          <w:rStyle w:val="FootnoteAnchor"/>
          <w:rtl w:val="true"/>
        </w:rPr>
        <w:footnoteReference w:id="658"/>
      </w:r>
      <w:r>
        <w:rPr>
          <w:rFonts w:ascii="IRNazanin" w:hAnsi="IRNazanin" w:eastAsia="IRNazanin"/>
          <w:color w:val="111111"/>
          <w:sz w:val="28"/>
          <w:sz w:val="28"/>
          <w:szCs w:val="28"/>
          <w:rtl w:val="true"/>
          <w:lang w:bidi="fa-IR"/>
        </w:rPr>
        <w:t>روایة سماعة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یجرّ ثیابه؟قال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یتشبّه بالنساء</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یزجر الرجل أن یتشبّه بالنساء،و ینهی المرأة أن تتشبّه بالرجال فی لباسها</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فیهما </w:t>
      </w:r>
      <w:r>
        <w:rPr>
          <w:rStyle w:val="FootnoteAnchor"/>
          <w:rtl w:val="true"/>
        </w:rPr>
        <w:footnoteReference w:id="661"/>
      </w:r>
      <w:r>
        <w:rPr>
          <w:rFonts w:ascii="IRNazanin" w:hAnsi="IRNazanin" w:eastAsia="IRNazanin"/>
          <w:color w:val="111111"/>
          <w:sz w:val="28"/>
          <w:sz w:val="28"/>
          <w:szCs w:val="28"/>
          <w:rtl w:val="true"/>
          <w:lang w:bidi="fa-IR"/>
        </w:rPr>
        <w:t>خصوصاً الأُولی بقرینة المورد ظهور فی الکراهة، فالحکم المذکور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الخنثی یجب علیها ترک الزینتین المختصتین بکلٍّ من الرجل و المرأة کما صرّح به جماعة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یحرم علیها لباس مخالفها فی الذکورة و الأُنوثة،و هو مردّد بین اللبسین،فتجتنب عنهما مقدمة</w:t>
      </w:r>
      <w:r>
        <w:rPr>
          <w:rFonts w:eastAsia="IRNazanin" w:cs="IRNazanin"/>
          <w:color w:val="111111"/>
          <w:sz w:val="28"/>
          <w:szCs w:val="28"/>
          <w:rtl w:val="true"/>
          <w:lang w:bidi="fa-IR"/>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لأنّهما له </w:t>
      </w:r>
      <w:r>
        <w:rPr>
          <w:rStyle w:val="FootnoteAnchor"/>
          <w:rtl w:val="true"/>
        </w:rPr>
        <w:footnoteReference w:id="664"/>
      </w:r>
      <w:r>
        <w:rPr>
          <w:rFonts w:ascii="IRNazanin" w:hAnsi="IRNazanin" w:eastAsia="IRNazanin"/>
          <w:color w:val="111111"/>
          <w:sz w:val="28"/>
          <w:sz w:val="28"/>
          <w:szCs w:val="28"/>
          <w:rtl w:val="true"/>
          <w:lang w:bidi="fa-IR"/>
        </w:rPr>
        <w:t>من قبیل المشتبهین المعلوم حرمة أحدهما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بناءً علی کون مدرک الحکم حرمة التشبّه بأنّ الظاهر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علم المتشبّه</w:t>
      </w:r>
      <w:r>
        <w:rPr>
          <w:rFonts w:eastAsia="Amiri" w:cs="Amiri" w:ascii="Amiri" w:hAnsi="Amiri"/>
          <w:color w:val="111111"/>
          <w:sz w:val="28"/>
          <w:szCs w:val="28"/>
          <w:rtl w:val="true"/>
          <w:lang w:bidi="ar-SA"/>
        </w:rPr>
        <w:t>.</w:t>
      </w:r>
      <w:bookmarkStart w:id="200" w:name="pg19762_189427"/>
    </w:p>
    <w:p>
      <w:pPr>
        <w:pStyle w:val="Heading4"/>
        <w:numPr>
          <w:ilvl w:val="3"/>
          <w:numId w:val="1"/>
        </w:numPr>
        <w:rPr/>
      </w:pPr>
      <w:bookmarkStart w:id="201" w:name="__RefHeading___Toc5003586_2314609296"/>
      <w:bookmarkStart w:id="202" w:name="_Toc76"/>
      <w:bookmarkEnd w:id="200"/>
      <w:bookmarkEnd w:id="201"/>
      <w:r>
        <w:rPr>
          <w:rtl w:val="true"/>
        </w:rPr>
        <w:t>المسألة الثالثة التشبیب بالمرأة المعروفة المؤمنة المحترمة</w:t>
      </w:r>
      <w:bookmarkEnd w:id="202"/>
    </w:p>
    <w:p>
      <w:pPr>
        <w:pStyle w:val="BookText"/>
        <w:rPr/>
      </w:pPr>
      <w:r>
        <w:rPr>
          <w:rFonts w:ascii="IRNazanin" w:hAnsi="IRNazanin" w:eastAsia="IRNazanin"/>
          <w:color w:val="111111"/>
          <w:sz w:val="28"/>
          <w:sz w:val="28"/>
          <w:szCs w:val="28"/>
          <w:rtl w:val="true"/>
          <w:lang w:bidi="fa-IR"/>
        </w:rPr>
        <w:t>و هو کما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محاسنها و إظهار شدّة </w:t>
      </w:r>
      <w:r>
        <w:rPr>
          <w:rStyle w:val="FootnoteAnchor"/>
          <w:rtl w:val="true"/>
        </w:rPr>
        <w:footnoteReference w:id="666"/>
      </w:r>
      <w:r>
        <w:rPr>
          <w:rFonts w:ascii="Amiri" w:hAnsi="Amiri" w:eastAsia="Amiri" w:cs="Amiri"/>
          <w:color w:val="111111"/>
          <w:sz w:val="28"/>
          <w:sz w:val="28"/>
          <w:szCs w:val="28"/>
          <w:rtl w:val="true"/>
          <w:lang w:bidi="ar-SA"/>
        </w:rPr>
        <w:t xml:space="preserve">حبِّها بالشعر </w:t>
      </w:r>
      <w:r>
        <w:rPr>
          <w:rStyle w:val="FootnoteAnchor"/>
          <w:rtl w:val="true"/>
        </w:rPr>
        <w:footnoteReference w:id="667"/>
      </w:r>
      <w:r>
        <w:rPr>
          <w:rFonts w:ascii="IRNazanin" w:hAnsi="IRNazanin" w:eastAsia="IRNazanin"/>
          <w:color w:val="111111"/>
          <w:sz w:val="28"/>
          <w:sz w:val="28"/>
          <w:szCs w:val="28"/>
          <w:rtl w:val="true"/>
          <w:lang w:bidi="fa-IR"/>
        </w:rPr>
        <w:t xml:space="preserve">حرام علی ما عن المبسوط </w:t>
      </w:r>
      <w:r>
        <w:rPr>
          <w:rStyle w:val="FootnoteAnchor"/>
          <w:rtl w:val="true"/>
        </w:rPr>
        <w:footnoteReference w:id="668"/>
      </w:r>
      <w:r>
        <w:rPr>
          <w:rFonts w:ascii="IRNazanin" w:hAnsi="IRNazanin" w:eastAsia="IRNazanin"/>
          <w:color w:val="111111"/>
          <w:sz w:val="28"/>
          <w:sz w:val="28"/>
          <w:szCs w:val="28"/>
          <w:rtl w:val="true"/>
          <w:lang w:bidi="fa-IR"/>
        </w:rPr>
        <w:t xml:space="preserve">و جماعة،کالفاضلین </w:t>
      </w:r>
      <w:r>
        <w:rPr>
          <w:rStyle w:val="FootnoteAnchor"/>
          <w:rtl w:val="true"/>
        </w:rPr>
        <w:footnoteReference w:id="669"/>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670"/>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علیه بلزوم تفضیحها،و هتک حرمتها،و إیذائها و إغراء الفسّاق بها،و إدخال النقص علیها و علی أهلها </w:t>
      </w:r>
      <w:r>
        <w:rPr>
          <w:rStyle w:val="FootnoteAnchor"/>
          <w:rtl w:val="true"/>
        </w:rPr>
        <w:footnoteReference w:id="672"/>
      </w:r>
      <w:r>
        <w:rPr>
          <w:rFonts w:ascii="IRNazanin" w:hAnsi="IRNazanin" w:eastAsia="IRNazanin"/>
          <w:color w:val="111111"/>
          <w:sz w:val="28"/>
          <w:sz w:val="28"/>
          <w:szCs w:val="28"/>
          <w:rtl w:val="true"/>
          <w:lang w:bidi="fa-IR"/>
        </w:rPr>
        <w:t>،و لذا لا ترضی النفوس</w:t>
      </w:r>
    </w:p>
    <w:p>
      <w:pPr>
        <w:pStyle w:val="BookText"/>
        <w:rPr/>
      </w:pPr>
      <w:r>
        <w:rPr>
          <w:rFonts w:ascii="IRNazanin" w:hAnsi="IRNazanin" w:eastAsia="IRNazanin"/>
          <w:color w:val="111111"/>
          <w:sz w:val="28"/>
          <w:sz w:val="28"/>
          <w:szCs w:val="28"/>
          <w:rtl w:val="true"/>
          <w:lang w:bidi="fa-IR"/>
        </w:rPr>
        <w:t>الأبیّة ذوات الغیرة و الحمیّة أن یذکر ذاکر عشق بعض بناتهم و أخواتهم، بل البعیدات من قراباتهم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الإنصاف،أنّ هذه الوجوه لا تنهض لإثبات التحریم،مع کونه </w:t>
      </w:r>
      <w:r>
        <w:rPr>
          <w:rStyle w:val="FootnoteAnchor"/>
          <w:rtl w:val="true"/>
        </w:rPr>
        <w:footnoteReference w:id="673"/>
      </w:r>
      <w:r>
        <w:rPr>
          <w:rFonts w:ascii="IRNazanin" w:hAnsi="IRNazanin" w:eastAsia="IRNazanin"/>
          <w:color w:val="111111"/>
          <w:sz w:val="28"/>
          <w:sz w:val="28"/>
          <w:szCs w:val="28"/>
          <w:rtl w:val="true"/>
          <w:lang w:bidi="fa-IR"/>
        </w:rPr>
        <w:t>أخصّ من المدعی؛إذ قد لا یتحقّق شیء من المذکورات فی التشبیب، بل و أعمّ منه من وجه؛فإنّ التشبیب بالزوجة قد یوجب أکثر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یستدلّ علیه بما سیجیء من عمومات حرمة اللهو و الباطل </w:t>
      </w:r>
      <w:r>
        <w:rPr>
          <w:rStyle w:val="FootnoteAnchor"/>
          <w:rtl w:val="true"/>
        </w:rPr>
        <w:footnoteReference w:id="674"/>
      </w:r>
      <w:r>
        <w:rPr>
          <w:rFonts w:ascii="IRNazanin" w:hAnsi="IRNazanin" w:eastAsia="IRNazanin"/>
          <w:color w:val="111111"/>
          <w:sz w:val="28"/>
          <w:sz w:val="28"/>
          <w:szCs w:val="28"/>
          <w:rtl w:val="true"/>
          <w:lang w:bidi="fa-IR"/>
        </w:rPr>
        <w:t xml:space="preserve">،و ما دلّ علی حرمة الفحشاء </w:t>
      </w:r>
      <w:r>
        <w:rPr>
          <w:rStyle w:val="FootnoteAnchor"/>
          <w:rtl w:val="true"/>
        </w:rPr>
        <w:footnoteReference w:id="675"/>
      </w:r>
      <w:r>
        <w:rPr>
          <w:rFonts w:ascii="IRNazanin" w:hAnsi="IRNazanin" w:eastAsia="IRNazanin"/>
          <w:color w:val="111111"/>
          <w:sz w:val="28"/>
          <w:sz w:val="28"/>
          <w:szCs w:val="28"/>
          <w:rtl w:val="true"/>
          <w:lang w:bidi="fa-IR"/>
        </w:rPr>
        <w:t xml:space="preserve">،و منافاته للعفاف المأخوذ فی العدالة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فحوی ما دلّ علی حرمة ما یوجب و لو بعیداً تهییج القوة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بالإیذاء و الاشتهار،و الفاضل الهندی بالإیذاء و إغراء الفسّاق بها،انظر المسالک </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 xml:space="preserve">،و کشف اللثام </w:t>
      </w:r>
      <w:r>
        <w:rPr>
          <w:rFonts w:eastAsia="IRNazanin" w:cs="IRNazanin"/>
          <w:color w:val="111111"/>
          <w:sz w:val="28"/>
          <w:szCs w:val="28"/>
          <w:lang w:bidi="fa-IR"/>
        </w:rPr>
        <w:t>2:373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الشهویة بالنسبة إلی غیر الحلیلة،مثل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 علی المنع عن النظر؛لأنّه سهم من سهام إبلیس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المنع عن الخلوة بالأجنبیة؛لأنّ ثالثهما الشیطان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کراهة جلوس الرجل فی مکان المرأة حتی یبرد المکان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برجحان التستّر عن نساء أهل الذمّة؛لأنّهن یصفن لأزواجهن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التستّر عن الصبی الممیّز الذی یصف ما یری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النهی فی الکتاب العزیز عن أن یخضعن بالقول فیطمع الذی فی قلبه مرض </w:t>
      </w:r>
      <w:r>
        <w:rPr>
          <w:rStyle w:val="FootnoteAnchor"/>
          <w:rtl w:val="true"/>
        </w:rPr>
        <w:footnoteReference w:id="682"/>
      </w:r>
      <w:r>
        <w:rPr>
          <w:rFonts w:ascii="IRNazanin" w:hAnsi="IRNazanin" w:eastAsia="IRNazanin"/>
          <w:color w:val="111111"/>
          <w:sz w:val="28"/>
          <w:sz w:val="28"/>
          <w:szCs w:val="28"/>
          <w:rtl w:val="true"/>
          <w:lang w:bidi="fa-IR"/>
        </w:rPr>
        <w:t xml:space="preserve">،و عن أن یضربن بأرجلهن لیعلم ما یخفین من زینتهن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المحرَّمات و المکروهات التی یعلم منها حرمة ذکر المرأة المعیّنة المحترمة </w:t>
      </w:r>
      <w:r>
        <w:rPr>
          <w:rStyle w:val="FootnoteAnchor"/>
          <w:rtl w:val="true"/>
        </w:rPr>
        <w:footnoteReference w:id="684"/>
      </w:r>
      <w:r>
        <w:rPr>
          <w:rFonts w:ascii="IRNazanin" w:hAnsi="IRNazanin" w:eastAsia="IRNazanin"/>
          <w:color w:val="111111"/>
          <w:sz w:val="28"/>
          <w:sz w:val="28"/>
          <w:szCs w:val="28"/>
          <w:rtl w:val="true"/>
          <w:lang w:bidi="fa-IR"/>
        </w:rPr>
        <w:t>بما یهیّج الشهوة علیها،خصوصاً ذات البعل التی لم یرض الشارع بتعریضها للنکاح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راغب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 بعدم حرمة التشبیب بالمخطوبة قبل العقد بل مطلق من یراد تزویجها لم یکن بعیداً؛لعدم جریان أکثر ما ذکر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غیر صافیة عن الاشتباه 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المحکی عن المبسوط و جماعة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التشبیب بالحلیلة، بزیادة الکراهة عن المبسوط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الکلّ جواز التشبیب بالمرأة المبهمة،بأن یتخیّل امرأة و یتشبّب بها،و أما المعروفة عند القائل دون السامع سواء علم السامع إجمالاً بقصد معینة أم لا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جامع المقاصد کما عن الحواشی </w:t>
      </w:r>
      <w:r>
        <w:rPr>
          <w:rStyle w:val="FootnoteAnchor"/>
          <w:rtl w:val="true"/>
        </w:rPr>
        <w:footnoteReference w:id="687"/>
      </w:r>
      <w:r>
        <w:rPr>
          <w:rFonts w:ascii="IRNazanin" w:hAnsi="IRNazanin" w:eastAsia="IRNazanin"/>
          <w:color w:val="111111"/>
          <w:sz w:val="28"/>
          <w:sz w:val="28"/>
          <w:szCs w:val="28"/>
          <w:rtl w:val="true"/>
          <w:lang w:bidi="fa-IR"/>
        </w:rPr>
        <w:t xml:space="preserve">الحرمة فی الصورة الأُولی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إشکال،من جهة اختلاف الوجوه المتقدمة للتحریم،و کذا إذا لم یکن هنا 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اعتبار الإیمان،فاختاره فی القواعد و التذکرة </w:t>
      </w:r>
      <w:r>
        <w:rPr>
          <w:rStyle w:val="FootnoteAnchor"/>
          <w:rtl w:val="true"/>
        </w:rPr>
        <w:footnoteReference w:id="689"/>
      </w:r>
      <w:r>
        <w:rPr>
          <w:rFonts w:ascii="IRNazanin" w:hAnsi="IRNazanin" w:eastAsia="IRNazanin"/>
          <w:color w:val="111111"/>
          <w:sz w:val="28"/>
          <w:sz w:val="28"/>
          <w:szCs w:val="28"/>
          <w:rtl w:val="true"/>
          <w:lang w:bidi="fa-IR"/>
        </w:rPr>
        <w:t xml:space="preserve">،و تبعه بعض الأساطین </w:t>
      </w:r>
      <w:r>
        <w:rPr>
          <w:rStyle w:val="FootnoteAnchor"/>
          <w:rtl w:val="true"/>
        </w:rPr>
        <w:footnoteReference w:id="690"/>
      </w:r>
      <w:r>
        <w:rPr>
          <w:rFonts w:ascii="IRNazanin" w:hAnsi="IRNazanin" w:eastAsia="IRNazanin"/>
          <w:color w:val="111111"/>
          <w:sz w:val="28"/>
          <w:sz w:val="28"/>
          <w:szCs w:val="28"/>
          <w:rtl w:val="true"/>
          <w:lang w:bidi="fa-IR"/>
        </w:rPr>
        <w:t>لعدم احترام غیر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جامع المقاصد کما عن غیره حرمة التشبیب بنساء أهل الخلاف و أهل الذمة؛لفحوی حرمة النظر إلیهن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نقض بحرمة النظر إلی نساء أهل الحرب،مع أنّه صرّح بجواز التشبیب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مشکلة،من جهة الاشتباه فی مدرک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کان،فإذا شک المستمع فی تحقق شروط الحرمة لم یحرم علیه الاستماع،کما صرّح به فی جامع المقاصد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التشبیب بالغلام،فهو محرَّمٌ علی کلِّ حالٍ کما عن الشهیدین </w:t>
      </w:r>
      <w:r>
        <w:rPr>
          <w:rStyle w:val="FootnoteAnchor"/>
          <w:rtl w:val="true"/>
        </w:rPr>
        <w:footnoteReference w:id="693"/>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694"/>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فحش محض،فیشتمل علی الإغراء بالقبیح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إطلاق الحکم نظراً </w:t>
      </w:r>
      <w:r>
        <w:rPr>
          <w:rStyle w:val="FootnoteAnchor"/>
          <w:rtl w:val="true"/>
        </w:rPr>
        <w:footnoteReference w:id="696"/>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03" w:name="pg19762_189433"/>
    </w:p>
    <w:p>
      <w:pPr>
        <w:pStyle w:val="Heading4"/>
        <w:numPr>
          <w:ilvl w:val="3"/>
          <w:numId w:val="1"/>
        </w:numPr>
        <w:rPr/>
      </w:pPr>
      <w:bookmarkStart w:id="204" w:name="__RefHeading___Toc5003588_2314609296"/>
      <w:bookmarkStart w:id="205" w:name="_Toc77"/>
      <w:bookmarkEnd w:id="203"/>
      <w:bookmarkEnd w:id="204"/>
      <w:r>
        <w:rPr>
          <w:rtl w:val="true"/>
        </w:rPr>
        <w:t>المسألة الرابعة تصویر صور ذوات الأرواح</w:t>
      </w:r>
      <w:bookmarkEnd w:id="205"/>
    </w:p>
    <w:p>
      <w:pPr>
        <w:pStyle w:val="BookText"/>
        <w:rPr/>
      </w:pPr>
      <w:r>
        <w:rPr>
          <w:rFonts w:ascii="Amiri" w:hAnsi="Amiri" w:eastAsia="Amiri" w:cs="Amiri"/>
          <w:color w:val="111111"/>
          <w:sz w:val="28"/>
          <w:sz w:val="28"/>
          <w:szCs w:val="28"/>
          <w:rtl w:val="true"/>
          <w:lang w:bidi="ar-SA"/>
        </w:rPr>
        <w:t>حرام إذا کانت الصورة مجسَّمة بلا خلافٍ فتوًی و نصاً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مع عدم التجسُّم </w:t>
      </w:r>
      <w:r>
        <w:rPr>
          <w:rStyle w:val="FootnoteAnchor"/>
          <w:rtl w:val="true"/>
        </w:rPr>
        <w:footnoteReference w:id="697"/>
      </w:r>
      <w:r>
        <w:rPr>
          <w:rFonts w:ascii="IRNazanin" w:hAnsi="IRNazanin" w:eastAsia="IRNazanin"/>
          <w:color w:val="111111"/>
          <w:sz w:val="28"/>
          <w:sz w:val="28"/>
          <w:szCs w:val="28"/>
          <w:rtl w:val="true"/>
          <w:lang w:bidi="fa-IR"/>
        </w:rPr>
        <w:t xml:space="preserve">،وفاقاً لظاهر النهایة </w:t>
      </w:r>
      <w:r>
        <w:rPr>
          <w:rStyle w:val="FootnoteAnchor"/>
          <w:rtl w:val="true"/>
        </w:rPr>
        <w:footnoteReference w:id="698"/>
      </w:r>
      <w:r>
        <w:rPr>
          <w:rFonts w:ascii="IRNazanin" w:hAnsi="IRNazanin" w:eastAsia="IRNazanin"/>
          <w:color w:val="111111"/>
          <w:sz w:val="28"/>
          <w:sz w:val="28"/>
          <w:szCs w:val="28"/>
          <w:rtl w:val="true"/>
          <w:lang w:bidi="fa-IR"/>
        </w:rPr>
        <w:t xml:space="preserve">و صریح السرائر </w:t>
      </w:r>
      <w:r>
        <w:rPr>
          <w:rStyle w:val="FootnoteAnchor"/>
          <w:rtl w:val="true"/>
        </w:rPr>
        <w:footnoteReference w:id="699"/>
      </w:r>
      <w:r>
        <w:rPr>
          <w:rFonts w:ascii="IRNazanin" w:hAnsi="IRNazanin" w:eastAsia="IRNazanin"/>
          <w:color w:val="111111"/>
          <w:sz w:val="28"/>
          <w:sz w:val="28"/>
          <w:szCs w:val="28"/>
          <w:rtl w:val="true"/>
          <w:lang w:bidi="fa-IR"/>
        </w:rPr>
        <w:t xml:space="preserve">و المحکی عن حواشی الشهید </w:t>
      </w:r>
      <w:r>
        <w:rPr>
          <w:rStyle w:val="FootnoteAnchor"/>
          <w:rtl w:val="true"/>
        </w:rPr>
        <w:footnoteReference w:id="700"/>
      </w:r>
      <w:r>
        <w:rPr>
          <w:rFonts w:ascii="Amiri" w:hAnsi="Amiri" w:eastAsia="Amiri" w:cs="Amiri"/>
          <w:color w:val="111111"/>
          <w:sz w:val="28"/>
          <w:sz w:val="28"/>
          <w:szCs w:val="28"/>
          <w:rtl w:val="true"/>
          <w:lang w:bidi="ar-SA"/>
        </w:rPr>
        <w:t xml:space="preserve">و المیسیّة </w:t>
      </w:r>
      <w:r>
        <w:rPr>
          <w:rStyle w:val="FootnoteAnchor"/>
          <w:rtl w:val="true"/>
        </w:rPr>
        <w:footnoteReference w:id="701"/>
      </w:r>
      <w:r>
        <w:rPr>
          <w:rFonts w:ascii="IRNazanin" w:hAnsi="IRNazanin" w:eastAsia="IRNazanin"/>
          <w:color w:val="111111"/>
          <w:sz w:val="28"/>
          <w:sz w:val="28"/>
          <w:szCs w:val="28"/>
          <w:rtl w:val="true"/>
          <w:lang w:bidi="fa-IR"/>
        </w:rPr>
        <w:t xml:space="preserve">و المسالک </w:t>
      </w:r>
      <w:r>
        <w:rPr>
          <w:rStyle w:val="FootnoteAnchor"/>
          <w:rtl w:val="true"/>
        </w:rPr>
        <w:footnoteReference w:id="702"/>
      </w:r>
      <w:r>
        <w:rPr>
          <w:rFonts w:ascii="IRNazanin" w:hAnsi="IRNazanin" w:eastAsia="IRNazanin"/>
          <w:color w:val="111111"/>
          <w:sz w:val="28"/>
          <w:sz w:val="28"/>
          <w:szCs w:val="28"/>
          <w:rtl w:val="true"/>
          <w:lang w:bidi="fa-IR"/>
        </w:rPr>
        <w:t xml:space="preserve">و إیضاح النافع </w:t>
      </w:r>
      <w:r>
        <w:rPr>
          <w:rStyle w:val="FootnoteAnchor"/>
          <w:rtl w:val="true"/>
        </w:rPr>
        <w:footnoteReference w:id="703"/>
      </w:r>
      <w:r>
        <w:rPr>
          <w:rFonts w:ascii="IRNazanin" w:hAnsi="IRNazanin" w:eastAsia="IRNazanin"/>
          <w:color w:val="111111"/>
          <w:sz w:val="28"/>
          <w:sz w:val="28"/>
          <w:szCs w:val="28"/>
          <w:rtl w:val="true"/>
          <w:lang w:bidi="fa-IR"/>
        </w:rPr>
        <w:t xml:space="preserve">و الکفایة </w:t>
      </w:r>
      <w:r>
        <w:rPr>
          <w:rStyle w:val="FootnoteAnchor"/>
          <w:rtl w:val="true"/>
        </w:rPr>
        <w:footnoteReference w:id="704"/>
      </w:r>
      <w:r>
        <w:rPr>
          <w:rFonts w:ascii="IRNazanin" w:hAnsi="IRNazanin" w:eastAsia="IRNazanin"/>
          <w:color w:val="111111"/>
          <w:sz w:val="28"/>
          <w:sz w:val="28"/>
          <w:szCs w:val="28"/>
          <w:rtl w:val="true"/>
          <w:lang w:bidi="fa-IR"/>
        </w:rPr>
        <w:t xml:space="preserve">و مجمع البرهان </w:t>
      </w:r>
      <w:r>
        <w:rPr>
          <w:rStyle w:val="FootnoteAnchor"/>
          <w:rtl w:val="true"/>
        </w:rPr>
        <w:footnoteReference w:id="705"/>
      </w:r>
      <w:r>
        <w:rPr>
          <w:rFonts w:ascii="IRNazanin" w:hAnsi="IRNazanin" w:eastAsia="IRNazanin"/>
          <w:color w:val="111111"/>
          <w:sz w:val="28"/>
          <w:sz w:val="28"/>
          <w:szCs w:val="28"/>
          <w:rtl w:val="true"/>
          <w:lang w:bidi="fa-IR"/>
        </w:rPr>
        <w:t xml:space="preserve">و غیرهم </w:t>
      </w:r>
      <w:r>
        <w:rPr>
          <w:rStyle w:val="FootnoteAnchor"/>
          <w:rtl w:val="true"/>
        </w:rPr>
        <w:footnoteReference w:id="706"/>
      </w:r>
      <w:r>
        <w:rPr>
          <w:rFonts w:ascii="IRNazanin" w:hAnsi="IRNazanin" w:eastAsia="IRNazanin"/>
          <w:color w:val="111111"/>
          <w:sz w:val="28"/>
          <w:sz w:val="28"/>
          <w:szCs w:val="28"/>
          <w:rtl w:val="true"/>
          <w:lang w:bidi="fa-IR"/>
        </w:rPr>
        <w:t>للروایات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ینقش شیء من الحیوان علی الخاتم</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تزویق البیوت،قلت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تزویق البیوت؟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التماثیل</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المتقدم عن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صنعة صنوف التصاویر ما لم یکن مثال الروحانی</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عدة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صورة کلّفه اللّه یوم القیامة أن ینفخ فیها و لیس بنافخ</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یستظهر اختصاصها بالمجسَّمة،من حیث إنّ نفخ الروح لا یکون إلّا فی الجسم،و إرادة تجسیم </w:t>
      </w:r>
      <w:r>
        <w:rPr>
          <w:rStyle w:val="FootnoteAnchor"/>
          <w:rtl w:val="true"/>
        </w:rPr>
        <w:footnoteReference w:id="711"/>
      </w:r>
      <w:r>
        <w:rPr>
          <w:rFonts w:ascii="IRNazanin" w:hAnsi="IRNazanin" w:eastAsia="IRNazanin"/>
          <w:color w:val="111111"/>
          <w:sz w:val="28"/>
          <w:sz w:val="28"/>
          <w:szCs w:val="28"/>
          <w:rtl w:val="true"/>
          <w:lang w:bidi="fa-IR"/>
        </w:rPr>
        <w:t>النقش مقدمة للنفخ ثم النفخ فیه خلاف الظاهر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النفخ یمکن تصوّره فی النقش بملاحظة محلِّه،بل بدونها کما فی أمر الإمام علیه السلام الأسد المنقوش علی البساط بأخذ الساحر فی مجلس الخلیفة </w:t>
      </w:r>
      <w:r>
        <w:rPr>
          <w:rStyle w:val="FootnoteAnchor"/>
          <w:rtl w:val="true"/>
        </w:rPr>
        <w:footnoteReference w:id="712"/>
      </w:r>
      <w:r>
        <w:rPr>
          <w:rFonts w:ascii="IRNazanin" w:hAnsi="IRNazanin" w:eastAsia="IRNazanin"/>
          <w:color w:val="111111"/>
          <w:sz w:val="28"/>
          <w:sz w:val="28"/>
          <w:szCs w:val="28"/>
          <w:rtl w:val="true"/>
          <w:lang w:bidi="fa-IR"/>
        </w:rPr>
        <w:t>أو بملاحظة لون النقش الذی هو فی الحقیقة أجزاء</w:t>
      </w:r>
    </w:p>
    <w:p>
      <w:pPr>
        <w:pStyle w:val="BookText"/>
        <w:rPr/>
      </w:pPr>
      <w:r>
        <w:rPr>
          <w:rFonts w:ascii="IRNazanin" w:hAnsi="IRNazanin" w:eastAsia="IRNazanin"/>
          <w:color w:val="111111"/>
          <w:sz w:val="28"/>
          <w:sz w:val="28"/>
          <w:szCs w:val="28"/>
          <w:rtl w:val="true"/>
          <w:lang w:bidi="fa-IR"/>
        </w:rPr>
        <w:t>لطیفة من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الحاصل،أنّ مثل هذا لا یعدّ قرینة عرفاً علی تخصیص الصورة </w:t>
      </w:r>
      <w:r>
        <w:rPr>
          <w:rStyle w:val="FootnoteAnchor"/>
          <w:rtl w:val="true"/>
        </w:rPr>
        <w:footnoteReference w:id="713"/>
      </w:r>
      <w:r>
        <w:rPr>
          <w:rFonts w:ascii="Amiri" w:hAnsi="Amiri" w:eastAsia="Amiri" w:cs="Amiri"/>
          <w:color w:val="111111"/>
          <w:sz w:val="28"/>
          <w:sz w:val="28"/>
          <w:szCs w:val="28"/>
          <w:rtl w:val="true"/>
          <w:lang w:bidi="ar-SA"/>
        </w:rPr>
        <w:t xml:space="preserve">بالمجسّم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أظهر من الکلّ،صحیحة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تماثیل الشجر و الشمس و القمر؟قال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ما لم یکن شیئاً </w:t>
      </w:r>
      <w:r>
        <w:rPr>
          <w:rStyle w:val="FootnoteAnchor"/>
          <w:rtl w:val="true"/>
        </w:rPr>
        <w:footnoteReference w:id="715"/>
      </w:r>
      <w:r>
        <w:rPr>
          <w:rFonts w:ascii="IRNazanin" w:hAnsi="IRNazanin" w:eastAsia="IRNazanin"/>
          <w:color w:val="111111"/>
          <w:sz w:val="28"/>
          <w:sz w:val="28"/>
          <w:szCs w:val="28"/>
          <w:rtl w:val="true"/>
          <w:lang w:bidi="fa-IR"/>
        </w:rPr>
        <w:t>من الحیوان</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فإنّ ذکر الشمس و القمر قرینة علی إرادة مجرّد النقش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جدّد قبراً أو مثّل مثالاً فقد خرج عن الإسلام</w:t>
      </w:r>
      <w:r>
        <w:rPr>
          <w:rFonts w:eastAsia="IRNazanin" w:cs="IRNazanin"/>
          <w:color w:val="111111"/>
          <w:sz w:val="28"/>
          <w:szCs w:val="28"/>
          <w:rtl w:val="true"/>
          <w:lang w:bidi="fa-IR"/>
        </w:rPr>
        <w:t xml:space="preserve">»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مترادفان علی ما حکاه کاشف اللثام عن أهل اللغة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الشائع من التصویر و المطلوب منه،هی الصور المنقوشة علی أشکال الرجال و النساء و الطیور و السباع،دون الأجسام المصنوعة علی تلک الأشکال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أنّ الظاهر أنّ الحکمة فی التحریم هی حرمة التشبّه بالخالق فی إبداع الحیوانات و أعضائها علی الإشکال المطبوعة،التی یعجز البشر عن نقشها علی ما هی علیه،فضلاً عن اختراعها؛و لذا منع</w:t>
      </w:r>
    </w:p>
    <w:p>
      <w:pPr>
        <w:pStyle w:val="BookText"/>
        <w:rPr/>
      </w:pPr>
      <w:r>
        <w:rPr>
          <w:rFonts w:ascii="IRNazanin" w:hAnsi="IRNazanin" w:eastAsia="IRNazanin"/>
          <w:color w:val="111111"/>
          <w:sz w:val="28"/>
          <w:sz w:val="28"/>
          <w:szCs w:val="28"/>
          <w:rtl w:val="true"/>
          <w:lang w:bidi="fa-IR"/>
        </w:rPr>
        <w:t xml:space="preserve">بعض الأساطین عن تمکین غیر المکلّف من ذلک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المادة لا دخل لها فی هذه الاختراعات العجیبة، فالتشبّه إنّما یحصل بالنقش و التشکیل،لا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یمکن استظهار اختصاص الحکم بذوات الأرواح،فإنّ صور غیرها کثیراً ما تحصل بفعل الإنسان للدواعی الأُخر غیر قصد التصویر، و لا یحصل به تشبّه بحضرة المبدع تعالی عن التشبیه </w:t>
      </w:r>
      <w:r>
        <w:rPr>
          <w:rStyle w:val="FootnoteAnchor"/>
          <w:rtl w:val="true"/>
        </w:rPr>
        <w:footnoteReference w:id="720"/>
      </w:r>
      <w:r>
        <w:rPr>
          <w:rFonts w:ascii="IRNazanin" w:hAnsi="IRNazanin" w:eastAsia="IRNazanin"/>
          <w:color w:val="111111"/>
          <w:sz w:val="28"/>
          <w:sz w:val="28"/>
          <w:szCs w:val="28"/>
          <w:rtl w:val="true"/>
          <w:lang w:bidi="fa-IR"/>
        </w:rPr>
        <w:t xml:space="preserve">بل کلّ ما یصنعه الإنسان من التصرف فی الأجسام فیقع </w:t>
      </w:r>
      <w:r>
        <w:rPr>
          <w:rStyle w:val="FootnoteAnchor"/>
          <w:rtl w:val="true"/>
        </w:rPr>
        <w:footnoteReference w:id="721"/>
      </w:r>
      <w:r>
        <w:rPr>
          <w:rFonts w:ascii="IRNazanin" w:hAnsi="IRNazanin" w:eastAsia="IRNazanin"/>
          <w:color w:val="111111"/>
          <w:sz w:val="28"/>
          <w:sz w:val="28"/>
          <w:szCs w:val="28"/>
          <w:rtl w:val="true"/>
          <w:lang w:bidi="fa-IR"/>
        </w:rPr>
        <w:t>علی شکل واحد من مخلوقات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کاشف اللثام علی ما حکی عنه فی مسألة کراهة الصلاة فی الثوب المشتمل علی التماثیل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عمّت الکراهة لتماثیل ذی الروح و غیرها کرهت الثیاب ذوات الأعلام،لشبه الأعلام بالأخشاب و القصبات و نحوها،و الثیاب المحشوّة؛لشبه طرائقها المخیطة بها،بل الثیاب قاطبة؛لشبه خیوطها بالأخشاب و نحوها </w:t>
      </w:r>
      <w:r>
        <w:rPr>
          <w:rStyle w:val="FootnoteAnchor"/>
          <w:rtl w:val="true"/>
        </w:rPr>
        <w:footnoteReference w:id="7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ذکره لا یخلو عن نظر کما سیجیء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العمدة فی اختصاص الحکم بذوات الأرواح أصالة الإباحة،مضافاً إلی ما دلّ علی الرخصة،مثل صحیحة ابن مسلم</w:t>
      </w:r>
    </w:p>
    <w:p>
      <w:pPr>
        <w:pStyle w:val="BookText"/>
        <w:rPr/>
      </w:pPr>
      <w:r>
        <w:rPr>
          <w:rFonts w:ascii="Amiri" w:hAnsi="Amiri" w:eastAsia="Amiri" w:cs="Amiri"/>
          <w:color w:val="111111"/>
          <w:sz w:val="28"/>
          <w:sz w:val="28"/>
          <w:szCs w:val="28"/>
          <w:rtl w:val="true"/>
          <w:lang w:bidi="ar-SA"/>
        </w:rPr>
        <w:t xml:space="preserve">السابقة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روایة التحف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w:t>
      </w:r>
      <w:r>
        <w:rPr>
          <w:rStyle w:val="FootnoteAnchor"/>
          <w:rtl w:val="true"/>
        </w:rPr>
        <w:footnoteReference w:id="724"/>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هی تماثیل الرجال و النساء،و لکنّها تماثیل </w:t>
      </w:r>
      <w:r>
        <w:rPr>
          <w:rStyle w:val="FootnoteAnchor"/>
          <w:rtl w:val="true"/>
        </w:rPr>
        <w:footnoteReference w:id="725"/>
      </w:r>
      <w:r>
        <w:rPr>
          <w:rFonts w:ascii="IRNazanin" w:hAnsi="IRNazanin" w:eastAsia="IRNazanin"/>
          <w:color w:val="111111"/>
          <w:sz w:val="28"/>
          <w:sz w:val="28"/>
          <w:szCs w:val="28"/>
          <w:rtl w:val="true"/>
          <w:lang w:bidi="fa-IR"/>
        </w:rPr>
        <w:t>الشجر و شبهه</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الظاهر،شمولها للمجسّم </w:t>
      </w:r>
      <w:r>
        <w:rPr>
          <w:rStyle w:val="FootnoteAnchor"/>
          <w:rtl w:val="true"/>
        </w:rPr>
        <w:footnoteReference w:id="727"/>
      </w:r>
      <w:r>
        <w:rPr>
          <w:rFonts w:ascii="IRNazanin" w:hAnsi="IRNazanin" w:eastAsia="IRNazanin"/>
          <w:color w:val="111111"/>
          <w:sz w:val="28"/>
          <w:sz w:val="28"/>
          <w:szCs w:val="28"/>
          <w:rtl w:val="true"/>
          <w:lang w:bidi="fa-IR"/>
        </w:rPr>
        <w:t>و غیره،فبها یُقیّد بعض ما مرّ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لظاهر جماعة،حیث إنّهم بین من یحکی عنه تعمیمه الحکم لغیر ذی الروح و لو لم یکن مجسّماً </w:t>
      </w:r>
      <w:r>
        <w:rPr>
          <w:rStyle w:val="FootnoteAnchor"/>
          <w:rtl w:val="true"/>
        </w:rPr>
        <w:footnoteReference w:id="728"/>
      </w:r>
      <w:r>
        <w:rPr>
          <w:rFonts w:ascii="IRNazanin" w:hAnsi="IRNazanin" w:eastAsia="IRNazanin"/>
          <w:color w:val="111111"/>
          <w:sz w:val="28"/>
          <w:sz w:val="28"/>
          <w:szCs w:val="28"/>
          <w:rtl w:val="true"/>
          <w:lang w:bidi="fa-IR"/>
        </w:rPr>
        <w:t>لبعض الإطلاقات اللازم تقییدها بما تقدّم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تزویق البیوت</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بین مَن عبّر بالتماثیل المجسّمة </w:t>
      </w:r>
      <w:r>
        <w:rPr>
          <w:rStyle w:val="FootnoteAnchor"/>
          <w:rtl w:val="true"/>
        </w:rPr>
        <w:footnoteReference w:id="731"/>
      </w:r>
      <w:r>
        <w:rPr>
          <w:rFonts w:ascii="IRNazanin" w:hAnsi="IRNazanin" w:eastAsia="IRNazanin"/>
          <w:color w:val="111111"/>
          <w:sz w:val="28"/>
          <w:sz w:val="28"/>
          <w:szCs w:val="28"/>
          <w:rtl w:val="true"/>
          <w:lang w:bidi="fa-IR"/>
        </w:rPr>
        <w:t>بناءً علی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الحیوان کما هو کذلک فخصّ الحکم بالمجسّم؛لأنّ المتیقَّن من المقیِّدات</w:t>
      </w:r>
    </w:p>
    <w:p>
      <w:pPr>
        <w:pStyle w:val="BookText"/>
        <w:rPr/>
      </w:pPr>
      <w:r>
        <w:rPr>
          <w:rFonts w:ascii="IRNazanin" w:hAnsi="IRNazanin" w:eastAsia="IRNazanin"/>
          <w:color w:val="111111"/>
          <w:sz w:val="28"/>
          <w:sz w:val="28"/>
          <w:szCs w:val="28"/>
          <w:rtl w:val="true"/>
          <w:lang w:bidi="fa-IR"/>
        </w:rPr>
        <w:t>للإطلاقات و الظاهر منها بحکم غلبة الاستعمال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النقوش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الظهور لو اعتبر لسقط </w:t>
      </w:r>
      <w:r>
        <w:rPr>
          <w:rStyle w:val="FootnoteAnchor"/>
          <w:rtl w:val="true"/>
        </w:rPr>
        <w:footnoteReference w:id="732"/>
      </w:r>
      <w:r>
        <w:rPr>
          <w:rFonts w:ascii="IRNazanin" w:hAnsi="IRNazanin" w:eastAsia="IRNazanin"/>
          <w:color w:val="111111"/>
          <w:sz w:val="28"/>
          <w:sz w:val="28"/>
          <w:szCs w:val="28"/>
          <w:rtl w:val="true"/>
          <w:lang w:bidi="fa-IR"/>
        </w:rPr>
        <w:t xml:space="preserve">الإطلاقات عن نهوضها لإثبات حرمة المجسّم؛فتعین حملها </w:t>
      </w:r>
      <w:r>
        <w:rPr>
          <w:rStyle w:val="FootnoteAnchor"/>
          <w:rtl w:val="true"/>
        </w:rPr>
        <w:footnoteReference w:id="733"/>
      </w:r>
      <w:r>
        <w:rPr>
          <w:rFonts w:ascii="IRNazanin" w:hAnsi="IRNazanin" w:eastAsia="IRNazanin"/>
          <w:color w:val="111111"/>
          <w:sz w:val="28"/>
          <w:sz w:val="28"/>
          <w:szCs w:val="28"/>
          <w:rtl w:val="true"/>
          <w:lang w:bidi="fa-IR"/>
        </w:rPr>
        <w:t>علی الکراهة،دون التخصیص بالمجسّمة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الإطلاقات المانعة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ظاهراً فی شمول الحکم للمجسّم،کان کذلک فی الأدلّة المرخِّصة لما عدا الحیوان،کروایة تحف العقول و صحیحة ابن مسلم </w:t>
      </w:r>
      <w:r>
        <w:rPr>
          <w:rStyle w:val="FootnoteAnchor"/>
          <w:rtl w:val="true"/>
        </w:rPr>
        <w:footnoteReference w:id="734"/>
      </w:r>
      <w:r>
        <w:rPr>
          <w:rFonts w:ascii="IRNazanin" w:hAnsi="IRNazanin" w:eastAsia="IRNazanin"/>
          <w:color w:val="111111"/>
          <w:sz w:val="28"/>
          <w:sz w:val="28"/>
          <w:szCs w:val="28"/>
          <w:rtl w:val="true"/>
          <w:lang w:bidi="fa-IR"/>
        </w:rPr>
        <w:t xml:space="preserve">و ما فی تفسیر الآیة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فدعوی ظهور الإطلاقات المانعة فی العموم و اختصاص المقیّدات المجوزة بالنقوش تحکّم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عمّمنا الحکم لغیر الحیوان مطلقاً أو مع التجسّم،فالظاهر أنّ المراد به ما کان مخلوقاً للّه سبحانه علی هیئة خاصة معجبة للناظر، علی وجه تمیل النفس إلی مشاهدة صورتها المجردة عن المادة أو معها، فمثل تمثال السیف و الرمح و القصور و الأبنیة و السفن ممّا هو مصنوع للعباد و إن کانت فی هیئة حسنة معجبة خارج،و کذا مثل تمثال القصبات و الأخشاب و الجبال و الشطوط ممّا خلق </w:t>
      </w:r>
      <w:r>
        <w:rPr>
          <w:rStyle w:val="FootnoteAnchor"/>
          <w:rtl w:val="true"/>
        </w:rPr>
        <w:footnoteReference w:id="736"/>
      </w:r>
      <w:r>
        <w:rPr>
          <w:rFonts w:ascii="IRNazanin" w:hAnsi="IRNazanin" w:eastAsia="IRNazanin"/>
          <w:color w:val="111111"/>
          <w:sz w:val="28"/>
          <w:sz w:val="28"/>
          <w:szCs w:val="28"/>
          <w:rtl w:val="true"/>
          <w:lang w:bidi="fa-IR"/>
        </w:rPr>
        <w:t>اللّه لا علی هیئة معجبة للناظر</w:t>
      </w:r>
    </w:p>
    <w:p>
      <w:pPr>
        <w:pStyle w:val="BookText"/>
        <w:rPr/>
      </w:pPr>
      <w:r>
        <w:rPr>
          <w:rFonts w:ascii="IRNazanin" w:hAnsi="IRNazanin" w:eastAsia="IRNazanin"/>
          <w:color w:val="111111"/>
          <w:sz w:val="28"/>
          <w:sz w:val="28"/>
          <w:szCs w:val="28"/>
          <w:rtl w:val="true"/>
          <w:lang w:bidi="fa-IR"/>
        </w:rPr>
        <w:t>بحیث تمیل النفس إلی مشاهدتها،و لو بالصور الحاکیة لها؛لعدم شمول الأدلّة لذلک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قصد الحکایة و التمثیل،فلو دعت الحاجة إلی عمل شیء یکون شبیهاً بشیءٍ من خلق اللّه و لو کان حیواناً من غیر قصد الحکایة،فلا بأس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النظر فی ما تقدم عن کاشف اللثام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المرجع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العرف،فلا یقدح فی الحرمة نقص بعض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ما ورد من رجحان تغییر الصورة بقلع عینها أو کسر رأسها </w:t>
      </w:r>
      <w:r>
        <w:rPr>
          <w:rStyle w:val="FootnoteAnchor"/>
          <w:rtl w:val="true"/>
        </w:rPr>
        <w:footnoteReference w:id="738"/>
      </w:r>
      <w:r>
        <w:rPr>
          <w:rFonts w:ascii="IRNazanin" w:hAnsi="IRNazanin" w:eastAsia="IRNazanin"/>
          <w:color w:val="111111"/>
          <w:sz w:val="28"/>
          <w:sz w:val="28"/>
          <w:szCs w:val="28"/>
          <w:rtl w:val="true"/>
          <w:lang w:bidi="fa-IR"/>
        </w:rPr>
        <w:t>دلالة علی جواز تصویر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صَوّر بعضَ أجزاء الحیوان ففی حرمته نظر،بل منع، و علیه،فلو صَوّر نصفَ الحیوان من رأسه إلی وسطه،فإن قُدّر الباقی موجوداً بأن فرضه إنساناً جالساً لا یتبیّن ما دون وسطه حَرُمَ،و إن قصد النصف لا غیر لم یحرم إلّا مع صدق الحیوان علی هذا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بدا له فی إتمامه حَرُمَ الإتمام،لصدق التصویر بإکمال الصورة، لأنّه إیجاد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اشتغل بتصویر حیوانٍ فَعَلَ حراماً،حتی لو بدا له فی إتمامه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یکون ما فَعَلَ حراماً من حیث التصویر،أو لا یحرم إلّا من حیث التجرّی؟وجهان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لم یقع إلّا بعض مقدمات الحرام بقصد تحققه،</w:t>
      </w:r>
    </w:p>
    <w:p>
      <w:pPr>
        <w:pStyle w:val="BookText"/>
        <w:rPr/>
      </w:pPr>
      <w:r>
        <w:rPr>
          <w:rFonts w:ascii="IRNazanin" w:hAnsi="IRNazanin" w:eastAsia="IRNazanin"/>
          <w:color w:val="111111"/>
          <w:sz w:val="28"/>
          <w:sz w:val="28"/>
          <w:szCs w:val="28"/>
          <w:rtl w:val="true"/>
          <w:lang w:bidi="fa-IR"/>
        </w:rPr>
        <w:t>و من أنّ معنی حرمة الفعل عرفاً لیس إلّا حرمة الاشتغال به عمداً، فلا تراعی الحرمة بإتمام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فعل الواجب المتوقف استحقاق الثواب علی إتمامه و بین الحرام،هو قضاء العرف،فتأمّل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جواز اقتناء ما حرم عمله من الصور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فالمحکی عن شرح الإرشاد للمحقق الأردبیلی أنّ المستفاد من الأخبار الصحیحة و أقوال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حرمة إبقاء الصور،انتهی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قرّره الحاکی علی هذه الاستفادة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ممن اعترف بعدم الدلیل علی الحرمة،المحقق الثانی فی جامع المقاصد مفرّعاً علی ذلک جواز بیع الصور المعمولة،و عدم لحوقها بآلات اللهو و القِمار و أوانی النقدین </w:t>
      </w:r>
      <w:r>
        <w:rPr>
          <w:rStyle w:val="FootnoteAnchor"/>
          <w:rtl w:val="true"/>
        </w:rPr>
        <w:footnoteReference w:id="740"/>
      </w:r>
      <w:r>
        <w:rPr>
          <w:rFonts w:ascii="IRNazanin" w:hAnsi="IRNazanin" w:eastAsia="IRNazanin"/>
          <w:color w:val="111111"/>
          <w:sz w:val="28"/>
          <w:sz w:val="28"/>
          <w:szCs w:val="28"/>
          <w:rtl w:val="true"/>
          <w:lang w:bidi="fa-IR"/>
        </w:rPr>
        <w:t xml:space="preserve">،و صرّح فی حاشیة الإرشاد بجواز النظر إلیها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ظاهر کلام بعض القدماء حرمة بیع التماثیل و ابتیاعها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المقنعة بعد أن ذکر فی ما یحرم الاکتساب به الخمر و صناعتها و بیعها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الأصنام و الصلبان و التماثیل المجسّمة</w:t>
      </w:r>
    </w:p>
    <w:p>
      <w:pPr>
        <w:pStyle w:val="BookText"/>
        <w:rPr/>
      </w:pPr>
      <w:r>
        <w:rPr>
          <w:rFonts w:ascii="IRNazanin" w:hAnsi="IRNazanin" w:eastAsia="IRNazanin"/>
          <w:color w:val="111111"/>
          <w:sz w:val="28"/>
          <w:sz w:val="28"/>
          <w:szCs w:val="28"/>
          <w:rtl w:val="true"/>
          <w:lang w:bidi="fa-IR"/>
        </w:rPr>
        <w:t xml:space="preserve">و الشطْرَنْج و النرد و ما أشبه ذلک حرام،و بیعه و ابتیاعه حرام </w:t>
      </w:r>
      <w:r>
        <w:rPr>
          <w:rStyle w:val="FootnoteAnchor"/>
          <w:rtl w:val="true"/>
        </w:rPr>
        <w:footnoteReference w:id="7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الأصنام و الصلبان و التماثیل المجسّمة و الصور و الشطْرَنْج و النرد و سائر أنواع القِمار حتی لعب الصبیان بالجوز و التجارة فیها و التصرف فیها و التکسب بها محظور </w:t>
      </w:r>
      <w:r>
        <w:rPr>
          <w:rStyle w:val="FootnoteAnchor"/>
          <w:rtl w:val="true"/>
        </w:rPr>
        <w:footnoteReference w:id="7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نحوها ظاهر السرائر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للحرمة مضافاً إلی أنّ الظاهر من تحریم عمل الشیء مبغوضیة وجود المعمول ابتداءً و استدامةً بما تقدم فی صحیحة ابن مسلم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 حیواناً</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بناءً علی أنّ الظاهر من سؤال الراوی عن التماثیل سؤاله عن حکم الفعل المتعارف المتعلّق بها العام البلوی،و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 الإیجاد فهو عمل مختص بالنقّاش،أ لا تری أنّه لو سُئل عن الخمر فأجاب بالحرمة،أو عن العصیر فأجاب بالإباحة،انصرف الذهن إلی شربهما، دون صنعتهما،بل ما نحن فیه أولی بالانصراف؛لأنّ صنعة العصیر و الخمر یقع من کلِّ أحد،بخلاف صنعة التماثیل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w:t>
      </w:r>
      <w:r>
        <w:rPr>
          <w:rStyle w:val="FootnoteAnchor"/>
          <w:rtl w:val="true"/>
        </w:rPr>
        <w:footnoteReference w:id="746"/>
      </w:r>
      <w:r>
        <w:rPr>
          <w:rFonts w:ascii="IRNazanin" w:hAnsi="IRNazanin" w:eastAsia="IRNazanin"/>
          <w:color w:val="111111"/>
          <w:sz w:val="28"/>
          <w:sz w:val="28"/>
          <w:szCs w:val="28"/>
          <w:rtl w:val="true"/>
          <w:lang w:bidi="fa-IR"/>
        </w:rPr>
        <w:t>تقدم من الحصر فی قوله علیه السلام فی روایة تحف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یجیء منها الفساد محضاً،و لا یکون منه و فیه شیء من وجوه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جمیع التقلّب فیه</w:t>
      </w:r>
      <w:r>
        <w:rPr>
          <w:rFonts w:eastAsia="IRNazanin" w:cs="IRNazanin"/>
          <w:color w:val="111111"/>
          <w:sz w:val="28"/>
          <w:szCs w:val="28"/>
          <w:rtl w:val="true"/>
          <w:lang w:bidi="fa-IR"/>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،فإنّ ظاهره أنّ کلَّ ما یحرم صنعته و منها </w:t>
      </w:r>
      <w:r>
        <w:rPr>
          <w:rStyle w:val="FootnoteAnchor"/>
          <w:rtl w:val="true"/>
        </w:rPr>
        <w:footnoteReference w:id="748"/>
      </w:r>
      <w:r>
        <w:rPr>
          <w:rFonts w:ascii="IRNazanin" w:hAnsi="IRNazanin" w:eastAsia="IRNazanin"/>
          <w:color w:val="111111"/>
          <w:sz w:val="28"/>
          <w:sz w:val="28"/>
          <w:szCs w:val="28"/>
          <w:rtl w:val="true"/>
          <w:lang w:bidi="fa-IR"/>
        </w:rPr>
        <w:t xml:space="preserve">التصاویر یجیء منها </w:t>
      </w:r>
      <w:r>
        <w:rPr>
          <w:rStyle w:val="FootnoteAnchor"/>
          <w:rtl w:val="true"/>
        </w:rPr>
        <w:footnoteReference w:id="749"/>
      </w:r>
      <w:r>
        <w:rPr>
          <w:rFonts w:ascii="IRNazanin" w:hAnsi="IRNazanin" w:eastAsia="IRNazanin"/>
          <w:color w:val="111111"/>
          <w:sz w:val="28"/>
          <w:sz w:val="28"/>
          <w:szCs w:val="28"/>
          <w:rtl w:val="true"/>
          <w:lang w:bidi="fa-IR"/>
        </w:rPr>
        <w:t>الفساد محضاً،فیحرم جمیع التقلب فیه بمقتضی ما ذکر فی الروایة بعد 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صورة إلّا محوتها و لا کلباً إلّا قتلته</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بناءً علی إرادة الکلب الهراش المؤذی،الذی یحرم اقتناؤه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قرب الإسناد بسنده عن علی بن جعفر علیه السلام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التماثیل هل یصلح أن یلعب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ورد فی إنکار أنّ المعمول لسلیمان علی نبیّنا و آله و علیه السلام هی تماثیل الرجال و النساء </w:t>
      </w:r>
      <w:r>
        <w:rPr>
          <w:rStyle w:val="FootnoteAnchor"/>
          <w:rtl w:val="true"/>
        </w:rPr>
        <w:footnoteReference w:id="752"/>
      </w:r>
      <w:r>
        <w:rPr>
          <w:rFonts w:ascii="IRNazanin" w:hAnsi="IRNazanin" w:eastAsia="IRNazanin"/>
          <w:color w:val="111111"/>
          <w:sz w:val="28"/>
          <w:sz w:val="28"/>
          <w:szCs w:val="28"/>
          <w:rtl w:val="true"/>
          <w:lang w:bidi="fa-IR"/>
        </w:rPr>
        <w:t xml:space="preserve">فإنّ الإنکار إنّما یرجع إلی مشیئة </w:t>
      </w:r>
      <w:r>
        <w:rPr>
          <w:rStyle w:val="FootnoteAnchor"/>
          <w:rtl w:val="true"/>
        </w:rPr>
        <w:footnoteReference w:id="753"/>
      </w:r>
      <w:r>
        <w:rPr>
          <w:rFonts w:ascii="IRNazanin" w:hAnsi="IRNazanin" w:eastAsia="IRNazanin"/>
          <w:color w:val="111111"/>
          <w:sz w:val="28"/>
          <w:sz w:val="28"/>
          <w:szCs w:val="28"/>
          <w:rtl w:val="true"/>
          <w:lang w:bidi="fa-IR"/>
        </w:rPr>
        <w:t>سلیمان للمعمول</w:t>
      </w:r>
    </w:p>
    <w:p>
      <w:pPr>
        <w:pStyle w:val="BookText"/>
        <w:rPr/>
      </w:pPr>
      <w:r>
        <w:rPr>
          <w:rFonts w:ascii="IRNazanin" w:hAnsi="IRNazanin" w:eastAsia="IRNazanin"/>
          <w:color w:val="111111"/>
          <w:sz w:val="28"/>
          <w:sz w:val="28"/>
          <w:szCs w:val="28"/>
          <w:rtl w:val="true"/>
          <w:lang w:bidi="fa-IR"/>
        </w:rPr>
        <w:t xml:space="preserve">کما هو ظاهر الآیة </w:t>
      </w:r>
      <w:r>
        <w:rPr>
          <w:rStyle w:val="FootnoteAnchor"/>
          <w:rtl w:val="true"/>
        </w:rPr>
        <w:footnoteReference w:id="754"/>
      </w:r>
      <w:r>
        <w:rPr>
          <w:rFonts w:ascii="IRNazanin" w:hAnsi="IRNazanin" w:eastAsia="IRNazanin"/>
          <w:color w:val="111111"/>
          <w:sz w:val="28"/>
          <w:sz w:val="28"/>
          <w:szCs w:val="28"/>
          <w:rtl w:val="true"/>
          <w:lang w:bidi="fa-IR"/>
        </w:rPr>
        <w:t>دون أصل العمل،فدلّ علی کون مشیئة وجود التمثال من المنکرات التی لا تلیق بمنصب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بمفهوم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یکون التماثیل فی البیوت إذا غُیّرت رؤوسها و تُرک ما سوی ذلک</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المثنّی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علیه السلام یکره </w:t>
      </w:r>
      <w:r>
        <w:rPr>
          <w:rStyle w:val="FootnoteAnchor"/>
          <w:rtl w:val="true"/>
        </w:rPr>
        <w:footnoteReference w:id="756"/>
      </w:r>
      <w:r>
        <w:rPr>
          <w:rFonts w:ascii="IRNazanin" w:hAnsi="IRNazanin" w:eastAsia="IRNazanin"/>
          <w:color w:val="111111"/>
          <w:sz w:val="28"/>
          <w:sz w:val="28"/>
          <w:szCs w:val="28"/>
          <w:rtl w:val="true"/>
          <w:lang w:bidi="fa-IR"/>
        </w:rPr>
        <w:t>الصور فی البیوت</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بضمیمة ما ورد فی روایة أُخری مرویّة فی باب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لم یکن یکره الحلال</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الحلبی المحکیّة عن مکارم الأخلاق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أُهدیت إلیَّ طنفسة من الشام فیها تماثیل طائر، فأمرت به فغُیّر رأسُه فجُعل کهیئة الشجر</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فی الجمیع نظر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الأول،فلأنّ الممنوع هو إیجاد الصورة،و لیس وجودها مبغوضاً حتی یجب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یفهم الملازمة من سیاق الدلیل أو من خارج،کما أنّ حرمة إیجاد النجاسة فی المسجد یستلزم مبغوضیة وجودها فیه،المستلزم لوجوب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الروایات،فالصحیحة الأُولی </w:t>
      </w:r>
      <w:r>
        <w:rPr>
          <w:rStyle w:val="FootnoteAnchor"/>
          <w:rtl w:val="true"/>
        </w:rPr>
        <w:footnoteReference w:id="760"/>
      </w:r>
      <w:r>
        <w:rPr>
          <w:rFonts w:ascii="IRNazanin" w:hAnsi="IRNazanin" w:eastAsia="IRNazanin"/>
          <w:color w:val="111111"/>
          <w:sz w:val="28"/>
          <w:sz w:val="28"/>
          <w:szCs w:val="28"/>
          <w:rtl w:val="true"/>
          <w:lang w:bidi="fa-IR"/>
        </w:rPr>
        <w:t>غیر ظاهرة فی السؤال عن الاقتناء؛لأنّ عمل الصور ممّا هو مرکوز فی الأذهان،حتی أنّ السؤال عن حکم اقتنائها بعد معرفة حرمة عملها؛إذ لا یحتمل حرمة اقتناء ما لا یحرم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الحصر فی روایة تحف العقول،فهو بقرینة الفقرة السابقة منها،الواردة فی تقسیم الصناعات إلی ما یترتب علیه الحلال و الحرام، و ما لا یترتب علیه إلّا الحرام إضافیٌّ بالنسبة إلی هذین القسمین،یعنی لم یحرم من القسمین إلّا ما ینحصر فائدته فی الحرام و لا یترتب علیه إلّا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الحصر وارد فی مساق التعلیل و إعطاء الضابطة للفرق بین الصنائع،لا لبیان حرمة خصوص القسم المذکور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النبوی،فسیاقه ظاهر فی الکراهة،کما یدلّ علیه عموم الأمر بقتل الکلاب،و قوله علیه السلام فی بعض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قبراً إلّا سوّیته</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روایة علی بن جعفر،فلا تدلّ إلّا علی کراهة اللعب بالصورة، و لا نمنعها،بل و لا الحرمة إذا کان اللعب علی وجه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تفسیر الآیة،فظاهره رجوع الإنکار إلی مشیئة سلیمان علی نبیّنا و آله و علیه السلام لعملهم،بمعنی إذنه فیه،أو إلی تقریره لهم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الصحیحة </w:t>
      </w:r>
      <w:r>
        <w:rPr>
          <w:rStyle w:val="FootnoteAnchor"/>
          <w:rtl w:val="true"/>
        </w:rPr>
        <w:footnoteReference w:id="762"/>
      </w:r>
      <w:r>
        <w:rPr>
          <w:rFonts w:ascii="IRNazanin" w:hAnsi="IRNazanin" w:eastAsia="IRNazanin"/>
          <w:color w:val="111111"/>
          <w:sz w:val="28"/>
          <w:sz w:val="28"/>
          <w:szCs w:val="28"/>
          <w:rtl w:val="true"/>
          <w:lang w:bidi="fa-IR"/>
        </w:rPr>
        <w:t>،فالبأس فیها محمول علی الکراهة لأجل الصلاة أو مطلقاً،مع دلالته علی جواز الاقتناء،و عدم وجوب المحو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لم یکن یکره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 علی المباح المتساوی طرفاه؛لأنّه صلوات اللّه علیه کان یکره المکروه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الحلبی،فلا دلالة لها علی الوجوب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الظهور فی الجمیع،فهی معارضة بما هو أظهر و أکثر،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قمت أُصلّی و بین یدیَّ الوسادة فیها تماثیل طیر فجعلت علیها ثوباً</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علی بن جعفر عن أخیه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الخاتم یکون فیه نقش تماثیل طیر أو سَبُع،أ یصلی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عنه،عن أخیه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البیت فیه صورة سمکة أو طیر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یعبث به أهل البیت،هل یصلّی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یُقطع رأسه و یفسد</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الوسادة و البساط یکون فیه التماثیل،قال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یکون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التماثیل </w:t>
      </w:r>
      <w:r>
        <w:rPr>
          <w:rStyle w:val="FootnoteAnchor"/>
          <w:rtl w:val="true"/>
        </w:rPr>
        <w:footnoteReference w:id="7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یوطأ فلا بأس به</w:t>
      </w:r>
      <w:r>
        <w:rPr>
          <w:rFonts w:eastAsia="IRNazanin" w:cs="IRNazanin"/>
          <w:color w:val="111111"/>
          <w:sz w:val="28"/>
          <w:szCs w:val="28"/>
          <w:rtl w:val="true"/>
          <w:lang w:bidi="fa-IR"/>
        </w:rPr>
        <w:t xml:space="preserve">»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السؤال مع عموم الجواب یأبی عن تقیید الحکم بما یجوز عمله،کما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أُخری لأبی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نبسط عندنا الوسائد فیها التماثیل و نفترشها </w:t>
      </w:r>
      <w:r>
        <w:rPr>
          <w:rStyle w:val="FootnoteAnchor"/>
          <w:rtl w:val="true"/>
        </w:rPr>
        <w:footnoteReference w:id="7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منها بما یبسط و یفترش و یوطأ،و إنّما یکره منها ما نصب علی الحائط و علی السریر</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قرب الإسناد،عن علی بن جعفر،عن أخیه علیه السلام،قال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فی بیته تماثیل أو فی ستر و لم یعلم بها و هو یصلی فی ذلک البیت،ثم علم،ما علیه؟قال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w:t>
      </w:r>
    </w:p>
    <w:p>
      <w:pPr>
        <w:pStyle w:val="BookText"/>
        <w:rPr/>
      </w:pPr>
      <w:r>
        <w:rPr>
          <w:rFonts w:ascii="IRNazanin" w:hAnsi="IRNazanin" w:eastAsia="IRNazanin"/>
          <w:color w:val="111111"/>
          <w:sz w:val="28"/>
          <w:sz w:val="28"/>
          <w:szCs w:val="28"/>
          <w:rtl w:val="true"/>
          <w:lang w:bidi="fa-IR"/>
        </w:rPr>
        <w:t>فیما لم یعلم شیء،فإذا علم فلینزع الستر،و لیکسر رؤوس التماثیل</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بالکسر،لأجل کون البیت ممّا یُصلّی فیه؛ و لذلک لم یأمر علیه السلام بتغییر ما علی الستر و اکتفی بنزعه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 ثبوت البأس فی صحیحة زرارة السابقة </w:t>
      </w:r>
      <w:r>
        <w:rPr>
          <w:rStyle w:val="FootnoteAnchor"/>
          <w:rtl w:val="true"/>
        </w:rPr>
        <w:footnoteReference w:id="771"/>
      </w:r>
      <w:r>
        <w:rPr>
          <w:rFonts w:ascii="IRNazanin" w:hAnsi="IRNazanin" w:eastAsia="IRNazanin"/>
          <w:color w:val="111111"/>
          <w:sz w:val="28"/>
          <w:sz w:val="28"/>
          <w:szCs w:val="28"/>
          <w:rtl w:val="true"/>
          <w:lang w:bidi="fa-IR"/>
        </w:rPr>
        <w:t>مع عدم تغییر الرؤوس إنّما هو لأجل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کان،فالمستفاد من جمیع ما ورد من الأخبار الکثیرة فی کراهة الصلاة فی البیت الذی فیه التماثیل إلّا </w:t>
      </w:r>
      <w:r>
        <w:rPr>
          <w:rStyle w:val="FootnoteAnchor"/>
          <w:rtl w:val="true"/>
        </w:rPr>
        <w:footnoteReference w:id="772"/>
      </w:r>
      <w:r>
        <w:rPr>
          <w:rFonts w:ascii="IRNazanin" w:hAnsi="IRNazanin" w:eastAsia="IRNazanin"/>
          <w:color w:val="111111"/>
          <w:sz w:val="28"/>
          <w:sz w:val="28"/>
          <w:szCs w:val="28"/>
          <w:rtl w:val="true"/>
          <w:lang w:bidi="fa-IR"/>
        </w:rPr>
        <w:t xml:space="preserve">إذا غیرت،أو کانت بعین واحدة،أو القی علیها ثوب </w:t>
      </w:r>
      <w:r>
        <w:rPr>
          <w:rStyle w:val="FootnoteAnchor"/>
          <w:rtl w:val="true"/>
        </w:rPr>
        <w:footnoteReference w:id="773"/>
      </w:r>
      <w:r>
        <w:rPr>
          <w:rFonts w:ascii="IRNazanin" w:hAnsi="IRNazanin" w:eastAsia="IRNazanin"/>
          <w:color w:val="111111"/>
          <w:sz w:val="28"/>
          <w:sz w:val="28"/>
          <w:szCs w:val="28"/>
          <w:rtl w:val="true"/>
          <w:lang w:bidi="fa-IR"/>
        </w:rPr>
        <w:t>جواز اتّخاذها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عمومها یشمل المجسّمة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اقتناء الصور و التماثیل فی البیت و اقتناء الکلب و الإناء المجتمع فیه البول فی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روی عنهم علیهم السلام مستفیضاً عن جبرئیل علیٰ نبیّنا و آله و 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ندخل بیتاً فیه صورة إنسان،و لا بیتاً یبال فیه،و لا بیتاً فیه کلب</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الأخبار إضافة الجنب إلیها </w:t>
      </w:r>
      <w:r>
        <w:rPr>
          <w:rStyle w:val="FootnoteAnchor"/>
          <w:rtl w:val="true"/>
        </w:rPr>
        <w:footnoteReference w:id="775"/>
      </w:r>
      <w:r>
        <w:rPr>
          <w:rFonts w:ascii="IRNazanin" w:hAnsi="IRNazanin" w:eastAsia="IRNazanin"/>
          <w:color w:val="111111"/>
          <w:sz w:val="28"/>
          <w:sz w:val="28"/>
          <w:szCs w:val="28"/>
          <w:rtl w:val="true"/>
          <w:lang w:bidi="fa-IR"/>
        </w:rPr>
        <w:t>،و اللّه العالم بأحکامه</w:t>
      </w:r>
      <w:r>
        <w:rPr>
          <w:rFonts w:eastAsia="IRNazanin" w:cs="IRNazanin"/>
          <w:color w:val="111111"/>
          <w:sz w:val="28"/>
          <w:szCs w:val="28"/>
          <w:rtl w:val="true"/>
          <w:lang w:bidi="fa-IR"/>
        </w:rPr>
        <w:t>.</w:t>
      </w:r>
      <w:bookmarkStart w:id="206" w:name="pg19762_189449"/>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5003590_2314609296"/>
      <w:bookmarkStart w:id="208" w:name="_Toc78"/>
      <w:bookmarkEnd w:id="207"/>
      <w:r>
        <w:rPr>
          <w:rtl w:val="true"/>
        </w:rPr>
        <w:t>المسألة</w:t>
      </w:r>
      <w:r>
        <w:rPr>
          <w:rtl w:val="true"/>
        </w:rPr>
        <w:t>]</w:t>
      </w:r>
      <w:r>
        <w:rPr>
          <w:rtl w:val="true"/>
        </w:rPr>
        <w:t>الخامسة التطفیف</w:t>
      </w:r>
      <w:bookmarkEnd w:id="208"/>
    </w:p>
    <w:p>
      <w:pPr>
        <w:pStyle w:val="BookText"/>
        <w:rPr/>
      </w:pPr>
      <w:r>
        <w:rPr>
          <w:rFonts w:ascii="IRNazanin" w:hAnsi="IRNazanin" w:eastAsia="IRNazanin"/>
          <w:color w:val="111111"/>
          <w:sz w:val="28"/>
          <w:sz w:val="28"/>
          <w:szCs w:val="28"/>
          <w:rtl w:val="true"/>
          <w:lang w:bidi="fa-IR"/>
        </w:rPr>
        <w:t xml:space="preserve">حرام،ذکره فی القواعد فی المکاسب </w:t>
      </w:r>
      <w:r>
        <w:rPr>
          <w:rStyle w:val="FootnoteAnchor"/>
          <w:rtl w:val="true"/>
        </w:rPr>
        <w:footnoteReference w:id="776"/>
      </w:r>
      <w:r>
        <w:rPr>
          <w:rFonts w:ascii="IRNazanin" w:hAnsi="IRNazanin" w:eastAsia="IRNazanin"/>
          <w:color w:val="111111"/>
          <w:sz w:val="28"/>
          <w:sz w:val="28"/>
          <w:szCs w:val="28"/>
          <w:rtl w:val="true"/>
          <w:lang w:bidi="fa-IR"/>
        </w:rPr>
        <w:t>،و لعله استطراد، أو المراد اتخاذه کسباً،بأن ینصب نفسه کیّالاً أو وزّاناً،فیطفّف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إشکال فی حرمته،و یدلُّ علیه </w:t>
      </w:r>
      <w:r>
        <w:rPr>
          <w:rStyle w:val="FootnoteAnchor"/>
          <w:rtl w:val="true"/>
        </w:rPr>
        <w:footnoteReference w:id="777"/>
      </w:r>
      <w:r>
        <w:rPr>
          <w:rFonts w:ascii="Amiri" w:hAnsi="Amiri" w:eastAsia="Amiri" w:cs="Amiri"/>
          <w:color w:val="111111"/>
          <w:sz w:val="28"/>
          <w:sz w:val="28"/>
          <w:szCs w:val="28"/>
          <w:rtl w:val="true"/>
          <w:lang w:bidi="ar-SA"/>
        </w:rPr>
        <w:t>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البخس فی العدّ و الذرع یلحق به حکماً،و إن خرج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وازن الربوی بجنسه فطفّف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جرت المعاوضة علی الوزن المعلوم الکلّی،فیدفع الموزون علی أنّه بذلک الوزن،اشتغلت ذمته بما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جرت علی الموزون المعین باعتقاد المشتری أنّه بذلک الوزن، فسدت المعاوضة فی الجمیع؛للزوم الربا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جرت علیه علی أنّه بذلک الوزن،بجعل </w:t>
      </w:r>
      <w:r>
        <w:rPr>
          <w:rStyle w:val="FootnoteAnchor"/>
          <w:rtl w:val="true"/>
        </w:rPr>
        <w:footnoteReference w:id="778"/>
      </w:r>
      <w:r>
        <w:rPr>
          <w:rFonts w:ascii="IRNazanin" w:hAnsi="IRNazanin" w:eastAsia="IRNazanin"/>
          <w:color w:val="111111"/>
          <w:sz w:val="28"/>
          <w:sz w:val="28"/>
          <w:szCs w:val="28"/>
          <w:rtl w:val="true"/>
          <w:lang w:bidi="fa-IR"/>
        </w:rPr>
        <w:t>ذلک عنواناً للعوض</w:t>
      </w:r>
    </w:p>
    <w:p>
      <w:pPr>
        <w:pStyle w:val="BookText"/>
        <w:rPr/>
      </w:pPr>
      <w:r>
        <w:rPr>
          <w:rFonts w:ascii="IRNazanin" w:hAnsi="IRNazanin" w:eastAsia="IRNazanin"/>
          <w:color w:val="111111"/>
          <w:sz w:val="28"/>
          <w:sz w:val="28"/>
          <w:szCs w:val="28"/>
          <w:rtl w:val="true"/>
          <w:lang w:bidi="fa-IR"/>
        </w:rPr>
        <w:t>فحصل الاختلاف بین العنوان و المشار إلیه،لم یبعد الصحة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ابتناؤه علی أنّ لاشتراط المقدار مع تخلّفه قسطاً من العوض أم لا؟فعلی الأوّل یصح،دون الثانی</w:t>
      </w:r>
      <w:r>
        <w:rPr>
          <w:rFonts w:eastAsia="IRNazanin" w:cs="IRNazanin"/>
          <w:color w:val="111111"/>
          <w:sz w:val="28"/>
          <w:szCs w:val="28"/>
          <w:rtl w:val="true"/>
          <w:lang w:bidi="fa-IR"/>
        </w:rPr>
        <w:t>.</w:t>
      </w:r>
      <w:bookmarkStart w:id="209" w:name="pg19762_189451"/>
    </w:p>
    <w:p>
      <w:pPr>
        <w:pStyle w:val="BookText"/>
        <w:rPr/>
      </w:pPr>
      <w:bookmarkEnd w:id="20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5003592_2314609296"/>
      <w:bookmarkStart w:id="211" w:name="_Toc79"/>
      <w:bookmarkEnd w:id="210"/>
      <w:r>
        <w:rPr>
          <w:rtl w:val="true"/>
        </w:rPr>
        <w:t>المسألة</w:t>
      </w:r>
      <w:r>
        <w:rPr>
          <w:rtl w:val="true"/>
        </w:rPr>
        <w:t>]</w:t>
      </w:r>
      <w:r>
        <w:rPr>
          <w:rtl w:val="true"/>
        </w:rPr>
        <w:t>السادسة التنجیم</w:t>
      </w:r>
      <w:bookmarkEnd w:id="211"/>
    </w:p>
    <w:p>
      <w:pPr>
        <w:pStyle w:val="Heading5"/>
        <w:numPr>
          <w:ilvl w:val="4"/>
          <w:numId w:val="1"/>
        </w:numPr>
        <w:rPr/>
      </w:pPr>
      <w:bookmarkStart w:id="212" w:name="__RefHeading___Toc5003594_2314609296"/>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حرام،و هو کما فی جامع المقاصد </w:t>
      </w:r>
      <w:r>
        <w:rPr>
          <w:rStyle w:val="FootnoteAnchor"/>
          <w:rtl w:val="true"/>
        </w:rPr>
        <w:footnoteReference w:id="779"/>
      </w:r>
      <w:r>
        <w:rPr>
          <w:rFonts w:ascii="IRNazanin" w:hAnsi="IRNazanin" w:eastAsia="IRNazanin"/>
          <w:color w:val="111111"/>
          <w:sz w:val="28"/>
          <w:sz w:val="28"/>
          <w:szCs w:val="28"/>
          <w:rtl w:val="true"/>
          <w:lang w:bidi="fa-IR"/>
        </w:rPr>
        <w:t>الإخبار عن أحکام النجوم باعتبار الحرکات الفلکیة و الاتصالات الکوکبیة</w:t>
      </w:r>
      <w:r>
        <w:rPr>
          <w:rFonts w:eastAsia="IRNazanin" w:cs="IRNazanin"/>
          <w:color w:val="111111"/>
          <w:sz w:val="28"/>
          <w:szCs w:val="28"/>
          <w:rtl w:val="true"/>
          <w:lang w:bidi="fa-IR"/>
        </w:rPr>
        <w:t>.</w:t>
      </w:r>
    </w:p>
    <w:p>
      <w:pPr>
        <w:pStyle w:val="Heading5"/>
        <w:numPr>
          <w:ilvl w:val="4"/>
          <w:numId w:val="1"/>
        </w:numPr>
        <w:rPr/>
      </w:pPr>
      <w:bookmarkStart w:id="214" w:name="__RefHeading___Toc5003596_2314609296"/>
      <w:bookmarkStart w:id="215" w:name="_Toc81"/>
      <w:bookmarkEnd w:id="214"/>
      <w:r>
        <w:rPr>
          <w:rtl w:val="true"/>
        </w:rPr>
        <w:t>و توضیح المطلب یتوقف علی الکلام فی مقامات</w:t>
      </w:r>
      <w:r>
        <w:rPr>
          <w:rtl w:val="true"/>
        </w:rPr>
        <w:t>:</w:t>
      </w:r>
      <w:bookmarkEnd w:id="215"/>
    </w:p>
    <w:p>
      <w:pPr>
        <w:pStyle w:val="Heading6"/>
        <w:numPr>
          <w:ilvl w:val="5"/>
          <w:numId w:val="1"/>
        </w:numPr>
        <w:rPr/>
      </w:pPr>
      <w:bookmarkStart w:id="216" w:name="__RefHeading___Toc5003598_2314609296"/>
      <w:bookmarkStart w:id="217" w:name="_Toc82"/>
      <w:bookmarkEnd w:id="216"/>
      <w:r>
        <w:rPr>
          <w:rtl w:val="true"/>
        </w:rPr>
        <w:t>الأوّل</w:t>
      </w:r>
      <w:r>
        <w:rPr>
          <w:rtl w:val="true"/>
        </w:rPr>
        <w:t>:</w:t>
      </w:r>
      <w:bookmarkEnd w:id="217"/>
    </w:p>
    <w:p>
      <w:pPr>
        <w:pStyle w:val="BookText"/>
        <w:rPr/>
      </w:pPr>
      <w:r>
        <w:rPr>
          <w:rFonts w:ascii="IRNazanin" w:hAnsi="IRNazanin" w:eastAsia="IRNazanin"/>
          <w:color w:val="111111"/>
          <w:sz w:val="28"/>
          <w:sz w:val="28"/>
          <w:szCs w:val="28"/>
          <w:rtl w:val="true"/>
          <w:lang w:bidi="fa-IR"/>
        </w:rPr>
        <w:t>الظاهر أنّه لا یحرم الإخبار عن الأوضاع الفلکیة المبتنیة علی سیر الکواکب</w:t>
      </w:r>
    </w:p>
    <w:p>
      <w:pPr>
        <w:pStyle w:val="BookText"/>
        <w:rPr/>
      </w:pPr>
      <w:r>
        <w:rPr>
          <w:rFonts w:ascii="IRNazanin" w:hAnsi="IRNazanin" w:eastAsia="IRNazanin"/>
          <w:color w:val="111111"/>
          <w:sz w:val="28"/>
          <w:sz w:val="28"/>
          <w:szCs w:val="28"/>
          <w:rtl w:val="true"/>
          <w:lang w:bidi="fa-IR"/>
        </w:rPr>
        <w:t>کالخسوف الناشئ عن حیلولة الأرض بین النیّرین، و الکسوف الناشئ عن حیلولة القمر أو غیره بل یجوز الإخبار بذلک، إمّا جزماً إذا استند إلی ما یعتقده برهاناً،أو ظنا إذا استند إلی الأمارات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اعترف بذلک جملة ممّن أنکر التنجیم،منهم السید المرتضی و الشیخ أبو الفتح الکراجکی فیما حکی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حکی عنهما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رد الاستدلال علی إصابتهم فی الأحکام بإصابتهم فی الأوضاع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الکسوفات و اقتران الکواکب و انفصالها من باب الحساب و سیر الکواکب،و له أُصول صحیحة و قواعد سدیدة،و لیس کذلک ما یدّعونه من تأثیر الکواکب فی الخیر و الشر و النفع و الضرر،و لو لم یکن الفرق بین الأمرین </w:t>
      </w:r>
      <w:r>
        <w:rPr>
          <w:rStyle w:val="FootnoteAnchor"/>
          <w:rtl w:val="true"/>
        </w:rPr>
        <w:footnoteReference w:id="781"/>
      </w:r>
      <w:r>
        <w:rPr>
          <w:rFonts w:ascii="IRNazanin" w:hAnsi="IRNazanin" w:eastAsia="IRNazanin"/>
          <w:color w:val="111111"/>
          <w:sz w:val="28"/>
          <w:sz w:val="28"/>
          <w:szCs w:val="28"/>
          <w:rtl w:val="true"/>
          <w:lang w:bidi="fa-IR"/>
        </w:rPr>
        <w:t xml:space="preserve">إلّا الإصابة الدائمة المتصلة فی الکسوفات و ما یجری مجراها،فلا یکاد یبین </w:t>
      </w:r>
      <w:r>
        <w:rPr>
          <w:rStyle w:val="FootnoteAnchor"/>
          <w:rtl w:val="true"/>
        </w:rPr>
        <w:footnoteReference w:id="782"/>
      </w:r>
      <w:r>
        <w:rPr>
          <w:rFonts w:ascii="IRNazanin" w:hAnsi="IRNazanin" w:eastAsia="IRNazanin"/>
          <w:color w:val="111111"/>
          <w:sz w:val="28"/>
          <w:sz w:val="28"/>
          <w:szCs w:val="28"/>
          <w:rtl w:val="true"/>
          <w:lang w:bidi="fa-IR"/>
        </w:rPr>
        <w:t xml:space="preserve">فیها خطأ،و أنّ الخطأ الدائم المعهود إنّما هو فی الأحکام </w:t>
      </w:r>
      <w:r>
        <w:rPr>
          <w:rStyle w:val="FootnoteAnchor"/>
          <w:rtl w:val="true"/>
        </w:rPr>
        <w:footnoteReference w:id="783"/>
      </w:r>
      <w:r>
        <w:rPr>
          <w:rFonts w:ascii="IRNazanin" w:hAnsi="IRNazanin" w:eastAsia="IRNazanin"/>
          <w:color w:val="111111"/>
          <w:sz w:val="28"/>
          <w:sz w:val="28"/>
          <w:szCs w:val="28"/>
          <w:rtl w:val="true"/>
          <w:lang w:bidi="fa-IR"/>
        </w:rPr>
        <w:t>حتی أنّ الصواب فیها عزیز،و ما یتفق فیها من الإصابة قد یتفق من المخَمِّن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 </w:t>
      </w:r>
      <w:r>
        <w:rPr>
          <w:rStyle w:val="FootnoteAnchor"/>
          <w:rtl w:val="true"/>
        </w:rPr>
        <w:footnoteReference w:id="784"/>
      </w:r>
      <w:r>
        <w:rPr>
          <w:rFonts w:ascii="IRNazanin" w:hAnsi="IRNazanin" w:eastAsia="IRNazanin"/>
          <w:color w:val="111111"/>
          <w:sz w:val="28"/>
          <w:sz w:val="28"/>
          <w:szCs w:val="28"/>
          <w:rtl w:val="true"/>
          <w:lang w:bidi="fa-IR"/>
        </w:rPr>
        <w:t xml:space="preserve">أحد الأمرین علی الآخر بهت و قلّة دین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المحکی </w:t>
      </w:r>
      <w:r>
        <w:rPr>
          <w:rStyle w:val="FootnoteAnchor"/>
          <w:rtl w:val="true"/>
        </w:rPr>
        <w:footnoteReference w:id="786"/>
      </w:r>
      <w:r>
        <w:rPr>
          <w:rFonts w:ascii="IRNazanin" w:hAnsi="IRNazanin" w:eastAsia="IRNazanin"/>
          <w:color w:val="111111"/>
          <w:sz w:val="28"/>
          <w:sz w:val="28"/>
          <w:szCs w:val="28"/>
          <w:rtl w:val="true"/>
          <w:lang w:bidi="fa-IR"/>
        </w:rPr>
        <w:t xml:space="preserve">من کلام السید رحمه اللّه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إلی جواز ذلک فی جامع المقاصد </w:t>
      </w:r>
      <w:r>
        <w:rPr>
          <w:rStyle w:val="FootnoteAnchor"/>
          <w:rtl w:val="true"/>
        </w:rPr>
        <w:footnoteReference w:id="788"/>
      </w:r>
      <w:r>
        <w:rPr>
          <w:rFonts w:ascii="IRNazanin" w:hAnsi="IRNazanin" w:eastAsia="IRNazanin"/>
          <w:color w:val="111111"/>
          <w:sz w:val="28"/>
          <w:sz w:val="28"/>
          <w:szCs w:val="28"/>
          <w:rtl w:val="true"/>
          <w:lang w:bidi="fa-IR"/>
        </w:rPr>
        <w:t>مؤیداً ذلک بما ورد</w:t>
      </w:r>
      <w:bookmarkStart w:id="218" w:name="pg19762_189453"/>
    </w:p>
    <w:p>
      <w:pPr>
        <w:pStyle w:val="BookText"/>
        <w:rPr/>
      </w:pPr>
      <w:bookmarkEnd w:id="218"/>
      <w:r>
        <w:rPr>
          <w:rFonts w:ascii="IRNazanin" w:hAnsi="IRNazanin" w:eastAsia="IRNazanin"/>
          <w:color w:val="111111"/>
          <w:sz w:val="28"/>
          <w:sz w:val="28"/>
          <w:szCs w:val="28"/>
          <w:rtl w:val="true"/>
          <w:lang w:bidi="fa-IR"/>
        </w:rPr>
        <w:t xml:space="preserve">من کراهة السفر و التزویج </w:t>
      </w:r>
      <w:r>
        <w:rPr>
          <w:rStyle w:val="FootnoteAnchor"/>
          <w:rtl w:val="true"/>
        </w:rPr>
        <w:footnoteReference w:id="789"/>
      </w:r>
      <w:r>
        <w:rPr>
          <w:rFonts w:ascii="IRNazanin" w:hAnsi="IRNazanin" w:eastAsia="IRNazanin"/>
          <w:color w:val="111111"/>
          <w:sz w:val="28"/>
          <w:sz w:val="28"/>
          <w:szCs w:val="28"/>
          <w:rtl w:val="true"/>
          <w:lang w:bidi="fa-IR"/>
        </w:rPr>
        <w:t xml:space="preserve">فی برج العقرب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ما ذکره السید رحمه اللّه من الإصابة الدائمة فی الإخبار عن الأوضاع محل نظر؛لأنّ خطأهم فی الحساب فی غایة الکثرة،و لذلک لا یجوز الاعتماد فی ذلک علی عدولهم،فضلاً عن فسّاقهم؛لأنّ حسابهم مبتنیة </w:t>
      </w:r>
      <w:r>
        <w:rPr>
          <w:rStyle w:val="FootnoteAnchor"/>
          <w:rtl w:val="true"/>
        </w:rPr>
        <w:footnoteReference w:id="791"/>
      </w:r>
      <w:r>
        <w:rPr>
          <w:rFonts w:ascii="IRNazanin" w:hAnsi="IRNazanin" w:eastAsia="IRNazanin"/>
          <w:color w:val="111111"/>
          <w:sz w:val="28"/>
          <w:sz w:val="28"/>
          <w:szCs w:val="28"/>
          <w:rtl w:val="true"/>
          <w:lang w:bidi="fa-IR"/>
        </w:rPr>
        <w:t xml:space="preserve">علی أُمور نظریة مبتنیة علی نظریات أُخر،إلّا فیما هو کالبدیهی مثل إخبارهم بکون القمر فی هذا الیوم فی برج العقرب،و انتقال الشمس من </w:t>
      </w:r>
      <w:r>
        <w:rPr>
          <w:rStyle w:val="FootnoteAnchor"/>
          <w:rtl w:val="true"/>
        </w:rPr>
        <w:footnoteReference w:id="792"/>
      </w:r>
      <w:r>
        <w:rPr>
          <w:rFonts w:ascii="IRNazanin" w:hAnsi="IRNazanin" w:eastAsia="IRNazanin"/>
          <w:color w:val="111111"/>
          <w:sz w:val="28"/>
          <w:sz w:val="28"/>
          <w:szCs w:val="28"/>
          <w:rtl w:val="true"/>
          <w:lang w:bidi="fa-IR"/>
        </w:rPr>
        <w:t>برج إلی برج فی هذا الیوم و إن کان یقع الاختلاف بینهم فیما یرجع إلی تفاوت یسیر،و یمکن الاعتماد فی مثل ذلک علی شهادة عدلین منهم،إذا احتاج الحاکم لتعیین أجل دین أو نحوه</w:t>
      </w:r>
      <w:r>
        <w:rPr>
          <w:rFonts w:eastAsia="IRNazanin" w:cs="IRNazanin"/>
          <w:color w:val="111111"/>
          <w:sz w:val="28"/>
          <w:szCs w:val="28"/>
          <w:rtl w:val="true"/>
          <w:lang w:bidi="fa-IR"/>
        </w:rPr>
        <w:t>.</w:t>
      </w:r>
    </w:p>
    <w:p>
      <w:pPr>
        <w:pStyle w:val="Heading6"/>
        <w:numPr>
          <w:ilvl w:val="5"/>
          <w:numId w:val="1"/>
        </w:numPr>
        <w:rPr/>
      </w:pPr>
      <w:bookmarkStart w:id="219" w:name="__RefHeading___Toc5003600_2314609296"/>
      <w:bookmarkStart w:id="220" w:name="_Toc83"/>
      <w:bookmarkEnd w:id="219"/>
      <w:r>
        <w:rPr>
          <w:rtl w:val="true"/>
        </w:rPr>
        <w:t>الثانی</w:t>
      </w:r>
      <w:r>
        <w:rPr>
          <w:rtl w:val="true"/>
        </w:rPr>
        <w:t>:</w:t>
      </w:r>
      <w:bookmarkEnd w:id="220"/>
    </w:p>
    <w:p>
      <w:pPr>
        <w:pStyle w:val="BookText"/>
        <w:rPr/>
      </w:pPr>
      <w:r>
        <w:rPr>
          <w:rFonts w:ascii="IRNazanin" w:hAnsi="IRNazanin" w:eastAsia="IRNazanin"/>
          <w:color w:val="111111"/>
          <w:sz w:val="28"/>
          <w:sz w:val="28"/>
          <w:szCs w:val="28"/>
          <w:rtl w:val="true"/>
          <w:lang w:bidi="fa-IR"/>
        </w:rPr>
        <w:t xml:space="preserve">یجوز الإخبار بحدوث </w:t>
      </w:r>
      <w:r>
        <w:rPr>
          <w:rStyle w:val="FootnoteAnchor"/>
          <w:rtl w:val="true"/>
        </w:rPr>
        <w:footnoteReference w:id="793"/>
      </w:r>
      <w:r>
        <w:rPr>
          <w:rFonts w:ascii="IRNazanin" w:hAnsi="IRNazanin" w:eastAsia="IRNazanin"/>
          <w:color w:val="111111"/>
          <w:sz w:val="28"/>
          <w:sz w:val="28"/>
          <w:szCs w:val="28"/>
          <w:rtl w:val="true"/>
          <w:lang w:bidi="fa-IR"/>
        </w:rPr>
        <w:t xml:space="preserve">الأحکام عند </w:t>
      </w:r>
      <w:r>
        <w:rPr>
          <w:rStyle w:val="FootnoteAnchor"/>
          <w:rtl w:val="true"/>
        </w:rPr>
        <w:footnoteReference w:id="794"/>
      </w:r>
      <w:r>
        <w:rPr>
          <w:rFonts w:ascii="IRNazanin" w:hAnsi="IRNazanin" w:eastAsia="IRNazanin"/>
          <w:color w:val="111111"/>
          <w:sz w:val="28"/>
          <w:sz w:val="28"/>
          <w:szCs w:val="28"/>
          <w:rtl w:val="true"/>
          <w:lang w:bidi="fa-IR"/>
        </w:rPr>
        <w:t>الاتصالات و الحرکات المذکورة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یحکم بوجود کذا فی المستقبل عند الوضع </w:t>
      </w:r>
      <w:r>
        <w:rPr>
          <w:rStyle w:val="FootnoteAnchor"/>
          <w:rtl w:val="true"/>
        </w:rPr>
        <w:footnoteReference w:id="795"/>
      </w:r>
      <w:r>
        <w:rPr>
          <w:rFonts w:ascii="Amiri" w:hAnsi="Amiri" w:eastAsia="Amiri" w:cs="Amiri"/>
          <w:color w:val="111111"/>
          <w:sz w:val="28"/>
          <w:sz w:val="28"/>
          <w:szCs w:val="28"/>
          <w:rtl w:val="true"/>
          <w:lang w:bidi="ar-SA"/>
        </w:rPr>
        <w:t>المعیّن من</w:t>
      </w:r>
      <w:bookmarkStart w:id="221" w:name="pg19762_189454"/>
    </w:p>
    <w:p>
      <w:pPr>
        <w:pStyle w:val="BookText"/>
        <w:rPr/>
      </w:pPr>
      <w:bookmarkEnd w:id="221"/>
      <w:r>
        <w:rPr>
          <w:rFonts w:ascii="IRNazanin" w:hAnsi="IRNazanin" w:eastAsia="IRNazanin"/>
          <w:color w:val="111111"/>
          <w:sz w:val="28"/>
          <w:sz w:val="28"/>
          <w:szCs w:val="28"/>
          <w:rtl w:val="true"/>
          <w:lang w:bidi="fa-IR"/>
        </w:rPr>
        <w:t>القرب و البعد و المقابلة و الاقتران بین الکوکبین إذا کان علی وجه الظن المستند إلی تجربة محصّلة أو منقولة فی وقوع تلک الحاثة بإرادة اللّه عند الوضع الخاص،من دون اعتقاد ربط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حینئذٍ جواز الإخبار علی وجه القطع إذا استند إلی تجربة قطعیة؛إذ لا حَرجَ علی من حَکَم قطعاً بالمطر فی هذه اللیلة؛ نظراً إلی ما جرّبه من نزول کلبه من </w:t>
      </w:r>
      <w:r>
        <w:rPr>
          <w:rStyle w:val="FootnoteAnchor"/>
          <w:rtl w:val="true"/>
        </w:rPr>
        <w:footnoteReference w:id="796"/>
      </w:r>
      <w:r>
        <w:rPr>
          <w:rFonts w:ascii="IRNazanin" w:hAnsi="IRNazanin" w:eastAsia="IRNazanin"/>
          <w:color w:val="111111"/>
          <w:sz w:val="28"/>
          <w:sz w:val="28"/>
          <w:szCs w:val="28"/>
          <w:rtl w:val="true"/>
          <w:lang w:bidi="fa-IR"/>
        </w:rPr>
        <w:t>السطح إلی داخل البیت مثلاً کما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اتّفق ذلک لمروّج هذا العلم،بل محییه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الملّة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نزل فی بعض أسفاره علی طحّانٍ،له طاحونة خارج البلد،فلمّا دخل منزله صعد السطح لحرارة الهواء،فقال له صاحب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و نَمْ فی البیت تحفّظاً من المطر،فنظر المحقّق إلی الأوضاع الفلکیة،فلم یرَ شیئاً فیما هو مظنة للتأثیر فی المطر،فقال صاحب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لی کلباً ینزل فی کلّ لیلة یحسّ المطر فیها إلی البیت،فلم یقبل منه المحقق ذلک،و بات فوق السطح،فجاءه المطر فی اللیل،و تعجب المحقّق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 سیجیء فی عدم جواز تصدیق المنجّم یراد به غیر هذا،أو ینصرف إلی غیره؛لما عرفت من معنی التنجیم</w:t>
      </w:r>
      <w:r>
        <w:rPr>
          <w:rFonts w:eastAsia="IRNazanin" w:cs="IRNazanin"/>
          <w:color w:val="111111"/>
          <w:sz w:val="28"/>
          <w:szCs w:val="28"/>
          <w:rtl w:val="true"/>
          <w:lang w:bidi="fa-IR"/>
        </w:rPr>
        <w:t>.</w:t>
      </w:r>
    </w:p>
    <w:p>
      <w:pPr>
        <w:pStyle w:val="Heading6"/>
        <w:numPr>
          <w:ilvl w:val="5"/>
          <w:numId w:val="1"/>
        </w:numPr>
        <w:rPr/>
      </w:pPr>
      <w:bookmarkStart w:id="222" w:name="__RefHeading___Toc5003602_2314609296"/>
      <w:bookmarkStart w:id="223" w:name="_Toc84"/>
      <w:bookmarkEnd w:id="222"/>
      <w:r>
        <w:rPr>
          <w:rtl w:val="true"/>
        </w:rPr>
        <w:t>الثالث</w:t>
      </w:r>
      <w:r>
        <w:rPr>
          <w:rtl w:val="true"/>
        </w:rPr>
        <w:t>:</w:t>
      </w:r>
      <w:bookmarkEnd w:id="2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الإخبار عن الحادثات و الحکم بها مستنداً إلی تأثیر الاتصالات</w:t>
      </w:r>
    </w:p>
    <w:p>
      <w:pPr>
        <w:pStyle w:val="BookText"/>
        <w:rPr/>
      </w:pPr>
      <w:r>
        <w:rPr>
          <w:rFonts w:ascii="IRNazanin" w:hAnsi="IRNazanin" w:eastAsia="IRNazanin"/>
          <w:color w:val="111111"/>
          <w:sz w:val="28"/>
          <w:sz w:val="28"/>
          <w:szCs w:val="28"/>
          <w:rtl w:val="true"/>
          <w:lang w:bidi="fa-IR"/>
        </w:rPr>
        <w:t>المذکورة فیها بالاستقلال أو بالمدخلیة،و هو المصطلح علیه بالتنجیم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 الفتاوی و النصوص حرمته مؤکدة،فقد أرسل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منجّماً أو کاهناً فقد کفر بما انزل علی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حرمة حکم المنجّم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نصر بن قابوس،عن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المنجّم ملعون،و الکاهن ملعون،و الساحر ملعون</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صلوات اللّه علیه لمّا أراد المسیر إلی بعض أسفاره، فقال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سرت فی هذا الوقت خشیت أن لا تظفر بمرادک من طریق علم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تزعم أنّک تهدی إلی الساعة التی من سار فیها انصرف عنه السوء؟و تُخوّف الساعة التی من سار فیها حاق به الضرّ،فمن صدّقک بهذا </w:t>
      </w:r>
      <w:r>
        <w:rPr>
          <w:rStyle w:val="FootnoteAnchor"/>
          <w:rtl w:val="true"/>
        </w:rPr>
        <w:footnoteReference w:id="800"/>
      </w:r>
      <w:r>
        <w:rPr>
          <w:rFonts w:ascii="IRNazanin" w:hAnsi="IRNazanin" w:eastAsia="IRNazanin"/>
          <w:color w:val="111111"/>
          <w:sz w:val="28"/>
          <w:sz w:val="28"/>
          <w:szCs w:val="28"/>
          <w:rtl w:val="true"/>
          <w:lang w:bidi="fa-IR"/>
        </w:rPr>
        <w:t xml:space="preserve">،فقد کذّب القرآن، و استغنی عن الاستعانة باللّه تعالی فی نیل المحبوب،و دفع المکروه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إیّاکم و تعلّم النجوم إلّا ما یُهتدی به فی بَرّ أو بحر؛فإنّها تدعو إلی 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المنجّم کالکاهن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الکاهن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کالساحر،و الساحر کالکافر،و الکافر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ما وقع </w:t>
      </w:r>
      <w:r>
        <w:rPr>
          <w:rStyle w:val="FootnoteAnchor"/>
          <w:rtl w:val="true"/>
        </w:rPr>
        <w:footnoteReference w:id="805"/>
      </w:r>
      <w:r>
        <w:rPr>
          <w:rFonts w:ascii="IRNazanin" w:hAnsi="IRNazanin" w:eastAsia="IRNazanin"/>
          <w:color w:val="111111"/>
          <w:sz w:val="28"/>
          <w:sz w:val="28"/>
          <w:szCs w:val="28"/>
          <w:rtl w:val="true"/>
          <w:lang w:bidi="fa-IR"/>
        </w:rPr>
        <w:t>بینه و بین منجم آخر نهاه عن المسیر أیضاً، 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فی بطن هذه الدابة أ ذَکَرٌ أم أُنثی؟قال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حَسَبْتُ علمت،قال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صدّقک بهذا القول فقد کذّب بالقرآن </w:t>
      </w:r>
      <w:r>
        <w:rPr>
          <w:rStyle w:val="FootnoteAnchor"/>
          <w:rtl w:val="true"/>
        </w:rPr>
        <w:footnoteReference w:id="806"/>
      </w:r>
      <w:r>
        <w:rPr>
          <w:rFonts w:ascii="Amiri" w:hAnsi="Amiri" w:eastAsia="Amiri" w:cs="Amiri"/>
          <w:color w:val="111111"/>
          <w:sz w:val="28"/>
          <w:sz w:val="28"/>
          <w:szCs w:val="28"/>
          <w:rtl w:val="true"/>
          <w:lang w:bidi="ar-SA"/>
        </w:rPr>
        <w:t>إِنَّ اللّٰهَ عِنْدَهُ عِلْمُ السّٰاعَةِ وَ یُنَزِّلُ الْغَیْثَ وَ یَعْلَمُ مٰا فِی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ما کان محمد صلّی اللّه علیه و آله و سلم یدّعی ما ادعیت؛أ تزعم أنّک تهدی إلی الساعة التی من سار فیها صرف عنه السوء،و الساعة التی مَن سار فیها حاق به الضر؛من صدقک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بقولک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الاستعانة باللّه فی هذا الوجه،و أُحوج إلی الرغبة إلیک فی دفع المکروه عنه</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عبد الملک بن أعین المرویة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ابتلیت بهذا العلم </w:t>
      </w:r>
      <w:r>
        <w:rPr>
          <w:rStyle w:val="FootnoteAnchor"/>
          <w:rtl w:val="true"/>
        </w:rPr>
        <w:footnoteReference w:id="810"/>
      </w:r>
      <w:r>
        <w:rPr>
          <w:rFonts w:ascii="IRNazanin" w:hAnsi="IRNazanin" w:eastAsia="IRNazanin"/>
          <w:color w:val="111111"/>
          <w:sz w:val="28"/>
          <w:sz w:val="28"/>
          <w:szCs w:val="28"/>
          <w:rtl w:val="true"/>
          <w:lang w:bidi="fa-IR"/>
        </w:rPr>
        <w:t>فأُرید الحاجة،فإذا نظرت إلی الطالع و رأیت الطالع الشر جلست و لم أذهب فیها،و إذا</w:t>
      </w:r>
    </w:p>
    <w:p>
      <w:pPr>
        <w:pStyle w:val="BookText"/>
        <w:rPr/>
      </w:pPr>
      <w:r>
        <w:rPr>
          <w:rFonts w:ascii="IRNazanin" w:hAnsi="IRNazanin" w:eastAsia="IRNazanin"/>
          <w:color w:val="111111"/>
          <w:sz w:val="28"/>
          <w:sz w:val="28"/>
          <w:szCs w:val="28"/>
          <w:rtl w:val="true"/>
          <w:lang w:bidi="fa-IR"/>
        </w:rPr>
        <w:t>رأیت الطالع الخیر ذهبت فی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 کتبک</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مفضّل بن عمر </w:t>
      </w:r>
      <w:r>
        <w:rPr>
          <w:rStyle w:val="FootnoteAnchor"/>
          <w:rtl w:val="true"/>
        </w:rPr>
        <w:footnoteReference w:id="812"/>
      </w:r>
      <w:r>
        <w:rPr>
          <w:rFonts w:ascii="Amiri" w:hAnsi="Amiri" w:eastAsia="Amiri" w:cs="Amiri"/>
          <w:color w:val="111111"/>
          <w:sz w:val="28"/>
          <w:sz w:val="28"/>
          <w:szCs w:val="28"/>
          <w:rtl w:val="true"/>
          <w:lang w:bidi="ar-SA"/>
        </w:rPr>
        <w:t>المرویة عن معانی الأخبار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الکلمات، فمنها ما ذکرناه،و منها المعرفة بقدم بارئه و توحیده و تنزیهه عن الشبیه حتی نظر إلی الکواکب و القمر و الشمس و استدل بأُفول کلٍّ منها علی حدوثه و بحدوثه علی محدثة،ثم أعلمه </w:t>
      </w:r>
      <w:r>
        <w:rPr>
          <w:rStyle w:val="FootnoteAnchor"/>
          <w:rtl w:val="true"/>
        </w:rPr>
        <w:footnoteReference w:id="813"/>
      </w:r>
      <w:r>
        <w:rPr>
          <w:rFonts w:ascii="IRNazanin" w:hAnsi="IRNazanin" w:eastAsia="IRNazanin"/>
          <w:color w:val="111111"/>
          <w:sz w:val="28"/>
          <w:sz w:val="28"/>
          <w:szCs w:val="28"/>
          <w:rtl w:val="true"/>
          <w:lang w:bidi="fa-IR"/>
        </w:rPr>
        <w:t>أنّ الحکم بالنجوم خطأ</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الاستفصال فی روایة عبد الملک المتقدمة بین القضاء بالنجوم بعد النظر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بأس بالنظر إذا لم یُقضَ به بل أُرید به مجرد التفؤّل إن فهم الخیر،و التحذُّر بالصدقة إن فهم الشر، کما یدل علیه ما عن المحاسن،عن أبیه عن ابن أبی عمیر،عن عمر بن أُذینة </w:t>
      </w:r>
      <w:r>
        <w:rPr>
          <w:rStyle w:val="FootnoteAnchor"/>
          <w:rtl w:val="true"/>
        </w:rPr>
        <w:footnoteReference w:id="815"/>
      </w:r>
      <w:r>
        <w:rPr>
          <w:rFonts w:ascii="IRNazanin" w:hAnsi="IRNazanin" w:eastAsia="IRNazanin"/>
          <w:color w:val="111111"/>
          <w:sz w:val="28"/>
          <w:sz w:val="28"/>
          <w:szCs w:val="28"/>
          <w:rtl w:val="true"/>
          <w:lang w:bidi="fa-IR"/>
        </w:rPr>
        <w:t>عن سفیان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أنظر فی النجوم و أعرفها و أعرف الطالع فیدخلنی من ذلک شیء،فشکوت ذلک إلی</w:t>
      </w:r>
    </w:p>
    <w:p>
      <w:pPr>
        <w:pStyle w:val="BookText"/>
        <w:rPr/>
      </w:pPr>
      <w:r>
        <w:rPr>
          <w:rFonts w:ascii="IRNazanin" w:hAnsi="IRNazanin" w:eastAsia="IRNazanin"/>
          <w:color w:val="111111"/>
          <w:sz w:val="28"/>
          <w:sz w:val="28"/>
          <w:szCs w:val="28"/>
          <w:rtl w:val="true"/>
          <w:lang w:bidi="fa-IR"/>
        </w:rPr>
        <w:t xml:space="preserve">أبی الحسن </w:t>
      </w:r>
      <w:r>
        <w:rPr>
          <w:rStyle w:val="FootnoteAnchor"/>
          <w:rtl w:val="true"/>
        </w:rPr>
        <w:footnoteReference w:id="816"/>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وقع فی نفسک من ذلک </w:t>
      </w:r>
      <w:r>
        <w:rPr>
          <w:rStyle w:val="FootnoteAnchor"/>
          <w:rtl w:val="true"/>
        </w:rPr>
        <w:footnoteReference w:id="817"/>
      </w:r>
      <w:r>
        <w:rPr>
          <w:rFonts w:ascii="IRNazanin" w:hAnsi="IRNazanin" w:eastAsia="IRNazanin"/>
          <w:color w:val="111111"/>
          <w:sz w:val="28"/>
          <w:sz w:val="28"/>
          <w:szCs w:val="28"/>
          <w:rtl w:val="true"/>
          <w:lang w:bidi="fa-IR"/>
        </w:rPr>
        <w:t>شیء فتصدّق علی أوّل مسکین،ثم امض،فإنّ اللّه تعالی یدفع عنک</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حکم بالنجوم علی جهة أنّ مقتضی الاتصال الفلانی و الحرکة الفلانیة الحادثة الواقعیة،و إن کان اللّه یمحو ما یشاء و یثبت،لم یدخل أیضاً فی الأخبار الناهیة؛لأنّها ظاهرة فی الحکم علی سبیل البتّ، کما یظهر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صدّقک بهذا فقد استغنی عن الاستعانة باللّه فی دفع المکروه</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بالصدقة و الدعاء و غیرهما من الأسباب؛نظیر تأثیر نحوسة الأیام الواردة فی الروایات،و ردّ نحوستها بالصدقة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جوازه مبنیّ علی جواز اعتقاد الاقتضاء فی العلْویات للحوادث السفْلیّة،و سیجیء إنکار المشهور لذلک،و إن کان یظهر ذلک من المحدث الکاشانی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أخبر بالحوادث بطریق جریان العادة علی وقوع الحادثة عند الحرکة الفلانیة من دون اقتضاء لها أصلاً،فهو أسلم</w:t>
      </w:r>
      <w:r>
        <w:rPr>
          <w:rFonts w:eastAsia="IRNazanin" w:cs="IRNazanin"/>
          <w:color w:val="111111"/>
          <w:sz w:val="28"/>
          <w:szCs w:val="28"/>
          <w:rtl w:val="true"/>
          <w:lang w:bidi="fa-IR"/>
        </w:rPr>
        <w:t>.</w:t>
      </w:r>
      <w:bookmarkStart w:id="224" w:name="pg19762_189459"/>
    </w:p>
    <w:p>
      <w:pPr>
        <w:pStyle w:val="BookText"/>
        <w:rPr/>
      </w:pPr>
      <w:bookmarkEnd w:id="224"/>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أخبر بأنّ اللّه تعالی یفعل کذا عند کذا لم یحرم،و إن کره </w:t>
      </w:r>
      <w:r>
        <w:rPr>
          <w:rStyle w:val="FootnoteAnchor"/>
          <w:rtl w:val="true"/>
        </w:rPr>
        <w:footnoteReference w:id="8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225" w:name="__RefHeading___Toc5003604_2314609296"/>
      <w:bookmarkStart w:id="226" w:name="_Toc85"/>
      <w:bookmarkEnd w:id="225"/>
      <w:r>
        <w:rPr>
          <w:rtl w:val="true"/>
        </w:rPr>
        <w:t>الرابع</w:t>
      </w:r>
      <w:r>
        <w:rPr>
          <w:rtl w:val="true"/>
        </w:rPr>
        <w:t>:</w:t>
      </w:r>
      <w:bookmarkEnd w:id="226"/>
    </w:p>
    <w:p>
      <w:pPr>
        <w:pStyle w:val="BookText"/>
        <w:rPr/>
      </w:pPr>
      <w:r>
        <w:rPr>
          <w:rFonts w:ascii="IRNazanin" w:hAnsi="IRNazanin" w:eastAsia="IRNazanin"/>
          <w:color w:val="111111"/>
          <w:sz w:val="28"/>
          <w:sz w:val="28"/>
          <w:szCs w:val="28"/>
          <w:rtl w:val="true"/>
          <w:lang w:bidi="fa-IR"/>
        </w:rPr>
        <w:t>اعتقاد ربط الحرکات الفلکیة بالکائنات،</w:t>
      </w:r>
    </w:p>
    <w:p>
      <w:pPr>
        <w:pStyle w:val="BookText"/>
        <w:rPr/>
      </w:pPr>
      <w:r>
        <w:rPr>
          <w:rFonts w:ascii="IRNazanin" w:hAnsi="IRNazanin" w:eastAsia="IRNazanin"/>
          <w:color w:val="111111"/>
          <w:sz w:val="28"/>
          <w:sz w:val="28"/>
          <w:szCs w:val="28"/>
          <w:rtl w:val="true"/>
          <w:lang w:bidi="fa-IR"/>
        </w:rPr>
        <w:t>و الربط یتصور علی وجوه</w:t>
      </w:r>
      <w:r>
        <w:rPr>
          <w:rFonts w:eastAsia="IRNazanin" w:cs="IRNazanin"/>
          <w:color w:val="111111"/>
          <w:sz w:val="28"/>
          <w:szCs w:val="28"/>
          <w:rtl w:val="true"/>
          <w:lang w:bidi="fa-IR"/>
        </w:rPr>
        <w:t>:</w:t>
      </w:r>
    </w:p>
    <w:p>
      <w:pPr>
        <w:pStyle w:val="Heading6"/>
        <w:numPr>
          <w:ilvl w:val="5"/>
          <w:numId w:val="1"/>
        </w:numPr>
        <w:rPr/>
      </w:pPr>
      <w:bookmarkStart w:id="227" w:name="__RefHeading___Toc5003606_2314609296"/>
      <w:bookmarkStart w:id="228" w:name="_Toc86"/>
      <w:bookmarkEnd w:id="227"/>
      <w:r>
        <w:rPr>
          <w:rtl w:val="true"/>
        </w:rPr>
        <w:t>الأوّل</w:t>
      </w:r>
      <w:r>
        <w:rPr>
          <w:rtl w:val="true"/>
        </w:rPr>
        <w:t>:</w:t>
      </w:r>
      <w:bookmarkEnd w:id="228"/>
    </w:p>
    <w:p>
      <w:pPr>
        <w:pStyle w:val="BookText"/>
        <w:rPr/>
      </w:pPr>
      <w:r>
        <w:rPr>
          <w:rFonts w:ascii="IRNazanin" w:hAnsi="IRNazanin" w:eastAsia="IRNazanin"/>
          <w:color w:val="111111"/>
          <w:sz w:val="28"/>
          <w:sz w:val="28"/>
          <w:szCs w:val="28"/>
          <w:rtl w:val="true"/>
          <w:lang w:bidi="fa-IR"/>
        </w:rPr>
        <w:t>الاستقلال فی التأثیر بحیث یمتنع التخلف عنها،</w:t>
      </w:r>
    </w:p>
    <w:p>
      <w:pPr>
        <w:pStyle w:val="BookText"/>
        <w:rPr/>
      </w:pPr>
      <w:r>
        <w:rPr>
          <w:rFonts w:ascii="IRNazanin" w:hAnsi="IRNazanin" w:eastAsia="IRNazanin"/>
          <w:color w:val="111111"/>
          <w:sz w:val="28"/>
          <w:sz w:val="28"/>
          <w:szCs w:val="28"/>
          <w:rtl w:val="true"/>
          <w:lang w:bidi="fa-IR"/>
        </w:rPr>
        <w:t>امتناع تخلف المعلول عن العلة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کثیر من العبارات کون هذا کفراً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المرتضی رحمه اللّه فیما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یشتبه علی مسلم بطلان أحکام النجوم </w:t>
      </w:r>
      <w:r>
        <w:rPr>
          <w:rStyle w:val="FootnoteAnchor"/>
          <w:rtl w:val="true"/>
        </w:rPr>
        <w:footnoteReference w:id="823"/>
      </w:r>
      <w:r>
        <w:rPr>
          <w:rFonts w:ascii="IRNazanin" w:hAnsi="IRNazanin" w:eastAsia="IRNazanin"/>
          <w:color w:val="111111"/>
          <w:sz w:val="28"/>
          <w:sz w:val="28"/>
          <w:szCs w:val="28"/>
          <w:rtl w:val="true"/>
          <w:lang w:bidi="fa-IR"/>
        </w:rPr>
        <w:t>؟و قد أجمع المسلمون قدیماً و حدیثاً علی تکذیب المنجّمین و الشهادة بفساد مذهبهم و بطلان أحکامهم،و معلوم من دین الرسول ضرورةً تکذیب ما یدعیه المنجّمون و الإزراء علیهم و التعجیز لهم،و فی الروایات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ما لا یحصی کثرة،و کذا عن علماء أهل بیته و خیار أصحابه،و ما اشتهر بهذه الشهرة فی دین الإسلام،کیف یفتی بخلافه منتسب إلی الملة و مصلٍّ</w:t>
      </w:r>
    </w:p>
    <w:p>
      <w:pPr>
        <w:pStyle w:val="BookText"/>
        <w:rPr/>
      </w:pPr>
      <w:r>
        <w:rPr>
          <w:rFonts w:ascii="IRNazanin" w:hAnsi="IRNazanin" w:eastAsia="IRNazanin"/>
          <w:color w:val="111111"/>
          <w:sz w:val="28"/>
          <w:sz w:val="28"/>
          <w:szCs w:val="28"/>
          <w:rtl w:val="true"/>
          <w:lang w:bidi="fa-IR"/>
        </w:rPr>
        <w:t xml:space="preserve">إلی القبلة؟ </w:t>
      </w:r>
      <w:r>
        <w:rPr>
          <w:rStyle w:val="FootnoteAnchor"/>
          <w:rtl w:val="true"/>
        </w:rPr>
        <w:footnoteReference w:id="8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فی المنتهی بعد ما أفتی بتحریم التنجیم و تعلم النجوم مع اعتقاد أنّها مؤثّرة،أو أنّ لها مدخلاً فی التأثیر و النفع </w:t>
      </w:r>
      <w:r>
        <w:rPr>
          <w:rStyle w:val="FootnoteAnchor"/>
          <w:rtl w:val="true"/>
        </w:rPr>
        <w:footnoteReference w:id="8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بالجملة،کل من اعتقد ربط الحرکات النفسانیة و الطبیعیة بالحرکات الفلکیة و الاتصالات الکوکبیة کافر </w:t>
      </w:r>
      <w:r>
        <w:rPr>
          <w:rStyle w:val="FootnoteAnchor"/>
          <w:rtl w:val="true"/>
        </w:rPr>
        <w:footnoteReference w:id="8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رحمه اللّه 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اعتقد فی الکواکب أنّها مدبّرة لهذا العالم و موجدة له،فلا ریب أنّه کافر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التنجیم مع اعتقاد أنّ للنجوم تأثیراً فی الموجودات السفلیّة و لو علی جهة المدخلیة حرام،و کذا تعلّم النجوم علی هذا النحو،بل هذا الاعتقاد فی نفسه کفر،نعوذ باللّه منه </w:t>
      </w:r>
      <w:r>
        <w:rPr>
          <w:rStyle w:val="FootnoteAnchor"/>
          <w:rtl w:val="true"/>
        </w:rPr>
        <w:footnoteReference w:id="8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زعمه المنجّمون من ارتباط بعض الحوادث السفلیة بالأجرام العلْویة،إن زعموا أنّها هی العلّة المؤثِّرة فی تلک الحوادث بالاستقلال،أو أنّها شریکة فی التأثیر </w:t>
      </w:r>
      <w:r>
        <w:rPr>
          <w:rStyle w:val="FootnoteAnchor"/>
          <w:rtl w:val="true"/>
        </w:rPr>
        <w:footnoteReference w:id="830"/>
      </w:r>
      <w:r>
        <w:rPr>
          <w:rFonts w:ascii="IRNazanin" w:hAnsi="IRNazanin" w:eastAsia="IRNazanin"/>
          <w:color w:val="111111"/>
          <w:sz w:val="28"/>
          <w:sz w:val="28"/>
          <w:szCs w:val="28"/>
          <w:rtl w:val="true"/>
          <w:lang w:bidi="fa-IR"/>
        </w:rPr>
        <w:t>،فهذا لا یحلّ للمسلم اعتقاده،</w:t>
      </w:r>
    </w:p>
    <w:p>
      <w:pPr>
        <w:pStyle w:val="BookText"/>
        <w:rPr/>
      </w:pPr>
      <w:r>
        <w:rPr>
          <w:rFonts w:ascii="IRNazanin" w:hAnsi="IRNazanin" w:eastAsia="IRNazanin"/>
          <w:color w:val="111111"/>
          <w:sz w:val="28"/>
          <w:sz w:val="28"/>
          <w:szCs w:val="28"/>
          <w:rtl w:val="true"/>
          <w:lang w:bidi="fa-IR"/>
        </w:rPr>
        <w:t xml:space="preserve">و علم النجوم المبتنی </w:t>
      </w:r>
      <w:r>
        <w:rPr>
          <w:rStyle w:val="FootnoteAnchor"/>
          <w:rtl w:val="true"/>
        </w:rPr>
        <w:footnoteReference w:id="831"/>
      </w:r>
      <w:r>
        <w:rPr>
          <w:rFonts w:ascii="IRNazanin" w:hAnsi="IRNazanin" w:eastAsia="IRNazanin"/>
          <w:color w:val="111111"/>
          <w:sz w:val="28"/>
          <w:sz w:val="28"/>
          <w:szCs w:val="28"/>
          <w:rtl w:val="true"/>
          <w:lang w:bidi="fa-IR"/>
        </w:rPr>
        <w:t xml:space="preserve">علی هذا کفر،و علی هذا حمل ما ورد من التحذیر عن علم النجوم و النهی عن اعتقاد صحته </w:t>
      </w:r>
      <w:r>
        <w:rPr>
          <w:rStyle w:val="FootnoteAnchor"/>
          <w:rtl w:val="true"/>
        </w:rPr>
        <w:footnoteReference w:id="8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نزاع بین الأُمّة فی أنّ من اعتقد أنّ الکواکب هی المدبِّرة لهذا العالم و هی الخالقة لما فیه من الحوادث و الخیرات و الشرور،فإنّه یکون کافراً علی الإطلاق </w:t>
      </w:r>
      <w:r>
        <w:rPr>
          <w:rStyle w:val="FootnoteAnchor"/>
          <w:rtl w:val="true"/>
        </w:rPr>
        <w:footnoteReference w:id="8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القول بأنّها علّة فاعلیة بالإرادة و الاختیار و إن توقف تأثیرها علی شرائط أُخر کفر </w:t>
      </w:r>
      <w:r>
        <w:rPr>
          <w:rStyle w:val="FootnoteAnchor"/>
          <w:rtl w:val="true"/>
        </w:rPr>
        <w:footnoteReference w:id="8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 الوسائل نسبة دعوی ضرورة الدین علی بطلان التنجیم و القول بکفر معتقده إلی جمیع علمائنا،حیث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صرح علماؤنا بتحریم علم النجوم و العمل بها و بکفر من اعتقد تأثیرها أو مدخلیتها فی التأثیر،و ذکروا أنّ بطلان ذلک من ضروریات الدین </w:t>
      </w:r>
      <w:r>
        <w:rPr>
          <w:rStyle w:val="FootnoteAnchor"/>
          <w:rtl w:val="true"/>
        </w:rPr>
        <w:footnoteReference w:id="8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یظهر من المحکی عن ابن أبی الحدید أنّ الحکم کذلک عند علماء العامة أیضاً،حیث قال فی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المعلوم ضرورة من الدین إبطال حکم النجوم،و تحریم الاعتقاد بها،و النهی و الزجر عن تصدیق المنجّمین،و هذا معنی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صدّقک</w:t>
      </w:r>
    </w:p>
    <w:p>
      <w:pPr>
        <w:pStyle w:val="BookText"/>
        <w:rPr/>
      </w:pPr>
      <w:r>
        <w:rPr>
          <w:rFonts w:ascii="IRNazanin" w:hAnsi="IRNazanin" w:eastAsia="IRNazanin"/>
          <w:color w:val="111111"/>
          <w:sz w:val="28"/>
          <w:sz w:val="28"/>
          <w:szCs w:val="28"/>
          <w:rtl w:val="true"/>
          <w:lang w:bidi="fa-IR"/>
        </w:rPr>
        <w:t>بهذا فقد کذّب القرآن،و استغنی عن الاستعانة باللّه</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أکثر العبارات المذکورة بین رجوع الاعتقاد المذکور إلی إنکار الصانع جلّ ذکره کما هو مذهب بعض المنجّمین و بین تعطیله تعالی عن التصرف فی الحوادث السفْلیة بعد خلق الأجرام العلْویة علی وجه تتحرک علی النحو المخصوص،سواء قیل بقدمها کما هو مذهب بعضٍ آخر أم قیل بحدوثها و تفویض التدبیر إلیها کما هو المحکی عن ثالث منهم و بین أن لا یرجع إلی شیءٍ من ذلک،بأن یعتقد أنّ حرکة الأفلاک تابعة لإرادة اللّه،فهی مظاهر لإرادة الخالق تعالی،و مجبولة علی الحرکة علی طبق اختیار الصانع جلّ ذکره کالآلة أو بزیادة أنّها مختارة باختیارٍ هو عین اختیاره،تعالی عما یقول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ظاهر ما تقدم فی بعض الأخبار من أنّ المنجّم بمنزلة الکاهن الذی هو بمنزلة الساحر الذی هو بمنزلة الکافر </w:t>
      </w:r>
      <w:r>
        <w:rPr>
          <w:rStyle w:val="FootnoteAnchor"/>
          <w:rtl w:val="true"/>
        </w:rPr>
        <w:footnoteReference w:id="837"/>
      </w:r>
      <w:r>
        <w:rPr>
          <w:rFonts w:ascii="IRNazanin" w:hAnsi="IRNazanin" w:eastAsia="IRNazanin"/>
          <w:color w:val="111111"/>
          <w:sz w:val="28"/>
          <w:sz w:val="28"/>
          <w:szCs w:val="28"/>
          <w:rtl w:val="true"/>
          <w:lang w:bidi="fa-IR"/>
        </w:rPr>
        <w:t>مَن عدا الفِرَق الثلاث الأُول؛إذ الظاهر عدم الإشکال فی کون الفرق الثلاث من أکفر الکفار،لا بمنزلتهم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رتّبه علیه السلام علی تصدیق المنجّم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تکذیباً للقرآن و کونه موجباً للاستغناء عن الاستعانة باللّه فی جلب الخیر و دفع الشر،یراد منه إبطال قوله،بکونه مستلزماً لما هو فی الواقع مخالف للضرورة من کذب القرآن و الاستغناء عن اللّه کما هو طریقة</w:t>
      </w:r>
    </w:p>
    <w:p>
      <w:pPr>
        <w:pStyle w:val="BookText"/>
        <w:rPr/>
      </w:pPr>
      <w:r>
        <w:rPr>
          <w:rFonts w:ascii="IRNazanin" w:hAnsi="IRNazanin" w:eastAsia="IRNazanin"/>
          <w:color w:val="111111"/>
          <w:sz w:val="28"/>
          <w:sz w:val="28"/>
          <w:szCs w:val="28"/>
          <w:rtl w:val="true"/>
          <w:lang w:bidi="fa-IR"/>
        </w:rPr>
        <w:t>کلّ 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إنهاء بطلان التالی إلی ما هو بدیهی البطلان عقلاً أو شرعاً أو حسّا أو عادة و لا یلزم من مجرد ذلک الکفر،و إنّما یلزم ممن التفت إلی الملازمة و اعترف باللازم،و إلّا فکل من أفتی بما هو مخالف لقول اللّه واقعاً إما لعدم تفطّنه لقول اللّه،أو لدلالته یکون مکذّباً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منجماً أو کاهناً فقد کفر بما أنزل علی محمد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،فلا یدلّ أیضاً علی کفر المنجّم، و إنّما یدلّ علی کذبه،فیکون تصدیقه تکذیباً للشارع المکذّب له؛ و یدلّ علیه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بالجملة،فلم یظهر من الروایات تکفیر المنجّم بالمعنی الذی تقدم للتنجیم فی صدر عنوان المسألة کفراً حقیقیاً؛فالواجب الرجوع فیما یعتقده المنجّم إلی ملاحظة مطابقته لأحد </w:t>
      </w:r>
      <w:r>
        <w:rPr>
          <w:rStyle w:val="FootnoteAnchor"/>
          <w:rtl w:val="true"/>
        </w:rPr>
        <w:footnoteReference w:id="839"/>
      </w:r>
      <w:r>
        <w:rPr>
          <w:rFonts w:ascii="IRNazanin" w:hAnsi="IRNazanin" w:eastAsia="IRNazanin"/>
          <w:color w:val="111111"/>
          <w:sz w:val="28"/>
          <w:sz w:val="28"/>
          <w:szCs w:val="28"/>
          <w:rtl w:val="true"/>
          <w:lang w:bidi="fa-IR"/>
        </w:rPr>
        <w:t>موجبات الکفر من إنکار الصانع،أو غیره ممّا علم من الدین بدیهة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لذا اقتصر الشهید فیما تقدم من القواعد </w:t>
      </w:r>
      <w:r>
        <w:rPr>
          <w:rStyle w:val="FootnoteAnchor"/>
          <w:rtl w:val="true"/>
        </w:rPr>
        <w:footnoteReference w:id="840"/>
      </w:r>
      <w:r>
        <w:rPr>
          <w:rFonts w:ascii="IRNazanin" w:hAnsi="IRNazanin" w:eastAsia="IRNazanin"/>
          <w:color w:val="111111"/>
          <w:sz w:val="28"/>
          <w:sz w:val="28"/>
          <w:szCs w:val="28"/>
          <w:rtl w:val="true"/>
          <w:lang w:bidi="fa-IR"/>
        </w:rPr>
        <w:t>فی تکفیر المنجّم علی من یعتقد فی الکواکب أنّها مدبِّرة لهذا العالم و موجدة له،و لم یکفِّر غیر هذا الصنف کما سیجیء تتمة کلامه السابق و لا شک أنّ هذا الاعتقاد إنکار،إما للصانع،و إما لما هو ضروری الدین من فعله تعالی،و هو إیجاد العالم و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من کلام بعض </w:t>
      </w:r>
      <w:r>
        <w:rPr>
          <w:rStyle w:val="FootnoteAnchor"/>
          <w:rtl w:val="true"/>
        </w:rPr>
        <w:footnoteReference w:id="841"/>
      </w:r>
      <w:r>
        <w:rPr>
          <w:rFonts w:ascii="IRNazanin" w:hAnsi="IRNazanin" w:eastAsia="IRNazanin"/>
          <w:color w:val="111111"/>
          <w:sz w:val="28"/>
          <w:sz w:val="28"/>
          <w:szCs w:val="28"/>
          <w:rtl w:val="true"/>
          <w:lang w:bidi="fa-IR"/>
        </w:rPr>
        <w:t>اصطلاح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قال السید شارح النخبة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المنجّم من یقول بقدم الأفلاک و النجوم، و لا یقولون بمفلّک و لا خالق؛و هم فرقة من الطبیعیین یستمطرون بالأنواء </w:t>
      </w:r>
      <w:r>
        <w:rPr>
          <w:rStyle w:val="FootnoteAnchor"/>
          <w:rtl w:val="true"/>
        </w:rPr>
        <w:footnoteReference w:id="842"/>
      </w:r>
      <w:r>
        <w:rPr>
          <w:rFonts w:ascii="IRNazanin" w:hAnsi="IRNazanin" w:eastAsia="IRNazanin"/>
          <w:color w:val="111111"/>
          <w:sz w:val="28"/>
          <w:sz w:val="28"/>
          <w:szCs w:val="28"/>
          <w:rtl w:val="true"/>
          <w:lang w:bidi="fa-IR"/>
        </w:rPr>
        <w:t>معدودون من فرق الکفر فی مسفورات الخاصة و العامة، یعتقدون فی الإنسان أنّه کسائر الحیوانات یأکل و یشرب و ینکح ما دام حیاً،فإذا مات بطل و اضمحلّ،و ینکرون جمیع الأُصول الخمسة،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هؤلاء الذین یستخرجون بعض أوضاع السیارات و ربّما یتخرصون علیها بأحکام مبهمة متشابهة ینقلونها تقلیداً لبعض ما وصل إلیهم من کلمات الحکماء الأقدمین مع صحة عقائدهم الإسلامیة فغیر معلوم دخولهم فی المنجّمین الذین ورد فیهم من المطاعن ما ورد </w:t>
      </w:r>
      <w:r>
        <w:rPr>
          <w:rStyle w:val="FootnoteAnchor"/>
          <w:rtl w:val="true"/>
        </w:rPr>
        <w:footnoteReference w:id="8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Style w:val="FootnoteAnchor"/>
          <w:rtl w:val="true"/>
        </w:rPr>
        <w:footnoteReference w:id="844"/>
      </w:r>
      <w:r>
        <w:rPr>
          <w:rFonts w:ascii="IRNazanin" w:hAnsi="IRNazanin" w:eastAsia="IRNazanin"/>
          <w:color w:val="111111"/>
          <w:sz w:val="28"/>
          <w:sz w:val="28"/>
          <w:szCs w:val="28"/>
          <w:rtl w:val="true"/>
          <w:lang w:bidi="fa-IR"/>
        </w:rPr>
        <w:t>مضافاً إلی عدم انحصار الکفّار من المنجّمین فی</w:t>
      </w:r>
      <w:bookmarkStart w:id="229" w:name="pg19762_189465"/>
    </w:p>
    <w:p>
      <w:pPr>
        <w:pStyle w:val="BookText"/>
        <w:rPr/>
      </w:pPr>
      <w:bookmarkEnd w:id="229"/>
      <w:r>
        <w:rPr>
          <w:rFonts w:ascii="IRNazanin" w:hAnsi="IRNazanin" w:eastAsia="IRNazanin"/>
          <w:color w:val="111111"/>
          <w:sz w:val="28"/>
          <w:sz w:val="28"/>
          <w:szCs w:val="28"/>
          <w:rtl w:val="true"/>
          <w:lang w:bidi="fa-IR"/>
        </w:rPr>
        <w:t>من ذکر،بل هم علی فرق ثلاث کما أشرنا إلیه؛و سیجیء التصریح به من البحار فی مسألة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النزاع المشهور بین المسلمین فی صحة التنجیم و بطلانه هو المعنی الذی ذکره أخیراً کما عرفت من جامع المقاصد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المطاعن الواردة فی الأخبار المتقدمة و غیرها کلُّها أو جلُّها علی هؤلاء،دون المنجّم بالمعنی الذی ذکره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ورد فیهم من المطاعن لا صراحة فیها بکفرهم،بل ظاهر ما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فی البحار عن محمد و هارون ابنی سهل النوبختی أنّهما کتبا إلی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ولد نوبخت المنجّم،و قد کنّا کتبنا إلیک هل یحل النظر فیها؟فکتبت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المنجّمون یختلفون فی صفة الفَلَک،فبعضهم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الفَلَک فیه النجوم و الشمس و القمر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لم یخرج من التوحید</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 w:name="__RefHeading___Toc5003608_2314609296"/>
      <w:bookmarkStart w:id="231" w:name="_Toc87"/>
      <w:bookmarkEnd w:id="230"/>
      <w:r>
        <w:rPr>
          <w:rtl w:val="true"/>
        </w:rPr>
        <w:t>الثانی</w:t>
      </w:r>
      <w:bookmarkEnd w:id="231"/>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w:t>
      </w:r>
      <w:r>
        <w:rPr>
          <w:rStyle w:val="FootnoteAnchor"/>
          <w:rtl w:val="true"/>
        </w:rPr>
        <w:footnoteReference w:id="848"/>
      </w:r>
      <w:r>
        <w:rPr>
          <w:rFonts w:ascii="IRNazanin" w:hAnsi="IRNazanin" w:eastAsia="IRNazanin"/>
          <w:color w:val="111111"/>
          <w:sz w:val="28"/>
          <w:sz w:val="28"/>
          <w:szCs w:val="28"/>
          <w:rtl w:val="true"/>
          <w:lang w:bidi="fa-IR"/>
        </w:rPr>
        <w:t>تفعل الآثار المنسوبة إلیها و اللّه سبحانه هو المؤثر الأعظم،</w:t>
      </w:r>
    </w:p>
    <w:p>
      <w:pPr>
        <w:pStyle w:val="BookText"/>
        <w:rPr/>
      </w:pPr>
      <w:r>
        <w:rPr>
          <w:rFonts w:ascii="IRNazanin" w:hAnsi="IRNazanin" w:eastAsia="IRNazanin"/>
          <w:color w:val="111111"/>
          <w:sz w:val="28"/>
          <w:sz w:val="28"/>
          <w:szCs w:val="28"/>
          <w:rtl w:val="true"/>
          <w:lang w:bidi="fa-IR"/>
        </w:rPr>
        <w:t>کما یقوله بعضهم،علی ما ذکره العلّامة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فی محکی شرح فُصّ الیاقوت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 قول المنجّمین 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یقول إنّها حیّة مختارة،الثانی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یقول إنّها 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القولان باطلان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عن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القول بکونها فاعلة بالإرادة و الاختیار و إن توقف تأثیرها علی شرائط أُخر کفر </w:t>
      </w:r>
      <w:r>
        <w:rPr>
          <w:rStyle w:val="FootnoteAnchor"/>
          <w:rtl w:val="true"/>
        </w:rPr>
        <w:footnoteReference w:id="851"/>
      </w:r>
      <w:r>
        <w:rPr>
          <w:rFonts w:ascii="IRNazanin" w:hAnsi="IRNazanin" w:eastAsia="IRNazanin"/>
          <w:color w:val="111111"/>
          <w:sz w:val="28"/>
          <w:sz w:val="28"/>
          <w:szCs w:val="28"/>
          <w:rtl w:val="true"/>
          <w:lang w:bidi="fa-IR"/>
        </w:rPr>
        <w:t>و هو ظاهر أکثر العبارات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وجهه أنّ نسبة الأفعال التی دلّت ضرورة الدین علی استنادها إلی اللّه تعالی کالخلق و الرزق و الإحیاء و الإماتة و غیرها إلی غیره تعالی مخالف لضرورة الدین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ظاهر شیخنا الشهید فی القواعد العدم،فإنّه بعد ما ذکر الکلام الذی نقلناه منه سابقاً،قال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اعتقد أنّها تفعل الآثار المنسوبة إلیها و اللّه سبحانه هو المؤثر الأعظم فهو مخطئ؛إذ لا حیاة</w:t>
      </w:r>
    </w:p>
    <w:p>
      <w:pPr>
        <w:pStyle w:val="BookText"/>
        <w:rPr/>
      </w:pPr>
      <w:r>
        <w:rPr>
          <w:rFonts w:ascii="IRNazanin" w:hAnsi="IRNazanin" w:eastAsia="IRNazanin"/>
          <w:color w:val="111111"/>
          <w:sz w:val="28"/>
          <w:sz w:val="28"/>
          <w:szCs w:val="28"/>
          <w:rtl w:val="true"/>
          <w:lang w:bidi="fa-IR"/>
        </w:rPr>
        <w:t xml:space="preserve">لهذه الکواکب ثابتة بدلیل عقلی و لا نقلی </w:t>
      </w:r>
      <w:r>
        <w:rPr>
          <w:rStyle w:val="FootnoteAnchor"/>
          <w:rtl w:val="true"/>
        </w:rPr>
        <w:footnoteReference w:id="8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أنّ عدم القول بذلک لعدم المقتضی له،و هو الدلیل، لا لوجود المانع منه،و هو انعقاد الضرورة علی خلافه،فهو ممکن غیر معلوم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الضروری عدم نسبة تلک الأفعال إلی فاعل مختار باختیار مستقل مغایر لاختیار اللّه کما هو ظاهر قول المفوِّضة أما استنادها إلی الفاعل بإرادة اللّه المختار بعین مشیته و اختیاره حتی یکون کالآلة بزیادة الشعور و قیام الاختیار به بحیث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فِعلُه و فِعلُ اللّه فلا؛إذ المخالف للضرورة إنکار نسبة الفعل إلی اللّه تعالی علی وجه الحقیقة،لا إثباته لغیره أیضاً بحیث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نعم،ما ذکره الشهید رحمه اللّه من عدم الدلیل علیه حق؛فالقول به تخرّصٌ،و نسبة فعل اللّه إلی غیره بلا دلیل،و هو قبیح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قدّس سرّه کأنّ مأخذه ما فی الاحتجاج عن هشام بن الحکم،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الزندیق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من یزعم أنّ هذا التدبیر الذی یظهر فی هذا العالم تدبیر النجوم السبعة؟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یحتاجون إلی دلیل أنّ هذا العالم الأکبر و العالم الأصغر من تدبیر النجوم التی تسبح فی الفلک و تدور حیث دارت متعبة </w:t>
      </w:r>
      <w:r>
        <w:rPr>
          <w:rStyle w:val="FootnoteAnchor"/>
          <w:rtl w:val="true"/>
        </w:rPr>
        <w:footnoteReference w:id="853"/>
      </w:r>
      <w:r>
        <w:rPr>
          <w:rFonts w:ascii="IRNazanin" w:hAnsi="IRNazanin" w:eastAsia="IRNazanin"/>
          <w:color w:val="111111"/>
          <w:sz w:val="28"/>
          <w:sz w:val="28"/>
          <w:szCs w:val="28"/>
          <w:rtl w:val="true"/>
          <w:lang w:bidi="fa-IR"/>
        </w:rPr>
        <w:t>لا تفتر و سائرة لا تقف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لکلّ </w:t>
      </w:r>
      <w:r>
        <w:rPr>
          <w:rStyle w:val="FootnoteAnchor"/>
          <w:rtl w:val="true"/>
        </w:rPr>
        <w:footnoteReference w:id="854"/>
      </w:r>
      <w:r>
        <w:rPr>
          <w:rFonts w:ascii="Amiri" w:hAnsi="Amiri" w:eastAsia="Amiri" w:cs="Amiri"/>
          <w:color w:val="111111"/>
          <w:sz w:val="28"/>
          <w:sz w:val="28"/>
          <w:szCs w:val="28"/>
          <w:rtl w:val="true"/>
          <w:lang w:bidi="ar-SA"/>
        </w:rPr>
        <w:t>نجم منها مُوکّل مُدبّر،فهی</w:t>
      </w:r>
      <w:bookmarkStart w:id="232" w:name="pg19762_189468"/>
    </w:p>
    <w:p>
      <w:pPr>
        <w:pStyle w:val="BookText"/>
        <w:rPr/>
      </w:pPr>
      <w:bookmarkEnd w:id="232"/>
      <w:r>
        <w:rPr>
          <w:rFonts w:ascii="IRNazanin" w:hAnsi="IRNazanin" w:eastAsia="IRNazanin"/>
          <w:color w:val="111111"/>
          <w:sz w:val="28"/>
          <w:sz w:val="28"/>
          <w:szCs w:val="28"/>
          <w:rtl w:val="true"/>
          <w:lang w:bidi="fa-IR"/>
        </w:rPr>
        <w:t>بمنزلة العبید المأمورین المنهیین؛فلو کانت قدیمة أزلیة لم تتغیر من حال إلی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العبید المأمورین المنهیین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حرکاتهم،لا أنّهم مأمورون بتدبیر العالم بحرکاتهم،فهی مُدبّرة باختیاره المنبعث عن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نعم،ذکر المحدث الکاشانی فی الوافی فی توجیه البداء کلاماً،ربما یظهر منه مخالفة المشهور،حیث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القُوی المنطبعة الفلکیة لم تحط بتفاصیل ما سیقع من الأُمور دفعة واحدة؛لعدم تناهی تلک الأُمور،بل إنّما تنقش فیها الحوادث شیئاً فشیئاً،فإنّ ما یحدث فی عالم الکون و الفساد إنّما هو من لوازم حرکات الأفلاک و نتائج برکاتها،فهی تعلم أنّه کلّما کان کذا کان کذا </w:t>
      </w:r>
      <w:r>
        <w:rPr>
          <w:rStyle w:val="FootnoteAnchor"/>
          <w:rtl w:val="true"/>
        </w:rPr>
        <w:footnoteReference w:id="856"/>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أنّها فاعلة بالاختیار لملزومات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بالجملة،فکفر المعتقد بالربط علی هذا الوجه الثانی لم یظهر من الأخبار و مخالفته </w:t>
      </w:r>
      <w:r>
        <w:rPr>
          <w:rStyle w:val="FootnoteAnchor"/>
          <w:rtl w:val="true"/>
        </w:rPr>
        <w:footnoteReference w:id="857"/>
      </w:r>
      <w:r>
        <w:rPr>
          <w:rFonts w:ascii="IRNazanin" w:hAnsi="IRNazanin" w:eastAsia="IRNazanin"/>
          <w:color w:val="111111"/>
          <w:sz w:val="28"/>
          <w:sz w:val="28"/>
          <w:szCs w:val="28"/>
          <w:rtl w:val="true"/>
          <w:lang w:bidi="fa-IR"/>
        </w:rPr>
        <w:t>لضرورة الدین لم یثبت أیضاً؛إذ لیس المراد العلّیة التامة،کیف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حاول المحدث الکاشانی بهذه المقدمات إثبات البداء</w:t>
      </w:r>
      <w:r>
        <w:rPr>
          <w:rFonts w:eastAsia="IRNazanin" w:cs="IRNazanin"/>
          <w:color w:val="111111"/>
          <w:sz w:val="28"/>
          <w:szCs w:val="28"/>
          <w:rtl w:val="true"/>
          <w:lang w:bidi="fa-IR"/>
        </w:rPr>
        <w:t>.</w:t>
      </w:r>
    </w:p>
    <w:p>
      <w:pPr>
        <w:pStyle w:val="Heading6"/>
        <w:numPr>
          <w:ilvl w:val="5"/>
          <w:numId w:val="1"/>
        </w:numPr>
        <w:rPr/>
      </w:pPr>
      <w:bookmarkStart w:id="233" w:name="__RefHeading___Toc5003610_2314609296"/>
      <w:bookmarkStart w:id="234" w:name="_Toc88"/>
      <w:bookmarkEnd w:id="233"/>
      <w:r>
        <w:rPr>
          <w:rtl w:val="true"/>
        </w:rPr>
        <w:t>الثالث</w:t>
      </w:r>
      <w:r>
        <w:rPr>
          <w:rtl w:val="true"/>
        </w:rPr>
        <w:t>:</w:t>
      </w:r>
      <w:bookmarkEnd w:id="23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الأفعال إلیها کاستناد الإحراق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کلمات کثیر ممن تقدم کون هذا الاعتقاد کفراً،إلّا أنّه قال شیخنا المتقدم فی القواعد بعد الوجهین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یقال من استناد الأفعال إلیها کاستناد الإحراق إلی النار و غیرها من العادیات بمعنی أنّ اللّه تعالی أجری عادته أنّها إذا کانت علی شکل مخصوص أو وضع مخصوص یفعل </w:t>
      </w:r>
      <w:r>
        <w:rPr>
          <w:rStyle w:val="FootnoteAnchor"/>
          <w:rtl w:val="true"/>
        </w:rPr>
        <w:footnoteReference w:id="858"/>
      </w:r>
      <w:r>
        <w:rPr>
          <w:rFonts w:ascii="IRNazanin" w:hAnsi="IRNazanin" w:eastAsia="IRNazanin"/>
          <w:color w:val="111111"/>
          <w:sz w:val="28"/>
          <w:sz w:val="28"/>
          <w:szCs w:val="28"/>
          <w:rtl w:val="true"/>
          <w:lang w:bidi="fa-IR"/>
        </w:rPr>
        <w:t xml:space="preserve">ما ینسب إلیها،و یکون ربط المسببات بها کربط مسببات الأدویة و الأغذیة بها مجازاً باعتبار الربط العادی، لا الربط العقلی الحقیقی فهذا لا یکفر معتقده </w:t>
      </w:r>
      <w:r>
        <w:rPr>
          <w:rStyle w:val="FootnoteAnchor"/>
          <w:rtl w:val="true"/>
        </w:rPr>
        <w:footnoteReference w:id="859"/>
      </w:r>
      <w:r>
        <w:rPr>
          <w:rFonts w:ascii="IRNazanin" w:hAnsi="IRNazanin" w:eastAsia="IRNazanin"/>
          <w:color w:val="111111"/>
          <w:sz w:val="28"/>
          <w:sz w:val="28"/>
          <w:szCs w:val="28"/>
          <w:rtl w:val="true"/>
          <w:lang w:bidi="fa-IR"/>
        </w:rPr>
        <w:t xml:space="preserve">لکنه مخطئ،و إن کان أقلّ خطأ من الأوّل؛لأنّ وقوع هذه الآثار عندها لیس بدائم و لا أکثری </w:t>
      </w:r>
      <w:r>
        <w:rPr>
          <w:rStyle w:val="FootnoteAnchor"/>
          <w:rtl w:val="true"/>
        </w:rPr>
        <w:footnoteReference w:id="860"/>
      </w:r>
      <w:r>
        <w:rPr>
          <w:rFonts w:ascii="IRNazanin" w:hAnsi="IRNazanin" w:eastAsia="IRNazanin"/>
          <w:color w:val="111111"/>
          <w:sz w:val="28"/>
          <w:sz w:val="28"/>
          <w:szCs w:val="28"/>
          <w:rtl w:val="true"/>
          <w:lang w:bidi="fa-IR"/>
        </w:rPr>
        <w:t xml:space="preserve">،انتهی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غرضه من التعلیل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عدم ثبوت الربط العادی؛لعدم ثبوته بالحسّ کالحرارة الحاصلة بسبب النار و الشمس، و برودة القمر و لا بالعادة الدائمة و لا الغالبة؛لعدم العلم بتکرر الدفعات کثیراً حتی یحصل العلم أو الظن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تقدیره،فلیس فیه دلالة علی تأثیر تلک الحرکات فی الحوادث،فلعل الأمر بالعکس،أو کلتاهما مستندتان إلی مؤثّر ثالث،فتکونان من المتلازمین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بالجملة،فمقتضی ما ورد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إلّا بأسبابها</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کون کلّ حادث مسبباً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السبب هی الحرکة الفلکیة أو غیرها،فلم یثبت،و لم یثبت أیضاً کونه مخالفاً لضرورة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بعض الأخبار ما یدل بظاهره علی ثبوت التأثیر للکواکب، مثل ما فی الاحتجاج،عن أبان بن تغلب فی حدیث الیمانی الذی دخل علی أبی عبد اللّه علیه السلام و سمّاه باسمه الذی لم یعلمه أحد،و هو سعد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و ما صناعتک؟قال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ننظر فی النجوم إلی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النجم الذی إذا طلع هاجت الإبل؟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أدری </w:t>
      </w:r>
      <w:r>
        <w:rPr>
          <w:rStyle w:val="FootnoteAnchor"/>
          <w:rtl w:val="true"/>
        </w:rPr>
        <w:footnoteReference w:id="8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النجم الذی إذا طلع هاجت البقر؟قال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النجم الذی إذا طلع هاجت الکلاب؟قال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زحل عندکم؟فقال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تقل هذا،هو نجم أمیر المؤمنین علیه السلام،و هو نجم الأوصیاء،</w:t>
      </w:r>
      <w:bookmarkStart w:id="235" w:name="pg19762_189471"/>
    </w:p>
    <w:p>
      <w:pPr>
        <w:pStyle w:val="BookText"/>
        <w:rPr/>
      </w:pPr>
      <w:bookmarkEnd w:id="235"/>
      <w:r>
        <w:rPr>
          <w:rFonts w:ascii="Amiri" w:hAnsi="Amiri" w:eastAsia="Amiri" w:cs="Amiri"/>
          <w:color w:val="111111"/>
          <w:sz w:val="28"/>
          <w:sz w:val="28"/>
          <w:szCs w:val="28"/>
          <w:rtl w:val="true"/>
          <w:lang w:bidi="ar-SA"/>
        </w:rPr>
        <w:t>و هو النجم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المدائنی المرویة عن الکافی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نجماً فی الفلک السابع،فخلقه من ماء بارد،و خلق سائر النجوم الجاریات من ماء حارّ،و هو نجم الأوصیاء و الأنبیاء، و هو نجم أمیر المؤمنین علیه السلام یأمر بالخروج من الدنیا و الزهد فیها، و یأمر بافتراش التراب و توسّد اللّبن و لباس الخشن و أکل الجَشِب؛ و ما خلق اللّه نجماً أقرب إلی اللّه تعالی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الظاهر،أنّ أمر النجم بما ذکر من المحاسن کنایة عن اقتضائه لها</w:t>
      </w:r>
      <w:r>
        <w:rPr>
          <w:rFonts w:eastAsia="IRNazanin" w:cs="IRNazanin"/>
          <w:color w:val="111111"/>
          <w:sz w:val="28"/>
          <w:szCs w:val="28"/>
          <w:rtl w:val="true"/>
          <w:lang w:bidi="fa-IR"/>
        </w:rPr>
        <w:t>.</w:t>
      </w:r>
    </w:p>
    <w:p>
      <w:pPr>
        <w:pStyle w:val="Heading6"/>
        <w:numPr>
          <w:ilvl w:val="5"/>
          <w:numId w:val="1"/>
        </w:numPr>
        <w:rPr/>
      </w:pPr>
      <w:bookmarkStart w:id="236" w:name="__RefHeading___Toc5003612_2314609296"/>
      <w:bookmarkStart w:id="237" w:name="_Toc89"/>
      <w:bookmarkEnd w:id="236"/>
      <w:r>
        <w:rPr>
          <w:rtl w:val="true"/>
        </w:rPr>
        <w:t>الرابع</w:t>
      </w:r>
      <w:r>
        <w:rPr>
          <w:rtl w:val="true"/>
        </w:rPr>
        <w:t>:</w:t>
      </w:r>
      <w:bookmarkEnd w:id="237"/>
    </w:p>
    <w:p>
      <w:pPr>
        <w:pStyle w:val="BookText"/>
        <w:rPr/>
      </w:pPr>
      <w:r>
        <w:rPr>
          <w:rFonts w:ascii="IRNazanin" w:hAnsi="IRNazanin" w:eastAsia="IRNazanin"/>
          <w:color w:val="111111"/>
          <w:sz w:val="28"/>
          <w:sz w:val="28"/>
          <w:szCs w:val="28"/>
          <w:rtl w:val="true"/>
          <w:lang w:bidi="fa-IR"/>
        </w:rPr>
        <w:t>أن یکون ربط الحرکات بالحوادث من قبیل ربط الکاشف بالمکشوف</w:t>
      </w:r>
    </w:p>
    <w:p>
      <w:pPr>
        <w:pStyle w:val="BookText"/>
        <w:rPr/>
      </w:pP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هذا الاعتقاد لم یقل أحد بکونه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البهائی رحمه اللّه بعد کلامه المتقدم </w:t>
      </w:r>
      <w:r>
        <w:rPr>
          <w:rStyle w:val="FootnoteAnchor"/>
          <w:rtl w:val="true"/>
        </w:rPr>
        <w:footnoteReference w:id="868"/>
      </w:r>
      <w:r>
        <w:rPr>
          <w:rFonts w:ascii="IRNazanin" w:hAnsi="IRNazanin" w:eastAsia="IRNazanin"/>
          <w:color w:val="111111"/>
          <w:sz w:val="28"/>
          <w:sz w:val="28"/>
          <w:szCs w:val="28"/>
          <w:rtl w:val="true"/>
          <w:lang w:bidi="fa-IR"/>
        </w:rPr>
        <w:t>الظاهر فی تکفیر من قال بتأثیر الکواکب أو مدخلیتها ما هذا لفظه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اتصالات تلک الأجرام و ما یعرض لها من الأوضاع علامات علی بعض حوادث هذا العالم،مما یوجده اللّه سبحانه بقدرته و إرادته،کما أنّ حرکات النبض و اختلافات أوضاعه علامات یستدل بها الطبیب علی ما یعرض للبدن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قرب الصحة،و اشتداد</w:t>
      </w:r>
    </w:p>
    <w:p>
      <w:pPr>
        <w:pStyle w:val="BookText"/>
        <w:rPr/>
      </w:pPr>
      <w:r>
        <w:rPr>
          <w:rFonts w:ascii="IRNazanin" w:hAnsi="IRNazanin" w:eastAsia="IRNazanin"/>
          <w:color w:val="111111"/>
          <w:sz w:val="28"/>
          <w:sz w:val="28"/>
          <w:szCs w:val="28"/>
          <w:rtl w:val="true"/>
          <w:lang w:bidi="fa-IR"/>
        </w:rPr>
        <w:t xml:space="preserve">المرض،و نحوه،و کما یستدل باختلاج بعض الأعضاء علی بعض الأحوال المستقبلة،فهذا لا مانع منه و لا حرج فی اعتقاده،و ما روی فی صحة علم النجوم و جواز تعلمه محمول علی هذا المعنی </w:t>
      </w:r>
      <w:r>
        <w:rPr>
          <w:rStyle w:val="FootnoteAnchor"/>
          <w:rtl w:val="true"/>
        </w:rPr>
        <w:footnoteReference w:id="8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w:t>
      </w:r>
      <w:r>
        <w:rPr>
          <w:rStyle w:val="FootnoteAnchor"/>
          <w:rtl w:val="true"/>
        </w:rPr>
        <w:footnoteReference w:id="870"/>
      </w:r>
      <w:r>
        <w:rPr>
          <w:rFonts w:ascii="IRNazanin" w:hAnsi="IRNazanin" w:eastAsia="IRNazanin"/>
          <w:color w:val="111111"/>
          <w:sz w:val="28"/>
          <w:sz w:val="28"/>
          <w:szCs w:val="28"/>
          <w:rtl w:val="true"/>
          <w:lang w:bidi="fa-IR"/>
        </w:rPr>
        <w:t xml:space="preserve">یظهر منه خروج هذا عن مورد طعن العلماء علی المنجّمین ما تقدم من قول العلّامة رحمه اللّه إنّ المنجّمین بین قائل بحیاة الکواکب و کونها فاعلة مختارة،و بین من قال إنّها موجَبة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ذلک من السید رحمه اللّه حیث قال بعد إطالة الکلام فی التشنیع علیهم ما هذا لفظه المحکی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فیهم أحد یذهب إلی أنّ اللّه تعالی أجری العادة بأن یفعل عند قرب بعضها من بعض،أو بُعده أفعالاً من غیر أن یکون للکواکب أنفسها تأثیر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ادعی منهم هذا المذهب الآن،فهو قائل بخلاف ما ذهب إلیه القدماء و متجمّل </w:t>
      </w:r>
      <w:r>
        <w:rPr>
          <w:rStyle w:val="FootnoteAnchor"/>
          <w:rtl w:val="true"/>
        </w:rPr>
        <w:footnoteReference w:id="872"/>
      </w:r>
      <w:r>
        <w:rPr>
          <w:rFonts w:ascii="IRNazanin" w:hAnsi="IRNazanin" w:eastAsia="IRNazanin"/>
          <w:color w:val="111111"/>
          <w:sz w:val="28"/>
          <w:sz w:val="28"/>
          <w:szCs w:val="28"/>
          <w:rtl w:val="true"/>
          <w:lang w:bidi="fa-IR"/>
        </w:rPr>
        <w:t xml:space="preserve">بهذا المذهب عند أهل الإسلام </w:t>
      </w:r>
      <w:r>
        <w:rPr>
          <w:rStyle w:val="FootnoteAnchor"/>
          <w:rtl w:val="true"/>
        </w:rPr>
        <w:footnoteReference w:id="8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ظاهر المحکی عن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السید رحمه اللّه لذلک، حیث إنّه بعد ما </w:t>
      </w:r>
      <w:r>
        <w:rPr>
          <w:rStyle w:val="FootnoteAnchor"/>
          <w:rtl w:val="true"/>
        </w:rPr>
        <w:footnoteReference w:id="874"/>
      </w:r>
      <w:r>
        <w:rPr>
          <w:rFonts w:ascii="IRNazanin" w:hAnsi="IRNazanin" w:eastAsia="IRNazanin"/>
          <w:color w:val="111111"/>
          <w:sz w:val="28"/>
          <w:sz w:val="28"/>
          <w:szCs w:val="28"/>
          <w:rtl w:val="true"/>
          <w:lang w:bidi="fa-IR"/>
        </w:rPr>
        <w:t xml:space="preserve">ذکر أنّ للنجوم </w:t>
      </w:r>
      <w:r>
        <w:rPr>
          <w:rStyle w:val="FootnoteAnchor"/>
          <w:rtl w:val="true"/>
        </w:rPr>
        <w:footnoteReference w:id="875"/>
      </w:r>
      <w:r>
        <w:rPr>
          <w:rFonts w:ascii="IRNazanin" w:hAnsi="IRNazanin" w:eastAsia="IRNazanin"/>
          <w:color w:val="111111"/>
          <w:sz w:val="28"/>
          <w:sz w:val="28"/>
          <w:szCs w:val="28"/>
          <w:rtl w:val="true"/>
          <w:lang w:bidi="fa-IR"/>
        </w:rPr>
        <w:t>علامات و دلالات علی الحادثات،</w:t>
      </w:r>
    </w:p>
    <w:p>
      <w:pPr>
        <w:pStyle w:val="BookText"/>
        <w:rPr/>
      </w:pPr>
      <w:r>
        <w:rPr>
          <w:rFonts w:ascii="IRNazanin" w:hAnsi="IRNazanin" w:eastAsia="IRNazanin"/>
          <w:color w:val="111111"/>
          <w:sz w:val="28"/>
          <w:sz w:val="28"/>
          <w:szCs w:val="28"/>
          <w:rtl w:val="true"/>
          <w:lang w:bidi="fa-IR"/>
        </w:rPr>
        <w:t xml:space="preserve">لکن یجوز للقادر الحکیم تعالی أن یغیرها بالبِرّ و الصدقة و الدعاء و غیر ذلک من الأسباب،و جوّز تعلم علم النجوم و النظر فیه و العمل به إذا لم یعتقد أنّها مؤثّرة،و حمل أخبار النهی علی ما إذا اعتقد أنّها کذلک ثم </w:t>
      </w:r>
      <w:r>
        <w:rPr>
          <w:rStyle w:val="FootnoteAnchor"/>
          <w:rtl w:val="true"/>
        </w:rPr>
        <w:footnoteReference w:id="876"/>
      </w:r>
      <w:r>
        <w:rPr>
          <w:rFonts w:ascii="IRNazanin" w:hAnsi="IRNazanin" w:eastAsia="IRNazanin"/>
          <w:color w:val="111111"/>
          <w:sz w:val="28"/>
          <w:sz w:val="28"/>
          <w:szCs w:val="28"/>
          <w:rtl w:val="true"/>
          <w:lang w:bidi="fa-IR"/>
        </w:rPr>
        <w:t xml:space="preserve">أنکر علی عَلَم الهدی تحریم ذلک،ثم ذکر لتأیید ذلک أسماء جماعة من الشیعة کانوا عارفین به،انتهی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ذکره رحمه اللّه حق إلّا أنّ مجرد کون النجوم دلالات و علامات لا یجدی مع عدم الإحاطة بتلک العلامات و معارضاتها،و الحکم مع عدم الإحاطة لا یکون قطعیاً،بل و لا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علم الهدی إنّما أنکر من المنجّم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اعتقاد التأثیر و قد اعترف به ابن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غلبة الإصابة فی أحکامهم کما تقدّم منه ذلک فی صدر المسألة </w:t>
      </w:r>
      <w:r>
        <w:rPr>
          <w:rStyle w:val="FootnoteAnchor"/>
          <w:rtl w:val="true"/>
        </w:rPr>
        <w:footnoteReference w:id="878"/>
      </w:r>
      <w:r>
        <w:rPr>
          <w:rFonts w:ascii="Amiri" w:hAnsi="Amiri" w:eastAsia="Amiri" w:cs="Amiri"/>
          <w:color w:val="111111"/>
          <w:sz w:val="28"/>
          <w:sz w:val="28"/>
          <w:szCs w:val="28"/>
          <w:rtl w:val="true"/>
          <w:lang w:bidi="ar-SA"/>
        </w:rPr>
        <w:t>و هذا أمر معلوم بعد فرض عدم الإحاطة بالعلامات و معارضاتها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شیخنا البهائی أیضاً،حیث أنکر الأمرین،و قال بعد کلامه المتقدم فی إنکار التأثیر و الاعتراف بالأمارة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الأُمور التی یحکم بها المنجّمون من الحوادث الاستقبالیة أُصول،بعضها مأخوذة من أصحاب الوحی سلام اللّه علیهم،و بعضها یدّعون لها التجربة،</w:t>
      </w:r>
    </w:p>
    <w:p>
      <w:pPr>
        <w:pStyle w:val="BookText"/>
        <w:rPr/>
      </w:pPr>
      <w:r>
        <w:rPr>
          <w:rFonts w:ascii="IRNazanin" w:hAnsi="IRNazanin" w:eastAsia="IRNazanin"/>
          <w:color w:val="111111"/>
          <w:sz w:val="28"/>
          <w:sz w:val="28"/>
          <w:szCs w:val="28"/>
          <w:rtl w:val="true"/>
          <w:lang w:bidi="fa-IR"/>
        </w:rPr>
        <w:t xml:space="preserve">و بعضها مبتنٍ علی أُمور متشعبة </w:t>
      </w:r>
      <w:r>
        <w:rPr>
          <w:rStyle w:val="FootnoteAnchor"/>
          <w:rtl w:val="true"/>
        </w:rPr>
        <w:footnoteReference w:id="879"/>
      </w:r>
      <w:r>
        <w:rPr>
          <w:rFonts w:ascii="IRNazanin" w:hAnsi="IRNazanin" w:eastAsia="IRNazanin"/>
          <w:color w:val="111111"/>
          <w:sz w:val="28"/>
          <w:sz w:val="28"/>
          <w:szCs w:val="28"/>
          <w:rtl w:val="true"/>
          <w:lang w:bidi="fa-IR"/>
        </w:rPr>
        <w:t>لا تفی القوّة البشریة بضبطها و الإحاطة بها،کما یومئ إلیه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کثیره لا یدرک و قلیله لا یُنتج</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،و لذلک وُجد الاختلاف فی کلامهم و تَطَرّق الخطأ إلی بعض أحکامهم،و من اتفق له الجری علی الأُصول الصحیحة صح کلامه و صدقت أحکامه لا محالة،کما نطق به الصادق علیه السلام،و لکن هذا أمر عزیز المنال لا یظفر به إلّا القلیل،و اللّه الهادی إلی سواء السبیل </w:t>
      </w:r>
      <w:r>
        <w:rPr>
          <w:rStyle w:val="FootnoteAnchor"/>
          <w:rtl w:val="true"/>
        </w:rPr>
        <w:footnoteReference w:id="8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رحمه اللّه أولاً من الاعتراف بعدم بطلان کون الحرکات الفلکیة أمارات و علامات،و آخراً من عدم النفع فی علم النجوم إلّا مع الإحاطة التامة،هو الذی صرح به الصادق علیه السلام فی روایة هشام الآتیة </w:t>
      </w:r>
      <w:r>
        <w:rPr>
          <w:rStyle w:val="FootnoteAnchor"/>
          <w:rtl w:val="true"/>
        </w:rPr>
        <w:footnoteReference w:id="88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الحساب حق،و لکن لا یعلم ذلک إلّا من علم موالید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کلٍّ من الأمرین،الأخبار المتکثرة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یدلّ علی الأوّل،و هو ثبوت الدلالة و العلامة </w:t>
      </w:r>
      <w:r>
        <w:rPr>
          <w:rStyle w:val="FootnoteAnchor"/>
          <w:rtl w:val="true"/>
        </w:rPr>
        <w:footnoteReference w:id="883"/>
      </w:r>
      <w:r>
        <w:rPr>
          <w:rFonts w:ascii="IRNazanin" w:hAnsi="IRNazanin" w:eastAsia="IRNazanin"/>
          <w:color w:val="111111"/>
          <w:sz w:val="28"/>
          <w:sz w:val="28"/>
          <w:szCs w:val="28"/>
          <w:rtl w:val="true"/>
          <w:lang w:bidi="fa-IR"/>
        </w:rPr>
        <w:t xml:space="preserve">فی الجملة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مضافاً إلی ما تقدم من روایة سعد المنجّم </w:t>
      </w:r>
      <w:r>
        <w:rPr>
          <w:rStyle w:val="FootnoteAnchor"/>
          <w:rtl w:val="true"/>
        </w:rPr>
        <w:footnoteReference w:id="885"/>
      </w:r>
      <w:r>
        <w:rPr>
          <w:rFonts w:ascii="IRNazanin" w:hAnsi="IRNazanin" w:eastAsia="IRNazanin"/>
          <w:color w:val="111111"/>
          <w:sz w:val="28"/>
          <w:sz w:val="28"/>
          <w:szCs w:val="28"/>
          <w:rtl w:val="true"/>
          <w:lang w:bidi="fa-IR"/>
        </w:rPr>
        <w:t xml:space="preserve">المحمولة بعد الصرف عن ظاهرها الدالّ علی سببیة طلوع الکواکب لهیجان الإبل و البقر و الکلاب علی کونه أمارة و علامة علیه المرویّ فی الاحتجاج عن </w:t>
      </w:r>
      <w:r>
        <w:rPr>
          <w:rStyle w:val="FootnoteAnchor"/>
          <w:rtl w:val="true"/>
        </w:rPr>
        <w:footnoteReference w:id="886"/>
      </w:r>
      <w:r>
        <w:rPr>
          <w:rFonts w:ascii="IRNazanin" w:hAnsi="IRNazanin" w:eastAsia="IRNazanin"/>
          <w:color w:val="111111"/>
          <w:sz w:val="28"/>
          <w:sz w:val="28"/>
          <w:szCs w:val="28"/>
          <w:rtl w:val="true"/>
          <w:lang w:bidi="fa-IR"/>
        </w:rPr>
        <w:t>روایة الدهقان المنجّم الذی استقبل أمیر المؤمنین حین خروجه إلی نهروان، 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 هذا یوم صعب،قد انقلب منه کوکب،و انقدح من برجک النیران،و لیس لک الحرب 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الدهقان المُنبئ عن الآثار،المحذّر عن 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 عن مسائل کثیرة من النجوم،فاعترف الدهقان بجهلها إلی أن 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من برجک النیران،فکان الواجب أن تحکم به لی،لا عَلَیَّ،أمّا نوره و ضیاؤه فعندی، و أمّا حریقه و لَهَبه فذهب عنّی،فهذه مسألة عمیقة،فاحسبها إن کنت حاسباً</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احسبها إن کنت عالماً بالأکوار و الأدوار،قال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هذا لعلمتُ أنّک تُحصی عقود القصب فی هذه الأجَمَة</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الروایة الآتیة </w:t>
      </w:r>
      <w:r>
        <w:rPr>
          <w:rStyle w:val="FootnoteAnchor"/>
          <w:rtl w:val="true"/>
        </w:rPr>
        <w:footnoteReference w:id="889"/>
      </w:r>
      <w:r>
        <w:rPr>
          <w:rFonts w:ascii="IRNazanin" w:hAnsi="IRNazanin" w:eastAsia="IRNazanin"/>
          <w:color w:val="111111"/>
          <w:sz w:val="28"/>
          <w:sz w:val="28"/>
          <w:szCs w:val="28"/>
          <w:rtl w:val="true"/>
          <w:lang w:bidi="fa-IR"/>
        </w:rPr>
        <w:t>لعبد الرحمن بن سیابة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حساب إذا</w:t>
      </w:r>
    </w:p>
    <w:p>
      <w:pPr>
        <w:pStyle w:val="BookText"/>
        <w:rPr/>
      </w:pPr>
      <w:r>
        <w:rPr>
          <w:rFonts w:ascii="IRNazanin" w:hAnsi="IRNazanin" w:eastAsia="IRNazanin"/>
          <w:color w:val="111111"/>
          <w:sz w:val="28"/>
          <w:sz w:val="28"/>
          <w:szCs w:val="28"/>
          <w:rtl w:val="true"/>
          <w:lang w:bidi="fa-IR"/>
        </w:rPr>
        <w:t>حسبه الرجل و وقف علیه عرف القصبة التی فی وسط الأجَمَة و عدد ما عن یمینها و عدد ما عن یسارها و عدد ما خلفها و عدد ما أمامها، حتی لا یخفی علیه شیء من قصب الأجَمَة</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فی کتاب عتیق،عن عطاء،قال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لعلیّ ابن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للنجوم أصل؟قال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نعم،نبیّ من الأنبیاء قال له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 نؤمن بک حتی تعلّمنا بدء الخلق و آجالهم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عزّ و جلّ إلی غمامة،فأمطرتهم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استنقع حول الجبل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صافٍ </w:t>
      </w:r>
      <w:r>
        <w:rPr>
          <w:rStyle w:val="FootnoteAnchor"/>
          <w:rtl w:val="true"/>
        </w:rPr>
        <w:footnoteReference w:id="893"/>
      </w:r>
      <w:r>
        <w:rPr>
          <w:rFonts w:ascii="IRNazanin" w:hAnsi="IRNazanin" w:eastAsia="IRNazanin"/>
          <w:color w:val="111111"/>
          <w:sz w:val="28"/>
          <w:sz w:val="28"/>
          <w:szCs w:val="28"/>
          <w:rtl w:val="true"/>
          <w:lang w:bidi="fa-IR"/>
        </w:rPr>
        <w:t>،ثم أوحی اللّه عزّ و جلّ إلی الشمس و القمر و النجوم أن تجری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أوحی اللّه عزّ و جلّ إلی ذلک النبی أن یرتقی هو و قومه علی الجبل فقاموا علی الماء،حتی عرفوا بدء الخلق و آجالهم بمجاری </w:t>
      </w:r>
      <w:r>
        <w:rPr>
          <w:rStyle w:val="FootnoteAnchor"/>
          <w:rtl w:val="true"/>
        </w:rPr>
        <w:footnoteReference w:id="895"/>
      </w:r>
      <w:r>
        <w:rPr>
          <w:rFonts w:ascii="IRNazanin" w:hAnsi="IRNazanin" w:eastAsia="IRNazanin"/>
          <w:color w:val="111111"/>
          <w:sz w:val="28"/>
          <w:sz w:val="28"/>
          <w:szCs w:val="28"/>
          <w:rtl w:val="true"/>
          <w:lang w:bidi="fa-IR"/>
        </w:rPr>
        <w:t>الشمس و القمر و النجوم و ساعات اللیل و النهار،و کان أحدهم یعرف متی یموت،و متی یمرض،و من ذا الذی یولد له،و من ذا الذی لا یولد له،فبقوا کذلک برهة من دهرهم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داود علی نبیّنا و آله و علیه السلام قاتلهم علی الکفر،فأخرجوا إلی</w:t>
      </w:r>
    </w:p>
    <w:p>
      <w:pPr>
        <w:pStyle w:val="BookText"/>
        <w:rPr/>
      </w:pPr>
      <w:r>
        <w:rPr>
          <w:rFonts w:ascii="IRNazanin" w:hAnsi="IRNazanin" w:eastAsia="IRNazanin"/>
          <w:color w:val="111111"/>
          <w:sz w:val="28"/>
          <w:sz w:val="28"/>
          <w:szCs w:val="28"/>
          <w:rtl w:val="true"/>
          <w:lang w:bidi="fa-IR"/>
        </w:rPr>
        <w:t>داود علیه السلام فی القتال من لم یحضر أجله،و من حضر أجله خلّفوه فی بیوتهم،فکان یُقتل من أصحاب داود و لا یُقتل من هؤلاء أحد،فقال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أُقاتل علی طاعتک و یقاتل هؤلاء علی معصیتک،یُقتل أصحابی و لا یُقتل من هؤلاء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علّمتهم بدء الخلق و آجالهم،و إنّما أخرجوا إلیک من لم یحضره </w:t>
      </w:r>
      <w:r>
        <w:rPr>
          <w:rStyle w:val="FootnoteAnchor"/>
          <w:rtl w:val="true"/>
        </w:rPr>
        <w:footnoteReference w:id="896"/>
      </w:r>
      <w:r>
        <w:rPr>
          <w:rFonts w:ascii="IRNazanin" w:hAnsi="IRNazanin" w:eastAsia="IRNazanin"/>
          <w:color w:val="111111"/>
          <w:sz w:val="28"/>
          <w:sz w:val="28"/>
          <w:szCs w:val="28"/>
          <w:rtl w:val="true"/>
          <w:lang w:bidi="fa-IR"/>
        </w:rPr>
        <w:t>أجله،و من حضر أجله خلّفوه فی بیوتهم،فمِن ثَمَّ یُقتل من أصحابک و لا یُقتل منهم أحد،قال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علی ماذا علّمتهم؟قال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مجاری الشمس و القمر و النجوم و ساعات اللیل و النهار،قال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اللّه عزّ و جلّ فحبس الشمس علیهم فزاد النهار و اختلطت الزیادة باللیل و النهار </w:t>
      </w:r>
      <w:r>
        <w:rPr>
          <w:rStyle w:val="FootnoteAnchor"/>
          <w:rtl w:val="true"/>
        </w:rPr>
        <w:footnoteReference w:id="897"/>
      </w:r>
      <w:r>
        <w:rPr>
          <w:rFonts w:ascii="IRNazanin" w:hAnsi="IRNazanin" w:eastAsia="IRNazanin"/>
          <w:color w:val="111111"/>
          <w:sz w:val="28"/>
          <w:sz w:val="28"/>
          <w:szCs w:val="28"/>
          <w:rtl w:val="true"/>
          <w:lang w:bidi="fa-IR"/>
        </w:rPr>
        <w:t>فلم یعرفوا قدر الزیادة فاختلط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کره النظر فی علم النجوم</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أیضاً عن الکافی بالإسناد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النجوم،فقال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یعلمها إلّا أهل بیت من العرب</w:t>
      </w:r>
    </w:p>
    <w:p>
      <w:pPr>
        <w:pStyle w:val="BookText"/>
        <w:rPr/>
      </w:pPr>
      <w:r>
        <w:rPr>
          <w:rFonts w:ascii="IRNazanin" w:hAnsi="IRNazanin" w:eastAsia="IRNazanin"/>
          <w:color w:val="111111"/>
          <w:sz w:val="28"/>
          <w:sz w:val="28"/>
          <w:szCs w:val="28"/>
          <w:rtl w:val="true"/>
          <w:lang w:bidi="fa-IR"/>
        </w:rPr>
        <w:t>و أهل بیت من الهند</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بالإسناد </w:t>
      </w:r>
      <w:r>
        <w:rPr>
          <w:rStyle w:val="FootnoteAnchor"/>
          <w:rtl w:val="true"/>
        </w:rPr>
        <w:footnoteReference w:id="900"/>
      </w:r>
      <w:r>
        <w:rPr>
          <w:rFonts w:ascii="IRNazanin" w:hAnsi="IRNazanin" w:eastAsia="IRNazanin"/>
          <w:color w:val="111111"/>
          <w:sz w:val="28"/>
          <w:sz w:val="28"/>
          <w:szCs w:val="28"/>
          <w:rtl w:val="true"/>
          <w:lang w:bidi="fa-IR"/>
        </w:rPr>
        <w:t xml:space="preserve">عن محمد بن سالم </w:t>
      </w:r>
      <w:r>
        <w:rPr>
          <w:rStyle w:val="FootnoteAnchor"/>
          <w:rtl w:val="true"/>
        </w:rPr>
        <w:footnoteReference w:id="9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یقولون النجوم أصح من الرؤیا و کان ذلک صحیحاً </w:t>
      </w:r>
      <w:r>
        <w:rPr>
          <w:rStyle w:val="FootnoteAnchor"/>
          <w:rtl w:val="true"/>
        </w:rPr>
        <w:footnoteReference w:id="903"/>
      </w:r>
      <w:r>
        <w:rPr>
          <w:rFonts w:ascii="IRNazanin" w:hAnsi="IRNazanin" w:eastAsia="IRNazanin"/>
          <w:color w:val="111111"/>
          <w:sz w:val="28"/>
          <w:sz w:val="28"/>
          <w:szCs w:val="28"/>
          <w:rtl w:val="true"/>
          <w:lang w:bidi="fa-IR"/>
        </w:rPr>
        <w:t xml:space="preserve">حین لم یردّ الشمس علی یوشع بن نون و أمیر المؤمنین علیه السلام،فلمّا ردّ اللّه الشمس علیهما ضل فیها </w:t>
      </w:r>
      <w:r>
        <w:rPr>
          <w:rStyle w:val="FootnoteAnchor"/>
          <w:rtl w:val="true"/>
        </w:rPr>
        <w:footnoteReference w:id="904"/>
      </w:r>
      <w:r>
        <w:rPr>
          <w:rFonts w:ascii="IRNazanin" w:hAnsi="IRNazanin" w:eastAsia="IRNazanin"/>
          <w:color w:val="111111"/>
          <w:sz w:val="28"/>
          <w:sz w:val="28"/>
          <w:szCs w:val="28"/>
          <w:rtl w:val="true"/>
          <w:lang w:bidi="fa-IR"/>
        </w:rPr>
        <w:t xml:space="preserve">علماء </w:t>
      </w:r>
      <w:r>
        <w:rPr>
          <w:rStyle w:val="FootnoteAnchor"/>
          <w:rtl w:val="true"/>
        </w:rPr>
        <w:footnoteReference w:id="905"/>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علم النجوم ما هو؟قال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علوم الأنبیاء،قال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أبی طالب علیه السلام یعلمه؟قال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أعلم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الریّان </w:t>
      </w:r>
      <w:r>
        <w:rPr>
          <w:rStyle w:val="FootnoteAnchor"/>
          <w:rtl w:val="true"/>
        </w:rPr>
        <w:footnoteReference w:id="909"/>
      </w:r>
      <w:r>
        <w:rPr>
          <w:rFonts w:ascii="IRNazanin" w:hAnsi="IRNazanin" w:eastAsia="IRNazanin"/>
          <w:color w:val="111111"/>
          <w:sz w:val="28"/>
          <w:sz w:val="28"/>
          <w:szCs w:val="28"/>
          <w:rtl w:val="true"/>
          <w:lang w:bidi="fa-IR"/>
        </w:rPr>
        <w:t>بن الصلت،قال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عند أبی الحسن الرضا علیه السلام الصباح بن نصر الهندی،و سأله عن النجوم،فقال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علم فی أصله حق </w:t>
      </w:r>
      <w:r>
        <w:rPr>
          <w:rStyle w:val="FootnoteAnchor"/>
          <w:rtl w:val="true"/>
        </w:rPr>
        <w:footnoteReference w:id="910"/>
      </w:r>
      <w:r>
        <w:rPr>
          <w:rFonts w:ascii="IRNazanin" w:hAnsi="IRNazanin" w:eastAsia="IRNazanin"/>
          <w:color w:val="111111"/>
          <w:sz w:val="28"/>
          <w:sz w:val="28"/>
          <w:szCs w:val="28"/>
          <w:rtl w:val="true"/>
          <w:lang w:bidi="fa-IR"/>
        </w:rPr>
        <w:t xml:space="preserve">و ذکروا أنّ أول من تکلم به </w:t>
      </w:r>
      <w:r>
        <w:rPr>
          <w:rStyle w:val="FootnoteAnchor"/>
          <w:rtl w:val="true"/>
        </w:rPr>
        <w:footnoteReference w:id="911"/>
      </w:r>
      <w:r>
        <w:rPr>
          <w:rFonts w:ascii="IRNazanin" w:hAnsi="IRNazanin" w:eastAsia="IRNazanin"/>
          <w:color w:val="111111"/>
          <w:sz w:val="28"/>
          <w:sz w:val="28"/>
          <w:szCs w:val="28"/>
          <w:rtl w:val="true"/>
          <w:lang w:bidi="fa-IR"/>
        </w:rPr>
        <w:t xml:space="preserve">إدریس علی نبیّنا و آله و علیه السلام و کان ذو القرنین به </w:t>
      </w:r>
      <w:r>
        <w:rPr>
          <w:rStyle w:val="FootnoteAnchor"/>
          <w:rtl w:val="true"/>
        </w:rPr>
        <w:footnoteReference w:id="912"/>
      </w:r>
      <w:r>
        <w:rPr>
          <w:rFonts w:ascii="IRNazanin" w:hAnsi="IRNazanin" w:eastAsia="IRNazanin"/>
          <w:color w:val="111111"/>
          <w:sz w:val="28"/>
          <w:sz w:val="28"/>
          <w:szCs w:val="28"/>
          <w:rtl w:val="true"/>
          <w:lang w:bidi="fa-IR"/>
        </w:rPr>
        <w:t xml:space="preserve">ماهراً؛و أصل هذا العلم من اللّه </w:t>
      </w:r>
      <w:r>
        <w:rPr>
          <w:rStyle w:val="FootnoteAnchor"/>
          <w:rtl w:val="true"/>
        </w:rPr>
        <w:footnoteReference w:id="913"/>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معلّی بن خنیس،قال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النجوم أحقّ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نعم،إنّ اللّه عزّ و جلّ بعث المشتری إلی الأرض فی صورة رجل،فأتی </w:t>
      </w:r>
      <w:r>
        <w:rPr>
          <w:rStyle w:val="FootnoteAnchor"/>
          <w:rtl w:val="true"/>
        </w:rPr>
        <w:footnoteReference w:id="915"/>
      </w:r>
      <w:r>
        <w:rPr>
          <w:rFonts w:ascii="Amiri" w:hAnsi="Amiri" w:eastAsia="Amiri" w:cs="Amiri"/>
          <w:color w:val="111111"/>
          <w:sz w:val="28"/>
          <w:sz w:val="28"/>
          <w:szCs w:val="28"/>
          <w:rtl w:val="true"/>
          <w:lang w:bidi="ar-SA"/>
        </w:rPr>
        <w:t xml:space="preserve">رجلاً من العجم فعلّمه </w:t>
      </w:r>
      <w:r>
        <w:rPr>
          <w:rStyle w:val="FootnoteAnchor"/>
          <w:rtl w:val="true"/>
        </w:rPr>
        <w:footnoteReference w:id="916"/>
      </w:r>
      <w:r>
        <w:rPr>
          <w:rFonts w:ascii="IRNazanin" w:hAnsi="IRNazanin" w:eastAsia="IRNazanin"/>
          <w:color w:val="111111"/>
          <w:sz w:val="28"/>
          <w:sz w:val="28"/>
          <w:szCs w:val="28"/>
          <w:rtl w:val="true"/>
          <w:lang w:bidi="fa-IR"/>
        </w:rPr>
        <w:t>فلم یستکملوا ذلک،</w:t>
      </w:r>
      <w:bookmarkStart w:id="238" w:name="pg19762_189480"/>
    </w:p>
    <w:p>
      <w:pPr>
        <w:pStyle w:val="BookText"/>
        <w:rPr/>
      </w:pPr>
      <w:bookmarkEnd w:id="238"/>
      <w:r>
        <w:rPr>
          <w:rFonts w:ascii="IRNazanin" w:hAnsi="IRNazanin" w:eastAsia="IRNazanin"/>
          <w:color w:val="111111"/>
          <w:sz w:val="28"/>
          <w:sz w:val="28"/>
          <w:szCs w:val="28"/>
          <w:rtl w:val="true"/>
          <w:lang w:bidi="fa-IR"/>
        </w:rPr>
        <w:t>فأتی بلد الهند فعلّم رجلاً منهم،فمن هناک صار علم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من علوم الأنبیاء،خُصّوا به لأسباب شتّی، فلم یستدرک المنجّمون الدقیق منها،فشاب الحقّ بالکذب</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یدل علی صحة علم النجوم فی نفسه</w:t>
      </w:r>
      <w:r>
        <w:rPr>
          <w:rFonts w:eastAsia="IRNazanin" w:cs="IRNazanin"/>
          <w:color w:val="111111"/>
          <w:sz w:val="28"/>
          <w:szCs w:val="28"/>
          <w:rtl w:val="true"/>
          <w:lang w:bidi="fa-IR"/>
        </w:rPr>
        <w:t>.</w:t>
      </w:r>
    </w:p>
    <w:p>
      <w:pPr>
        <w:pStyle w:val="Heading5"/>
        <w:numPr>
          <w:ilvl w:val="4"/>
          <w:numId w:val="1"/>
        </w:numPr>
        <w:rPr/>
      </w:pPr>
      <w:bookmarkStart w:id="239" w:name="__RefHeading___Toc5003614_2314609296"/>
      <w:bookmarkStart w:id="240" w:name="_Toc90"/>
      <w:bookmarkEnd w:id="239"/>
      <w:r>
        <w:rPr>
          <w:rtl w:val="true"/>
        </w:rPr>
        <w:t>و أمّا ما دلّ علی کثرة الخطأ و الغلط فی حساب المنجّمین،</w:t>
      </w:r>
      <w:bookmarkEnd w:id="240"/>
    </w:p>
    <w:p>
      <w:pPr>
        <w:pStyle w:val="Heading6"/>
        <w:numPr>
          <w:ilvl w:val="5"/>
          <w:numId w:val="1"/>
        </w:numPr>
        <w:rPr/>
      </w:pPr>
      <w:bookmarkStart w:id="241" w:name="__RefHeading___Toc5003616_2314609296"/>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فهی کثیرة</w:t>
      </w:r>
      <w:r>
        <w:rPr>
          <w:rFonts w:eastAsia="IRNazanin" w:cs="IRNazanin"/>
          <w:color w:val="111111"/>
          <w:sz w:val="28"/>
          <w:szCs w:val="28"/>
          <w:rtl w:val="true"/>
          <w:lang w:bidi="fa-IR"/>
        </w:rPr>
        <w:t>:</w:t>
      </w:r>
    </w:p>
    <w:p>
      <w:pPr>
        <w:pStyle w:val="Heading6"/>
        <w:numPr>
          <w:ilvl w:val="5"/>
          <w:numId w:val="1"/>
        </w:numPr>
        <w:rPr/>
      </w:pPr>
      <w:bookmarkStart w:id="243" w:name="__RefHeading___Toc5003618_2314609296"/>
      <w:bookmarkStart w:id="244" w:name="_Toc92"/>
      <w:bookmarkEnd w:id="243"/>
      <w:r>
        <w:rPr>
          <w:rtl w:val="true"/>
        </w:rPr>
        <w:t>منها</w:t>
      </w:r>
      <w:r>
        <w:rPr>
          <w:rtl w:val="true"/>
        </w:rPr>
        <w:t>:</w:t>
      </w:r>
      <w:r>
        <w:rPr>
          <w:rtl w:val="true"/>
        </w:rPr>
        <w:t>ما تقدم فی الروایات السابقة،</w:t>
      </w:r>
      <w:bookmarkEnd w:id="244"/>
    </w:p>
    <w:p>
      <w:pPr>
        <w:pStyle w:val="BookText"/>
        <w:rPr/>
      </w:pPr>
      <w:r>
        <w:rPr>
          <w:rFonts w:ascii="IRNazanin" w:hAnsi="IRNazanin" w:eastAsia="IRNazanin"/>
          <w:color w:val="111111"/>
          <w:sz w:val="28"/>
          <w:sz w:val="28"/>
          <w:szCs w:val="28"/>
          <w:rtl w:val="true"/>
          <w:lang w:bidi="fa-IR"/>
        </w:rPr>
        <w:t>مثل قوله علیه السلام فی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فشاب الحق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فیها علماء النجوم</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،و قوله علیه السلام فی تخطئة ما ادّعاه المنجّم من أنّ زحل عندنا کوکب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کوکب أمیر المؤمنین و الأوصیاء صلوات اللّه و سلامه علیه و علیهم</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تخطئة أمیر المؤمنین علیه السلام للدهقان الذی حکم بالنجوم بنحوسة الیوم الذی خرج فیه أمیر المؤمنین علیه السلام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5003620_2314609296"/>
      <w:bookmarkStart w:id="246" w:name="_Toc93"/>
      <w:bookmarkEnd w:id="245"/>
      <w:r>
        <w:rPr>
          <w:rtl w:val="true"/>
        </w:rPr>
        <w:t>و منها</w:t>
      </w:r>
      <w:r>
        <w:rPr>
          <w:rtl w:val="true"/>
        </w:rPr>
        <w:t>:</w:t>
      </w:r>
      <w:r>
        <w:rPr>
          <w:rtl w:val="true"/>
        </w:rPr>
        <w:t>خبر عبد الرحمن بن سیابة،</w:t>
      </w:r>
      <w:bookmarkEnd w:id="24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النجوم لا یحلّ النظر فیها،و هی تعجبنی؛فإن کانت تضرّ بدینی،فلا حاجة لی فی شیء یضرّ بدینی،</w:t>
      </w:r>
      <w:bookmarkStart w:id="247" w:name="pg19762_189481"/>
    </w:p>
    <w:p>
      <w:pPr>
        <w:pStyle w:val="BookText"/>
        <w:rPr/>
      </w:pPr>
      <w:bookmarkEnd w:id="247"/>
      <w:r>
        <w:rPr>
          <w:rFonts w:ascii="IRNazanin" w:hAnsi="IRNazanin" w:eastAsia="IRNazanin"/>
          <w:color w:val="111111"/>
          <w:sz w:val="28"/>
          <w:sz w:val="28"/>
          <w:szCs w:val="28"/>
          <w:rtl w:val="true"/>
          <w:lang w:bidi="fa-IR"/>
        </w:rPr>
        <w:t xml:space="preserve">و إن کانت لا تضرّ بدینی فواللّه إنّی لأشتهیها و أشتهی النظر فیها </w:t>
      </w:r>
      <w:r>
        <w:rPr>
          <w:rStyle w:val="FootnoteAnchor"/>
          <w:rtl w:val="true"/>
        </w:rPr>
        <w:footnoteReference w:id="92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یقولون،لا تضرّ بدینک،ثم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تنظرون فی شیء کثیره لا یدرک و قلیله لا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5003622_2314609296"/>
      <w:bookmarkStart w:id="249" w:name="_Toc94"/>
      <w:bookmarkEnd w:id="248"/>
      <w:r>
        <w:rPr>
          <w:rtl w:val="true"/>
        </w:rPr>
        <w:t>و منها</w:t>
      </w:r>
      <w:r>
        <w:rPr>
          <w:rtl w:val="true"/>
        </w:rPr>
        <w:t>:</w:t>
      </w:r>
      <w:r>
        <w:rPr>
          <w:rtl w:val="true"/>
        </w:rPr>
        <w:t>خبر هشام،</w:t>
      </w:r>
      <w:bookmarkEnd w:id="24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بصرک بالنجوم؟قلت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خلّفت بالعراق أبصر بالنجوم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سأله عن أشیاء لم یعرفها،ثم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العسکرین یلتقیان فی هذا حاسب و فی ذاک حاسب،فیحسب هذا لصاحبه بالظفر،و یحسب هذا لصاحبه بالظفر،فیلتقیان فیهزم أحدُهما الآخر،فأین کانت النجوم؟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إنّ أصل الحساب حق،و لکن لا یعلم ذلک إلّا من علم موالید الخلق کلهم</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5003624_2314609296"/>
      <w:bookmarkStart w:id="251" w:name="_Toc95"/>
      <w:bookmarkEnd w:id="250"/>
      <w:r>
        <w:rPr>
          <w:rtl w:val="true"/>
        </w:rPr>
        <w:t>و منها</w:t>
      </w:r>
      <w:r>
        <w:rPr>
          <w:rtl w:val="true"/>
        </w:rPr>
        <w:t>:</w:t>
      </w:r>
      <w:r>
        <w:rPr>
          <w:rtl w:val="true"/>
        </w:rPr>
        <w:t>المروی فی الاحتجاج،</w:t>
      </w:r>
      <w:bookmarkEnd w:id="2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فی حدیث أنّ زندیقاً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علم النجوم؟قال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قلّت منافعه و کثرت مضارّه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یدفع به المقدور و لا یتّقی به المحذور،إن خبّر المنجّم بالبلاء لم ینجه التحرّز عن </w:t>
      </w:r>
      <w:r>
        <w:rPr>
          <w:rStyle w:val="FootnoteAnchor"/>
          <w:rtl w:val="true"/>
        </w:rPr>
        <w:footnoteReference w:id="927"/>
      </w:r>
      <w:r>
        <w:rPr>
          <w:rFonts w:ascii="IRNazanin" w:hAnsi="IRNazanin" w:eastAsia="IRNazanin"/>
          <w:color w:val="111111"/>
          <w:sz w:val="28"/>
          <w:sz w:val="28"/>
          <w:szCs w:val="28"/>
          <w:rtl w:val="true"/>
          <w:lang w:bidi="fa-IR"/>
        </w:rPr>
        <w:t>القضاء،و إن خبّر</w:t>
      </w:r>
    </w:p>
    <w:p>
      <w:pPr>
        <w:pStyle w:val="BookText"/>
        <w:rPr/>
      </w:pPr>
      <w:r>
        <w:rPr>
          <w:rFonts w:ascii="IRNazanin" w:hAnsi="IRNazanin" w:eastAsia="IRNazanin"/>
          <w:color w:val="111111"/>
          <w:sz w:val="28"/>
          <w:sz w:val="28"/>
          <w:szCs w:val="28"/>
          <w:rtl w:val="true"/>
          <w:lang w:bidi="fa-IR"/>
        </w:rPr>
        <w:t>هو بخیر لم یستطع تعجیله،و إن حدث به سوء لم یمکنه صرفه،و المنجّم یضاد اللّه فی علمه بزعمه أنّه یرد قضاء اللّه عن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الدالة علی أنّ ما وصل إلیه المنجّمون أقل قلیل من أمارات الحوادث من دون وصول إلی معارضاتها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تتبع هذه الأخبار لم یحصل له ظنّ بالأحکام المستخرجة عنها،فضلاً عن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یحصل من التجربة المنقولة خلفاً عن سلف الظنّ بل العلم بمقارنة حادث من الحوادث لبعض الأوضاع الفلکیة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فالأولی،التجنب عن الحکم بها،و مع الارتکاب فالأولی الحکم علی سبیل التقریب،و أنّه لا یبعد أن یقع کذا عند کذا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المسدّد</w:t>
      </w:r>
      <w:r>
        <w:rPr>
          <w:rFonts w:eastAsia="Amiri" w:cs="Amiri" w:ascii="Amiri" w:hAnsi="Amiri"/>
          <w:color w:val="111111"/>
          <w:sz w:val="28"/>
          <w:szCs w:val="28"/>
          <w:rtl w:val="true"/>
          <w:lang w:bidi="ar-SA"/>
        </w:rPr>
        <w:t>.</w:t>
      </w:r>
      <w:bookmarkStart w:id="252" w:name="pg19762_189483"/>
    </w:p>
    <w:p>
      <w:pPr>
        <w:pStyle w:val="BookText"/>
        <w:rPr/>
      </w:pPr>
      <w:bookmarkEnd w:id="25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5003626_2314609296"/>
      <w:bookmarkStart w:id="254" w:name="_Toc96"/>
      <w:bookmarkEnd w:id="253"/>
      <w:r>
        <w:rPr>
          <w:rtl w:val="true"/>
        </w:rPr>
        <w:t>المسألة</w:t>
      </w:r>
      <w:r>
        <w:rPr>
          <w:rtl w:val="true"/>
        </w:rPr>
        <w:t>]</w:t>
      </w:r>
      <w:r>
        <w:rPr>
          <w:rtl w:val="true"/>
        </w:rPr>
        <w:t>السابعة حفظ کتب الضلال</w:t>
      </w:r>
      <w:bookmarkEnd w:id="254"/>
    </w:p>
    <w:p>
      <w:pPr>
        <w:pStyle w:val="BookText"/>
        <w:rPr/>
      </w:pPr>
      <w:r>
        <w:rPr>
          <w:rFonts w:ascii="IRNazanin" w:hAnsi="IRNazanin" w:eastAsia="IRNazanin"/>
          <w:color w:val="111111"/>
          <w:sz w:val="28"/>
          <w:sz w:val="28"/>
          <w:szCs w:val="28"/>
          <w:rtl w:val="true"/>
          <w:lang w:bidi="fa-IR"/>
        </w:rPr>
        <w:t xml:space="preserve">حرام فی الجملة بلا خلاف،کما فی التذکرة و عن المنتهی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مضافاً إلی حکم العقل بوجوب قطع مادة الفساد، و الذمّ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Style w:val="FootnoteAnchor"/>
          <w:rtl w:val="true"/>
        </w:rPr>
        <w:footnoteReference w:id="930"/>
      </w:r>
      <w:r>
        <w:rPr>
          <w:rFonts w:ascii="IRNazanin" w:hAnsi="IRNazanin" w:eastAsia="IRNazanin"/>
          <w:color w:val="111111"/>
          <w:sz w:val="28"/>
          <w:sz w:val="28"/>
          <w:szCs w:val="28"/>
          <w:rtl w:val="true"/>
          <w:lang w:bidi="fa-IR"/>
        </w:rPr>
        <w:t xml:space="preserve">و الأمر بالاجتناب عن قول الزور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فی ما تقدم من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تعالی الصناعة التی یجیء منها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قوله علیه السلام قبل ذلک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یقوی به الکفر فی جمیع وجوه المعاصی،أو باب یوهن 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عبد الملک المتقدّمة حیث شکا إلی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ابتلیت بالنظر فی النجوم،فقال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تقضی؟قلت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 کتبک</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بناءً علی أنّ الأمر للوجوب دون الإرشاد للخلاص من الابتلاء بالحکم بالنجوم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الاستفصال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یترتب علی إبقاء کتب الضلال مفسدة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مقتضی ما تقدم من إناطة التحریم بما یجیء منه الفساد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نعم،المصلحة الموهومة أو المحقّقة النادرة لا اعتبار بها،فلا یجوز الإبقاء بمجرد احتمال ترتب مصلحة علی ذلک مع کون الغالب ترتب المفسدة،و کذلک المصلحة النادرة الغیر المعتد بها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حفظ کتب الضلال لا یحرم إلّا من حیث ترتّب مفسدة الضلالة قطعاً أو احتمالاً قریباً،فإن لم یکن کذلک أو کانت المفسدة المحقّقة معارضة بمصلحة أقوی،أو عارضت المفسدة المتوقعة مصلحة أقوی،أو أقرب وقوعاً منها،فلا دلیل علی الحرمة، إلّا أن یثبت إجماع،أو یلتزم بإطلاق عنوان معقد نفی الخلاف الذی لا یقصر عن نقل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تنقیح هذا العنوان و أنّ المراد بالضلال ما یکون باطلاً فی نفسه؟فالمراد الکتب المشتملة علی المطالب الباطلة،أو أنّ المراد به مقابل الهدایة؟فیحتمل أن یراد بکتبه ما وضع لحصول الضلال،و أن یراد ما أوجب الضلال و إن کان مطالبها حقّة،کبعض کتب العرفاء و الحکماء المشتملة علی ظواهر منکرة یدّعون أنّ المراد غیر ظاهرها،فهذه أیضاً کتب ضلال علی تقدیر حقّیتها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934"/>
      </w:r>
      <w:r>
        <w:rPr>
          <w:rFonts w:ascii="IRNazanin" w:hAnsi="IRNazanin" w:eastAsia="IRNazanin"/>
          <w:color w:val="111111"/>
          <w:sz w:val="28"/>
          <w:sz w:val="28"/>
          <w:szCs w:val="28"/>
          <w:rtl w:val="true"/>
          <w:lang w:bidi="fa-IR"/>
        </w:rPr>
        <w:t>الکتب السماویة المنسوخة غیر المحرَّفة لا تدخل فی کتب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المحرّفة کالتوراة و الإنجیل علی ما صرّح به جماعة </w:t>
      </w:r>
      <w:r>
        <w:rPr>
          <w:rStyle w:val="FootnoteAnchor"/>
          <w:rtl w:val="true"/>
        </w:rPr>
        <w:footnoteReference w:id="935"/>
      </w:r>
      <w:r>
        <w:rPr>
          <w:rFonts w:ascii="IRNazanin" w:hAnsi="IRNazanin" w:eastAsia="IRNazanin"/>
          <w:color w:val="111111"/>
          <w:sz w:val="28"/>
          <w:sz w:val="28"/>
          <w:szCs w:val="28"/>
          <w:rtl w:val="true"/>
          <w:lang w:bidi="fa-IR"/>
        </w:rPr>
        <w:t xml:space="preserve">فهی داخلة فی کتب الضلال بالمعنی الأوّل بالنسبة إلینا،حیث إنّها لا توجب للمسلمین بعد بداهة نسخها ضلالة،نعم،توجب الضلالة للیهود و النصاری قبل نسخ دینهما </w:t>
      </w:r>
      <w:r>
        <w:rPr>
          <w:rStyle w:val="FootnoteAnchor"/>
          <w:rtl w:val="true"/>
        </w:rPr>
        <w:footnoteReference w:id="936"/>
      </w:r>
      <w:r>
        <w:rPr>
          <w:rFonts w:ascii="IRNazanin" w:hAnsi="IRNazanin" w:eastAsia="IRNazanin"/>
          <w:color w:val="111111"/>
          <w:sz w:val="28"/>
          <w:sz w:val="28"/>
          <w:szCs w:val="28"/>
          <w:rtl w:val="true"/>
          <w:lang w:bidi="fa-IR"/>
        </w:rPr>
        <w:t xml:space="preserve">،فالأدلّة المتقدمة لا تدلّ علی حرمة حفظها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 فی المبسوط فی باب الغنیمة من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المغنم کُتبٌ،نُظِر،فإن کانت مباحة یجوز إقرار الید علیها</w:t>
      </w:r>
    </w:p>
    <w:p>
      <w:pPr>
        <w:pStyle w:val="BookText"/>
        <w:rPr/>
      </w:pPr>
      <w:r>
        <w:rPr>
          <w:rFonts w:ascii="IRNazanin" w:hAnsi="IRNazanin" w:eastAsia="IRNazanin"/>
          <w:color w:val="111111"/>
          <w:sz w:val="28"/>
          <w:sz w:val="28"/>
          <w:szCs w:val="28"/>
          <w:rtl w:val="true"/>
          <w:lang w:bidi="fa-IR"/>
        </w:rPr>
        <w:t xml:space="preserve">مثل کتب الطب و الشعر و اللغة و المکاتبات فجمیع ذلک غنیمة، و کذلک المصاحف و علوم الشریعة،الفقه و الحدیث؛لأنّ هذا مال یباع و یشتری،و إن کانت کتباً لا یحل إمساکها کالکفر و الزندقة و ما أشبه ذلک فکلّ ذلک لا یجوز بیعه،فإن کان ینتفع بأوعیته کالجلود و نحوها فإنّها غنیمة،و إن کان ممّا لا ینتفع بأوعیته کالکاغذ فإنّه یمزّق و لا یحرق </w:t>
      </w:r>
      <w:r>
        <w:rPr>
          <w:rStyle w:val="FootnoteAnchor"/>
          <w:rtl w:val="true"/>
        </w:rPr>
        <w:footnoteReference w:id="938"/>
      </w:r>
      <w:r>
        <w:rPr>
          <w:rFonts w:ascii="IRNazanin" w:hAnsi="IRNazanin" w:eastAsia="IRNazanin"/>
          <w:color w:val="111111"/>
          <w:sz w:val="28"/>
          <w:sz w:val="28"/>
          <w:szCs w:val="28"/>
          <w:rtl w:val="true"/>
          <w:lang w:bidi="fa-IR"/>
        </w:rPr>
        <w:t xml:space="preserve">إذ ما من کاغذ إلّا و له قیمة، و حکم التوراة و الإنجیل هکذا کالکاغذ،فإنّه </w:t>
      </w:r>
      <w:r>
        <w:rPr>
          <w:rStyle w:val="FootnoteAnchor"/>
          <w:rtl w:val="true"/>
        </w:rPr>
        <w:footnoteReference w:id="939"/>
      </w:r>
      <w:r>
        <w:rPr>
          <w:rFonts w:ascii="Amiri" w:hAnsi="Amiri" w:eastAsia="Amiri" w:cs="Amiri"/>
          <w:color w:val="111111"/>
          <w:sz w:val="28"/>
          <w:sz w:val="28"/>
          <w:szCs w:val="28"/>
          <w:rtl w:val="true"/>
          <w:lang w:bidi="ar-SA"/>
        </w:rPr>
        <w:t xml:space="preserve">یمزق؛لأنّه کتاب مُغیَّر مُبدَّل </w:t>
      </w:r>
      <w:r>
        <w:rPr>
          <w:rStyle w:val="FootnoteAnchor"/>
          <w:rtl w:val="true"/>
        </w:rPr>
        <w:footnoteReference w:id="9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کان،فلم یظهر من معقد نفی الخلاف إلّا حرمة ما کان موجباً للضلال،و هو الذی دلّ علیه الأدلّة المتقدمة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نعم،ما کان من الکتب جامعاً للباطل فی نفسه من دون أن یترتب علیه ضلالة لا یدخل تحت الأموال،فلا یقابل بالمال؛لعدم المنفعة المحللة المقصودة فیه،مضافاً إلی 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،أمّا وجوب </w:t>
      </w:r>
      <w:r>
        <w:rPr>
          <w:rStyle w:val="FootnoteAnchor"/>
          <w:rtl w:val="true"/>
        </w:rPr>
        <w:footnoteReference w:id="943"/>
      </w:r>
      <w:r>
        <w:rPr>
          <w:rFonts w:ascii="IRNazanin" w:hAnsi="IRNazanin" w:eastAsia="IRNazanin"/>
          <w:color w:val="111111"/>
          <w:sz w:val="28"/>
          <w:sz w:val="28"/>
          <w:szCs w:val="28"/>
          <w:rtl w:val="true"/>
          <w:lang w:bidi="fa-IR"/>
        </w:rPr>
        <w:t>إتلافها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حکم تصانیف المخالفین فی الأُصول و الفروع و الحدیث و التفسیر و أُصول الفقه،و ما دونها من العلوم؛فإنّ المناط فی وجوب الإتلاف جریان الأدلّة المتقدّمة؛فإنّ الظاهر عدم جریانها فی حفظ شیء من تلک الکتب إلّا القلیل ممّا ألّف فی خصوص إثبات الجبر و نحوه،و إثبات تفضیل الخلفاء أو فضائلهم، 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أیضاً یعرف وجه ما استثنوه فی المسألة من الحفظ للنقض و الاحتجاج علی أهلها،أو الاطلاع علی مطالبهم لیحصل به التقیة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جامع المقاصد،حیث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فوائد الحفظ کثیرة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أیضاً یعرف حکم ما لو کان بعض الکتاب موجباً للضلال؛فإنّ الواجب رفعه و لو بمحو جمیع الکتاب،إلّا أن یزاحم مصلحة وجوده لمفسدة وجود الضلال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باطلاً فی نفسه کان خارجاً عن المالیة،فلو قوبل بجزء</w:t>
      </w:r>
    </w:p>
    <w:p>
      <w:pPr>
        <w:pStyle w:val="BookText"/>
        <w:rPr/>
      </w:pPr>
      <w:r>
        <w:rPr>
          <w:rFonts w:ascii="IRNazanin" w:hAnsi="IRNazanin" w:eastAsia="IRNazanin"/>
          <w:color w:val="111111"/>
          <w:sz w:val="28"/>
          <w:sz w:val="28"/>
          <w:szCs w:val="28"/>
          <w:rtl w:val="true"/>
          <w:lang w:bidi="fa-IR"/>
        </w:rPr>
        <w:t>من العوض المبذول،یبطل المعاوضة بالنسبة إلیه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الحفظ المحرّم یراد به الأعم من الحفظ بظهر القلب،و النسخ، و المذاکرة،و جمیع ما له دخل فی بقاء المطالب المضلّة</w:t>
      </w:r>
      <w:r>
        <w:rPr>
          <w:rFonts w:eastAsia="IRNazanin" w:cs="IRNazanin"/>
          <w:color w:val="111111"/>
          <w:sz w:val="28"/>
          <w:szCs w:val="28"/>
          <w:rtl w:val="true"/>
          <w:lang w:bidi="fa-IR"/>
        </w:rPr>
        <w:t>.</w:t>
      </w:r>
      <w:bookmarkStart w:id="255" w:name="pg19762_189489"/>
    </w:p>
    <w:p>
      <w:pPr>
        <w:pStyle w:val="BookText"/>
        <w:rPr/>
      </w:pPr>
      <w:bookmarkEnd w:id="25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5003628_2314609296"/>
      <w:bookmarkStart w:id="257" w:name="_Toc97"/>
      <w:bookmarkEnd w:id="256"/>
      <w:r>
        <w:rPr>
          <w:rtl w:val="true"/>
        </w:rPr>
        <w:t>المسألة</w:t>
      </w:r>
      <w:r>
        <w:rPr>
          <w:rtl w:val="true"/>
        </w:rPr>
        <w:t>]</w:t>
      </w:r>
      <w:r>
        <w:rPr>
          <w:rtl w:val="true"/>
        </w:rPr>
        <w:t>الثامنة الرشوة</w:t>
      </w:r>
      <w:bookmarkEnd w:id="257"/>
    </w:p>
    <w:p>
      <w:pPr>
        <w:pStyle w:val="Heading5"/>
        <w:numPr>
          <w:ilvl w:val="4"/>
          <w:numId w:val="1"/>
        </w:numPr>
        <w:rPr/>
      </w:pPr>
      <w:bookmarkStart w:id="258" w:name="__RefHeading___Toc5003630_2314609296"/>
      <w:bookmarkStart w:id="259" w:name="_Toc98"/>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حرام،و فی جامع المقاصد و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تحریمها إجماع المسلمین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Style w:val="FootnoteAnchor"/>
          <w:rtl w:val="true"/>
        </w:rPr>
        <w:footnoteReference w:id="946"/>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کفر باللّه العظیم،أو شرک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روایة الأصبغ بن نباتة عن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والٍ احتجب عن حوائج الناس،احتجب اللّه عنه یوم القیامة و عن حوائجه، و إن أخذ هدیّة کان غلولاً،و إن أخذ رشوة فهو مشرک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الخصال فی الصحیح عن عمّار بن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غُلّ من الإمام فهو سُحت،و السحت أنواع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أُصیب من أعمال الولاة الظلمة،و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القضاة،و أُجور الفواجر،و ثمن الخمر،و النبیذ المسکر،و الربا بعد البیّنة،و أمّا الرشا فی الأحکام یا عمّار فهو الکفر باللّه العظیم</w:t>
      </w:r>
      <w:r>
        <w:rPr>
          <w:rFonts w:eastAsia="IRNazanin" w:cs="IRNazanin"/>
          <w:color w:val="111111"/>
          <w:sz w:val="28"/>
          <w:szCs w:val="28"/>
          <w:rtl w:val="true"/>
          <w:lang w:bidi="fa-IR"/>
        </w:rPr>
        <w:t xml:space="preserve">»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روایة سماعة عن أبی عبد اللّه علیه السلام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یوسف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مَن نظر إلی فرج امرأة لا تحلّ له،و رجلاً خان أخاه فی امرأته، و رجلاً احتاج الناس إلیه لفقهه فسألهم الرشوة</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هذه الروایة سؤال الرشوة لبذل فقهه،فتکون ظاهرة </w:t>
      </w:r>
      <w:r>
        <w:rPr>
          <w:rStyle w:val="FootnoteAnchor"/>
          <w:rtl w:val="true"/>
        </w:rPr>
        <w:footnoteReference w:id="952"/>
      </w:r>
      <w:r>
        <w:rPr>
          <w:rFonts w:ascii="IRNazanin" w:hAnsi="IRNazanin" w:eastAsia="IRNazanin"/>
          <w:color w:val="111111"/>
          <w:sz w:val="28"/>
          <w:sz w:val="28"/>
          <w:szCs w:val="28"/>
          <w:rtl w:val="true"/>
          <w:lang w:bidi="fa-IR"/>
        </w:rPr>
        <w:t>فی حرمة أخذ الرشوة للحکم بالحق أو للنظر فی أمر المترافعین،لیحکم بعد ذلک بینهما بالحق من غیر اجرة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المعنی هو ظاهر تفسیر الرشوة فی القاموس بالجُعل </w:t>
      </w:r>
      <w:r>
        <w:rPr>
          <w:rStyle w:val="FootnoteAnchor"/>
          <w:rtl w:val="true"/>
        </w:rPr>
        <w:footnoteReference w:id="953"/>
      </w:r>
      <w:r>
        <w:rPr>
          <w:rFonts w:ascii="IRNazanin" w:hAnsi="IRNazanin" w:eastAsia="IRNazanin"/>
          <w:color w:val="111111"/>
          <w:sz w:val="28"/>
          <w:sz w:val="28"/>
          <w:szCs w:val="28"/>
          <w:rtl w:val="true"/>
          <w:lang w:bidi="fa-IR"/>
        </w:rPr>
        <w:t>،و إلیه</w:t>
      </w:r>
    </w:p>
    <w:p>
      <w:pPr>
        <w:pStyle w:val="BookText"/>
        <w:rPr/>
      </w:pPr>
      <w:r>
        <w:rPr>
          <w:rFonts w:ascii="IRNazanin" w:hAnsi="IRNazanin" w:eastAsia="IRNazanin"/>
          <w:color w:val="111111"/>
          <w:sz w:val="28"/>
          <w:sz w:val="28"/>
          <w:szCs w:val="28"/>
          <w:rtl w:val="true"/>
          <w:lang w:bidi="fa-IR"/>
        </w:rPr>
        <w:t xml:space="preserve">نظر المحقق الثانی،حیث فسر فی حاشیة الإرشاد </w:t>
      </w:r>
      <w:r>
        <w:rPr>
          <w:rStyle w:val="FootnoteAnchor"/>
          <w:rtl w:val="true"/>
        </w:rPr>
        <w:footnoteReference w:id="954"/>
      </w:r>
      <w:r>
        <w:rPr>
          <w:rFonts w:ascii="IRNazanin" w:hAnsi="IRNazanin" w:eastAsia="IRNazanin"/>
          <w:color w:val="111111"/>
          <w:sz w:val="28"/>
          <w:sz w:val="28"/>
          <w:szCs w:val="28"/>
          <w:rtl w:val="true"/>
          <w:lang w:bidi="fa-IR"/>
        </w:rPr>
        <w:t xml:space="preserve">الرشوة بما یبذله المتحاکمان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الجُعل من المتحاکمین للحاکم رشوة </w:t>
      </w:r>
      <w:r>
        <w:rPr>
          <w:rStyle w:val="FootnoteAnchor"/>
          <w:rtl w:val="true"/>
        </w:rPr>
        <w:footnoteReference w:id="9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صریح الحلی أیضاً فی مسألة تحریم أخذ الرشوة مطلقاً و إعطائها،إلّا إذا کان علی إجراء حکم صحیح،فلا یحرم علی المعطی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عن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قلّما تستعمل الرشوة إلّا فیما یتوصل به إلی إبطال حق أو تمشیة باطل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ما یعطیه الشخص للحاکم أو غیره لیحکم له أو یحمله علی ما یرید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الوصلة إلی الحاجة بالمصانعة،و الراشی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یعطی ما یعینه علی الباطل،و المرتشی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الآخذ،و الرائش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یسعی بینهما،یستزید لهذا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یستنقص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یدلّ علی عدم عموم الرشا لمطلق الجعل علی الحکم ما تقدم فی روایة عمار بن مروان </w:t>
      </w:r>
      <w:r>
        <w:rPr>
          <w:rStyle w:val="FootnoteAnchor"/>
          <w:rtl w:val="true"/>
        </w:rPr>
        <w:footnoteReference w:id="963"/>
      </w:r>
      <w:r>
        <w:rPr>
          <w:rFonts w:ascii="IRNazanin" w:hAnsi="IRNazanin" w:eastAsia="IRNazanin"/>
          <w:color w:val="111111"/>
          <w:sz w:val="28"/>
          <w:sz w:val="28"/>
          <w:szCs w:val="28"/>
          <w:rtl w:val="true"/>
          <w:lang w:bidi="fa-IR"/>
        </w:rPr>
        <w:t>من جعل الرشاء فی الحکم مقابلاً لاُجور القضاة،خصوصاً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یختص بما یبذل علی خصوص الباطل،بل یعم ما یبذل لحصول غرضه،و هو الحکم له حقاً کان أو باطلاً،و هو ظاهر ما تقدم عن المصباح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حمل روایة یوسف بن جابر </w:t>
      </w:r>
      <w:r>
        <w:rPr>
          <w:rStyle w:val="FootnoteAnchor"/>
          <w:rtl w:val="true"/>
        </w:rPr>
        <w:footnoteReference w:id="964"/>
      </w:r>
      <w:r>
        <w:rPr>
          <w:rFonts w:ascii="IRNazanin" w:hAnsi="IRNazanin" w:eastAsia="IRNazanin"/>
          <w:color w:val="111111"/>
          <w:sz w:val="28"/>
          <w:sz w:val="28"/>
          <w:szCs w:val="28"/>
          <w:rtl w:val="true"/>
          <w:lang w:bidi="fa-IR"/>
        </w:rPr>
        <w:t>علی سؤال الرشوة للحکم للراشی حقاً أو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الجُعل،فأُطلق علیه الرشوة تأکیداً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حرمة أخذ الحاکم للجُعل من المتحاکمین مع تعیّن الحکومة علیه،کما یدلّ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احتاج الناس إلیه لفقهه</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المنع مطلقاً،بل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النص و الإجماع </w:t>
      </w:r>
      <w:r>
        <w:rPr>
          <w:rStyle w:val="FootnoteAnchor"/>
          <w:rtl w:val="true"/>
        </w:rPr>
        <w:footnoteReference w:id="966"/>
      </w:r>
      <w:r>
        <w:rPr>
          <w:rFonts w:ascii="IRNazanin" w:hAnsi="IRNazanin" w:eastAsia="IRNazanin"/>
          <w:color w:val="111111"/>
          <w:sz w:val="28"/>
          <w:sz w:val="28"/>
          <w:szCs w:val="28"/>
          <w:rtl w:val="true"/>
          <w:lang w:bidi="fa-IR"/>
        </w:rPr>
        <w:t xml:space="preserve">،و لعله لحمل الاحتیاج فی الروایة علی الاحتیاج إلی نوعه، و لإطلاق ما تقدّم </w:t>
      </w:r>
      <w:r>
        <w:rPr>
          <w:rStyle w:val="FootnoteAnchor"/>
          <w:rtl w:val="true"/>
        </w:rPr>
        <w:footnoteReference w:id="967"/>
      </w:r>
      <w:r>
        <w:rPr>
          <w:rFonts w:ascii="IRNazanin" w:hAnsi="IRNazanin" w:eastAsia="IRNazanin"/>
          <w:color w:val="111111"/>
          <w:sz w:val="28"/>
          <w:sz w:val="28"/>
          <w:szCs w:val="28"/>
          <w:rtl w:val="true"/>
          <w:lang w:bidi="fa-IR"/>
        </w:rPr>
        <w:t>فی روایة عمّار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أُجور القضاة</w:t>
      </w:r>
    </w:p>
    <w:p>
      <w:pPr>
        <w:pStyle w:val="BookText"/>
        <w:rPr/>
      </w:pPr>
      <w:r>
        <w:rPr>
          <w:rFonts w:ascii="IRNazanin" w:hAnsi="IRNazanin" w:eastAsia="IRNazanin"/>
          <w:color w:val="111111"/>
          <w:sz w:val="28"/>
          <w:sz w:val="28"/>
          <w:szCs w:val="28"/>
          <w:rtl w:val="true"/>
          <w:lang w:bidi="fa-IR"/>
        </w:rPr>
        <w:t xml:space="preserve">من السحت </w:t>
      </w:r>
      <w:r>
        <w:rPr>
          <w:rStyle w:val="FootnoteAnchor"/>
          <w:rtl w:val="true"/>
        </w:rPr>
        <w:footnoteReference w:id="968"/>
      </w:r>
      <w:r>
        <w:rPr>
          <w:rFonts w:ascii="IRNazanin" w:hAnsi="IRNazanin" w:eastAsia="IRNazanin"/>
          <w:color w:val="111111"/>
          <w:sz w:val="28"/>
          <w:sz w:val="28"/>
          <w:szCs w:val="28"/>
          <w:rtl w:val="true"/>
          <w:lang w:bidi="fa-IR"/>
        </w:rPr>
        <w:t>بناءً علی أنّ الأجر فی العرف یشمل الجُعل و إن کان بینهما فرق عند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المنع بصحیحة ابن سنان،قال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علیه السلام عن قاضٍ بین قریتین </w:t>
      </w:r>
      <w:r>
        <w:rPr>
          <w:rStyle w:val="FootnoteAnchor"/>
          <w:rtl w:val="true"/>
        </w:rPr>
        <w:footnoteReference w:id="969"/>
      </w:r>
      <w:r>
        <w:rPr>
          <w:rFonts w:ascii="IRNazanin" w:hAnsi="IRNazanin" w:eastAsia="IRNazanin"/>
          <w:color w:val="111111"/>
          <w:sz w:val="28"/>
          <w:sz w:val="28"/>
          <w:szCs w:val="28"/>
          <w:rtl w:val="true"/>
          <w:lang w:bidi="fa-IR"/>
        </w:rPr>
        <w:t>یأخذ علی القضاء الرزق من السلطان،قال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الروایة کون القاضی منصوباً من قبل السلطان، الظاهر بل الصریح فی سلطان الجور؛إذ ما یؤخذ من العادل لا یکون سُحتاً قطعاً،و لا شکّ أنّ هذا المنصوب غیر قابل للقضاء، فما یأخذه سُحت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کونه قابلاً للقضاء لم یکن رزقه من بیت المال أو من جائزة السلطان محرماً قطعاً،فیجب إخراجه عن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الرزق من غیر بیت المال،و جعله علی القضاء بمعنی المقابلة قرینة علی إرادة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کان،فالأولی فی الاستدلال علی المنع ما ذکرناه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لظاهر المقنعة </w:t>
      </w:r>
      <w:r>
        <w:rPr>
          <w:rStyle w:val="FootnoteAnchor"/>
          <w:rtl w:val="true"/>
        </w:rPr>
        <w:footnoteReference w:id="971"/>
      </w:r>
      <w:r>
        <w:rPr>
          <w:rFonts w:ascii="IRNazanin" w:hAnsi="IRNazanin" w:eastAsia="IRNazanin"/>
          <w:color w:val="111111"/>
          <w:sz w:val="28"/>
          <w:sz w:val="28"/>
          <w:szCs w:val="28"/>
          <w:rtl w:val="true"/>
          <w:lang w:bidi="fa-IR"/>
        </w:rPr>
        <w:t xml:space="preserve">و المحکی عن القاضی </w:t>
      </w:r>
      <w:r>
        <w:rPr>
          <w:rStyle w:val="FootnoteAnchor"/>
          <w:rtl w:val="true"/>
        </w:rPr>
        <w:footnoteReference w:id="972"/>
      </w:r>
      <w:r>
        <w:rPr>
          <w:rFonts w:ascii="IRNazanin" w:hAnsi="IRNazanin" w:eastAsia="IRNazanin"/>
          <w:color w:val="111111"/>
          <w:sz w:val="28"/>
          <w:sz w:val="28"/>
          <w:szCs w:val="28"/>
          <w:rtl w:val="true"/>
          <w:lang w:bidi="fa-IR"/>
        </w:rPr>
        <w:t xml:space="preserve">من </w:t>
      </w:r>
      <w:r>
        <w:rPr>
          <w:rStyle w:val="FootnoteAnchor"/>
          <w:rtl w:val="true"/>
        </w:rPr>
        <w:footnoteReference w:id="973"/>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w:t>
      </w:r>
      <w:r>
        <w:rPr>
          <w:rStyle w:val="FootnoteAnchor"/>
          <w:rtl w:val="true"/>
        </w:rPr>
        <w:footnoteReference w:id="974"/>
      </w:r>
      <w:r>
        <w:rPr>
          <w:rFonts w:ascii="IRNazanin" w:hAnsi="IRNazanin" w:eastAsia="IRNazanin"/>
          <w:color w:val="111111"/>
          <w:sz w:val="28"/>
          <w:sz w:val="28"/>
          <w:szCs w:val="28"/>
          <w:rtl w:val="true"/>
          <w:lang w:bidi="fa-IR"/>
        </w:rPr>
        <w:t>للأصل،و ظاهر روایة حمزة بن حمران،قال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استأکل بعلمه افتقر،قلت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شیعتک قوماً یتحمّلون علومکم و یبثونها فی شیعتکم فلا یُعدَمون منهم البرّ و الصلة و الإکرام؟فقال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أُولئک بمستأکلین،إنّما ذاک الذی یفتی بغیر علم و لا هدیً من اللّه،لیبطل به الحقوق،طمعاً فی حطام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لیبطل به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للغایة أو للعاقبة،و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حرمة أخذ المال فی مقابل الحکم بالباطل،و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حرمة الانتصاب للفتوی من غیر علم طمعاً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تقدیر،فظاهرها حصر الاستیکال المذموم فی ما کان لأجل الحکم بالباطل،أو مع عدم معرفة الحقّ،فیجوز الاستیکال مع الحکم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کون الحصر إضافیاً بالنسبة إلی الفرد الذی ذکره السائل فلا یدلّ إلّا علی عدم الذم علی هذا الفرد،دون کلّ من کان غیر المحصور فیه خلاف الظاهر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فی المختلف،فجوّز أخذ الجُعل و الأُجرة مع حاجة القاضی</w:t>
      </w:r>
    </w:p>
    <w:p>
      <w:pPr>
        <w:pStyle w:val="BookText"/>
        <w:rPr/>
      </w:pPr>
      <w:r>
        <w:rPr>
          <w:rFonts w:ascii="IRNazanin" w:hAnsi="IRNazanin" w:eastAsia="IRNazanin"/>
          <w:color w:val="111111"/>
          <w:sz w:val="28"/>
          <w:sz w:val="28"/>
          <w:szCs w:val="28"/>
          <w:rtl w:val="true"/>
          <w:lang w:bidi="fa-IR"/>
        </w:rPr>
        <w:t xml:space="preserve">و عدم تعین القضاء علیه،و منعه مع غناه أو عدم الغنی عنه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اعتبار عدم تعین القضاء لما تقرر عندهم من حرمة الأُجرة علی الواجبات العینیة،و حاجته لا تسوّغ أخذ الأُجرة علیها،و إنّما یجب علی القاضی و غیره رفع حاجته من 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اعتبار الحاجة،فلظهور اختصاص أدلّة المنع بصورة الاستغناء، کما یظهر بالتأمّل فی روایتی یوسف و عمّار المتقدمتین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مانع من التکسب بالقضاء من جهة وجوبه الکفائی،کما هو أحد الأقوال فی المسألة الآتیة فی محلها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الارتزاق من بیت المال،فلا إشکال فی جوازه للقاضی مع حاجته،بل مطلقاً إذا رأی الإمام المصلحة فیه،لما سیجیء من الأخبار الواردة فی مصارف الأراضی الخراجیة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کتبه أمیر المؤمنین علیه السلام إلی مالک الأشتر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افسح له أی للقاضی فی البذل </w:t>
      </w:r>
      <w:r>
        <w:rPr>
          <w:rStyle w:val="FootnoteAnchor"/>
          <w:rtl w:val="true"/>
        </w:rPr>
        <w:footnoteReference w:id="978"/>
      </w:r>
      <w:r>
        <w:rPr>
          <w:rFonts w:ascii="IRNazanin" w:hAnsi="IRNazanin" w:eastAsia="IRNazanin"/>
          <w:color w:val="111111"/>
          <w:sz w:val="28"/>
          <w:sz w:val="28"/>
          <w:szCs w:val="28"/>
          <w:rtl w:val="true"/>
          <w:lang w:bidi="fa-IR"/>
        </w:rPr>
        <w:t>ما یزیح علته و تقلّ معه حاجته إلی الناس</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أن یأخذ الرزق من السلطان العادل،أو من الجائر، لما سیجیء من حلّیة بیت المال لأهله و لو خرج من ید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تقدم فی صحیحة ابن سنان </w:t>
      </w:r>
      <w:r>
        <w:rPr>
          <w:rStyle w:val="FootnoteAnchor"/>
          <w:rtl w:val="true"/>
        </w:rPr>
        <w:footnoteReference w:id="980"/>
      </w:r>
      <w:r>
        <w:rPr>
          <w:rFonts w:ascii="IRNazanin" w:hAnsi="IRNazanin" w:eastAsia="IRNazanin"/>
          <w:color w:val="111111"/>
          <w:sz w:val="28"/>
          <w:sz w:val="28"/>
          <w:szCs w:val="28"/>
          <w:rtl w:val="true"/>
          <w:lang w:bidi="fa-IR"/>
        </w:rPr>
        <w:t>،من المنع من أخذ الرزق من السلطان،فقد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الهدیة،و هی ما یبذله علی وجه الهبة لیورث المودّة الموجبة للحکم له حقاً کان أو باطلاً و إن لم یقصد المبذول له الحکم إلّا بالحق إذا عرف و لو من القرائن أنّ الأوّل </w:t>
      </w:r>
      <w:r>
        <w:rPr>
          <w:rStyle w:val="FootnoteAnchor"/>
          <w:rtl w:val="true"/>
        </w:rPr>
        <w:footnoteReference w:id="981"/>
      </w:r>
      <w:r>
        <w:rPr>
          <w:rFonts w:ascii="IRNazanin" w:hAnsi="IRNazanin" w:eastAsia="IRNazanin"/>
          <w:color w:val="111111"/>
          <w:sz w:val="28"/>
          <w:sz w:val="28"/>
          <w:szCs w:val="28"/>
          <w:rtl w:val="true"/>
          <w:lang w:bidi="fa-IR"/>
        </w:rPr>
        <w:t>قصد الحکم له علی کلّ تقدیر، فیکون الفرق بینها و بین 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الرشوة تبذل لأجل الحکم،و الهدیّة تبذل لإیراث الحب المحرّک له علی الحکم علی وفق مطلبه فالظاهر حرمتها؛لأنّها رشوة أو بحکمها بتنقیح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یحمل ما تقدم من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 یعنی الوالی هدیة کان غلولاً</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هدایا العمّال غلول</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عیون الأخبار،عن مولانا أبی الحسن الرضا علیه السلام،عن أمیر المؤمنین علیه السلام فی تفسیر قوله تعالی أَکّٰالُونَ لِلسُّحْتِ </w:t>
      </w:r>
      <w:r>
        <w:rPr>
          <w:rStyle w:val="FootnoteAnchor"/>
          <w:rtl w:val="true"/>
        </w:rPr>
        <w:footnoteReference w:id="985"/>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یقضی لأخیه حاجته،ثم یقبل هدیته</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للروایة توجیهات تکون الروایة علی بعضها محمولة علی ظاهرها من التحریم،و علی بعضها محمولة علی المبالغة فی رجحان التجنّب عن قبول الهدایا من أهل الحاجة إلیه،لئلّا یقع فی الرشوة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تحرم الرشوة فی غیر الحکم؟ بناءً علی صدقها کما یظهر ممّا تقدم عن المصباح و النهایة </w:t>
      </w:r>
      <w:r>
        <w:rPr>
          <w:rStyle w:val="FootnoteAnchor"/>
          <w:rtl w:val="true"/>
        </w:rPr>
        <w:footnoteReference w:id="987"/>
      </w:r>
      <w:r>
        <w:rPr>
          <w:rFonts w:ascii="IRNazanin" w:hAnsi="IRNazanin" w:eastAsia="IRNazanin"/>
          <w:color w:val="111111"/>
          <w:sz w:val="28"/>
          <w:sz w:val="28"/>
          <w:szCs w:val="28"/>
          <w:rtl w:val="true"/>
          <w:lang w:bidi="fa-IR"/>
        </w:rPr>
        <w:t>کأن یبذل له مالاً علی أن یصلح أمره عند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أمره منحصراً فی المحرّم أو مشترکاً بینه و بین المحلّل لکن بذل علی إصلاحه حراماً أو حلالاً،فالظاهر حرمته لا لأجل الرشوة لعدم الدلیل علیه عدا بعض الإطلاقات المنصرف إلی الرُّشا فی الحکم بل لأنّه أکلٌ للمال بالباطل،فتکون الحرمة هنا لأجل الفساد، فلا یحرم القبض فی نفسه،و إنّما یحرم التصرف لأنّه باقٍ علی ملک الغیر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نعم،یمکن أن یستدلّ علی حرمته بفحوی إطلاق ما تقدم فی هدیّة الولاة و العمال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بذل المال علی وجه الهدیّة الموجبة لقضاء الحاجة المباحة فلا حظر فیه،کما یدلّ علیه ما ورد فی أنّ الرجل یبذل الرشوة لیتحرک من منزله لیسکنه؟قال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المنزل المشترک،کالمدرسة و المسجد و السوق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التفصیل فی الرشوة بین الحاجة المحرَّمة و غیرها، روایة الصیرفی،قال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علیه السلام و سأله حفص الأعور،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عمّال </w:t>
      </w:r>
      <w:r>
        <w:rPr>
          <w:rStyle w:val="FootnoteAnchor"/>
          <w:rtl w:val="true"/>
        </w:rPr>
        <w:footnoteReference w:id="990"/>
      </w:r>
      <w:r>
        <w:rPr>
          <w:rFonts w:ascii="IRNazanin" w:hAnsi="IRNazanin" w:eastAsia="IRNazanin"/>
          <w:color w:val="111111"/>
          <w:sz w:val="28"/>
          <w:sz w:val="28"/>
          <w:szCs w:val="28"/>
          <w:rtl w:val="true"/>
          <w:lang w:bidi="fa-IR"/>
        </w:rPr>
        <w:t xml:space="preserve">السلطان یشترون منّا القِرَب و الإداوة </w:t>
      </w:r>
      <w:r>
        <w:rPr>
          <w:rStyle w:val="FootnoteAnchor"/>
          <w:rtl w:val="true"/>
        </w:rPr>
        <w:footnoteReference w:id="991"/>
      </w:r>
      <w:r>
        <w:rPr>
          <w:rFonts w:ascii="IRNazanin" w:hAnsi="IRNazanin" w:eastAsia="IRNazanin"/>
          <w:color w:val="111111"/>
          <w:sz w:val="28"/>
          <w:sz w:val="28"/>
          <w:szCs w:val="28"/>
          <w:rtl w:val="true"/>
          <w:lang w:bidi="fa-IR"/>
        </w:rPr>
        <w:t>فیوکّلون الوکیل حتی یستوفیه منّا،فنرشوه حتی لا یظلمنا؟فقال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بما تصلح به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ساعة،ثم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رشوته یأخذ منک أقلّ من الشرط؟قلت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 رشوتک</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یُعدُّ من الرشوة أو یلحق بها المعاملة المشتملة علی المحاباة کبیعه من القاضی ما یساوی عشرة دراهم بدرهم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یقصد من المعاملة إلّا المحاباة التی فی ضمنها،أو قصد المعاملة لکن جعل المحاباة لأجل الحکم له بأن کان الحکم له من قبیل ما تواطئا علیه من الشروط غیر المصرّح بها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قصد أصل المعاملة و حابی فیها لجلب قلب القاضی،فهو کالهدیّة ملحقة بالرشوة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فساد المعاملة المحابی فیها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ما حکم بحرمة أخذه وجب علی الآخذ ردّه و ردّ بدله مع التلف إذا قصد مقابلته بالحکم،کالجُعل و الأُجرة حیث حکم بتحریمهما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الرشوة؛لأنّها حقیقة جُعل علی الباطل؛و لذا فسّره </w:t>
      </w:r>
      <w:r>
        <w:rPr>
          <w:rStyle w:val="FootnoteAnchor"/>
          <w:rtl w:val="true"/>
        </w:rPr>
        <w:footnoteReference w:id="993"/>
      </w:r>
      <w:r>
        <w:rPr>
          <w:rFonts w:ascii="IRNazanin" w:hAnsi="IRNazanin" w:eastAsia="IRNazanin"/>
          <w:color w:val="111111"/>
          <w:sz w:val="28"/>
          <w:sz w:val="28"/>
          <w:szCs w:val="28"/>
          <w:rtl w:val="true"/>
          <w:lang w:bidi="fa-IR"/>
        </w:rPr>
        <w:t xml:space="preserve">فی القاموس بالجُعل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یقصد بها المقابلة،بل أعطی مجاناً لیکون داعیاً علی الحکم و هو المسمّی بالهدیّة فالظاهر عدم ضمانه؛لأنّ مرجعه إلی هبة مجانیة فاسدة،إذ الداعی لا یعدّ عوضاً،و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یدلّ علی حرمة الأخذ،لا علی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بغیر الید المتفرعة علی التسلیط المجانی؛ و لذا لا یضمن بالهبة الفاسدة فی غیر هذا المقام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کلام بعض المعاصرین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احتمال عدم الضمان فی الرشوة</w:t>
      </w:r>
    </w:p>
    <w:p>
      <w:pPr>
        <w:pStyle w:val="BookText"/>
        <w:rPr/>
      </w:pPr>
      <w:r>
        <w:rPr>
          <w:rFonts w:ascii="IRNazanin" w:hAnsi="IRNazanin" w:eastAsia="IRNazanin"/>
          <w:color w:val="111111"/>
          <w:sz w:val="28"/>
          <w:sz w:val="28"/>
          <w:szCs w:val="28"/>
          <w:rtl w:val="true"/>
          <w:lang w:bidi="fa-IR"/>
        </w:rPr>
        <w:t>مطلقاً غیر بعید معللاً بتسلیط المالک علیها مجاناً،قال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تشبه المعاوضة،و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بین تعلیلیة من التنافی؛لأنّ شبهها بالمعاوضة یستلزم الضمان؛لأنّ المعاوضة الصحیحة توجب ضمان کل منهما ما وصل إلیه بعوضه الذی دفعه،فیکون مع الفساد مضموناً بعوضه الواقعی،و هو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المعاوضات ما لا یضمن بالعوض بصحیحه حتّی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یتحقق عدم الضمان فی بعض المعاوضات بالنسبة إلی غیر العوض،کما أنّ العین المستأجرة غیر مضمونة فی ید المستأجر بالإجارة؛فربّما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مضمونة إذا قبض بالإجارة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کلام آخر </w:t>
      </w:r>
      <w:r>
        <w:rPr>
          <w:rStyle w:val="FootnoteAnchor"/>
          <w:rtl w:val="true"/>
        </w:rPr>
        <w:footnoteReference w:id="996"/>
      </w:r>
      <w:r>
        <w:rPr>
          <w:rFonts w:ascii="IRNazanin" w:hAnsi="IRNazanin" w:eastAsia="IRNazanin"/>
          <w:color w:val="111111"/>
          <w:sz w:val="28"/>
          <w:sz w:val="28"/>
          <w:szCs w:val="28"/>
          <w:rtl w:val="true"/>
          <w:lang w:bidi="fa-IR"/>
        </w:rPr>
        <w:t>و الکلام فی ضمان العوض بالمعاوضة الفاسدة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کونها معاوضة أو شبیهة بها وجه لضمان العوض فیها،لا لعدم الضمان</w:t>
      </w:r>
      <w:r>
        <w:rPr>
          <w:rFonts w:eastAsia="IRNazanin" w:cs="IRNazanin"/>
          <w:color w:val="111111"/>
          <w:sz w:val="28"/>
          <w:szCs w:val="28"/>
          <w:rtl w:val="true"/>
          <w:lang w:bidi="fa-IR"/>
        </w:rPr>
        <w:t>.</w:t>
      </w:r>
      <w:bookmarkStart w:id="260" w:name="pg19762_189501"/>
    </w:p>
    <w:p>
      <w:pPr>
        <w:pStyle w:val="Heading5"/>
        <w:numPr>
          <w:ilvl w:val="4"/>
          <w:numId w:val="1"/>
        </w:numPr>
        <w:rPr/>
      </w:pPr>
      <w:bookmarkStart w:id="261" w:name="__RefHeading___Toc5003632_2314609296"/>
      <w:bookmarkStart w:id="262" w:name="_Toc99"/>
      <w:bookmarkEnd w:id="260"/>
      <w:bookmarkEnd w:id="261"/>
      <w:r>
        <w:rPr>
          <w:rtl w:val="true"/>
        </w:rPr>
        <w:t>«</w:t>
      </w:r>
      <w:r>
        <w:rPr>
          <w:rtl w:val="true"/>
        </w:rPr>
        <w:t>فروع</w:t>
      </w:r>
      <w:r>
        <w:rPr>
          <w:rtl w:val="true"/>
        </w:rPr>
        <w:t xml:space="preserve">» </w:t>
      </w:r>
      <w:r>
        <w:rPr>
          <w:rtl w:val="true"/>
        </w:rPr>
        <w:t>فی اختلاف الدافع و القابض</w:t>
      </w:r>
      <w:bookmarkEnd w:id="262"/>
    </w:p>
    <w:p>
      <w:pPr>
        <w:pStyle w:val="BookText"/>
        <w:rPr/>
      </w:pPr>
      <w:r>
        <w:rPr>
          <w:rFonts w:ascii="IRNazanin" w:hAnsi="IRNazanin" w:eastAsia="IRNazanin"/>
          <w:color w:val="111111"/>
          <w:sz w:val="28"/>
          <w:sz w:val="28"/>
          <w:szCs w:val="28"/>
          <w:rtl w:val="true"/>
          <w:lang w:bidi="fa-IR"/>
        </w:rPr>
        <w:t>لو ادّعی الدافع أنّها هدیة ملحقة بالرشوة فی الفساد و الحرمة، و ادعی القابض أنّها هبة صحیحة لداعی القربة أو غیرها،احتمل تقدیم الأوّل؛لأنّ الدافع أعرف بنیته،و لأصالة الضمان فی الید إذا کانت الدعوی بعد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تقدیم الثانی،لأنّه یدّعی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الدافع أنّها رشوة أو اجرة علی المحرم،و ادّعی القابض کونها هبة صحیحة،احتمل أنّه کذلک؛لأنّ الأمر یدور بین الهبة الصحیحة و 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العدم؛إذ لا عقد مشترک هنا اختلفا فی صحته و فساده، فالدافع منکر لأصل العقد الذی یدّعیه القابض،لا لصحته،فیحلف علی عدم وقوعه،و لیس هذا من مورد التداعی،کما لا یخفی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ادّعی الدافع أنّها رشوة،و القابض أنّها هدیّة فاسدة لدفع الغرم عن نفسه بناءً علی ما سبق من أنّ الهدیّة المحرمة لا توجب الضمان ففی تقدیم الأوّل لأصالة الضمان فی الید،أو الآخر لأصالة عدم سبب الضمان و منع أصالة الضمان،وجهان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أقواهما الأوّل؛لأنّ عموم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یقضی بالضمان،إلّا مع تسلیط المالک مجّاناً،و الأصل عدم تحققه،و هذا حاکم علی أصالة عدم سبب الضمان،فافهم</w:t>
      </w:r>
      <w:r>
        <w:rPr>
          <w:rFonts w:eastAsia="IRNazanin" w:cs="IRNazanin"/>
          <w:color w:val="111111"/>
          <w:sz w:val="28"/>
          <w:szCs w:val="28"/>
          <w:rtl w:val="true"/>
          <w:lang w:bidi="fa-IR"/>
        </w:rPr>
        <w:t>.</w:t>
      </w:r>
      <w:bookmarkStart w:id="263" w:name="pg19762_189503"/>
    </w:p>
    <w:p>
      <w:pPr>
        <w:pStyle w:val="BookText"/>
        <w:rPr/>
      </w:pPr>
      <w:bookmarkEnd w:id="26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5003634_2314609296"/>
      <w:bookmarkStart w:id="265" w:name="_Toc100"/>
      <w:bookmarkEnd w:id="264"/>
      <w:r>
        <w:rPr>
          <w:rtl w:val="true"/>
        </w:rPr>
        <w:t>المسألة</w:t>
      </w:r>
      <w:r>
        <w:rPr>
          <w:rtl w:val="true"/>
        </w:rPr>
        <w:t>]</w:t>
      </w:r>
      <w:r>
        <w:rPr>
          <w:rtl w:val="true"/>
        </w:rPr>
        <w:t>التاسعة سبّ المؤمنین</w:t>
      </w:r>
      <w:bookmarkEnd w:id="265"/>
    </w:p>
    <w:p>
      <w:pPr>
        <w:pStyle w:val="BookText"/>
        <w:rPr/>
      </w:pPr>
      <w:r>
        <w:rPr>
          <w:rFonts w:ascii="IRNazanin" w:hAnsi="IRNazanin" w:eastAsia="IRNazanin"/>
          <w:color w:val="111111"/>
          <w:sz w:val="28"/>
          <w:sz w:val="28"/>
          <w:szCs w:val="28"/>
          <w:rtl w:val="true"/>
          <w:lang w:bidi="fa-IR"/>
        </w:rPr>
        <w:t>حرام فی الجملة بالأدلّة الأربعة؛لأنّه ظلم و إیذاء و إذلال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أبی بصیر،عن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 و قتاله کفر و أکل لحمه معصیة و حرمة ماله کحرمة دمه</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کالمشرف علی الهلکة</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بصیر،عن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تمیم إلی رسول اللّه صلّی اللّه علیه و آله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أوصنی،فکان فیما أوصاه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فتکتسبوا العداوة</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الحجاج،عن أبی الحسن علیه السلام فی رجلین یتسابّان،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 منهما أظلم،و وزره علی صاحبه ما لم یعتذر إلی المظلوم</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مرجع الضمائر اغتشاش،و یمکن الخطأ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و اللّه أعلم أنّ مثل وزر صاحبه علیه لإیقاعه إیّاه فی السبّ،من غیر أن یخفف عن صاحبه شیء،فإذا اعتذر إلی المظلوم عن سبّه و إیقاعه إیّاه فی السبّ برأ من الوزرین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المرجع فی السبّ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فسّره فی جامع المقاصد بإسناد ما یقتضی نقصه إلیه،مثل الوضیع و الناقص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السبّ و الشتم بمعنی واحد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 أن تصف الشخص بما هو إزراءٌ و نقص،فیدخل فی النقص کلُّ ما یوجب الأذی،کالقذف و الحقیر و الوضیع و الکلب و الکافر و المرتد،و التعبیر بشیء من بلاء اللّه تعالی</w:t>
      </w:r>
    </w:p>
    <w:p>
      <w:pPr>
        <w:pStyle w:val="BookText"/>
        <w:rPr/>
      </w:pPr>
      <w:r>
        <w:rPr>
          <w:rFonts w:ascii="IRNazanin" w:hAnsi="IRNazanin" w:eastAsia="IRNazanin"/>
          <w:color w:val="111111"/>
          <w:sz w:val="28"/>
          <w:sz w:val="28"/>
          <w:szCs w:val="28"/>
          <w:rtl w:val="true"/>
          <w:lang w:bidi="fa-IR"/>
        </w:rPr>
        <w:t xml:space="preserve">کالأجذم و الأبرص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الظاهر أنّه لا یعتبر فی صدق السبّ مواجهة المسبوب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یعتبر فیه قصد الإهانة و النقص،فالنسبة بینه و بین الغیبة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تعدد العقاب فی مادة الاجتماع؛لأنّ مجرد ذکر الشخص بما یکرهه لو سمعه و لو لا لقصد الإهانة غیبة محرمة،و الإهانة محرّم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یستثنی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المظاهر بالفسق،لما سیجیء فی الغیبة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حرمة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یعتبر فی جواز سبّه کونه من باب النهی عن المنکر فیشترط بشروطه،أم لا؟ظاهر النصوص و الفتاوی کما فی الروضة </w:t>
      </w:r>
      <w:r>
        <w:rPr>
          <w:rStyle w:val="FootnoteAnchor"/>
          <w:rtl w:val="true"/>
        </w:rPr>
        <w:footnoteReference w:id="1007"/>
      </w:r>
      <w:r>
        <w:rPr>
          <w:rFonts w:ascii="IRNazanin" w:hAnsi="IRNazanin" w:eastAsia="IRNazanin"/>
          <w:color w:val="111111"/>
          <w:sz w:val="28"/>
          <w:sz w:val="28"/>
          <w:szCs w:val="28"/>
          <w:rtl w:val="true"/>
          <w:lang w:bidi="fa-IR"/>
        </w:rPr>
        <w:t>الثانی، و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منه المبتدع أیضاً؛لقوله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رأیتم أهل </w:t>
      </w:r>
      <w:r>
        <w:rPr>
          <w:rStyle w:val="FootnoteAnchor"/>
          <w:rtl w:val="true"/>
        </w:rPr>
        <w:footnoteReference w:id="1008"/>
      </w:r>
      <w:r>
        <w:rPr>
          <w:rFonts w:ascii="IRNazanin" w:hAnsi="IRNazanin" w:eastAsia="IRNazanin"/>
          <w:color w:val="111111"/>
          <w:sz w:val="28"/>
          <w:sz w:val="28"/>
          <w:szCs w:val="28"/>
          <w:rtl w:val="true"/>
          <w:lang w:bidi="fa-IR"/>
        </w:rPr>
        <w:t>البدع من بعدی فأظهروا البراءة منهم،و أکثروا من سبّهم و الوقیعة فیهم</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یستثنی من ذلک ما إذا لم یتأثّر المسبوب عرفاً،بأن لا یوجب قول هذا القائل فی حقّه مذلّة و لا نقصاً،کقول الوالد لولده</w:t>
      </w:r>
    </w:p>
    <w:p>
      <w:pPr>
        <w:pStyle w:val="BookText"/>
        <w:rPr/>
      </w:pPr>
      <w:r>
        <w:rPr>
          <w:rFonts w:ascii="IRNazanin" w:hAnsi="IRNazanin" w:eastAsia="IRNazanin"/>
          <w:color w:val="111111"/>
          <w:sz w:val="28"/>
          <w:sz w:val="28"/>
          <w:szCs w:val="28"/>
          <w:rtl w:val="true"/>
          <w:lang w:bidi="fa-IR"/>
        </w:rPr>
        <w:t>أو السیّد لعبده عند مشاهدة 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غیظه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 ذلک،سواء لم یتأثر المقول فیه </w:t>
      </w:r>
      <w:r>
        <w:rPr>
          <w:rStyle w:val="FootnoteAnchor"/>
          <w:rtl w:val="true"/>
        </w:rPr>
        <w:footnoteReference w:id="1010"/>
      </w:r>
      <w:r>
        <w:rPr>
          <w:rFonts w:ascii="IRNazanin" w:hAnsi="IRNazanin" w:eastAsia="IRNazanin"/>
          <w:color w:val="111111"/>
          <w:sz w:val="28"/>
          <w:sz w:val="28"/>
          <w:szCs w:val="28"/>
          <w:rtl w:val="true"/>
          <w:lang w:bidi="fa-IR"/>
        </w:rPr>
        <w:t>بذلک بأن لم یکرهه أصلاً أم تأثر به؛بناءً علی أنّ العبرة بحصول الذلّ و النقص فیه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الثانی بعموم أدلّة حرمة الإیذاء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قال السید ذلک فی مقام التأدیب جاز؛لفحوی جواز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استفادة الجواز فی حقه ممّا ورد من مثل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Style w:val="FootnoteAnchor"/>
          <w:rtl w:val="true"/>
        </w:rPr>
        <w:footnoteReference w:id="101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استمرار السیرة بذلک،إلّا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استمرار السیرة إنّما هو مع عدم تأثر السامع و تأذّیه بذلک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یوهن التمسک بالسیرة فی جواز سبّ المعلّم للمتعلّم؛فإنّ السیرة إنّما نشأت فی الأزمنة السابقة من عدم تألّم المتعلّم بشتم المعلّم لعدّ نفسه أدون من عبده،بل ربما کان یفتخر بالسب؛لدلالته علی کمال لطفه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زماننا هذا الذی یتألّم المتعلّم فیه من المعلّم ممّا لم یتألّم به من شرکائه فی البحث من القول و الفعل،فحِلُّ إیذائه یحتاج إلی الدلیل، و اللّه الهادی إلی سواء السبیل</w:t>
      </w:r>
      <w:r>
        <w:rPr>
          <w:rFonts w:eastAsia="IRNazanin" w:cs="IRNazanin"/>
          <w:color w:val="111111"/>
          <w:sz w:val="28"/>
          <w:szCs w:val="28"/>
          <w:rtl w:val="true"/>
          <w:lang w:bidi="fa-IR"/>
        </w:rPr>
        <w:t>.</w:t>
      </w:r>
      <w:bookmarkStart w:id="266" w:name="pg19762_189507"/>
    </w:p>
    <w:p>
      <w:pPr>
        <w:pStyle w:val="BookText"/>
        <w:rPr/>
      </w:pPr>
      <w:bookmarkEnd w:id="26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5003636_2314609296"/>
      <w:bookmarkStart w:id="268" w:name="_Toc101"/>
      <w:bookmarkEnd w:id="267"/>
      <w:r>
        <w:rPr>
          <w:rtl w:val="true"/>
        </w:rPr>
        <w:t>المسألة</w:t>
      </w:r>
      <w:r>
        <w:rPr>
          <w:rtl w:val="true"/>
        </w:rPr>
        <w:t>]</w:t>
      </w:r>
      <w:r>
        <w:rPr>
          <w:rtl w:val="true"/>
        </w:rPr>
        <w:t>العاشرة السحر</w:t>
      </w:r>
      <w:bookmarkEnd w:id="268"/>
    </w:p>
    <w:p>
      <w:pPr>
        <w:pStyle w:val="Heading5"/>
        <w:numPr>
          <w:ilvl w:val="4"/>
          <w:numId w:val="1"/>
        </w:numPr>
        <w:rPr/>
      </w:pPr>
      <w:bookmarkStart w:id="269" w:name="__RefHeading___Toc5003638_2314609296"/>
      <w:bookmarkStart w:id="270" w:name="_Toc102"/>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حرام فی الجملة بلا خلاف،بل هو ضروری کما سیجیء و الأخبار به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تقدم من أنّ الساحر کالکافر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شیئاً من السحر قلیلاً أو کثیراً فقد کفر،و کان آخر عهده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حدّه أن یقتل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یتوب</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السکونی،عن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المسلمین یقتل،و ساحر الکفار لا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لا یقتل ساحر الکفار؟قال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الشرک أعظم من السحر؛و لأنّ السحر و الشرک مقرونان</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نبوی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 خَمْرٍ،و مُدْمِنُ سحرٍ،</w:t>
      </w:r>
      <w:bookmarkStart w:id="271" w:name="pg19762_189508"/>
    </w:p>
    <w:p>
      <w:pPr>
        <w:pStyle w:val="BookText"/>
        <w:rPr/>
      </w:pPr>
      <w:bookmarkEnd w:id="271"/>
      <w:r>
        <w:rPr>
          <w:rFonts w:ascii="Amiri" w:hAnsi="Amiri" w:eastAsia="Amiri" w:cs="Amiri"/>
          <w:color w:val="111111"/>
          <w:sz w:val="28"/>
          <w:sz w:val="28"/>
          <w:szCs w:val="28"/>
          <w:rtl w:val="true"/>
          <w:lang w:bidi="ar-SA"/>
        </w:rPr>
        <w:t>و قاطع رحمٍ</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5003640_2314609296"/>
      <w:bookmarkStart w:id="273" w:name="_Toc103"/>
      <w:bookmarkEnd w:id="272"/>
      <w:r>
        <w:rPr>
          <w:rtl w:val="true"/>
        </w:rPr>
        <w:t>ثم إنّ الکلام هنا یقع فی مقامین</w:t>
      </w:r>
      <w:r>
        <w:rPr>
          <w:rtl w:val="true"/>
        </w:rPr>
        <w:t>:</w:t>
      </w:r>
      <w:bookmarkEnd w:id="273"/>
    </w:p>
    <w:p>
      <w:pPr>
        <w:pStyle w:val="Heading6"/>
        <w:numPr>
          <w:ilvl w:val="5"/>
          <w:numId w:val="1"/>
        </w:numPr>
        <w:rPr/>
      </w:pPr>
      <w:bookmarkStart w:id="274" w:name="__RefHeading___Toc5003642_2314609296"/>
      <w:bookmarkStart w:id="275" w:name="_Toc104"/>
      <w:bookmarkEnd w:id="274"/>
      <w:r>
        <w:rPr>
          <w:rtl w:val="true"/>
        </w:rPr>
        <w:t>الأوّل</w:t>
      </w:r>
      <w:r>
        <w:rPr>
          <w:rtl w:val="true"/>
        </w:rPr>
        <w:t>:</w:t>
      </w:r>
      <w:r>
        <w:rPr>
          <w:rtl w:val="true"/>
        </w:rPr>
        <w:t>فی المراد بالسحر</w:t>
      </w:r>
      <w:r>
        <w:rPr>
          <w:rtl w:val="true"/>
        </w:rPr>
        <w:t>.</w:t>
      </w:r>
      <w:bookmarkEnd w:id="275"/>
    </w:p>
    <w:p>
      <w:pPr>
        <w:pStyle w:val="BookText"/>
        <w:rPr/>
      </w:pPr>
      <w:r>
        <w:rPr>
          <w:rFonts w:ascii="IRNazanin" w:hAnsi="IRNazanin" w:eastAsia="IRNazanin"/>
          <w:color w:val="111111"/>
          <w:sz w:val="28"/>
          <w:sz w:val="28"/>
          <w:szCs w:val="28"/>
          <w:rtl w:val="true"/>
          <w:lang w:bidi="fa-IR"/>
        </w:rPr>
        <w:t xml:space="preserve">و هو لغة علی ما عن بعض أهل اللغة هو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لطف مأخذه و دقّ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صرف الشیء عن وجهه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الخَدْع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إخراج الباطل فی صورة الحق</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اختلفت عبارات الأصحاب فی بیانه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العلّامة رحمه اللّه فی القواعد و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کلام یتکلم به أو یکتبه،أو رُقْیَةٌ،أو یعمل شیئاً یؤثّر فی بدن المسحور أو قلبه</w:t>
      </w:r>
    </w:p>
    <w:p>
      <w:pPr>
        <w:pStyle w:val="BookText"/>
        <w:rPr/>
      </w:pPr>
      <w:r>
        <w:rPr>
          <w:rFonts w:ascii="IRNazanin" w:hAnsi="IRNazanin" w:eastAsia="IRNazanin"/>
          <w:color w:val="111111"/>
          <w:sz w:val="28"/>
          <w:sz w:val="28"/>
          <w:szCs w:val="28"/>
          <w:rtl w:val="true"/>
          <w:lang w:bidi="fa-IR"/>
        </w:rPr>
        <w:t xml:space="preserve">أو عقله من غیر مباشرة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عقد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أقسام أو عزائم یحدث بسببها ضرر علی الغیر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فی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الدُّخْنة و التصویر و النفْث و تصفیة النفْس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یدخل جمیع ذلک فی قوله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یعمل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المسالک و محکی </w:t>
      </w:r>
      <w:r>
        <w:rPr>
          <w:rStyle w:val="FootnoteAnchor"/>
          <w:rtl w:val="true"/>
        </w:rPr>
        <w:footnoteReference w:id="1028"/>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السحر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عبارة القواعد و غیرها خصوص الإضرار بالمسحور فهو،و إلّا کان أعم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الشهیدین رحمهما اللّه عدّا من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الملائکة، و استنزال الشیاطین فی کشف الغائبات و علاج المصاب،و استحضارهم</w:t>
      </w:r>
    </w:p>
    <w:p>
      <w:pPr>
        <w:pStyle w:val="BookText"/>
        <w:rPr/>
      </w:pPr>
      <w:r>
        <w:rPr>
          <w:rFonts w:ascii="IRNazanin" w:hAnsi="IRNazanin" w:eastAsia="IRNazanin"/>
          <w:color w:val="111111"/>
          <w:sz w:val="28"/>
          <w:sz w:val="28"/>
          <w:szCs w:val="28"/>
          <w:rtl w:val="true"/>
          <w:lang w:bidi="fa-IR"/>
        </w:rPr>
        <w:t xml:space="preserve">و تلبیسهم </w:t>
      </w:r>
      <w:r>
        <w:rPr>
          <w:rStyle w:val="FootnoteAnchor"/>
          <w:rtl w:val="true"/>
        </w:rPr>
        <w:footnoteReference w:id="1029"/>
      </w:r>
      <w:r>
        <w:rPr>
          <w:rFonts w:ascii="IRNazanin" w:hAnsi="IRNazanin" w:eastAsia="IRNazanin"/>
          <w:color w:val="111111"/>
          <w:sz w:val="28"/>
          <w:sz w:val="28"/>
          <w:szCs w:val="28"/>
          <w:rtl w:val="true"/>
          <w:lang w:bidi="fa-IR"/>
        </w:rPr>
        <w:t xml:space="preserve">ببدن صبیٍّ أو امرأة،و کشف الغائبات علی </w:t>
      </w:r>
      <w:r>
        <w:rPr>
          <w:rStyle w:val="FootnoteAnchor"/>
          <w:rtl w:val="true"/>
        </w:rPr>
        <w:footnoteReference w:id="1030"/>
      </w:r>
      <w:r>
        <w:rPr>
          <w:rFonts w:ascii="IRNazanin" w:hAnsi="IRNazanin" w:eastAsia="IRNazanin"/>
          <w:color w:val="111111"/>
          <w:sz w:val="28"/>
          <w:sz w:val="28"/>
          <w:szCs w:val="28"/>
          <w:rtl w:val="true"/>
          <w:lang w:bidi="fa-IR"/>
        </w:rPr>
        <w:t xml:space="preserve">لسانه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المسحور فی ما ذکراه هی الملائکة و الجن و الشیاطین، و الإضرار بهم یحصل بتسخیرهم و تعجیزهم من المخالفة له </w:t>
      </w:r>
      <w:r>
        <w:rPr>
          <w:rStyle w:val="FootnoteAnchor"/>
          <w:rtl w:val="true"/>
        </w:rPr>
        <w:footnoteReference w:id="1032"/>
      </w:r>
      <w:r>
        <w:rPr>
          <w:rFonts w:ascii="IRNazanin" w:hAnsi="IRNazanin" w:eastAsia="IRNazanin"/>
          <w:color w:val="111111"/>
          <w:sz w:val="28"/>
          <w:sz w:val="28"/>
          <w:szCs w:val="28"/>
          <w:rtl w:val="true"/>
          <w:lang w:bidi="fa-IR"/>
        </w:rPr>
        <w:t>و إلجائهم إلی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استحداث الخوارق،إمّا بمجرّد التأثیرات النفسانیة،و هو السحر،أو بالاستعانة بالفلکیّات فقط،و هو دعوة الکواکب،أو بتمزیج القوی السماویة بالقوی الأرضیة،و هی الطلسمات، أو علی سبیل الاستعانة بالأرواح الساذجة،و هی العزائم،و یدخل فیه النَّیْرَنْجات؛و الکلّ حرام فی شریعة الإسلام،و مستحلّه کافر </w:t>
      </w:r>
      <w:r>
        <w:rPr>
          <w:rStyle w:val="FootnoteAnchor"/>
          <w:rtl w:val="true"/>
        </w:rPr>
        <w:footnoteReference w:id="10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علی هذا التفسیر فی محکی التنقیح </w:t>
      </w:r>
      <w:r>
        <w:rPr>
          <w:rStyle w:val="FootnoteAnchor"/>
          <w:rtl w:val="true"/>
        </w:rPr>
        <w:footnoteReference w:id="1034"/>
      </w:r>
      <w:r>
        <w:rPr>
          <w:rFonts w:ascii="Amiri" w:hAnsi="Amiri" w:eastAsia="Amiri" w:cs="Amiri"/>
          <w:color w:val="111111"/>
          <w:sz w:val="28"/>
          <w:sz w:val="28"/>
          <w:szCs w:val="28"/>
          <w:rtl w:val="true"/>
          <w:lang w:bidi="ar-SA"/>
        </w:rPr>
        <w:t>و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النَّیْرَنْجات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الدروس بإظهار غرائب خواص الامتزاجات و أسرار النَّیِّرَیْن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علی سبیل الاستعانة بخواص الأجسام السفلیة فهو علم الخواص،أو الاستعانة بالنِّسب الریاضیة فهو علم</w:t>
      </w:r>
      <w:bookmarkStart w:id="276" w:name="pg19762_189511"/>
    </w:p>
    <w:p>
      <w:pPr>
        <w:pStyle w:val="BookText"/>
        <w:rPr/>
      </w:pPr>
      <w:bookmarkEnd w:id="276"/>
      <w:r>
        <w:rPr>
          <w:rFonts w:ascii="IRNazanin" w:hAnsi="IRNazanin" w:eastAsia="IRNazanin"/>
          <w:color w:val="111111"/>
          <w:sz w:val="28"/>
          <w:sz w:val="28"/>
          <w:szCs w:val="28"/>
          <w:rtl w:val="true"/>
          <w:lang w:bidi="fa-IR"/>
        </w:rPr>
        <w:t xml:space="preserve">الحِیَل و جرّ الأثقال،و هذان لیسا من السحر </w:t>
      </w:r>
      <w:r>
        <w:rPr>
          <w:rStyle w:val="FootnoteAnchor"/>
          <w:rtl w:val="true"/>
        </w:rPr>
        <w:footnoteReference w:id="10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جعله خارجاً قد أدخله غیره،و فی بعض الروایات دلالة علیه،و سیجیء المحکی </w:t>
      </w:r>
      <w:r>
        <w:rPr>
          <w:rStyle w:val="FootnoteAnchor"/>
          <w:rtl w:val="true"/>
        </w:rPr>
        <w:footnoteReference w:id="1037"/>
      </w:r>
      <w:r>
        <w:rPr>
          <w:rFonts w:ascii="IRNazanin" w:hAnsi="IRNazanin" w:eastAsia="IRNazanin"/>
          <w:color w:val="111111"/>
          <w:sz w:val="28"/>
          <w:sz w:val="28"/>
          <w:szCs w:val="28"/>
          <w:rtl w:val="true"/>
          <w:lang w:bidi="fa-IR"/>
        </w:rPr>
        <w:t xml:space="preserve">و المروی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هذا التعریف أعمّ من الأوّل </w:t>
      </w:r>
      <w:r>
        <w:rPr>
          <w:rStyle w:val="FootnoteAnchor"/>
          <w:rtl w:val="true"/>
        </w:rPr>
        <w:footnoteReference w:id="1039"/>
      </w:r>
      <w:r>
        <w:rPr>
          <w:rFonts w:ascii="IRNazanin" w:hAnsi="IRNazanin" w:eastAsia="IRNazanin"/>
          <w:color w:val="111111"/>
          <w:sz w:val="28"/>
          <w:sz w:val="28"/>
          <w:szCs w:val="28"/>
          <w:rtl w:val="true"/>
          <w:lang w:bidi="fa-IR"/>
        </w:rPr>
        <w:t>لعدم اعتبار مسحور فیه فضلاً عن الإضرار ببدنه أو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الفاضل المقداد فی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عمل </w:t>
      </w:r>
      <w:r>
        <w:rPr>
          <w:rStyle w:val="FootnoteAnchor"/>
          <w:rtl w:val="true"/>
        </w:rPr>
        <w:footnoteReference w:id="1040"/>
      </w:r>
      <w:r>
        <w:rPr>
          <w:rFonts w:ascii="IRNazanin" w:hAnsi="IRNazanin" w:eastAsia="IRNazanin"/>
          <w:color w:val="111111"/>
          <w:sz w:val="28"/>
          <w:sz w:val="28"/>
          <w:szCs w:val="28"/>
          <w:rtl w:val="true"/>
          <w:lang w:bidi="fa-IR"/>
        </w:rPr>
        <w:t xml:space="preserve">یستفاد منه ملکة نفسانیة یقتدر بها علی أفعال غریبة بأسباب خفیّة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یشمل علمی الخواص و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البحار بعد ما نقل عن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لَطُف و خَفِیَ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فی عرف الشرع مختص بکلّ أمر یخفی سببه </w:t>
      </w:r>
      <w:r>
        <w:rPr>
          <w:rStyle w:val="FootnoteAnchor"/>
          <w:rtl w:val="true"/>
        </w:rPr>
        <w:footnoteReference w:id="1042"/>
      </w:r>
      <w:r>
        <w:rPr>
          <w:rFonts w:ascii="IRNazanin" w:hAnsi="IRNazanin" w:eastAsia="IRNazanin"/>
          <w:color w:val="111111"/>
          <w:sz w:val="28"/>
          <w:sz w:val="28"/>
          <w:szCs w:val="28"/>
          <w:rtl w:val="true"/>
          <w:lang w:bidi="fa-IR"/>
        </w:rPr>
        <w:t xml:space="preserve">و یُتخیَّل علی غیر حقیقته،و یجری مجری التمویه و الخداع </w:t>
      </w:r>
      <w:r>
        <w:rPr>
          <w:rStyle w:val="FootnoteAnchor"/>
          <w:rtl w:val="true"/>
        </w:rPr>
        <w:footnoteReference w:id="10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أعم من الکل؛لأنّه ذکر بعد ذلک ما حاصله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7" w:name="__RefHeading___Toc5003644_2314609296"/>
      <w:bookmarkStart w:id="278" w:name="_Toc105"/>
      <w:bookmarkEnd w:id="277"/>
      <w:r>
        <w:rPr>
          <w:rtl w:val="true"/>
        </w:rPr>
        <w:t>أنّ السحر علی أقسام</w:t>
      </w:r>
      <w:r>
        <w:rPr>
          <w:rtl w:val="true"/>
        </w:rPr>
        <w:t>:</w:t>
      </w:r>
      <w:bookmarkStart w:id="279" w:name="pg19762_189512"/>
      <w:bookmarkEnd w:id="278"/>
    </w:p>
    <w:p>
      <w:pPr>
        <w:pStyle w:val="Heading6"/>
        <w:numPr>
          <w:ilvl w:val="5"/>
          <w:numId w:val="1"/>
        </w:numPr>
        <w:rPr/>
      </w:pPr>
      <w:bookmarkStart w:id="280" w:name="__RefHeading___Toc5003646_2314609296"/>
      <w:bookmarkStart w:id="281" w:name="_Toc106"/>
      <w:bookmarkEnd w:id="279"/>
      <w:bookmarkEnd w:id="280"/>
      <w:r>
        <w:rPr>
          <w:rtl w:val="true"/>
        </w:rPr>
        <w:t>الأوّل سحر الکلدانیین</w:t>
      </w:r>
      <w:bookmarkEnd w:id="281"/>
    </w:p>
    <w:p>
      <w:pPr>
        <w:pStyle w:val="BookText"/>
        <w:rPr/>
      </w:pP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فی قدیم الدهر،و هم قوم کانوا یعبدون الکواکب،و یزعمون أنّها المدبِّرة لهذا العالم،و منها تصدر </w:t>
      </w:r>
      <w:r>
        <w:rPr>
          <w:rStyle w:val="FootnoteAnchor"/>
          <w:rtl w:val="true"/>
        </w:rPr>
        <w:footnoteReference w:id="1045"/>
      </w:r>
      <w:r>
        <w:rPr>
          <w:rFonts w:ascii="IRNazanin" w:hAnsi="IRNazanin" w:eastAsia="IRNazanin"/>
          <w:color w:val="111111"/>
          <w:sz w:val="28"/>
          <w:sz w:val="28"/>
          <w:szCs w:val="28"/>
          <w:rtl w:val="true"/>
          <w:lang w:bidi="fa-IR"/>
        </w:rPr>
        <w:t>الخیرات و الشرور و السعادات و النحوسات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أنّهم علی ثلاثة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یزعم أنّها الواجبة لذاتها الخالقة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یزعم أنّها قدیمة؛لقدم العلة المؤثرة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یزعم أنّها حادثة مخلوقة فعالة مختارة فوّض خالقُها أمر العالم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الساحر عند هذه الفرق من یعرف القوی العالیة الفعّالة بسائطها و مرکّباتها،و یعرف ما یلیق بالعالم السفلی و یعرف معدّاتها لیعدّها و عوائقها لیرفعها بحسب الطاقة البشریة،فیکون متمکناً من استجذاب </w:t>
      </w:r>
      <w:r>
        <w:rPr>
          <w:rStyle w:val="FootnoteAnchor"/>
          <w:rtl w:val="true"/>
        </w:rPr>
        <w:footnoteReference w:id="1046"/>
      </w:r>
      <w:r>
        <w:rPr>
          <w:rFonts w:ascii="IRNazanin" w:hAnsi="IRNazanin" w:eastAsia="IRNazanin"/>
          <w:color w:val="111111"/>
          <w:sz w:val="28"/>
          <w:sz w:val="28"/>
          <w:szCs w:val="28"/>
          <w:rtl w:val="true"/>
          <w:lang w:bidi="fa-IR"/>
        </w:rPr>
        <w:t>ما یخرق العادة</w:t>
      </w:r>
      <w:r>
        <w:rPr>
          <w:rFonts w:eastAsia="IRNazanin" w:cs="IRNazanin"/>
          <w:color w:val="111111"/>
          <w:sz w:val="28"/>
          <w:szCs w:val="28"/>
          <w:rtl w:val="true"/>
          <w:lang w:bidi="fa-IR"/>
        </w:rPr>
        <w:t>.</w:t>
      </w:r>
    </w:p>
    <w:p>
      <w:pPr>
        <w:pStyle w:val="Heading6"/>
        <w:numPr>
          <w:ilvl w:val="5"/>
          <w:numId w:val="1"/>
        </w:numPr>
        <w:rPr/>
      </w:pPr>
      <w:bookmarkStart w:id="282" w:name="__RefHeading___Toc5003648_2314609296"/>
      <w:bookmarkStart w:id="283" w:name="_Toc107"/>
      <w:bookmarkEnd w:id="282"/>
      <w:r>
        <w:rPr>
          <w:rtl w:val="true"/>
        </w:rPr>
        <w:t>الثانی</w:t>
      </w:r>
      <w:bookmarkEnd w:id="283"/>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047"/>
      </w:r>
      <w:r>
        <w:rPr>
          <w:rFonts w:ascii="IRNazanin" w:hAnsi="IRNazanin" w:eastAsia="IRNazanin"/>
          <w:color w:val="111111"/>
          <w:sz w:val="28"/>
          <w:sz w:val="28"/>
          <w:szCs w:val="28"/>
          <w:rtl w:val="true"/>
          <w:lang w:bidi="fa-IR"/>
        </w:rPr>
        <w:t>سحر أصحاب الأوهام</w:t>
      </w:r>
    </w:p>
    <w:p>
      <w:pPr>
        <w:pStyle w:val="BookText"/>
        <w:rPr/>
      </w:pPr>
      <w:r>
        <w:rPr>
          <w:rFonts w:ascii="IRNazanin" w:hAnsi="IRNazanin" w:eastAsia="IRNazanin"/>
          <w:color w:val="111111"/>
          <w:sz w:val="28"/>
          <w:sz w:val="28"/>
          <w:szCs w:val="28"/>
          <w:rtl w:val="true"/>
          <w:lang w:bidi="fa-IR"/>
        </w:rPr>
        <w:t>و النفوس القویّة</w:t>
      </w:r>
      <w:r>
        <w:rPr>
          <w:rFonts w:eastAsia="IRNazanin" w:cs="IRNazanin"/>
          <w:color w:val="111111"/>
          <w:sz w:val="28"/>
          <w:szCs w:val="28"/>
          <w:rtl w:val="true"/>
          <w:lang w:bidi="fa-IR"/>
        </w:rPr>
        <w:t>.</w:t>
      </w:r>
    </w:p>
    <w:p>
      <w:pPr>
        <w:pStyle w:val="Heading6"/>
        <w:numPr>
          <w:ilvl w:val="5"/>
          <w:numId w:val="1"/>
        </w:numPr>
        <w:rPr/>
      </w:pPr>
      <w:bookmarkStart w:id="284" w:name="__RefHeading___Toc5003650_2314609296"/>
      <w:bookmarkStart w:id="285" w:name="_Toc108"/>
      <w:bookmarkEnd w:id="284"/>
      <w:r>
        <w:rPr>
          <w:rtl w:val="true"/>
        </w:rPr>
        <w:t>الثالث الاستعانة بالأرواح الأرضیة،</w:t>
      </w:r>
      <w:bookmarkEnd w:id="285"/>
    </w:p>
    <w:p>
      <w:pPr>
        <w:pStyle w:val="BookText"/>
        <w:rPr/>
      </w:pPr>
      <w:r>
        <w:rPr>
          <w:rFonts w:ascii="IRNazanin" w:hAnsi="IRNazanin" w:eastAsia="IRNazanin"/>
          <w:color w:val="111111"/>
          <w:sz w:val="28"/>
          <w:sz w:val="28"/>
          <w:szCs w:val="28"/>
          <w:rtl w:val="true"/>
          <w:lang w:bidi="fa-IR"/>
        </w:rPr>
        <w:t>و قد أنکرها بعض الفلاسفة، و قال بها الأکابر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أنفسها مختلفة،فمنهم خیّرة،و هم مؤمنو الجنّ،و شریرة،و هم کفّار الجنّ و شیاطینهم</w:t>
      </w:r>
      <w:r>
        <w:rPr>
          <w:rFonts w:eastAsia="IRNazanin" w:cs="IRNazanin"/>
          <w:color w:val="111111"/>
          <w:sz w:val="28"/>
          <w:szCs w:val="28"/>
          <w:rtl w:val="true"/>
          <w:lang w:bidi="fa-IR"/>
        </w:rPr>
        <w:t>.</w:t>
      </w:r>
    </w:p>
    <w:p>
      <w:pPr>
        <w:pStyle w:val="Heading6"/>
        <w:numPr>
          <w:ilvl w:val="5"/>
          <w:numId w:val="1"/>
        </w:numPr>
        <w:rPr/>
      </w:pPr>
      <w:bookmarkStart w:id="286" w:name="__RefHeading___Toc5003652_2314609296"/>
      <w:bookmarkStart w:id="287" w:name="_Toc109"/>
      <w:bookmarkEnd w:id="286"/>
      <w:r>
        <w:rPr>
          <w:rtl w:val="true"/>
        </w:rPr>
        <w:t>الرابع التخیّلات و الأخذ بالعیون،</w:t>
      </w:r>
      <w:bookmarkEnd w:id="28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راکب السفینة یتخیل نفسه ساکناً و الشطّ متحرّکاً</w:t>
      </w:r>
      <w:r>
        <w:rPr>
          <w:rFonts w:eastAsia="IRNazanin" w:cs="IRNazanin"/>
          <w:color w:val="111111"/>
          <w:sz w:val="28"/>
          <w:szCs w:val="28"/>
          <w:rtl w:val="true"/>
          <w:lang w:bidi="fa-IR"/>
        </w:rPr>
        <w:t>.</w:t>
      </w:r>
      <w:bookmarkStart w:id="288" w:name="pg19762_189513"/>
    </w:p>
    <w:p>
      <w:pPr>
        <w:pStyle w:val="Heading6"/>
        <w:numPr>
          <w:ilvl w:val="5"/>
          <w:numId w:val="1"/>
        </w:numPr>
        <w:rPr/>
      </w:pPr>
      <w:bookmarkStart w:id="289" w:name="__RefHeading___Toc5003654_2314609296"/>
      <w:bookmarkStart w:id="290" w:name="_Toc110"/>
      <w:bookmarkEnd w:id="288"/>
      <w:bookmarkEnd w:id="289"/>
      <w:r>
        <w:rPr>
          <w:rtl w:val="true"/>
        </w:rPr>
        <w:t>الخامس الأعمال العجیبة التی تظهر من ترکیب الآلات المرکبة علی نسب الهندسة،</w:t>
      </w:r>
      <w:bookmarkEnd w:id="290"/>
    </w:p>
    <w:p>
      <w:pPr>
        <w:pStyle w:val="BookText"/>
        <w:rPr/>
      </w:pPr>
      <w:r>
        <w:rPr>
          <w:rFonts w:ascii="IRNazanin" w:hAnsi="IRNazanin" w:eastAsia="IRNazanin"/>
          <w:color w:val="111111"/>
          <w:sz w:val="28"/>
          <w:sz w:val="28"/>
          <w:szCs w:val="28"/>
          <w:rtl w:val="true"/>
          <w:lang w:bidi="fa-IR"/>
        </w:rPr>
        <w:t>کرقّاص یرقص،و فارسان یقتتلان</w:t>
      </w:r>
      <w:r>
        <w:rPr>
          <w:rFonts w:eastAsia="IRNazanin" w:cs="IRNazanin"/>
          <w:color w:val="111111"/>
          <w:sz w:val="28"/>
          <w:szCs w:val="28"/>
          <w:rtl w:val="true"/>
          <w:lang w:bidi="fa-IR"/>
        </w:rPr>
        <w:t>.</w:t>
      </w:r>
    </w:p>
    <w:p>
      <w:pPr>
        <w:pStyle w:val="Heading6"/>
        <w:numPr>
          <w:ilvl w:val="5"/>
          <w:numId w:val="1"/>
        </w:numPr>
        <w:rPr/>
      </w:pPr>
      <w:bookmarkStart w:id="291" w:name="__RefHeading___Toc5003656_2314609296"/>
      <w:bookmarkStart w:id="292" w:name="_Toc111"/>
      <w:bookmarkEnd w:id="291"/>
      <w:r>
        <w:rPr>
          <w:rtl w:val="true"/>
        </w:rPr>
        <w:t>السادس الاستعانة بخواص الأدویة،</w:t>
      </w:r>
      <w:bookmarkEnd w:id="292"/>
    </w:p>
    <w:p>
      <w:pPr>
        <w:pStyle w:val="BookText"/>
        <w:rPr/>
      </w:pPr>
      <w:r>
        <w:rPr>
          <w:rFonts w:ascii="IRNazanin" w:hAnsi="IRNazanin" w:eastAsia="IRNazanin"/>
          <w:color w:val="111111"/>
          <w:sz w:val="28"/>
          <w:sz w:val="28"/>
          <w:szCs w:val="28"/>
          <w:rtl w:val="true"/>
          <w:lang w:bidi="fa-IR"/>
        </w:rPr>
        <w:t xml:space="preserve">مثل أن یجعل فی الطعام بعض الأدویة المبلّدة أو المزیلة للعقل،أو الدخن المسکر،أو عصارة البَنْج المجعول فی المُلَبَّس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ممّا لا سبیل إلی إنکاره،و أثر المغناطیس شاهد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5003658_2314609296"/>
      <w:bookmarkStart w:id="294" w:name="_Toc112"/>
      <w:bookmarkEnd w:id="293"/>
      <w:r>
        <w:rPr>
          <w:rtl w:val="true"/>
        </w:rPr>
        <w:t>السابع تعلیق القلب،</w:t>
      </w:r>
      <w:bookmarkEnd w:id="294"/>
    </w:p>
    <w:p>
      <w:pPr>
        <w:pStyle w:val="BookText"/>
        <w:rPr/>
      </w:pPr>
      <w:r>
        <w:rPr>
          <w:rFonts w:ascii="IRNazanin" w:hAnsi="IRNazanin" w:eastAsia="IRNazanin"/>
          <w:color w:val="111111"/>
          <w:sz w:val="28"/>
          <w:sz w:val="28"/>
          <w:szCs w:val="28"/>
          <w:rtl w:val="true"/>
          <w:lang w:bidi="fa-IR"/>
        </w:rPr>
        <w:t xml:space="preserve">و هو أن یدعی الساحر أنّه یعرف علم الکیمیا </w:t>
      </w:r>
      <w:r>
        <w:rPr>
          <w:rStyle w:val="FootnoteAnchor"/>
          <w:rtl w:val="true"/>
        </w:rPr>
        <w:footnoteReference w:id="1050"/>
      </w:r>
      <w:r>
        <w:rPr>
          <w:rFonts w:ascii="IRNazanin" w:hAnsi="IRNazanin" w:eastAsia="IRNazanin"/>
          <w:color w:val="111111"/>
          <w:sz w:val="28"/>
          <w:sz w:val="28"/>
          <w:szCs w:val="28"/>
          <w:rtl w:val="true"/>
          <w:lang w:bidi="fa-IR"/>
        </w:rPr>
        <w:t xml:space="preserve">و علم السیمیاء </w:t>
      </w:r>
      <w:r>
        <w:rPr>
          <w:rStyle w:val="FootnoteAnchor"/>
          <w:rtl w:val="true"/>
        </w:rPr>
        <w:footnoteReference w:id="1051"/>
      </w:r>
      <w:r>
        <w:rPr>
          <w:rFonts w:ascii="IRNazanin" w:hAnsi="IRNazanin" w:eastAsia="IRNazanin"/>
          <w:color w:val="111111"/>
          <w:sz w:val="28"/>
          <w:sz w:val="28"/>
          <w:szCs w:val="28"/>
          <w:rtl w:val="true"/>
          <w:lang w:bidi="fa-IR"/>
        </w:rPr>
        <w:t>و الاسم الأعظم حتی یمیل إلیه العوام،و لیس له أصل</w:t>
      </w:r>
      <w:r>
        <w:rPr>
          <w:rFonts w:eastAsia="IRNazanin" w:cs="IRNazanin"/>
          <w:color w:val="111111"/>
          <w:sz w:val="28"/>
          <w:szCs w:val="28"/>
          <w:rtl w:val="true"/>
          <w:lang w:bidi="fa-IR"/>
        </w:rPr>
        <w:t>.</w:t>
      </w:r>
    </w:p>
    <w:p>
      <w:pPr>
        <w:pStyle w:val="Heading6"/>
        <w:numPr>
          <w:ilvl w:val="5"/>
          <w:numId w:val="1"/>
        </w:numPr>
        <w:rPr/>
      </w:pPr>
      <w:bookmarkStart w:id="295" w:name="__RefHeading___Toc5003660_2314609296"/>
      <w:bookmarkStart w:id="296" w:name="_Toc113"/>
      <w:bookmarkEnd w:id="295"/>
      <w:r>
        <w:rPr>
          <w:rtl w:val="true"/>
        </w:rPr>
        <w:t>الثامن النمیمة</w:t>
      </w:r>
      <w:bookmarkEnd w:id="296"/>
    </w:p>
    <w:p>
      <w:pPr>
        <w:pStyle w:val="BookText"/>
        <w:rPr/>
      </w:pP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الملخص منه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من وجوه السحر بعضها قد تقدم عن الإیضاح </w:t>
      </w:r>
      <w:r>
        <w:rPr>
          <w:rStyle w:val="FootnoteAnchor"/>
          <w:rtl w:val="true"/>
        </w:rPr>
        <w:footnoteReference w:id="1053"/>
      </w:r>
      <w:r>
        <w:rPr>
          <w:rFonts w:ascii="IRNazanin" w:hAnsi="IRNazanin" w:eastAsia="IRNazanin"/>
          <w:color w:val="111111"/>
          <w:sz w:val="28"/>
          <w:sz w:val="28"/>
          <w:szCs w:val="28"/>
          <w:rtl w:val="true"/>
          <w:lang w:bidi="fa-IR"/>
        </w:rPr>
        <w:t>و بعضها قد ذکر فی ما ذکره فی الاحتجاج من حدیث الزندیق الذی</w:t>
      </w:r>
    </w:p>
    <w:p>
      <w:pPr>
        <w:pStyle w:val="BookText"/>
        <w:rPr/>
      </w:pPr>
      <w:r>
        <w:rPr>
          <w:rFonts w:ascii="IRNazanin" w:hAnsi="IRNazanin" w:eastAsia="IRNazanin"/>
          <w:color w:val="111111"/>
          <w:sz w:val="28"/>
          <w:sz w:val="28"/>
          <w:szCs w:val="28"/>
          <w:rtl w:val="true"/>
          <w:lang w:bidi="fa-IR"/>
        </w:rPr>
        <w:t>سأل أبا عبد اللّه علیه السلام عن مسائل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السحر ما أصله؟و کیف یقدر الساحر علی ما یوصف من عجائبه و ما یفعل؟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 علی وجوه شتّی،منها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بمنزلة الطب،کما أنّ الأطباء وضعوا لکل داء دواء،فکذلک علم </w:t>
      </w:r>
      <w:r>
        <w:rPr>
          <w:rStyle w:val="FootnoteAnchor"/>
          <w:rtl w:val="true"/>
        </w:rPr>
        <w:footnoteReference w:id="1054"/>
      </w:r>
      <w:r>
        <w:rPr>
          <w:rFonts w:ascii="IRNazanin" w:hAnsi="IRNazanin" w:eastAsia="IRNazanin"/>
          <w:color w:val="111111"/>
          <w:sz w:val="28"/>
          <w:sz w:val="28"/>
          <w:szCs w:val="28"/>
          <w:rtl w:val="true"/>
          <w:lang w:bidi="fa-IR"/>
        </w:rPr>
        <w:t>السحر،احتالوا لکل صحة آفة،و لکل عافیة عاهة،و لکل معنی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آخر منه خَطفة و سُرعة و مخاریق و 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منه ما یأخذه أولیاء الشیاطین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علم الشیاطین السحر؟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علم الأطباء الطب،بعضه بتجربة و بعضه بعلاج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الملَکین هاروت و ما روت،و ما یقول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یعلّمان الناس السحر؟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هما موضع ابتلاء و موقف فتنة،تسبیحهما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لو فعل الإنسان کذا و کذا لکان کذا،و لو تعالج بکذا و کذا لصار کذا،فیتعلمون منهما ما یخرج عنهما،فیقولان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فتنة،فلا تأخذوا عنّا ما یضرکم و لا ینفعکم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فیقدر الساحر علی أن یجعل الإنسان بسحره فی صورة کلب أو حمار أو غیر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أعجز من ذلک،و أضعف من أن یغیر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أبطل ما رکّبه اللّه تعالی و صوّر غیره </w:t>
      </w:r>
      <w:r>
        <w:rPr>
          <w:rStyle w:val="FootnoteAnchor"/>
          <w:rtl w:val="true"/>
        </w:rPr>
        <w:footnoteReference w:id="1055"/>
      </w:r>
      <w:r>
        <w:rPr>
          <w:rFonts w:ascii="IRNazanin" w:hAnsi="IRNazanin" w:eastAsia="IRNazanin"/>
          <w:color w:val="111111"/>
          <w:sz w:val="28"/>
          <w:sz w:val="28"/>
          <w:szCs w:val="28"/>
          <w:rtl w:val="true"/>
          <w:lang w:bidi="fa-IR"/>
        </w:rPr>
        <w:t>فهو شریک اللّه فی خلقه،</w:t>
      </w:r>
      <w:bookmarkStart w:id="297" w:name="pg19762_189515"/>
    </w:p>
    <w:p>
      <w:pPr>
        <w:pStyle w:val="BookText"/>
        <w:rPr/>
      </w:pPr>
      <w:bookmarkEnd w:id="297"/>
      <w:r>
        <w:rPr>
          <w:rFonts w:ascii="IRNazanin" w:hAnsi="IRNazanin" w:eastAsia="IRNazanin"/>
          <w:color w:val="111111"/>
          <w:sz w:val="28"/>
          <w:sz w:val="28"/>
          <w:szCs w:val="28"/>
          <w:rtl w:val="true"/>
          <w:lang w:bidi="fa-IR"/>
        </w:rPr>
        <w:t>تعالی اللّه عن ذلک عُلوّاً کبیراً،لو قدر الساحر علی ما وصفت لدفع عن نفسه الهَرَم و الآفة و الأمراض،و لنفی البیاضَ عن رأسه و الفقرَ عن ساحته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أکبر السحر النمیمة،یفرّق بها بین المتحابّین،و یجلب العداوة علی المتصافین،و یسفک بها الدماء،و یهدم بها الدور،و یکشف بها الستور،و النمّام شرّ من وطأ الأرض بقدمه،فأقرب أقاویل السحر من الصواب أنّه بمنزلة الطب،إنّ الساحر عالج الرجل فامتنع من مجامعة النساء فجاءه الطبیب فعالجه بغیر ذلک فأبرأه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الجمع بین ما ذکر فی معنی السحر فی غایة الإشکال،لکن المهم بیان حکمه،لا موضوعه</w:t>
      </w:r>
      <w:r>
        <w:rPr>
          <w:rFonts w:eastAsia="IRNazanin" w:cs="IRNazanin"/>
          <w:color w:val="111111"/>
          <w:sz w:val="28"/>
          <w:szCs w:val="28"/>
          <w:rtl w:val="true"/>
          <w:lang w:bidi="fa-IR"/>
        </w:rPr>
        <w:t>.</w:t>
      </w:r>
    </w:p>
    <w:p>
      <w:pPr>
        <w:pStyle w:val="Heading6"/>
        <w:numPr>
          <w:ilvl w:val="5"/>
          <w:numId w:val="1"/>
        </w:numPr>
        <w:rPr/>
      </w:pPr>
      <w:bookmarkStart w:id="298" w:name="__RefHeading___Toc5003662_2314609296"/>
      <w:bookmarkStart w:id="299" w:name="_Toc114"/>
      <w:bookmarkEnd w:id="298"/>
      <w:r>
        <w:rPr>
          <w:rtl w:val="true"/>
        </w:rPr>
        <w:t>المقام الثانی فی حکم الأقسام المذکورة</w:t>
      </w:r>
      <w:r>
        <w:rPr>
          <w:rtl w:val="true"/>
        </w:rPr>
        <w:t>.</w:t>
      </w:r>
      <w:bookmarkEnd w:id="29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الأقسام الأربعة المتقدمة من الإیضاح،فیکفی فی حرمتها مضافاً إلی شهادة المحدّث المجلسی رحمه اللّه فی البحار بدخولها فی المعنی المعروف للسحر عند أهل الشرع،فیشملها الإطلاقات دعوی فخر المحققین فی الإیضاح </w:t>
      </w:r>
      <w:r>
        <w:rPr>
          <w:rStyle w:val="FootnoteAnchor"/>
          <w:rtl w:val="true"/>
        </w:rPr>
        <w:footnoteReference w:id="1057"/>
      </w:r>
      <w:r>
        <w:rPr>
          <w:rFonts w:ascii="IRNazanin" w:hAnsi="IRNazanin" w:eastAsia="IRNazanin"/>
          <w:color w:val="111111"/>
          <w:sz w:val="28"/>
          <w:sz w:val="28"/>
          <w:szCs w:val="28"/>
          <w:rtl w:val="true"/>
          <w:lang w:bidi="fa-IR"/>
        </w:rPr>
        <w:t xml:space="preserve">کون حرمتها من ضروریات الدین،و أنّ مستحلها کافر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الدروس أیضاً فحکم بقتل مستحلّها </w:t>
      </w:r>
      <w:r>
        <w:rPr>
          <w:rStyle w:val="FootnoteAnchor"/>
          <w:rtl w:val="true"/>
        </w:rPr>
        <w:footnoteReference w:id="1059"/>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فإنّا و إن لم نطمئن بدعوی الإجماعات المنقولة،إلّا أنّ دعوی ضرورة الدین ممّا یوجب الاطمئنان بالحکم،و اتفاق العلماء علیه فی جمیع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نعم،ذکر شارح النخبة أنّ ما کان من الطلسمات مشتملاً علی إضرار أو تمویه علی المسلمین،أو استهانة بشیء من حرمات اللّه کالقرآن و أبعاضه و أسماء اللّه الحسنی،و نحو ذلک فهو حرام بلا ریب،سواء عُدّ من السحر أم لا،و ما کان للأغراض کحضور الغائب،و بقاء العمارة، و فتح الحصون للمسلمین،و نحوه فمقتضی الأصل جوازه،و یُحکی عن بعض الأصحاب </w:t>
      </w:r>
      <w:r>
        <w:rPr>
          <w:rStyle w:val="FootnoteAnchor"/>
          <w:rtl w:val="true"/>
        </w:rPr>
        <w:footnoteReference w:id="1061"/>
      </w:r>
      <w:r>
        <w:rPr>
          <w:rFonts w:ascii="IRNazanin" w:hAnsi="IRNazanin" w:eastAsia="IRNazanin"/>
          <w:color w:val="111111"/>
          <w:sz w:val="28"/>
          <w:sz w:val="28"/>
          <w:szCs w:val="28"/>
          <w:rtl w:val="true"/>
          <w:lang w:bidi="fa-IR"/>
        </w:rPr>
        <w:t xml:space="preserve">،و ربّما یستندون فی بعضها </w:t>
      </w:r>
      <w:r>
        <w:rPr>
          <w:rStyle w:val="FootnoteAnchor"/>
          <w:rtl w:val="true"/>
        </w:rPr>
        <w:footnoteReference w:id="1062"/>
      </w:r>
      <w:r>
        <w:rPr>
          <w:rFonts w:ascii="IRNazanin" w:hAnsi="IRNazanin" w:eastAsia="IRNazanin"/>
          <w:color w:val="111111"/>
          <w:sz w:val="28"/>
          <w:sz w:val="28"/>
          <w:szCs w:val="28"/>
          <w:rtl w:val="true"/>
          <w:lang w:bidi="fa-IR"/>
        </w:rPr>
        <w:t>إلی أمیر المؤمنین علیه السلام، و السند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فی الدروس تحریم عمل الطلسمات بالسحر، و وجهه غیر واضح،انتهی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وجه أوضح من دعوی الضرورة </w:t>
      </w:r>
      <w:r>
        <w:rPr>
          <w:rStyle w:val="FootnoteAnchor"/>
          <w:rtl w:val="true"/>
        </w:rPr>
        <w:footnoteReference w:id="1064"/>
      </w:r>
      <w:r>
        <w:rPr>
          <w:rFonts w:ascii="IRNazanin" w:hAnsi="IRNazanin" w:eastAsia="IRNazanin"/>
          <w:color w:val="111111"/>
          <w:sz w:val="28"/>
          <w:sz w:val="28"/>
          <w:szCs w:val="28"/>
          <w:rtl w:val="true"/>
          <w:lang w:bidi="fa-IR"/>
        </w:rPr>
        <w:t>من فخر الدین، و الشهید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تلک الأربعة،فإن کان ممّا یضر بالنفس المحترمة، فلا إشکال أیضاً فی حرمته،و یکفی فی الضرر صَرف نفس المسحور عن الجریان علی مقتضی إرادته،فمثل إحداث حبٍّ مُفرطٍ فی الشخص یُعدّ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الفقیه فی باب عقاب المرأة علی أن تسحر زوجها بسنده عن السکونی،عن جعفر،عن أبیه،عن آبائه صلوات اللّه علیهم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لامرأة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 زوجاً و به غلظة علیَّ و أنّی صنعت شیئاً لأعطفه علیَّ؟فقال لها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کدّرت البحار و کدّرت الطین،و لعنتک الملائکة الأخیار، و ملائکة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فصامت المرأة نهارها و قامت لیلها و حلقت رأسها و لبست المسوح،فبلغ ذلک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یقبل منها</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الظاهر من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المعالجة بشیء غیر الأدعیة و الصلوات و نحوها؛و لذا فهم الصدوق منها السحر،و لم یذکر فی عنوان سحر المرأة غیر هذه الروایة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لا یضرّ،فإن قصد به دفع </w:t>
      </w:r>
      <w:r>
        <w:rPr>
          <w:rStyle w:val="FootnoteAnchor"/>
          <w:rtl w:val="true"/>
        </w:rPr>
        <w:footnoteReference w:id="1066"/>
      </w:r>
      <w:r>
        <w:rPr>
          <w:rFonts w:ascii="IRNazanin" w:hAnsi="IRNazanin" w:eastAsia="IRNazanin"/>
          <w:color w:val="111111"/>
          <w:sz w:val="28"/>
          <w:sz w:val="28"/>
          <w:szCs w:val="28"/>
          <w:rtl w:val="true"/>
          <w:lang w:bidi="fa-IR"/>
        </w:rPr>
        <w:t>ضرر السحر أو غیره من المضار الدنیویة أو الأُخرویة،فالظاهر جوازه مع الشک فی صدق اسم السحر علیه؛للأصل،بل فحوی ما سیجیء من جواز دفع الضرر بما علم کونه سحراً،و إلّا فلا دلیل علی تحریمه،إلّا أن یدخل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نعم،لو صحّ سند روایة الاحتجاج </w:t>
      </w:r>
      <w:r>
        <w:rPr>
          <w:rStyle w:val="FootnoteAnchor"/>
          <w:rtl w:val="true"/>
        </w:rPr>
        <w:footnoteReference w:id="1067"/>
      </w:r>
      <w:r>
        <w:rPr>
          <w:rFonts w:ascii="IRNazanin" w:hAnsi="IRNazanin" w:eastAsia="IRNazanin"/>
          <w:color w:val="111111"/>
          <w:sz w:val="28"/>
          <w:sz w:val="28"/>
          <w:szCs w:val="28"/>
          <w:rtl w:val="true"/>
          <w:lang w:bidi="fa-IR"/>
        </w:rPr>
        <w:t xml:space="preserve">صحّ الحکم بحرمة جمیع ما تضمنته،و کذا لو عمل بشهادة من تقدم کالفاضل المقداد و المحدّث المجلسی رحمهما اللّه بکون جمیع ما تقدم من الأقسام داخلاً فی السحر </w:t>
      </w:r>
      <w:r>
        <w:rPr>
          <w:rStyle w:val="FootnoteAnchor"/>
          <w:rtl w:val="true"/>
        </w:rPr>
        <w:footnoteReference w:id="1068"/>
      </w:r>
      <w:r>
        <w:rPr>
          <w:rFonts w:ascii="IRNazanin" w:hAnsi="IRNazanin" w:eastAsia="IRNazanin"/>
          <w:color w:val="111111"/>
          <w:sz w:val="28"/>
          <w:sz w:val="28"/>
          <w:szCs w:val="28"/>
          <w:rtl w:val="true"/>
          <w:lang w:bidi="fa-IR"/>
        </w:rPr>
        <w:t>اتّجه الحکم بدخولها تحت إطلاقات المنع عن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استناد شهادتهم إلی الاجتهاد،مع معارضته بما تقدم من الفخر من إخراج علمی الخواصّ و الحِیَل من السحر </w:t>
      </w:r>
      <w:r>
        <w:rPr>
          <w:rStyle w:val="FootnoteAnchor"/>
          <w:rtl w:val="true"/>
        </w:rPr>
        <w:footnoteReference w:id="1069"/>
      </w:r>
      <w:r>
        <w:rPr>
          <w:rFonts w:ascii="IRNazanin" w:hAnsi="IRNazanin" w:eastAsia="IRNazanin"/>
          <w:color w:val="111111"/>
          <w:sz w:val="28"/>
          <w:sz w:val="28"/>
          <w:szCs w:val="28"/>
          <w:rtl w:val="true"/>
          <w:lang w:bidi="fa-IR"/>
        </w:rPr>
        <w:t xml:space="preserve">و ما تقدم من تخصیص صاحب المسالک و غیره السحر بما یحدث ضرراً </w:t>
      </w:r>
      <w:r>
        <w:rPr>
          <w:rStyle w:val="FootnoteAnchor"/>
          <w:rtl w:val="true"/>
        </w:rPr>
        <w:footnoteReference w:id="1070"/>
      </w:r>
      <w:r>
        <w:rPr>
          <w:rFonts w:ascii="IRNazanin" w:hAnsi="IRNazanin" w:eastAsia="IRNazanin"/>
          <w:color w:val="111111"/>
          <w:sz w:val="28"/>
          <w:sz w:val="28"/>
          <w:szCs w:val="28"/>
          <w:rtl w:val="true"/>
          <w:lang w:bidi="fa-IR"/>
        </w:rPr>
        <w:t>، بل عرفت تخصیص العلّامة له بما یؤثّر فی بدن المسحور أو قلبه أو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شهادة من هؤلاء علی عدم عموم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ما تقدم من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شهادة الإثبات لا یجری فی هذا الموضع؛لأنّ الظاهر استناد المثبتین إلی الاستعمال،و النافین إلی الاطلاع علی کون الاستعمال مجازاً للمناسبة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الأحوط الاجتناب عن جمیع ما تقدم من الأقسام فی البحار </w:t>
      </w:r>
      <w:r>
        <w:rPr>
          <w:rStyle w:val="FootnoteAnchor"/>
          <w:rtl w:val="true"/>
        </w:rPr>
        <w:footnoteReference w:id="1071"/>
      </w:r>
      <w:r>
        <w:rPr>
          <w:rFonts w:ascii="IRNazanin" w:hAnsi="IRNazanin" w:eastAsia="IRNazanin"/>
          <w:color w:val="111111"/>
          <w:sz w:val="28"/>
          <w:sz w:val="28"/>
          <w:szCs w:val="28"/>
          <w:rtl w:val="true"/>
          <w:lang w:bidi="fa-IR"/>
        </w:rPr>
        <w:t>، بل لعله لا یخلو عن قوة؛لقوة الظن من خبر الاحتجاج و غیره</w:t>
      </w:r>
      <w:r>
        <w:rPr>
          <w:rFonts w:eastAsia="IRNazanin" w:cs="IRNazanin"/>
          <w:color w:val="111111"/>
          <w:sz w:val="28"/>
          <w:szCs w:val="28"/>
          <w:rtl w:val="true"/>
          <w:lang w:bidi="fa-IR"/>
        </w:rPr>
        <w:t>.</w:t>
      </w:r>
      <w:bookmarkStart w:id="300" w:name="pg19762_189519"/>
    </w:p>
    <w:p>
      <w:pPr>
        <w:pStyle w:val="Heading5"/>
        <w:numPr>
          <w:ilvl w:val="4"/>
          <w:numId w:val="1"/>
        </w:numPr>
        <w:rPr/>
      </w:pPr>
      <w:bookmarkStart w:id="301" w:name="__RefHeading___Toc5003664_2314609296"/>
      <w:bookmarkStart w:id="302" w:name="_Toc115"/>
      <w:bookmarkEnd w:id="300"/>
      <w:bookmarkEnd w:id="301"/>
      <w:r>
        <w:rPr>
          <w:rtl w:val="true"/>
        </w:rPr>
        <w:t>بقی الکلام فی جواز دفع ضرر السحر بالسحر</w:t>
      </w:r>
      <w:r>
        <w:rPr>
          <w:rtl w:val="true"/>
        </w:rPr>
        <w:t>.</w:t>
      </w:r>
      <w:bookmarkEnd w:id="302"/>
    </w:p>
    <w:p>
      <w:pPr>
        <w:pStyle w:val="BookText"/>
        <w:rPr/>
      </w:pPr>
      <w:r>
        <w:rPr>
          <w:rFonts w:ascii="IRNazanin" w:hAnsi="IRNazanin" w:eastAsia="IRNazanin"/>
          <w:color w:val="111111"/>
          <w:sz w:val="28"/>
          <w:sz w:val="28"/>
          <w:szCs w:val="28"/>
          <w:rtl w:val="true"/>
          <w:lang w:bidi="fa-IR"/>
        </w:rPr>
        <w:t>و یمکن أن یستدلّ له مضافاً إلی الأصل بعد دعوی انصراف الأدلّة إلی غیر ما قصد به غرض راجح شرعاً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خبر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الکافی عن القمّی،عن أبیه،عن شیخ من أصحابنا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عیسی بن شفقی </w:t>
      </w:r>
      <w:r>
        <w:rPr>
          <w:rStyle w:val="FootnoteAnchor"/>
          <w:rtl w:val="true"/>
        </w:rPr>
        <w:footnoteReference w:id="1072"/>
      </w:r>
      <w:r>
        <w:rPr>
          <w:rFonts w:ascii="IRNazanin" w:hAnsi="IRNazanin" w:eastAsia="IRNazanin"/>
          <w:color w:val="111111"/>
          <w:sz w:val="28"/>
          <w:sz w:val="28"/>
          <w:szCs w:val="28"/>
          <w:rtl w:val="true"/>
          <w:lang w:bidi="fa-IR"/>
        </w:rPr>
        <w:t>علی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کانت صناعتی السحر،و کنت آخذ علیه الأجر و کان معاشی،و قد حججت منه،و قد منّ اللّه علیَّ بلقائک،و قد تبت إلی اللّه عزّ و جلّ من ذلک،فهل لی فی شیء من ذلک مخرج؟فقال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لا تعقد</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 الصدوق رحمه اللّه فی العلل أشار إلی هذه الروایة،حیث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توبة الساحر أن یحلّ و لا یعقد</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المقابلة بین الحلّ و العقد فی الجواز و العدم کون کل منهما</w:t>
      </w:r>
    </w:p>
    <w:p>
      <w:pPr>
        <w:pStyle w:val="BookText"/>
        <w:rPr/>
      </w:pPr>
      <w:r>
        <w:rPr>
          <w:rFonts w:ascii="IRNazanin" w:hAnsi="IRNazanin" w:eastAsia="IRNazanin"/>
          <w:color w:val="111111"/>
          <w:sz w:val="28"/>
          <w:sz w:val="28"/>
          <w:szCs w:val="28"/>
          <w:rtl w:val="true"/>
          <w:lang w:bidi="fa-IR"/>
        </w:rPr>
        <w:t>بالسحر،فحمل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کان بغیر السحر من الدعاء و الآیات و نحوهما کما عن بعض </w:t>
      </w:r>
      <w:r>
        <w:rPr>
          <w:rStyle w:val="FootnoteAnchor"/>
          <w:rtl w:val="true"/>
        </w:rPr>
        <w:footnoteReference w:id="1075"/>
      </w:r>
      <w:r>
        <w:rPr>
          <w:rFonts w:ascii="IRNazanin" w:hAnsi="IRNazanin" w:eastAsia="IRNazanin"/>
          <w:color w:val="111111"/>
          <w:sz w:val="28"/>
          <w:sz w:val="28"/>
          <w:szCs w:val="28"/>
          <w:rtl w:val="true"/>
          <w:lang w:bidi="fa-IR"/>
        </w:rPr>
        <w:t>لا یخلو عن بعد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العسکری،عن آبائه علیهم السلام فی قوله تعالی وَ مٰا أُنْزِلَ عَلَی الْمَلَکَیْنِ بِبٰابِلَ هٰارُوتَ وَ مٰارُوتَ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بعد نوح قد کثرت السحرة و المموّهون،فبعث اللّه ملکین إلی نبی ذلک الزمان بذکر </w:t>
      </w:r>
      <w:r>
        <w:rPr>
          <w:rStyle w:val="FootnoteAnchor"/>
          <w:rtl w:val="true"/>
        </w:rPr>
        <w:footnoteReference w:id="1076"/>
      </w:r>
      <w:r>
        <w:rPr>
          <w:rFonts w:ascii="IRNazanin" w:hAnsi="IRNazanin" w:eastAsia="IRNazanin"/>
          <w:color w:val="111111"/>
          <w:sz w:val="28"/>
          <w:sz w:val="28"/>
          <w:szCs w:val="28"/>
          <w:rtl w:val="true"/>
          <w:lang w:bidi="fa-IR"/>
        </w:rPr>
        <w:t xml:space="preserve">ما یسحر به السحرة،و ذکر ما یبطل به سحرهم و یردّ به کیدهم، فتلقّاه النبی عن الملکین و أدّاه إلی عباد اللّه بأمر اللّه،و أمرهم أن یقضوا </w:t>
      </w:r>
      <w:r>
        <w:rPr>
          <w:rStyle w:val="FootnoteAnchor"/>
          <w:rtl w:val="true"/>
        </w:rPr>
        <w:footnoteReference w:id="1077"/>
      </w:r>
      <w:r>
        <w:rPr>
          <w:rFonts w:ascii="IRNazanin" w:hAnsi="IRNazanin" w:eastAsia="IRNazanin"/>
          <w:color w:val="111111"/>
          <w:sz w:val="28"/>
          <w:sz w:val="28"/>
          <w:szCs w:val="28"/>
          <w:rtl w:val="true"/>
          <w:lang w:bidi="fa-IR"/>
        </w:rPr>
        <w:t xml:space="preserve">به علی السحر،و أن یبطلوه،و نهاهم عن </w:t>
      </w:r>
      <w:r>
        <w:rPr>
          <w:rStyle w:val="FootnoteAnchor"/>
          <w:rtl w:val="true"/>
        </w:rPr>
        <w:footnoteReference w:id="1078"/>
      </w:r>
      <w:r>
        <w:rPr>
          <w:rFonts w:ascii="IRNazanin" w:hAnsi="IRNazanin" w:eastAsia="IRNazanin"/>
          <w:color w:val="111111"/>
          <w:sz w:val="28"/>
          <w:sz w:val="28"/>
          <w:szCs w:val="28"/>
          <w:rtl w:val="true"/>
          <w:lang w:bidi="fa-IR"/>
        </w:rPr>
        <w:t>أن یسحروا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السم ما هو؟و إنّ ما یدفع به غائلة السم ما هو </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للمتعلم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السم فمن رأیته سُمّ فادفع غائلته بهذا،و لا تقتل بالسم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یُعَلِّمٰانِ مِنْ أَحَدٍ ذلک السحر و إبطاله حَتّٰی یَقُولاٰ للمتعلم إِنَّمٰا نَحْنُ فِتْنَةٌ و امتحان للعباد،لیطیعوا اللّه فی ما یتعلّمون من هذا و یبطلوا به کید السحرة</w:t>
      </w:r>
    </w:p>
    <w:p>
      <w:pPr>
        <w:pStyle w:val="BookText"/>
        <w:rPr/>
      </w:pPr>
      <w:r>
        <w:rPr>
          <w:rFonts w:ascii="Amiri" w:hAnsi="Amiri" w:eastAsia="Amiri" w:cs="Amiri"/>
          <w:color w:val="111111"/>
          <w:sz w:val="28"/>
          <w:sz w:val="28"/>
          <w:szCs w:val="28"/>
          <w:rtl w:val="true"/>
          <w:lang w:bidi="ar-SA"/>
        </w:rPr>
        <w:t xml:space="preserve">و لا یسحروهم، فَلاٰ تَکْفُرْ </w:t>
      </w:r>
      <w:r>
        <w:rPr>
          <w:rStyle w:val="FootnoteAnchor"/>
          <w:rtl w:val="true"/>
        </w:rPr>
        <w:footnoteReference w:id="1081"/>
      </w:r>
      <w:r>
        <w:rPr>
          <w:rFonts w:ascii="Amiri" w:hAnsi="Amiri" w:eastAsia="Amiri" w:cs="Amiri"/>
          <w:color w:val="111111"/>
          <w:sz w:val="28"/>
          <w:sz w:val="28"/>
          <w:szCs w:val="28"/>
          <w:rtl w:val="true"/>
          <w:lang w:bidi="ar-SA"/>
        </w:rPr>
        <w:t>باستعمال هذا السحر و طلب الإضرار و دعاء الناس إلی أن یعتقدوا أنّک تحیی و تمیت و تفعل ما لا یقدر علیه إلّا اللّه عزّ و جلّ؛فإنّ ذلک کفر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یَتَعَلَّمُونَ مٰا یَضُرُّهُمْ وَ لاٰ یَنْفَعُهُمْ ؛لأنّهم إذا تعلموا ذلک السحر لیسحروا به و یضروا به، فقد تعلّموا ما یضر بدینهم و لا ینفعهم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الجهم،عن مولانا الرضا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هاروت و ما روت فکانا ملَکَین عَلَّما الناس السحر لیحترزوا به عن سحر السحرة و یُبطلوا به کیدهم،و ما علّما أحداً من ذلک شیئاً حتی </w:t>
      </w:r>
      <w:r>
        <w:rPr>
          <w:rStyle w:val="FootnoteAnchor"/>
          <w:rtl w:val="true"/>
        </w:rPr>
        <w:footnoteReference w:id="1085"/>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فتنة فلا تکفر؛فکفر قوم باستعمالهم لما أُمروا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بالاحتراز منه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یفرّقون بما تعلّموه بین المرء و زوجه؛ قال اللّه تعالی وَ مٰا هُمْ بِضٰارِّینَ بِهِ مِنْ أَحَدٍ إِلاّٰ بِإِذْنِ اللّٰهِ یعنی بعلمه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کلّه،مضافاً إلی أنّ ظاهر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إرادة مَن </w:t>
      </w:r>
      <w:r>
        <w:rPr>
          <w:rStyle w:val="FootnoteAnchor"/>
          <w:rtl w:val="true"/>
        </w:rPr>
        <w:footnoteReference w:id="1088"/>
      </w:r>
      <w:r>
        <w:rPr>
          <w:rFonts w:ascii="IRNazanin" w:hAnsi="IRNazanin" w:eastAsia="IRNazanin"/>
          <w:color w:val="111111"/>
          <w:sz w:val="28"/>
          <w:sz w:val="28"/>
          <w:szCs w:val="28"/>
          <w:rtl w:val="true"/>
          <w:lang w:bidi="fa-IR"/>
        </w:rPr>
        <w:t xml:space="preserve">یُخشی ضرره،کما اعترف به بعض الأساطین </w:t>
      </w:r>
      <w:r>
        <w:rPr>
          <w:rStyle w:val="FootnoteAnchor"/>
          <w:rtl w:val="true"/>
        </w:rPr>
        <w:footnoteReference w:id="1089"/>
      </w:r>
      <w:r>
        <w:rPr>
          <w:rFonts w:ascii="IRNazanin" w:hAnsi="IRNazanin" w:eastAsia="IRNazanin"/>
          <w:color w:val="111111"/>
          <w:sz w:val="28"/>
          <w:sz w:val="28"/>
          <w:szCs w:val="28"/>
          <w:rtl w:val="true"/>
          <w:lang w:bidi="fa-IR"/>
        </w:rPr>
        <w:t>و استقرب لذلک جواز الحَلّ به بعد أن نسبه إلی کثیر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مع ذلک کله،فقد منع العلّامة فی غیر واحد من کتبه </w:t>
      </w:r>
      <w:r>
        <w:rPr>
          <w:rStyle w:val="FootnoteAnchor"/>
          <w:rtl w:val="true"/>
        </w:rPr>
        <w:footnoteReference w:id="1090"/>
      </w:r>
      <w:r>
        <w:rPr>
          <w:rFonts w:ascii="IRNazanin" w:hAnsi="IRNazanin" w:eastAsia="IRNazanin"/>
          <w:color w:val="111111"/>
          <w:sz w:val="28"/>
          <w:sz w:val="28"/>
          <w:szCs w:val="28"/>
          <w:rtl w:val="true"/>
          <w:lang w:bidi="fa-IR"/>
        </w:rPr>
        <w:t xml:space="preserve">و الشهید رحمه اللّه فی الدروس </w:t>
      </w:r>
      <w:r>
        <w:rPr>
          <w:rStyle w:val="FootnoteAnchor"/>
          <w:rtl w:val="true"/>
        </w:rPr>
        <w:footnoteReference w:id="1091"/>
      </w:r>
      <w:r>
        <w:rPr>
          <w:rFonts w:ascii="IRNazanin" w:hAnsi="IRNazanin" w:eastAsia="IRNazanin"/>
          <w:color w:val="111111"/>
          <w:sz w:val="28"/>
          <w:sz w:val="28"/>
          <w:szCs w:val="28"/>
          <w:rtl w:val="true"/>
          <w:lang w:bidi="fa-IR"/>
        </w:rPr>
        <w:t xml:space="preserve">و الفاضل المیسی </w:t>
      </w:r>
      <w:r>
        <w:rPr>
          <w:rStyle w:val="FootnoteAnchor"/>
          <w:rtl w:val="true"/>
        </w:rPr>
        <w:footnoteReference w:id="1092"/>
      </w:r>
      <w:r>
        <w:rPr>
          <w:rFonts w:ascii="IRNazanin" w:hAnsi="IRNazanin" w:eastAsia="IRNazanin"/>
          <w:color w:val="111111"/>
          <w:sz w:val="28"/>
          <w:sz w:val="28"/>
          <w:szCs w:val="28"/>
          <w:rtl w:val="true"/>
          <w:lang w:bidi="fa-IR"/>
        </w:rPr>
        <w:t xml:space="preserve">و الشهید الثانی رحمه اللّه </w:t>
      </w:r>
      <w:r>
        <w:rPr>
          <w:rStyle w:val="FootnoteAnchor"/>
          <w:rtl w:val="true"/>
        </w:rPr>
        <w:footnoteReference w:id="1093"/>
      </w:r>
      <w:r>
        <w:rPr>
          <w:rFonts w:ascii="IRNazanin" w:hAnsi="IRNazanin" w:eastAsia="IRNazanin"/>
          <w:color w:val="111111"/>
          <w:sz w:val="28"/>
          <w:sz w:val="28"/>
          <w:szCs w:val="28"/>
          <w:rtl w:val="true"/>
          <w:lang w:bidi="fa-IR"/>
        </w:rPr>
        <w:t xml:space="preserve">من حَلّ السحر به،و لعلهم حملوا ما دلّ علی الجواز مع اعتبار سنده علی حالة الضرورة و انحصار سبب الحَلّ فیه،لا مجرد دفع الضرر مع إمکانه بغیره من الأدعیة و التعویذات </w:t>
      </w:r>
      <w:r>
        <w:rPr>
          <w:rStyle w:val="FootnoteAnchor"/>
          <w:rtl w:val="true"/>
        </w:rPr>
        <w:footnoteReference w:id="1094"/>
      </w:r>
      <w:r>
        <w:rPr>
          <w:rFonts w:ascii="IRNazanin" w:hAnsi="IRNazanin" w:eastAsia="IRNazanin"/>
          <w:color w:val="111111"/>
          <w:sz w:val="28"/>
          <w:sz w:val="28"/>
          <w:szCs w:val="28"/>
          <w:rtl w:val="true"/>
          <w:lang w:bidi="fa-IR"/>
        </w:rPr>
        <w:t xml:space="preserve">و لذا ذهب جماعة منهم الشهیدان و المیسی </w:t>
      </w:r>
      <w:r>
        <w:rPr>
          <w:rStyle w:val="FootnoteAnchor"/>
          <w:rtl w:val="true"/>
        </w:rPr>
        <w:footnoteReference w:id="1095"/>
      </w:r>
      <w:r>
        <w:rPr>
          <w:rFonts w:ascii="IRNazanin" w:hAnsi="IRNazanin" w:eastAsia="IRNazanin"/>
          <w:color w:val="111111"/>
          <w:sz w:val="28"/>
          <w:sz w:val="28"/>
          <w:szCs w:val="28"/>
          <w:rtl w:val="true"/>
          <w:lang w:bidi="fa-IR"/>
        </w:rPr>
        <w:t xml:space="preserve">و غیرهم </w:t>
      </w:r>
      <w:r>
        <w:rPr>
          <w:rStyle w:val="FootnoteAnchor"/>
          <w:rtl w:val="true"/>
        </w:rPr>
        <w:footnoteReference w:id="1096"/>
      </w:r>
      <w:r>
        <w:rPr>
          <w:rFonts w:ascii="Amiri" w:hAnsi="Amiri" w:eastAsia="Amiri" w:cs="Amiri"/>
          <w:color w:val="111111"/>
          <w:sz w:val="28"/>
          <w:sz w:val="28"/>
          <w:szCs w:val="28"/>
          <w:rtl w:val="true"/>
          <w:lang w:bidi="ar-SA"/>
        </w:rPr>
        <w:t>إلی جواز تعلّمه لیُتوقّی به من السحر و یُدفع به دعوی المتنبّی</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حمل أخبار الجواز الحاکیة لقصة هاروت و ما روت علی</w:t>
      </w:r>
    </w:p>
    <w:p>
      <w:pPr>
        <w:pStyle w:val="BookText"/>
        <w:rPr/>
      </w:pPr>
      <w:r>
        <w:rPr>
          <w:rFonts w:ascii="IRNazanin" w:hAnsi="IRNazanin" w:eastAsia="IRNazanin"/>
          <w:color w:val="111111"/>
          <w:sz w:val="28"/>
          <w:sz w:val="28"/>
          <w:szCs w:val="28"/>
          <w:rtl w:val="true"/>
          <w:lang w:bidi="fa-IR"/>
        </w:rPr>
        <w:t xml:space="preserve">جواز ذلک فی الشریعة السابقة </w:t>
      </w:r>
      <w:r>
        <w:rPr>
          <w:rStyle w:val="FootnoteAnchor"/>
          <w:rtl w:val="true"/>
        </w:rPr>
        <w:footnoteReference w:id="1097"/>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التسخیرات بأقسامها داخلة فی السحر علی جمیع تعاریفه،و قد عرفت أنّ الشهیدین مع أخذ الإضرار فی تعریف السحر ذکرا أنّ استخدام الملائکة و الجن من السحر </w:t>
      </w:r>
      <w:r>
        <w:rPr>
          <w:rStyle w:val="FootnoteAnchor"/>
          <w:rtl w:val="true"/>
        </w:rPr>
        <w:footnoteReference w:id="1098"/>
      </w:r>
      <w:r>
        <w:rPr>
          <w:rFonts w:ascii="IRNazanin" w:hAnsi="IRNazanin" w:eastAsia="IRNazanin"/>
          <w:color w:val="111111"/>
          <w:sz w:val="28"/>
          <w:sz w:val="28"/>
          <w:szCs w:val="28"/>
          <w:rtl w:val="true"/>
          <w:lang w:bidi="fa-IR"/>
        </w:rPr>
        <w:t>،و لعل وجه دخوله تضرّر المسخَّر بتسخیره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سائر التعاریف،فالظاهر شمولها لها،و ظاهر عبارة الإیضاح </w:t>
      </w:r>
      <w:r>
        <w:rPr>
          <w:rStyle w:val="FootnoteAnchor"/>
          <w:rtl w:val="true"/>
        </w:rPr>
        <w:footnoteReference w:id="1099"/>
      </w:r>
      <w:r>
        <w:rPr>
          <w:rFonts w:ascii="IRNazanin" w:hAnsi="IRNazanin" w:eastAsia="IRNazanin"/>
          <w:color w:val="111111"/>
          <w:sz w:val="28"/>
          <w:sz w:val="28"/>
          <w:szCs w:val="28"/>
          <w:rtl w:val="true"/>
          <w:lang w:bidi="fa-IR"/>
        </w:rPr>
        <w:t>أیضاً دخول هذه فی معقد دعواه الضرورة علی التحریم؛لأنّ الظاهر دخولها فی الأقسام و العزائم و النّفث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ذلک تسخیر الحیوانات من الهوامّ و السباع و الوحوش و غیر ذلک خصوصاً الإنسان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عمل السیمیاء ملحق بالسحر اسماً أو حکماً،و قد صرح بحرمته الشهید فی الدروس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 علی ما قیل </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خیالات لا وجود لها فی الحسّ یوجب تأثیراً فی شیء آخر</w:t>
      </w:r>
      <w:r>
        <w:rPr>
          <w:rFonts w:eastAsia="IRNazanin" w:cs="IRNazanin"/>
          <w:color w:val="111111"/>
          <w:sz w:val="28"/>
          <w:szCs w:val="28"/>
          <w:rtl w:val="true"/>
          <w:lang w:bidi="fa-IR"/>
        </w:rPr>
        <w:t>.</w:t>
      </w:r>
      <w:bookmarkStart w:id="303" w:name="pg19762_189524"/>
    </w:p>
    <w:p>
      <w:pPr>
        <w:pStyle w:val="BookText"/>
        <w:rPr/>
      </w:pPr>
      <w:bookmarkEnd w:id="30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5003666_2314609296"/>
      <w:bookmarkStart w:id="305" w:name="_Toc116"/>
      <w:bookmarkEnd w:id="304"/>
      <w:r>
        <w:rPr>
          <w:rtl w:val="true"/>
        </w:rPr>
        <w:t>المسألة</w:t>
      </w:r>
      <w:r>
        <w:rPr>
          <w:rtl w:val="true"/>
        </w:rPr>
        <w:t>]</w:t>
      </w:r>
      <w:r>
        <w:rPr>
          <w:rtl w:val="true"/>
        </w:rPr>
        <w:t>الحادیة عشرة الشعْبَذَة حرام</w:t>
      </w:r>
      <w:bookmarkEnd w:id="305"/>
    </w:p>
    <w:p>
      <w:pPr>
        <w:pStyle w:val="BookText"/>
        <w:rPr/>
      </w:pP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الحرکة السریعة بحیث یوجب علی الحس الانتقال من الشیء إلی شبهه،کما تری النار المتحرکة علی الاستدارة دائرة متصلة؛لعدم إدراک السکونات المتخلّلة بین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الحرمة بعد الإجماع،مضافاً إلی أنّه من الباطل و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دخوله فی السحر فی الروایة المتقدمة عن الاحتجاج </w:t>
      </w:r>
      <w:r>
        <w:rPr>
          <w:rStyle w:val="FootnoteAnchor"/>
          <w:rtl w:val="true"/>
        </w:rPr>
        <w:footnoteReference w:id="1102"/>
      </w:r>
      <w:r>
        <w:rPr>
          <w:rFonts w:ascii="IRNazanin" w:hAnsi="IRNazanin" w:eastAsia="IRNazanin"/>
          <w:color w:val="111111"/>
          <w:sz w:val="28"/>
          <w:sz w:val="28"/>
          <w:szCs w:val="28"/>
          <w:rtl w:val="true"/>
          <w:lang w:bidi="fa-IR"/>
        </w:rPr>
        <w:t xml:space="preserve">،المنجبر وهنها بالإجماع المحکی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التعاریف المتقدمة </w:t>
      </w:r>
      <w:r>
        <w:rPr>
          <w:rStyle w:val="FootnoteAnchor"/>
          <w:rtl w:val="true"/>
        </w:rPr>
        <w:footnoteReference w:id="1104"/>
      </w:r>
      <w:r>
        <w:rPr>
          <w:rFonts w:ascii="IRNazanin" w:hAnsi="IRNazanin" w:eastAsia="IRNazanin"/>
          <w:color w:val="111111"/>
          <w:sz w:val="28"/>
          <w:sz w:val="28"/>
          <w:szCs w:val="28"/>
          <w:rtl w:val="true"/>
          <w:lang w:bidi="fa-IR"/>
        </w:rPr>
        <w:t>للسحر ما یشملها</w:t>
      </w:r>
      <w:r>
        <w:rPr>
          <w:rFonts w:eastAsia="IRNazanin" w:cs="IRNazanin"/>
          <w:color w:val="111111"/>
          <w:sz w:val="28"/>
          <w:szCs w:val="28"/>
          <w:rtl w:val="true"/>
          <w:lang w:bidi="fa-IR"/>
        </w:rPr>
        <w:t>.</w:t>
      </w:r>
      <w:bookmarkStart w:id="306" w:name="pg19762_189525"/>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5003668_2314609296"/>
      <w:bookmarkStart w:id="308" w:name="_Toc117"/>
      <w:bookmarkEnd w:id="307"/>
      <w:r>
        <w:rPr>
          <w:rtl w:val="true"/>
        </w:rPr>
        <w:t>المسألة</w:t>
      </w:r>
      <w:r>
        <w:rPr>
          <w:rtl w:val="true"/>
        </w:rPr>
        <w:t>]</w:t>
      </w:r>
      <w:r>
        <w:rPr>
          <w:rtl w:val="true"/>
        </w:rPr>
        <w:t>الثانیة عشرة الغش حرام</w:t>
      </w:r>
      <w:bookmarkEnd w:id="308"/>
    </w:p>
    <w:p>
      <w:pPr>
        <w:pStyle w:val="BookText"/>
        <w:rPr/>
      </w:pPr>
      <w:r>
        <w:rPr>
          <w:rFonts w:ascii="IRNazanin" w:hAnsi="IRNazanin" w:eastAsia="IRNazanin"/>
          <w:color w:val="111111"/>
          <w:sz w:val="28"/>
          <w:sz w:val="28"/>
          <w:szCs w:val="28"/>
          <w:rtl w:val="true"/>
          <w:lang w:bidi="fa-IR"/>
        </w:rPr>
        <w:t>بلا خلاف،و الأخبار به متواترة،نذکر بعضها تیمّناً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 صلّی اللّه علیه و آله و سلم بأسانید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المسلمین مَن غشّهم</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بأسانید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غشّ مسلماً،أو ضرّه،أو ماکره</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عقاب الأعمال،عن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غشّ مسلماً فی بیع أو شراء فلیس منّا،و یحشر مع الیهود یوم القیامة؛لأنّه من غش الناس فلیس بمسلم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غشّنا فلیس منا قالها</w:t>
      </w:r>
    </w:p>
    <w:p>
      <w:pPr>
        <w:pStyle w:val="BookText"/>
        <w:rPr/>
      </w:pP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غشّ أخاه المسلم نزع اللّه برکة رزقه،و أفسد </w:t>
      </w:r>
      <w:r>
        <w:rPr>
          <w:rStyle w:val="FootnoteAnchor"/>
          <w:rtl w:val="true"/>
        </w:rPr>
        <w:footnoteReference w:id="1108"/>
      </w:r>
      <w:r>
        <w:rPr>
          <w:rFonts w:ascii="IRNazanin" w:hAnsi="IRNazanin" w:eastAsia="IRNazanin"/>
          <w:color w:val="111111"/>
          <w:sz w:val="28"/>
          <w:sz w:val="28"/>
          <w:szCs w:val="28"/>
          <w:rtl w:val="true"/>
          <w:lang w:bidi="fa-IR"/>
        </w:rPr>
        <w:t>علیه معیشته،و وکله إلی نفسه</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مرسلة هشام </w:t>
      </w:r>
      <w:r>
        <w:rPr>
          <w:rStyle w:val="FootnoteAnchor"/>
          <w:rtl w:val="true"/>
        </w:rPr>
        <w:footnoteReference w:id="1110"/>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لرجل یبیع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Style w:val="FootnoteAnchor"/>
          <w:rtl w:val="true"/>
        </w:rPr>
        <w:footnoteReference w:id="1111"/>
      </w:r>
      <w:r>
        <w:rPr>
          <w:rFonts w:ascii="Amiri" w:hAnsi="Amiri" w:eastAsia="Amiri" w:cs="Amiri"/>
          <w:color w:val="111111"/>
          <w:sz w:val="28"/>
          <w:sz w:val="28"/>
          <w:szCs w:val="28"/>
          <w:rtl w:val="true"/>
          <w:lang w:bidi="ar-SA"/>
        </w:rPr>
        <w:t>من غَشّ غُشّ فی ماله،فإن لم یکن له مال غُشّ فی أهله</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سعد الإسکاف،عن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النبی صلّی اللّه علیه و آله و سلم فی سوق المدینة بطعام،فقال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أری طعامک إلّا طیّباً </w:t>
      </w:r>
      <w:r>
        <w:rPr>
          <w:rStyle w:val="FootnoteAnchor"/>
          <w:rtl w:val="true"/>
        </w:rPr>
        <w:footnoteReference w:id="1113"/>
      </w:r>
      <w:r>
        <w:rPr>
          <w:rFonts w:ascii="IRNazanin" w:hAnsi="IRNazanin" w:eastAsia="IRNazanin"/>
          <w:color w:val="111111"/>
          <w:sz w:val="28"/>
          <w:sz w:val="28"/>
          <w:szCs w:val="28"/>
          <w:rtl w:val="true"/>
          <w:lang w:bidi="fa-IR"/>
        </w:rPr>
        <w:t>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یدسّ یده فی الطعام ففعل، فأخرج طعاماً ردیّاً،فقال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إلّا و قد جمعت خیانة و غشاً للمسلمین</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موسی بن بکر </w:t>
      </w:r>
      <w:r>
        <w:rPr>
          <w:rStyle w:val="FootnoteAnchor"/>
          <w:rtl w:val="true"/>
        </w:rPr>
        <w:footnoteReference w:id="1115"/>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أخذ دیناراً من الدنانیر المصبوبة بین یدیه ثم قطّعه بنصفین </w:t>
      </w:r>
      <w:r>
        <w:rPr>
          <w:rStyle w:val="FootnoteAnchor"/>
          <w:rtl w:val="true"/>
        </w:rPr>
        <w:footnoteReference w:id="1116"/>
      </w:r>
      <w:r>
        <w:rPr>
          <w:rFonts w:ascii="IRNazanin" w:hAnsi="IRNazanin" w:eastAsia="IRNazanin"/>
          <w:color w:val="111111"/>
          <w:sz w:val="28"/>
          <w:sz w:val="28"/>
          <w:szCs w:val="28"/>
          <w:rtl w:val="true"/>
          <w:lang w:bidi="fa-IR"/>
        </w:rPr>
        <w:t xml:space="preserve">ثم قال لی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ألقه فی البالوعة حتی لا یباع بشیء </w:t>
      </w:r>
      <w:r>
        <w:rPr>
          <w:rStyle w:val="FootnoteAnchor"/>
          <w:rtl w:val="true"/>
        </w:rPr>
        <w:footnoteReference w:id="1118"/>
      </w:r>
      <w:r>
        <w:rPr>
          <w:rFonts w:ascii="IRNazanin" w:hAnsi="IRNazanin" w:eastAsia="IRNazanin"/>
          <w:color w:val="111111"/>
          <w:sz w:val="28"/>
          <w:sz w:val="28"/>
          <w:szCs w:val="28"/>
          <w:rtl w:val="true"/>
          <w:lang w:bidi="fa-IR"/>
        </w:rPr>
        <w:t>فیه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ابتدائیة،و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هشام 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أبیع السابری فی الظلال، فمرّ بی أبو الحسن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البیع فی الظلال غش، و الغش لا یحل</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الرجل یشتری طعاماً فیکون أحسن له و أنفق له أن یبلّه من غیر أن یلتمس زیادته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بیعاً لا یصلحه إلّا ذلک و لا ینفقه غیره من غیر أن یلتمس فیه زیادة،فلا بأس،و إن کان إنّما یغش به المسلمین فلا یصلح</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روایته الأُخری،قال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الرجل یکون عنده لونان من الطعام </w:t>
      </w:r>
      <w:r>
        <w:rPr>
          <w:rStyle w:val="FootnoteAnchor"/>
          <w:rtl w:val="true"/>
        </w:rPr>
        <w:footnoteReference w:id="1124"/>
      </w:r>
      <w:r>
        <w:rPr>
          <w:rFonts w:ascii="IRNazanin" w:hAnsi="IRNazanin" w:eastAsia="IRNazanin"/>
          <w:color w:val="111111"/>
          <w:sz w:val="28"/>
          <w:sz w:val="28"/>
          <w:szCs w:val="28"/>
          <w:rtl w:val="true"/>
          <w:lang w:bidi="fa-IR"/>
        </w:rPr>
        <w:t xml:space="preserve">سعّرهما بشیء </w:t>
      </w:r>
      <w:r>
        <w:rPr>
          <w:rStyle w:val="FootnoteAnchor"/>
          <w:rtl w:val="true"/>
        </w:rPr>
        <w:footnoteReference w:id="1125"/>
      </w:r>
      <w:r>
        <w:rPr>
          <w:rFonts w:ascii="IRNazanin" w:hAnsi="IRNazanin" w:eastAsia="IRNazanin"/>
          <w:color w:val="111111"/>
          <w:sz w:val="28"/>
          <w:sz w:val="28"/>
          <w:szCs w:val="28"/>
          <w:rtl w:val="true"/>
          <w:lang w:bidi="fa-IR"/>
        </w:rPr>
        <w:t>،و أحدهما أجود من الآخر،فیخلطهما جمیعاً ثم یبیعهما بسعر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له أن یغش المسلمین حتی یبیّنه</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داود بن سرحان،قال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 جرابان من مسک، أحدهما رطب و الآخر یابس،فبدأت بالرطب فبعته،ثم أخذت الیابس أبیعه،فإذا أنا لا اعطی بالیابس الثمن الذی یسوی،و لا یزیدونی علی ثمن الرطب،فسألت أبا عبد اللّه علیه السلام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یصلح لی أن أُندّیه؟قال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أن تعلمهم،قال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فندّیته ثم أعلمتهم،قال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الأخبار هو کون الغش بما یخفی،کمزج اللبن بالماء، و خلط الجیّد بالردیء فی مثل الدهن،و منه وضع الحریر فی مکان بارد لیکتسب ثقلاً،و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المزج و الخلط بما لا یخفی فلا یحرم؛لعدم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 یدلّ علیه مضافاً إلی بعض الأخبار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الطعام یخلط بعضه ببعض،و بعضه أجود من بعض،قال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رؤیا جمیعاً فلا بأس ما لم یغطِّ الجیّد الردیء</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مقتضی هذه الروایة بل روایة الحلبی الثانیة </w:t>
      </w:r>
      <w:r>
        <w:rPr>
          <w:rStyle w:val="FootnoteAnchor"/>
          <w:rtl w:val="true"/>
        </w:rPr>
        <w:footnoteReference w:id="1129"/>
      </w:r>
      <w:r>
        <w:rPr>
          <w:rFonts w:ascii="IRNazanin" w:hAnsi="IRNazanin" w:eastAsia="IRNazanin"/>
          <w:color w:val="111111"/>
          <w:sz w:val="28"/>
          <w:sz w:val="28"/>
          <w:szCs w:val="28"/>
          <w:rtl w:val="true"/>
          <w:lang w:bidi="fa-IR"/>
        </w:rPr>
        <w:t xml:space="preserve">،و روایة سعد الإسکاف </w:t>
      </w:r>
      <w:r>
        <w:rPr>
          <w:rStyle w:val="FootnoteAnchor"/>
          <w:rtl w:val="true"/>
        </w:rPr>
        <w:footnoteReference w:id="1130"/>
      </w:r>
      <w:r>
        <w:rPr>
          <w:rFonts w:ascii="IRNazanin" w:hAnsi="IRNazanin" w:eastAsia="IRNazanin"/>
          <w:color w:val="111111"/>
          <w:sz w:val="28"/>
          <w:sz w:val="28"/>
          <w:szCs w:val="28"/>
          <w:rtl w:val="true"/>
          <w:lang w:bidi="fa-IR"/>
        </w:rPr>
        <w:t xml:space="preserve">أنّه لا یشترط فی حرمة الغش کونه ممّا لا یعرف إلّا من قبل البائع،فیجب الإعلام بالعیب غیر الخفی،إلّا أن تُنزّل الحرمة فی موارد الروایات الثلاث علی ما إذا تعمد الغش برجاء التلبس </w:t>
      </w:r>
      <w:r>
        <w:rPr>
          <w:rStyle w:val="FootnoteAnchor"/>
          <w:rtl w:val="true"/>
        </w:rPr>
        <w:footnoteReference w:id="1131"/>
      </w:r>
      <w:r>
        <w:rPr>
          <w:rFonts w:ascii="IRNazanin" w:hAnsi="IRNazanin" w:eastAsia="IRNazanin"/>
          <w:color w:val="111111"/>
          <w:sz w:val="28"/>
          <w:sz w:val="28"/>
          <w:szCs w:val="28"/>
          <w:rtl w:val="true"/>
          <w:lang w:bidi="fa-IR"/>
        </w:rPr>
        <w:t>علی المشتری و عدم التفطّن له و إن کان من شأن ذلک العیب أن یتفطّن له؛فلا تدلّ الروایات علی وجوب الإعلام إذا کان العیب من شأنه التفطّن له،فقصّر المشتری و سامح فی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غشّ المسلم إنّما هو ببیع المغشوش علیه مع جهله، فلا فرق بین کون الاغتشاش بفعله أو بغیره؛فلو حصل اتّفاقاً أو لغرض فیجب الإعلام بالعیب الخفی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یمنع صدق الأخبار المذکورة إلّا علی ما إذا قصد التلبیس،و أمّا ما هو ملتبس فی نفسه فلا یجب علیه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نعم،یحرم علیه إظهار ما یدلّ علی سلامته من ذلک؛فالعبرة فی الحرمة بقصد تلبیس الأمر علی المشتری،سواء کان العیب خفیّاً أم جلیّا کما تقدم لا بکتمان العیب مطلقاً،أو خصوص الخفی و إن لم یقصد التلبیس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منع فی التذکرة من کون بیع المعیب مطلقاً مع عدم الإعلام بالعیب غشّاً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التفصیل المذکور فی روایة الحلبی </w:t>
      </w:r>
      <w:r>
        <w:rPr>
          <w:rStyle w:val="FootnoteAnchor"/>
          <w:rtl w:val="true"/>
        </w:rPr>
        <w:footnoteReference w:id="1133"/>
      </w:r>
      <w:r>
        <w:rPr>
          <w:rFonts w:ascii="IRNazanin" w:hAnsi="IRNazanin" w:eastAsia="IRNazanin"/>
          <w:color w:val="111111"/>
          <w:sz w:val="28"/>
          <w:sz w:val="28"/>
          <w:szCs w:val="28"/>
          <w:rtl w:val="true"/>
          <w:lang w:bidi="fa-IR"/>
        </w:rPr>
        <w:t>إشارة إلی هذا المعنی؛ حیث إنّه علیه السلام جوّز بلّ الطعام بدون قید الإعلام إذا لم یقصد به الزیادة و إن حصلت به،و حرّمه مع قصد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 فی صورة تعیّب المبیع بخروجه عن مقتضی خلقته الأصلیة بعیب خفیّ أو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التزام البائع بسلامته عن العیب مع علمه به غشّ للمشتری،کما لو صرّح باشتراط السلامة؛ فإنّ العرف یحکمون علی البائع بهذا الشرط مع علمه بالعیب أنّه غاشّ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الغشّ یکون بإخفاء الأدنی فی الأعلی کمزج الجیّد بالردیء، أو غیر المراد فی المراد کإدخال الماء فی اللّبن،و بإظهار الصفة الجیّدة المفقودة واقعاً،و هو التدلیس،أو بإظهار الشیء علی خلاف جنسه کبیع المُموّه علی أنّه ذهب أو فضة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جامع المقاصد ذکر فی الغش بما یخفی بعد تمثیله له بمزج اللّبن بالماء وجهین فی صحة المعاملة و فسادها،من حیث</w:t>
      </w:r>
    </w:p>
    <w:p>
      <w:pPr>
        <w:pStyle w:val="BookText"/>
        <w:rPr/>
      </w:pPr>
      <w:r>
        <w:rPr>
          <w:rFonts w:ascii="IRNazanin" w:hAnsi="IRNazanin" w:eastAsia="IRNazanin"/>
          <w:color w:val="111111"/>
          <w:sz w:val="28"/>
          <w:sz w:val="28"/>
          <w:szCs w:val="28"/>
          <w:rtl w:val="true"/>
          <w:lang w:bidi="fa-IR"/>
        </w:rPr>
        <w:t>إنّ المحرّم هو الغش و المبیع عین مملوکة ینتفع بها،و من أنّ المقصود بالبیع هو اللّبن،و الجاری علیه العقد هو المشوب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الذکری فی باب الجماعة ما حاصله،أنّه لو نوی الاقتداء بإمامٍ معیّن علی أنّه زید فبان عمرواً،أنّ فی الحکم نظراً، 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هذا الفرس،فإذا هو حمار </w:t>
      </w:r>
      <w:r>
        <w:rPr>
          <w:rStyle w:val="FootnoteAnchor"/>
          <w:rtl w:val="true"/>
        </w:rPr>
        <w:footnoteReference w:id="1134"/>
      </w:r>
      <w:r>
        <w:rPr>
          <w:rFonts w:ascii="IRNazanin" w:hAnsi="IRNazanin" w:eastAsia="IRNazanin"/>
          <w:color w:val="111111"/>
          <w:sz w:val="28"/>
          <w:sz w:val="28"/>
          <w:szCs w:val="28"/>
          <w:rtl w:val="true"/>
          <w:lang w:bidi="fa-IR"/>
        </w:rPr>
        <w:t xml:space="preserve">و جعل منشأ التردد تغلیب الإشارة أو الوصف </w:t>
      </w:r>
      <w:r>
        <w:rPr>
          <w:rStyle w:val="FootnoteAnchor"/>
          <w:rtl w:val="true"/>
        </w:rPr>
        <w:footnoteReference w:id="11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وجهی الصحّة و الفساد جارٍ فی مطلق العیب؛لأنّ المقصود هو الصحیح،و الجاری علیه العقد هو المعیب،و جعله من باب تعارض الإشارة و الوصف مبنیّ علی إرادة الصحیح من عنوان المبیع، 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تبین کونه أعمی بمنزلة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لیس الأمر کذلک کما سیجیء فی باب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وصف الصحة ملحوظ علی وجه الشرطیة و عدم کونه مقوّماً للمبیع، کما یشهد به العرف و الشرع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فرض کون المراد من عنوان المشار إلیه هو الصحیح، لم یکن إشکال فی تقدیم العنوان علی الإشارة بعد ما فرض رحمه اللّه أنّ المقصود بالبیع هو اللّبن و الجاری علیه العقد هو المشوب؛لأنّ ما قصد لم یقع و ما وقع لم یقصد؛و لذا اتفقوا علی بطلان الصرف فیما إذا تبین أحد العوضین معیباً من غیر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التردد فی مسألة تعارض الإشارة و العنوان،فهو من جهة اشتباه ما هو المقصود بالذات بحسب الدلالة اللفظیة،فإنّها مرددة بین کون متعلق القصد </w:t>
      </w:r>
      <w:r>
        <w:rPr>
          <w:rStyle w:val="FootnoteAnchor"/>
          <w:rtl w:val="true"/>
        </w:rPr>
        <w:footnoteReference w:id="1136"/>
      </w:r>
      <w:r>
        <w:rPr>
          <w:rFonts w:ascii="IRNazanin" w:hAnsi="IRNazanin" w:eastAsia="IRNazanin"/>
          <w:color w:val="111111"/>
          <w:sz w:val="28"/>
          <w:sz w:val="28"/>
          <w:szCs w:val="28"/>
          <w:rtl w:val="true"/>
          <w:lang w:bidi="fa-IR"/>
        </w:rPr>
        <w:t>أولاً و بالذات هو العین الحاضرة و یکون اتصافه بالعنوان مبنیاً علی الاعتقاد،و کون متعلقه هو العنوان و الإشارة إلیه باعتبار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العلم بما هو المقصود بالذات و مغایرته للموجود الخارجی کما فیما نحن فیه فلا یتردد أحد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تشبیه مسألة الاقتداء فی الذکری بتعارض الإشارة و الوصف فی الکلام مع عدم الإجمال فی النیّة،فباعتبار عروض الاشتباه للناوی بعد ذلک فی ما نواه؛إذ کثیراً ما یشتبه علی الناوی أنّه حضر فی ذهنه العنوان و نوی الاقتداء به معتقداً لحضوره المعتبر فی إمام الجماعة،فیکون الإمام هو المعنون بذلک العنوان و إنّما أشار إلیه معتقداً لحضوره،أو </w:t>
      </w:r>
      <w:r>
        <w:rPr>
          <w:rStyle w:val="FootnoteAnchor"/>
          <w:rtl w:val="true"/>
        </w:rPr>
        <w:footnoteReference w:id="1137"/>
      </w:r>
      <w:r>
        <w:rPr>
          <w:rFonts w:ascii="IRNazanin" w:hAnsi="IRNazanin" w:eastAsia="IRNazanin"/>
          <w:color w:val="111111"/>
          <w:sz w:val="28"/>
          <w:sz w:val="28"/>
          <w:szCs w:val="28"/>
          <w:rtl w:val="true"/>
          <w:lang w:bidi="fa-IR"/>
        </w:rPr>
        <w:t>أنّه نوی الاقتداء بالحاضر و عنونه بذلک العنوان لإحراز معرفته بالعدالة،أو تعنون به بمقتضی الاعتقاد من دون اختیار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هذا،ثم إنّه قد یستدل علی الفساد کما نسب إلی المحقق الأردبیلی رحمه اللّه </w:t>
      </w:r>
      <w:r>
        <w:rPr>
          <w:rStyle w:val="FootnoteAnchor"/>
          <w:rtl w:val="true"/>
        </w:rPr>
        <w:footnoteReference w:id="1138"/>
      </w:r>
      <w:r>
        <w:rPr>
          <w:rFonts w:ascii="IRNazanin" w:hAnsi="IRNazanin" w:eastAsia="IRNazanin"/>
          <w:color w:val="111111"/>
          <w:sz w:val="28"/>
          <w:sz w:val="28"/>
          <w:szCs w:val="28"/>
          <w:rtl w:val="true"/>
          <w:lang w:bidi="fa-IR"/>
        </w:rPr>
        <w:t>بورود النهی عن هذا البیع،فیکون المغشوش منهیاً عن بیعه،کما أُشیر إلیه فی روایة قطع الدینار و الأمر بإلقائه</w:t>
      </w:r>
    </w:p>
    <w:p>
      <w:pPr>
        <w:pStyle w:val="BookText"/>
        <w:rPr/>
      </w:pPr>
      <w:r>
        <w:rPr>
          <w:rFonts w:ascii="IRNazanin" w:hAnsi="IRNazanin" w:eastAsia="IRNazanin"/>
          <w:color w:val="111111"/>
          <w:sz w:val="28"/>
          <w:sz w:val="28"/>
          <w:szCs w:val="28"/>
          <w:rtl w:val="true"/>
          <w:lang w:bidi="fa-IR"/>
        </w:rPr>
        <w:t>فی البالوعة،معلّلاً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یباع بشیء</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و لأنّ نفس البیع غش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نظر،فإنّ النهی عن البیع لکونه مصداقاً لمحرم هو الغش لا یوجب فساده،کما تقدم فی بیع العنب علی من </w:t>
      </w:r>
      <w:r>
        <w:rPr>
          <w:rStyle w:val="FootnoteAnchor"/>
          <w:rtl w:val="true"/>
        </w:rPr>
        <w:footnoteReference w:id="1140"/>
      </w:r>
      <w:r>
        <w:rPr>
          <w:rFonts w:ascii="Amiri" w:hAnsi="Amiri" w:eastAsia="Amiri" w:cs="Amiri"/>
          <w:color w:val="111111"/>
          <w:sz w:val="28"/>
          <w:sz w:val="28"/>
          <w:szCs w:val="28"/>
          <w:rtl w:val="true"/>
          <w:lang w:bidi="ar-SA"/>
        </w:rPr>
        <w:t xml:space="preserve">یعمله خمراً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النهی عن بیع المغشوش لنفسه فلم یوجد فی خبر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الدینار،فلو عمل به خرجت </w:t>
      </w:r>
      <w:r>
        <w:rPr>
          <w:rStyle w:val="FootnoteAnchor"/>
          <w:rtl w:val="true"/>
        </w:rPr>
        <w:footnoteReference w:id="1142"/>
      </w:r>
      <w:r>
        <w:rPr>
          <w:rFonts w:ascii="IRNazanin" w:hAnsi="IRNazanin" w:eastAsia="IRNazanin"/>
          <w:color w:val="111111"/>
          <w:sz w:val="28"/>
          <w:sz w:val="28"/>
          <w:szCs w:val="28"/>
          <w:rtl w:val="true"/>
          <w:lang w:bidi="fa-IR"/>
        </w:rPr>
        <w:t xml:space="preserve">المسألة عن مسألة الغش؛ لأنّه إذا وجب إتلاف الدینار و إلقاؤه فی البالوعة کان داخلاً فی ما یکون المقصود منه حراماً،نظیر آلات اللهو و القمار،و قد ذکرنا ذلک فی ما یحرم الاکتساب به لکون المقصود منه محرّماً </w:t>
      </w:r>
      <w:r>
        <w:rPr>
          <w:rStyle w:val="FootnoteAnchor"/>
          <w:rtl w:val="true"/>
        </w:rPr>
        <w:footnoteReference w:id="1143"/>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المضروب من غیر جنس النقدین أو من غیر الخالص منهما لأجل التلبیس علی الناس،و معلوم أنّ مثله بهیئته لا یقصد منه إلّا التلبیس، فهو آلة الفساد لکل من دفع إلیه،و أین هو من اللّبن الممزوج بالماء و شبهه؟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حینئذٍ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البیع فی غیر القسم الرابع،ثم العمل علی ما تقتضیه القاعدة عند تبیّن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غُش فی إظهار وصف مفقود کان فیه خیار التدلیس، و إن کان من قبیل شوب اللبن بالماء،فالظاهر هنا خیار العیب؛لعدم خروجه بالمزج عن مسمّی اللبن،فهو لبن معیوب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قبیل التراب الکثیر فی الحنطة،کان له حکم تبعّض الصفقة،و نَقَص الثمنُ بمقدار التراب الزائد؛لأنّه غیر متموَّل،و لو کان شیئاً متموَّلاً بطل البیع فی مقابله</w:t>
      </w:r>
      <w:r>
        <w:rPr>
          <w:rFonts w:eastAsia="IRNazanin" w:cs="IRNazanin"/>
          <w:color w:val="111111"/>
          <w:sz w:val="28"/>
          <w:szCs w:val="28"/>
          <w:rtl w:val="true"/>
          <w:lang w:bidi="fa-IR"/>
        </w:rPr>
        <w:t>.</w:t>
      </w:r>
      <w:bookmarkStart w:id="309" w:name="pg19762_189535"/>
    </w:p>
    <w:p>
      <w:pPr>
        <w:pStyle w:val="BookText"/>
        <w:rPr/>
      </w:pPr>
      <w:bookmarkEnd w:id="30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5003670_2314609296"/>
      <w:bookmarkStart w:id="311" w:name="_Toc118"/>
      <w:bookmarkEnd w:id="310"/>
      <w:r>
        <w:rPr>
          <w:rtl w:val="true"/>
        </w:rPr>
        <w:t>المسألة</w:t>
      </w:r>
      <w:r>
        <w:rPr>
          <w:rtl w:val="true"/>
        </w:rPr>
        <w:t>]</w:t>
      </w:r>
      <w:r>
        <w:rPr>
          <w:rtl w:val="true"/>
        </w:rPr>
        <w:t>الثالثة عشر الغناء،</w:t>
      </w:r>
      <w:bookmarkEnd w:id="311"/>
    </w:p>
    <w:p>
      <w:pPr>
        <w:pStyle w:val="Heading5"/>
        <w:numPr>
          <w:ilvl w:val="4"/>
          <w:numId w:val="1"/>
        </w:numPr>
        <w:rPr/>
      </w:pPr>
      <w:bookmarkStart w:id="312" w:name="__RefHeading___Toc5003672_2314609296"/>
      <w:bookmarkStart w:id="313" w:name="_Toc119"/>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لا خلاف فی حرمته فی الجملة،</w:t>
      </w:r>
    </w:p>
    <w:p>
      <w:pPr>
        <w:pStyle w:val="Heading5"/>
        <w:numPr>
          <w:ilvl w:val="4"/>
          <w:numId w:val="1"/>
        </w:numPr>
        <w:rPr/>
      </w:pPr>
      <w:bookmarkStart w:id="314" w:name="__RefHeading___Toc5003674_2314609296"/>
      <w:bookmarkStart w:id="315" w:name="_Toc120"/>
      <w:bookmarkEnd w:id="314"/>
      <w:r>
        <w:rPr>
          <w:rtl w:val="true"/>
        </w:rPr>
        <w:t>و الأخبار بها مستفیضة،</w:t>
      </w:r>
      <w:bookmarkEnd w:id="315"/>
    </w:p>
    <w:p>
      <w:pPr>
        <w:pStyle w:val="Heading6"/>
        <w:numPr>
          <w:ilvl w:val="5"/>
          <w:numId w:val="1"/>
        </w:numPr>
        <w:rPr/>
      </w:pPr>
      <w:bookmarkStart w:id="316" w:name="__RefHeading___Toc5003676_2314609296"/>
      <w:bookmarkStart w:id="317" w:name="_Toc121"/>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و ادعی فی الإیضاح تواترها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8" w:name="__RefHeading___Toc5003678_2314609296"/>
      <w:bookmarkStart w:id="319" w:name="_Toc122"/>
      <w:bookmarkEnd w:id="318"/>
      <w:r>
        <w:rPr>
          <w:rtl w:val="true"/>
        </w:rPr>
        <w:t>منها</w:t>
      </w:r>
      <w:r>
        <w:rPr>
          <w:rtl w:val="true"/>
        </w:rPr>
        <w:t>:</w:t>
      </w:r>
      <w:r>
        <w:rPr>
          <w:rtl w:val="true"/>
        </w:rPr>
        <w:t>ما ورد مستفیضاً فی تفسیر</w:t>
      </w:r>
      <w:r>
        <w:rPr>
          <w:rtl w:val="true"/>
        </w:rPr>
        <w:t>«</w:t>
      </w:r>
      <w:r>
        <w:rPr>
          <w:rtl w:val="true"/>
        </w:rPr>
        <w:t>قول الزور</w:t>
      </w:r>
      <w:r>
        <w:rPr>
          <w:rtl w:val="true"/>
        </w:rPr>
        <w:t>»</w:t>
      </w:r>
      <w:r>
        <w:rPr>
          <w:rtl w:val="true"/>
        </w:rPr>
        <w:t xml:space="preserve">فی قوله تعالی </w:t>
      </w:r>
      <w:r>
        <w:rPr>
          <w:rtl w:val="true"/>
        </w:rPr>
        <w:t>«</w:t>
      </w:r>
      <w:r>
        <w:rPr>
          <w:rtl w:val="true"/>
        </w:rPr>
        <w:t>وَ اجْتَنِبُوا قَوْلَ الزُّورِ</w:t>
      </w:r>
      <w:r>
        <w:rPr>
          <w:rtl w:val="true"/>
        </w:rPr>
        <w:t>»</w:t>
      </w:r>
      <w:bookmarkEnd w:id="3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الشحام </w:t>
      </w:r>
      <w:r>
        <w:rPr>
          <w:rStyle w:val="FootnoteAnchor"/>
          <w:rtl w:val="true"/>
        </w:rPr>
        <w:footnoteReference w:id="1146"/>
      </w:r>
      <w:r>
        <w:rPr>
          <w:rFonts w:ascii="IRNazanin" w:hAnsi="IRNazanin" w:eastAsia="IRNazanin"/>
          <w:color w:val="111111"/>
          <w:sz w:val="28"/>
          <w:sz w:val="28"/>
          <w:szCs w:val="28"/>
          <w:rtl w:val="true"/>
          <w:lang w:bidi="fa-IR"/>
        </w:rPr>
        <w:t xml:space="preserve">و مرسلة ابن أبی عمیر </w:t>
      </w:r>
      <w:r>
        <w:rPr>
          <w:rStyle w:val="FootnoteAnchor"/>
          <w:rtl w:val="true"/>
        </w:rPr>
        <w:footnoteReference w:id="1147"/>
      </w:r>
      <w:r>
        <w:rPr>
          <w:rFonts w:ascii="IRNazanin" w:hAnsi="IRNazanin" w:eastAsia="IRNazanin"/>
          <w:color w:val="111111"/>
          <w:sz w:val="28"/>
          <w:sz w:val="28"/>
          <w:szCs w:val="28"/>
          <w:rtl w:val="true"/>
          <w:lang w:bidi="fa-IR"/>
        </w:rPr>
        <w:t xml:space="preserve">و موثقة أبی بصیر </w:t>
      </w:r>
      <w:r>
        <w:rPr>
          <w:rStyle w:val="FootnoteAnchor"/>
          <w:rtl w:val="true"/>
        </w:rPr>
        <w:footnoteReference w:id="1148"/>
      </w:r>
      <w:r>
        <w:rPr>
          <w:rFonts w:ascii="IRNazanin" w:hAnsi="IRNazanin" w:eastAsia="IRNazanin"/>
          <w:color w:val="111111"/>
          <w:sz w:val="28"/>
          <w:sz w:val="28"/>
          <w:szCs w:val="28"/>
          <w:rtl w:val="true"/>
          <w:lang w:bidi="fa-IR"/>
        </w:rPr>
        <w:t>المرویات عن الکافی،و روایة عبد الأعلی المحکیّة</w:t>
      </w:r>
      <w:bookmarkStart w:id="320" w:name="pg19762_189536"/>
    </w:p>
    <w:p>
      <w:pPr>
        <w:pStyle w:val="BookText"/>
        <w:rPr/>
      </w:pPr>
      <w:bookmarkEnd w:id="320"/>
      <w:r>
        <w:rPr>
          <w:rFonts w:ascii="IRNazanin" w:hAnsi="IRNazanin" w:eastAsia="IRNazanin"/>
          <w:color w:val="111111"/>
          <w:sz w:val="28"/>
          <w:sz w:val="28"/>
          <w:szCs w:val="28"/>
          <w:rtl w:val="true"/>
          <w:lang w:bidi="fa-IR"/>
        </w:rPr>
        <w:t xml:space="preserve">عن معانی الأخبار </w:t>
      </w:r>
      <w:r>
        <w:rPr>
          <w:rStyle w:val="FootnoteAnchor"/>
          <w:rtl w:val="true"/>
        </w:rPr>
        <w:footnoteReference w:id="1149"/>
      </w:r>
      <w:r>
        <w:rPr>
          <w:rFonts w:ascii="IRNazanin" w:hAnsi="IRNazanin" w:eastAsia="IRNazanin"/>
          <w:color w:val="111111"/>
          <w:sz w:val="28"/>
          <w:sz w:val="28"/>
          <w:szCs w:val="28"/>
          <w:rtl w:val="true"/>
          <w:lang w:bidi="fa-IR"/>
        </w:rPr>
        <w:t xml:space="preserve">و حسنة هشام المحکیّة عن تفسیر القمی رحمه اللّه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بالغناء</w:t>
      </w:r>
      <w:r>
        <w:rPr>
          <w:rFonts w:eastAsia="IRNazanin" w:cs="IRNazanin"/>
          <w:color w:val="111111"/>
          <w:sz w:val="28"/>
          <w:szCs w:val="28"/>
          <w:rtl w:val="true"/>
          <w:lang w:bidi="fa-IR"/>
        </w:rPr>
        <w:t>.</w:t>
      </w:r>
    </w:p>
    <w:p>
      <w:pPr>
        <w:pStyle w:val="Heading6"/>
        <w:numPr>
          <w:ilvl w:val="5"/>
          <w:numId w:val="1"/>
        </w:numPr>
        <w:rPr/>
      </w:pPr>
      <w:bookmarkStart w:id="321" w:name="__RefHeading___Toc5003680_2314609296"/>
      <w:bookmarkStart w:id="322" w:name="_Toc123"/>
      <w:bookmarkEnd w:id="321"/>
      <w:r>
        <w:rPr>
          <w:rtl w:val="true"/>
        </w:rPr>
        <w:t>و منها</w:t>
      </w:r>
      <w:r>
        <w:rPr>
          <w:rtl w:val="true"/>
        </w:rPr>
        <w:t>:</w:t>
      </w:r>
      <w:r>
        <w:rPr>
          <w:rtl w:val="true"/>
        </w:rPr>
        <w:t>ما ورد مستفیضاً فی تفسیر</w:t>
      </w:r>
      <w:r>
        <w:rPr>
          <w:rtl w:val="true"/>
        </w:rPr>
        <w:t>«</w:t>
      </w:r>
      <w:r>
        <w:rPr>
          <w:rtl w:val="true"/>
        </w:rPr>
        <w:t>لهو الحدیث</w:t>
      </w:r>
      <w:r>
        <w:rPr>
          <w:rtl w:val="true"/>
        </w:rPr>
        <w:t>»</w:t>
      </w:r>
      <w:bookmarkEnd w:id="322"/>
    </w:p>
    <w:p>
      <w:pPr>
        <w:pStyle w:val="BookText"/>
        <w:rPr/>
      </w:pP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ابن مسلم </w:t>
      </w:r>
      <w:r>
        <w:rPr>
          <w:rStyle w:val="FootnoteAnchor"/>
          <w:rtl w:val="true"/>
        </w:rPr>
        <w:footnoteReference w:id="1152"/>
      </w:r>
      <w:r>
        <w:rPr>
          <w:rFonts w:ascii="IRNazanin" w:hAnsi="IRNazanin" w:eastAsia="IRNazanin"/>
          <w:color w:val="111111"/>
          <w:sz w:val="28"/>
          <w:sz w:val="28"/>
          <w:szCs w:val="28"/>
          <w:rtl w:val="true"/>
          <w:lang w:bidi="fa-IR"/>
        </w:rPr>
        <w:t xml:space="preserve">و روایة مهران بن محمد </w:t>
      </w:r>
      <w:r>
        <w:rPr>
          <w:rStyle w:val="FootnoteAnchor"/>
          <w:rtl w:val="true"/>
        </w:rPr>
        <w:footnoteReference w:id="1153"/>
      </w:r>
      <w:r>
        <w:rPr>
          <w:rFonts w:ascii="IRNazanin" w:hAnsi="IRNazanin" w:eastAsia="IRNazanin"/>
          <w:color w:val="111111"/>
          <w:sz w:val="28"/>
          <w:sz w:val="28"/>
          <w:szCs w:val="28"/>
          <w:rtl w:val="true"/>
          <w:lang w:bidi="fa-IR"/>
        </w:rPr>
        <w:t xml:space="preserve">و روایة الوشاء </w:t>
      </w:r>
      <w:r>
        <w:rPr>
          <w:rStyle w:val="FootnoteAnchor"/>
          <w:rtl w:val="true"/>
        </w:rPr>
        <w:footnoteReference w:id="1154"/>
      </w:r>
      <w:r>
        <w:rPr>
          <w:rFonts w:ascii="IRNazanin" w:hAnsi="IRNazanin" w:eastAsia="IRNazanin"/>
          <w:color w:val="111111"/>
          <w:sz w:val="28"/>
          <w:sz w:val="28"/>
          <w:szCs w:val="28"/>
          <w:rtl w:val="true"/>
          <w:lang w:bidi="fa-IR"/>
        </w:rPr>
        <w:t xml:space="preserve">و روایة الحسن ابن هارون </w:t>
      </w:r>
      <w:r>
        <w:rPr>
          <w:rStyle w:val="FootnoteAnchor"/>
          <w:rtl w:val="true"/>
        </w:rPr>
        <w:footnoteReference w:id="1155"/>
      </w:r>
      <w:r>
        <w:rPr>
          <w:rFonts w:ascii="IRNazanin" w:hAnsi="IRNazanin" w:eastAsia="IRNazanin"/>
          <w:color w:val="111111"/>
          <w:sz w:val="28"/>
          <w:sz w:val="28"/>
          <w:szCs w:val="28"/>
          <w:rtl w:val="true"/>
          <w:lang w:bidi="fa-IR"/>
        </w:rPr>
        <w:t xml:space="preserve">و روایة عبد الأعلی السابقة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3" w:name="__RefHeading___Toc5003682_2314609296"/>
      <w:bookmarkStart w:id="324" w:name="_Toc124"/>
      <w:bookmarkEnd w:id="323"/>
      <w:r>
        <w:rPr>
          <w:rtl w:val="true"/>
        </w:rPr>
        <w:t>و منها</w:t>
      </w:r>
      <w:r>
        <w:rPr>
          <w:rtl w:val="true"/>
        </w:rPr>
        <w:t>:</w:t>
      </w:r>
      <w:r>
        <w:rPr>
          <w:rtl w:val="true"/>
        </w:rPr>
        <w:t>ما ورد فی تفسیر</w:t>
      </w:r>
      <w:r>
        <w:rPr>
          <w:rtl w:val="true"/>
        </w:rPr>
        <w:t>«</w:t>
      </w:r>
      <w:r>
        <w:rPr>
          <w:rtl w:val="true"/>
        </w:rPr>
        <w:t>الزور</w:t>
      </w:r>
      <w:r>
        <w:rPr>
          <w:rtl w:val="true"/>
        </w:rPr>
        <w:t>»</w:t>
      </w:r>
      <w:r>
        <w:rPr>
          <w:rtl w:val="true"/>
        </w:rPr>
        <w:t>فی قوله تعالی وَ الَّذِینَ لاٰ یَشْهَدُونَ الزُّورَ</w:t>
      </w:r>
      <w:bookmarkEnd w:id="324"/>
    </w:p>
    <w:p>
      <w:pPr>
        <w:pStyle w:val="BookText"/>
        <w:rPr/>
      </w:pP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ابن مسلم عن أبی عبد اللّه علیه السلام تارة بلا واسطة و أُخری بواسطة أبی الصباح الکنانی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یخدش فی الاستدلال بهذه الروایات بظهور الطائفة الاُولی</w:t>
      </w:r>
    </w:p>
    <w:p>
      <w:pPr>
        <w:pStyle w:val="BookText"/>
        <w:rPr/>
      </w:pPr>
      <w:r>
        <w:rPr>
          <w:rFonts w:ascii="IRNazanin" w:hAnsi="IRNazanin" w:eastAsia="IRNazanin"/>
          <w:color w:val="111111"/>
          <w:sz w:val="28"/>
          <w:sz w:val="28"/>
          <w:szCs w:val="28"/>
          <w:rtl w:val="true"/>
          <w:lang w:bidi="fa-IR"/>
        </w:rPr>
        <w:t>بل الثانیة فی أنّ الغناء من مقولة الکلام،لتفسیر قول الزور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بعض الأخبار،من أنّ من قول الزور أن تقول للذی یغنّی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أحسنت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قول علی بن الحسین علیهما السلام فی مرسلة الفقیه الآتیة فی الجاریة التی لها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Style w:val="FootnoteAnchor"/>
          <w:rtl w:val="true"/>
        </w:rPr>
        <w:footnoteReference w:id="1160"/>
      </w:r>
      <w:r>
        <w:rPr>
          <w:rFonts w:ascii="IRNazanin" w:hAnsi="IRNazanin" w:eastAsia="IRNazanin"/>
          <w:color w:val="111111"/>
          <w:sz w:val="28"/>
          <w:sz w:val="28"/>
          <w:szCs w:val="28"/>
          <w:rtl w:val="true"/>
          <w:lang w:bidi="fa-IR"/>
        </w:rPr>
        <w:t>لو اشتریتها فذکّرتک الجنة،یعنی بقراءة القرآن و الزهد و الفضائل التی لیست بغناء</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،و لو جعل التفسیر من الصدوق دلّ علی الاستعمال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أنّه من إضافة الصفة إلی الموصوف، فیختص الغناء المحرّم بما کان مشتملاً علی الکلام الباطل،فلا تدلّ علی حرمة نفس الکیفیة و لو لم یکن فی کلامٍ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تظهر الخدشة فی الطائفة الثالثة،حیث إنّ مشاهد الزور التی مدح اللّه تعالی من لا یشهدها،هی مجالس التغنّی بالأباطیل من الکلام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فالإنصاف،أنّها لا تدلّ علی حرمة نفس الکیفیّة إلّا من حیث إشعار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اللهو علی إطلاقه مبغوضاً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الزور بمعنی الباطل،و إن تحقّقا </w:t>
      </w:r>
      <w:r>
        <w:rPr>
          <w:rStyle w:val="FootnoteAnchor"/>
          <w:rtl w:val="true"/>
        </w:rPr>
        <w:footnoteReference w:id="1162"/>
      </w:r>
      <w:r>
        <w:rPr>
          <w:rFonts w:ascii="IRNazanin" w:hAnsi="IRNazanin" w:eastAsia="IRNazanin"/>
          <w:color w:val="111111"/>
          <w:sz w:val="28"/>
          <w:sz w:val="28"/>
          <w:szCs w:val="28"/>
          <w:rtl w:val="true"/>
          <w:lang w:bidi="fa-IR"/>
        </w:rPr>
        <w:t>فی کیفیة الکلام،لا فی نفسه، کما إذا تغنّی فی کلام حق،من قرآن أو دعاء أو مرثیة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بالجملة،فکل صوت یُعدّ فی نفسه مع </w:t>
      </w:r>
      <w:r>
        <w:rPr>
          <w:rStyle w:val="FootnoteAnchor"/>
          <w:rtl w:val="true"/>
        </w:rPr>
        <w:footnoteReference w:id="1163"/>
      </w:r>
      <w:r>
        <w:rPr>
          <w:rFonts w:ascii="IRNazanin" w:hAnsi="IRNazanin" w:eastAsia="IRNazanin"/>
          <w:color w:val="111111"/>
          <w:sz w:val="28"/>
          <w:sz w:val="28"/>
          <w:szCs w:val="28"/>
          <w:rtl w:val="true"/>
          <w:lang w:bidi="fa-IR"/>
        </w:rPr>
        <w:t>قطع النظر عن الکلام المتصوّت به لهواً و باطلاً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حرمة الغناء من حیث کونه لهواً و باطلاً و 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روایة عبد الأعلی و فیها ابن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الغناء،و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رخّص فی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جئناکم جئناکم،حیّونا حیّونا نحیّکم،فقال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کذبوا،إنّ اللّه تعالی یقول 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Style w:val="FootnoteAnchor"/>
          <w:rtl w:val="true"/>
        </w:rPr>
        <w:footnoteReference w:id="116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لفلان مما یصف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یحضر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الکلام المذکور المرخَّص فیه بزعمهم لیس بالباطل و اللهو اللذین یکذّب الإمام علیه السلام رخصة النبی صلّی اللّه علیه و آله و سلم فیه،فلیس الإنکار الشدید المذکور و جعل ما زعموا الرخصة فیه من اللهو و الباطل</w:t>
      </w:r>
    </w:p>
    <w:p>
      <w:pPr>
        <w:pStyle w:val="BookText"/>
        <w:rPr/>
      </w:pPr>
      <w:r>
        <w:rPr>
          <w:rFonts w:ascii="Amiri" w:hAnsi="Amiri" w:eastAsia="Amiri" w:cs="Amiri"/>
          <w:color w:val="111111"/>
          <w:sz w:val="28"/>
          <w:sz w:val="28"/>
          <w:szCs w:val="28"/>
          <w:rtl w:val="true"/>
          <w:lang w:bidi="ar-SA"/>
        </w:rPr>
        <w:t>إلّا من جهة التغنّی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روایة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الخراسانی علیه السلام عن الغناء،و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العباسی زعم أنّک </w:t>
      </w:r>
      <w:r>
        <w:rPr>
          <w:rStyle w:val="FootnoteAnchor"/>
          <w:rtl w:val="true"/>
        </w:rPr>
        <w:footnoteReference w:id="1167"/>
      </w:r>
      <w:r>
        <w:rPr>
          <w:rFonts w:ascii="IRNazanin" w:hAnsi="IRNazanin" w:eastAsia="IRNazanin"/>
          <w:color w:val="111111"/>
          <w:sz w:val="28"/>
          <w:sz w:val="28"/>
          <w:szCs w:val="28"/>
          <w:rtl w:val="true"/>
          <w:lang w:bidi="fa-IR"/>
        </w:rPr>
        <w:t>ترخّص فی الغناء،فقال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هکذا قلت له،سألنی عن الغناء،فقلت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أبا جعفر علیه السلام فسأله عن الغناء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Style w:val="FootnoteAnchor"/>
          <w:rtl w:val="true"/>
        </w:rPr>
        <w:footnoteReference w:id="1168"/>
      </w:r>
      <w:r>
        <w:rPr>
          <w:rFonts w:ascii="IRNazanin" w:hAnsi="IRNazanin" w:eastAsia="IRNazanin"/>
          <w:color w:val="111111"/>
          <w:sz w:val="28"/>
          <w:sz w:val="28"/>
          <w:szCs w:val="28"/>
          <w:rtl w:val="true"/>
          <w:lang w:bidi="fa-IR"/>
        </w:rPr>
        <w:t>میّز اللّه بین الحق و الباطل فأین یکون الغناء؟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حکمت</w:t>
      </w:r>
      <w:r>
        <w:rPr>
          <w:rFonts w:eastAsia="IRNazanin" w:cs="IRNazanin"/>
          <w:color w:val="111111"/>
          <w:sz w:val="28"/>
          <w:szCs w:val="28"/>
          <w:rtl w:val="true"/>
          <w:lang w:bidi="fa-IR"/>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محمد بن أبی عباد و کان مستهتراً </w:t>
      </w:r>
      <w:r>
        <w:rPr>
          <w:rStyle w:val="FootnoteAnchor"/>
          <w:rtl w:val="true"/>
        </w:rPr>
        <w:footnoteReference w:id="1170"/>
      </w:r>
      <w:r>
        <w:rPr>
          <w:rFonts w:ascii="IRNazanin" w:hAnsi="IRNazanin" w:eastAsia="IRNazanin"/>
          <w:color w:val="111111"/>
          <w:sz w:val="28"/>
          <w:sz w:val="28"/>
          <w:szCs w:val="28"/>
          <w:rtl w:val="true"/>
          <w:lang w:bidi="fa-IR"/>
        </w:rPr>
        <w:t xml:space="preserve">بالسماع،و یشرب </w:t>
      </w:r>
      <w:r>
        <w:rPr>
          <w:rStyle w:val="FootnoteAnchor"/>
          <w:rtl w:val="true"/>
        </w:rPr>
        <w:footnoteReference w:id="1171"/>
      </w:r>
      <w:r>
        <w:rPr>
          <w:rFonts w:ascii="IRNazanin" w:hAnsi="IRNazanin" w:eastAsia="IRNazanin"/>
          <w:color w:val="111111"/>
          <w:sz w:val="28"/>
          <w:sz w:val="28"/>
          <w:szCs w:val="28"/>
          <w:rtl w:val="true"/>
          <w:lang w:bidi="fa-IR"/>
        </w:rPr>
        <w:t>النبیذ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السماع،قال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الحجاز </w:t>
      </w:r>
      <w:r>
        <w:rPr>
          <w:rStyle w:val="FootnoteAnchor"/>
          <w:rtl w:val="true"/>
        </w:rPr>
        <w:footnoteReference w:id="1172"/>
      </w:r>
      <w:r>
        <w:rPr>
          <w:rFonts w:ascii="Amiri" w:hAnsi="Amiri" w:eastAsia="Amiri" w:cs="Amiri"/>
          <w:color w:val="111111"/>
          <w:sz w:val="28"/>
          <w:sz w:val="28"/>
          <w:szCs w:val="28"/>
          <w:rtl w:val="true"/>
          <w:lang w:bidi="ar-SA"/>
        </w:rPr>
        <w:t xml:space="preserve">فیه رأی،و هو فی حیز الباطل و اللّهو،أما سمعت اللّه عزّ و جلّ یقول وَ إِذٰا مَرُّوا بِاللَّغْوِ مَرُّوا کِرٰاماً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الغِناء من السماع،کما نص علیه فی الصحاح </w:t>
      </w:r>
      <w:r>
        <w:rPr>
          <w:rStyle w:val="FootnoteAnchor"/>
          <w:rtl w:val="true"/>
        </w:rPr>
        <w:footnoteReference w:id="1174"/>
      </w:r>
      <w:r>
        <w:rPr>
          <w:rFonts w:ascii="Amiri" w:hAnsi="Amiri" w:eastAsia="Amiri" w:cs="Amiri"/>
          <w:color w:val="111111"/>
          <w:sz w:val="28"/>
          <w:sz w:val="28"/>
          <w:szCs w:val="28"/>
          <w:rtl w:val="true"/>
          <w:lang w:bidi="ar-SA"/>
        </w:rPr>
        <w:t>،و قال أیضاً</w:t>
      </w:r>
    </w:p>
    <w:p>
      <w:pPr>
        <w:pStyle w:val="BookText"/>
        <w:rPr/>
      </w:pPr>
      <w:r>
        <w:rPr>
          <w:rFonts w:ascii="Amiri" w:hAnsi="Amiri" w:eastAsia="Amiri" w:cs="Amiri"/>
          <w:color w:val="111111"/>
          <w:sz w:val="28"/>
          <w:sz w:val="28"/>
          <w:szCs w:val="28"/>
          <w:rtl w:val="true"/>
          <w:lang w:bidi="ar-SA"/>
        </w:rPr>
        <w:t xml:space="preserve">جاریة مُسمعة،أی مغنّیة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الأعمش الواردة فی تعداد الکبائر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الملاهی التی تصدّ عن ذکر اللّه </w:t>
      </w:r>
      <w:r>
        <w:rPr>
          <w:rStyle w:val="FootnoteAnchor"/>
          <w:rtl w:val="true"/>
        </w:rPr>
        <w:footnoteReference w:id="1176"/>
      </w:r>
      <w:r>
        <w:rPr>
          <w:rFonts w:ascii="IRNazanin" w:hAnsi="IRNazanin" w:eastAsia="IRNazanin"/>
          <w:color w:val="111111"/>
          <w:sz w:val="28"/>
          <w:sz w:val="28"/>
          <w:szCs w:val="28"/>
          <w:rtl w:val="true"/>
          <w:lang w:bidi="fa-IR"/>
        </w:rPr>
        <w:t>کالغناء و ضرب الأوتار</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و قد سئل عن الجاریة المغنّیة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للرجل جاریة تُلهیه،و ما ثمنها إلّا کثمن الکلب</w:t>
      </w:r>
      <w:r>
        <w:rPr>
          <w:rFonts w:eastAsia="IRNazanin" w:cs="IRNazanin"/>
          <w:color w:val="111111"/>
          <w:sz w:val="28"/>
          <w:szCs w:val="28"/>
          <w:rtl w:val="true"/>
          <w:lang w:bidi="fa-IR"/>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هذه الأخبار بأسرها حرمة الغناء من حیث اللّهو و الباطل، فالغناء و هی من مقولة الکیفیة للأصوات،کما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مساویاً للصوت اللّهوی و الباطل کما هو الأقوی،و سیجیء فهو،و إن کان أعم وجب تقییده بما کان من هذا العنوان،کما أنّه لو کان أخص وجب التعدی عنه إلی مطلق الصوت الخارج علی وجه اللّهو</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بالجملة،فالمحرّم هو ما کان من لحون أهل الفسوق و المعاصی التی </w:t>
      </w:r>
      <w:r>
        <w:rPr>
          <w:rStyle w:val="FootnoteAnchor"/>
          <w:rtl w:val="true"/>
        </w:rPr>
        <w:footnoteReference w:id="1179"/>
      </w:r>
      <w:r>
        <w:rPr>
          <w:rFonts w:ascii="IRNazanin" w:hAnsi="IRNazanin" w:eastAsia="IRNazanin"/>
          <w:color w:val="111111"/>
          <w:sz w:val="28"/>
          <w:sz w:val="28"/>
          <w:szCs w:val="28"/>
          <w:rtl w:val="true"/>
          <w:lang w:bidi="fa-IR"/>
        </w:rPr>
        <w:t xml:space="preserve">ورد النهی عن قراءة القرآن بها </w:t>
      </w:r>
      <w:r>
        <w:rPr>
          <w:rStyle w:val="FootnoteAnchor"/>
          <w:rtl w:val="true"/>
        </w:rPr>
        <w:footnoteReference w:id="1180"/>
      </w:r>
      <w:r>
        <w:rPr>
          <w:rFonts w:ascii="IRNazanin" w:hAnsi="IRNazanin" w:eastAsia="IRNazanin"/>
          <w:color w:val="111111"/>
          <w:sz w:val="28"/>
          <w:sz w:val="28"/>
          <w:szCs w:val="28"/>
          <w:rtl w:val="true"/>
          <w:lang w:bidi="fa-IR"/>
        </w:rPr>
        <w:t>سواء کان مساویاً للغناء</w:t>
      </w:r>
      <w:bookmarkStart w:id="325" w:name="pg19762_189541"/>
    </w:p>
    <w:p>
      <w:pPr>
        <w:pStyle w:val="Heading6"/>
        <w:numPr>
          <w:ilvl w:val="5"/>
          <w:numId w:val="1"/>
        </w:numPr>
        <w:rPr/>
      </w:pPr>
      <w:bookmarkStart w:id="326" w:name="__RefHeading___Toc5003684_2314609296"/>
      <w:bookmarkStart w:id="327" w:name="_Toc125"/>
      <w:bookmarkEnd w:id="325"/>
      <w:bookmarkEnd w:id="326"/>
      <w:r>
        <w:rPr>
          <w:rtl w:val="true"/>
        </w:rPr>
        <w:t>[</w:t>
      </w:r>
      <w:r>
        <w:rPr>
          <w:rtl w:val="true"/>
        </w:rPr>
        <w:t>کلمات اللغویین و الفقهاء فی معنی الغناء و الطرب</w:t>
      </w:r>
      <w:r>
        <w:rPr>
          <w:rtl w:val="true"/>
        </w:rPr>
        <w:t>]</w:t>
      </w:r>
      <w:bookmarkEnd w:id="327"/>
    </w:p>
    <w:p>
      <w:pPr>
        <w:pStyle w:val="BookText"/>
        <w:rPr/>
      </w:pPr>
      <w:r>
        <w:rPr>
          <w:rFonts w:ascii="IRNazanin" w:hAnsi="IRNazanin" w:eastAsia="IRNazanin"/>
          <w:color w:val="111111"/>
          <w:sz w:val="28"/>
          <w:sz w:val="28"/>
          <w:szCs w:val="28"/>
          <w:rtl w:val="true"/>
          <w:lang w:bidi="fa-IR"/>
        </w:rPr>
        <w:t>أو أعم أو أخص، مع أنّ الظاهر أنْ لیس الغناء إلّا هو و إن اختلفت فیه عبارات الفقهاء و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الغناء الصوت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مدّ الصوت </w:t>
      </w:r>
      <w:r>
        <w:rPr>
          <w:rStyle w:val="FootnoteAnchor"/>
          <w:rtl w:val="true"/>
        </w:rPr>
        <w:footnoteReference w:id="1182"/>
      </w:r>
      <w:r>
        <w:rPr>
          <w:rFonts w:ascii="IRNazanin" w:hAnsi="IRNazanin" w:eastAsia="IRNazanin"/>
          <w:color w:val="111111"/>
          <w:sz w:val="28"/>
          <w:sz w:val="28"/>
          <w:szCs w:val="28"/>
          <w:rtl w:val="true"/>
          <w:lang w:bidi="fa-IR"/>
        </w:rPr>
        <w:t>، و عن النهایة 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تحسین الصوت </w:t>
      </w:r>
      <w:r>
        <w:rPr>
          <w:rStyle w:val="FootnoteAnchor"/>
          <w:rtl w:val="true"/>
        </w:rPr>
        <w:footnoteReference w:id="1183"/>
      </w:r>
      <w:r>
        <w:rPr>
          <w:rFonts w:ascii="IRNazanin" w:hAnsi="IRNazanin" w:eastAsia="IRNazanin"/>
          <w:color w:val="111111"/>
          <w:sz w:val="28"/>
          <w:sz w:val="28"/>
          <w:szCs w:val="28"/>
          <w:rtl w:val="true"/>
          <w:lang w:bidi="fa-IR"/>
        </w:rPr>
        <w:t>و ترقیقه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کل من رفع صوتاً و والاه فصوته عند العرب غناء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هذه المفاهیم مما یعلم عدم حرمتها و عدم صدق الغناء علیها،فکلها إشارة إلی المفهوم المعین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الأحسن من الکل ما تقدم من الصحاح </w:t>
      </w:r>
      <w:r>
        <w:rPr>
          <w:rStyle w:val="FootnoteAnchor"/>
          <w:rtl w:val="true"/>
        </w:rPr>
        <w:footnoteReference w:id="1185"/>
      </w:r>
      <w:r>
        <w:rPr>
          <w:rFonts w:ascii="IRNazanin" w:hAnsi="IRNazanin" w:eastAsia="IRNazanin"/>
          <w:color w:val="111111"/>
          <w:sz w:val="28"/>
          <w:sz w:val="28"/>
          <w:szCs w:val="28"/>
          <w:rtl w:val="true"/>
          <w:lang w:bidi="fa-IR"/>
        </w:rPr>
        <w:t xml:space="preserve">،و یقرب منه المحکی عن المشهور بین الفقهاء </w:t>
      </w:r>
      <w:r>
        <w:rPr>
          <w:rStyle w:val="FootnoteAnchor"/>
          <w:rtl w:val="true"/>
        </w:rPr>
        <w:footnoteReference w:id="1186"/>
      </w:r>
      <w:r>
        <w:rPr>
          <w:rFonts w:ascii="IRNazanin" w:hAnsi="IRNazanin" w:eastAsia="IRNazanin"/>
          <w:color w:val="111111"/>
          <w:sz w:val="28"/>
          <w:sz w:val="28"/>
          <w:szCs w:val="28"/>
          <w:rtl w:val="true"/>
          <w:lang w:bidi="fa-IR"/>
        </w:rPr>
        <w:t>من أنّه مدّ الصوت المشتمل علی الترجیع المطرب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الطرَب علی ما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خفّة تعتری الإنسان لشدّة حزن أو سرور </w:t>
      </w:r>
      <w:r>
        <w:rPr>
          <w:rStyle w:val="FootnoteAnchor"/>
          <w:rtl w:val="true"/>
        </w:rPr>
        <w:footnoteReference w:id="1187"/>
      </w:r>
      <w:r>
        <w:rPr>
          <w:rFonts w:ascii="IRNazanin" w:hAnsi="IRNazanin" w:eastAsia="IRNazanin"/>
          <w:color w:val="111111"/>
          <w:sz w:val="28"/>
          <w:sz w:val="28"/>
          <w:szCs w:val="28"/>
          <w:rtl w:val="true"/>
          <w:lang w:bidi="fa-IR"/>
        </w:rPr>
        <w:t>و عن الأساس للزمخشری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خفّة لسرور أو همّ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القید </w:t>
      </w:r>
      <w:r>
        <w:rPr>
          <w:rStyle w:val="FootnoteAnchor"/>
          <w:rtl w:val="true"/>
        </w:rPr>
        <w:footnoteReference w:id="1189"/>
      </w:r>
      <w:r>
        <w:rPr>
          <w:rFonts w:ascii="IRNazanin" w:hAnsi="IRNazanin" w:eastAsia="IRNazanin"/>
          <w:color w:val="111111"/>
          <w:sz w:val="28"/>
          <w:sz w:val="28"/>
          <w:szCs w:val="28"/>
          <w:rtl w:val="true"/>
          <w:lang w:bidi="fa-IR"/>
        </w:rPr>
        <w:t>هو المدخل للصوت فی أفراد اللهو،و هو الذی أراده الشاعر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طَرَباً و أنت قِنّسریّ</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أی شیخ کبیر،و إلّا فمجرّد السرور أو الحزن لا یبعد عن الشیخ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بالجملة،فمجرد مدّ الصوت لا مع الترجیع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المطرب،أو و لو مع الترجیع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کونه لهواً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اکتفی </w:t>
      </w:r>
      <w:r>
        <w:rPr>
          <w:rStyle w:val="FootnoteAnchor"/>
          <w:rtl w:val="true"/>
        </w:rPr>
        <w:footnoteReference w:id="1192"/>
      </w:r>
      <w:r>
        <w:rPr>
          <w:rFonts w:ascii="IRNazanin" w:hAnsi="IRNazanin" w:eastAsia="IRNazanin"/>
          <w:color w:val="111111"/>
          <w:sz w:val="28"/>
          <w:sz w:val="28"/>
          <w:szCs w:val="28"/>
          <w:rtl w:val="true"/>
          <w:lang w:bidi="fa-IR"/>
        </w:rPr>
        <w:t xml:space="preserve">بذکر الترجیع کالقواعد </w:t>
      </w:r>
      <w:r>
        <w:rPr>
          <w:rStyle w:val="FootnoteAnchor"/>
          <w:rtl w:val="true"/>
        </w:rPr>
        <w:footnoteReference w:id="1193"/>
      </w:r>
      <w:r>
        <w:rPr>
          <w:rFonts w:ascii="IRNazanin" w:hAnsi="IRNazanin" w:eastAsia="IRNazanin"/>
          <w:color w:val="111111"/>
          <w:sz w:val="28"/>
          <w:sz w:val="28"/>
          <w:szCs w:val="28"/>
          <w:rtl w:val="true"/>
          <w:lang w:bidi="fa-IR"/>
        </w:rPr>
        <w:t>أراد به المقتضی للإطراب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Style w:val="FootnoteAnchor"/>
          <w:rtl w:val="true"/>
        </w:rPr>
        <w:footnoteReference w:id="1194"/>
      </w:r>
      <w:r>
        <w:rPr>
          <w:rFonts w:ascii="IRNazanin" w:hAnsi="IRNazanin" w:eastAsia="IRNazanin"/>
          <w:color w:val="111111"/>
          <w:sz w:val="28"/>
          <w:sz w:val="28"/>
          <w:szCs w:val="28"/>
          <w:rtl w:val="true"/>
          <w:lang w:bidi="fa-IR"/>
        </w:rPr>
        <w:t>جامع المقاصد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مجرد مدّ الصوت محرماً و إن مالت إلیه النفوس ما لم ینته إلی حدّ یکون مطرباً بالترجیع المقتضی للإطراب </w:t>
      </w:r>
      <w:r>
        <w:rPr>
          <w:rStyle w:val="FootnoteAnchor"/>
          <w:rtl w:val="true"/>
        </w:rPr>
        <w:footnoteReference w:id="11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بالمطرب ما کان مطرباً فی الجملة بالنسبة إلی المغنّی أو المستمع،أو ما کان من شأنه الإطراب و مقتضیاً له لو لم یمنع عنه مانع من جهة قبح الصوت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اعتبر الإطراب فعلاً خصوصاً بالنسبة إلی کلّ أحد، و خصوصاً بمعنی الخفّة لشدّة السرور أو الحزن فیشکل بخلوّ أکثر ما هو غناء عرفاً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هو الذی دعا الشهید الثانی إلی أن زاد فی الروضة و المسالک بعد تعریف المشهور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یسمی فی العرف غناء</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 xml:space="preserve">و تبعه فی مجمع الفائدة </w:t>
      </w:r>
      <w:r>
        <w:rPr>
          <w:rStyle w:val="FootnoteAnchor"/>
          <w:rtl w:val="true"/>
        </w:rPr>
        <w:footnoteReference w:id="1197"/>
      </w:r>
      <w:r>
        <w:rPr>
          <w:rFonts w:ascii="IRNazanin" w:hAnsi="IRNazanin" w:eastAsia="IRNazanin"/>
          <w:color w:val="111111"/>
          <w:sz w:val="28"/>
          <w:sz w:val="28"/>
          <w:szCs w:val="28"/>
          <w:rtl w:val="true"/>
          <w:lang w:bidi="fa-IR"/>
        </w:rPr>
        <w:t xml:space="preserve">و غیره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أیضاً دعا صاحب مفتاح الکرامة إلی 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الغناء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المفسر فی الصحاح بخفّة لشدة سرور أو حزن </w:t>
      </w:r>
      <w:r>
        <w:rPr>
          <w:rStyle w:val="FootnoteAnchor"/>
          <w:rtl w:val="true"/>
        </w:rPr>
        <w:footnoteReference w:id="1199"/>
      </w:r>
      <w:r>
        <w:rPr>
          <w:rFonts w:ascii="Amiri" w:hAnsi="Amiri" w:eastAsia="Amiri" w:cs="Amiri"/>
          <w:color w:val="111111"/>
          <w:sz w:val="28"/>
          <w:sz w:val="28"/>
          <w:szCs w:val="28"/>
          <w:rtl w:val="true"/>
          <w:lang w:bidi="ar-SA"/>
        </w:rPr>
        <w:t xml:space="preserve">و إن توهّمه </w:t>
      </w:r>
      <w:r>
        <w:rPr>
          <w:rStyle w:val="FootnoteAnchor"/>
          <w:rtl w:val="true"/>
        </w:rPr>
        <w:footnoteReference w:id="1200"/>
      </w:r>
      <w:r>
        <w:rPr>
          <w:rFonts w:ascii="IRNazanin" w:hAnsi="IRNazanin" w:eastAsia="IRNazanin"/>
          <w:color w:val="111111"/>
          <w:sz w:val="28"/>
          <w:sz w:val="28"/>
          <w:szCs w:val="28"/>
          <w:rtl w:val="true"/>
          <w:lang w:bidi="fa-IR"/>
        </w:rPr>
        <w:t>صاحب مجمع البحرین و غیره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استشهد </w:t>
      </w:r>
      <w:r>
        <w:rPr>
          <w:rStyle w:val="FootnoteAnchor"/>
          <w:rtl w:val="true"/>
        </w:rPr>
        <w:footnoteReference w:id="1201"/>
      </w:r>
      <w:r>
        <w:rPr>
          <w:rFonts w:ascii="IRNazanin" w:hAnsi="IRNazanin" w:eastAsia="IRNazanin"/>
          <w:color w:val="111111"/>
          <w:sz w:val="28"/>
          <w:sz w:val="28"/>
          <w:szCs w:val="28"/>
          <w:rtl w:val="true"/>
          <w:lang w:bidi="fa-IR"/>
        </w:rPr>
        <w:t>علی ذلک بما فی الصحاح من أنّ التطریب فی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مدّه و تحسینه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المصباح من أنّ طرّب فی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مدّه و رجّعه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ککِساء من الصوت ما طُرِّب به، و أنّ التطریب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الإطراب،کالتطرب و التغنی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من ذلک أنّ المراد بالتطریب و الإطراب غیر الطرب بمعنی الخفة لشدة حزن أو سرور کما توهمه صاحب مجمع البحرین و غیره من أصحابنا </w:t>
      </w:r>
      <w:r>
        <w:rPr>
          <w:rStyle w:val="FootnoteAnchor"/>
          <w:rtl w:val="true"/>
        </w:rPr>
        <w:footnoteReference w:id="1205"/>
      </w:r>
      <w:r>
        <w:rPr>
          <w:rFonts w:ascii="IRNazanin" w:hAnsi="IRNazanin" w:eastAsia="IRNazanin"/>
          <w:color w:val="111111"/>
          <w:sz w:val="28"/>
          <w:sz w:val="28"/>
          <w:szCs w:val="28"/>
          <w:rtl w:val="true"/>
          <w:lang w:bidi="fa-IR"/>
        </w:rPr>
        <w:t>فکأنّه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الغناء من الصوت ما مُدّ و حُسّن و رُجّع،فانطبق علی المشهور؛إذ الترجیع تقارب ضروب حرکات الصوت و النفَس،فکان لازماً للإطراب و التطریب </w:t>
      </w:r>
      <w:r>
        <w:rPr>
          <w:rStyle w:val="FootnoteAnchor"/>
          <w:rtl w:val="true"/>
        </w:rPr>
        <w:footnoteReference w:id="1206"/>
      </w:r>
      <w:r>
        <w:rPr>
          <w:rFonts w:ascii="IRNazanin" w:hAnsi="IRNazanin" w:eastAsia="IRNazanin"/>
          <w:color w:val="111111"/>
          <w:sz w:val="28"/>
          <w:sz w:val="28"/>
          <w:szCs w:val="28"/>
          <w:rtl w:val="true"/>
          <w:lang w:bidi="fa-IR"/>
        </w:rPr>
        <w:t xml:space="preserve">،انتهی کلامه رحمه اللّه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الطرب إذا کان معناه علی ما تقدم من الجوهری و الزمخشری </w:t>
      </w:r>
      <w:r>
        <w:rPr>
          <w:rStyle w:val="FootnoteAnchor"/>
          <w:rtl w:val="true"/>
        </w:rPr>
        <w:footnoteReference w:id="1208"/>
      </w:r>
      <w:r>
        <w:rPr>
          <w:rFonts w:ascii="IRNazanin" w:hAnsi="IRNazanin" w:eastAsia="IRNazanin"/>
          <w:color w:val="111111"/>
          <w:sz w:val="28"/>
          <w:sz w:val="28"/>
          <w:szCs w:val="28"/>
          <w:rtl w:val="true"/>
          <w:lang w:bidi="fa-IR"/>
        </w:rPr>
        <w:t>هو ما یحصل للإنسان من الخفّة،لا جرم یکون المراد</w:t>
      </w:r>
    </w:p>
    <w:p>
      <w:pPr>
        <w:pStyle w:val="BookText"/>
        <w:rPr/>
      </w:pPr>
      <w:r>
        <w:rPr>
          <w:rFonts w:ascii="IRNazanin" w:hAnsi="IRNazanin" w:eastAsia="IRNazanin"/>
          <w:color w:val="111111"/>
          <w:sz w:val="28"/>
          <w:sz w:val="28"/>
          <w:szCs w:val="28"/>
          <w:rtl w:val="true"/>
          <w:lang w:bidi="fa-IR"/>
        </w:rPr>
        <w:t>بالإطراب و التطریب إیجاد هذه الحالة،و إلّا لزم الاشتراک اللفظی، مع أنّهم لم یذکروا للطرب معنی آخر لیشتق منه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ذکر فی معنی التطریب من الصحاح و المصباح إنّما هو للفعل القائم بذی الصوت،لا الإطراب القائم بالصوت، و هو المأخوذ فی تعریف الغناء عند المشهور،دون فعل الشخص،فیمکن أن 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تطریب الشخص فی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سبب الطرب بمعنی الخفّة بمدّ الصوت و تحسینه و ترجیعه،کما أنّ تفریح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إیجاد سبب الفرح بفعل ما یوجبه،فلا ینافی ذلک ما ذکر فی معنی الطرب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فی القاموس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أُوجد به الطرب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مجال لتوهم کون التطریب بمادته بمعنی التحسین و الترجیع؛إذ لم یتوهم أحد کون الطرب بمعنی الحسن و الرجوع، أو کون التطریب هو نفس المدّ،فلیست هذه الأُمور إلّا أسباباً للطرب یراد إیجاده من فعل </w:t>
      </w:r>
      <w:r>
        <w:rPr>
          <w:rStyle w:val="FootnoteAnchor"/>
          <w:rtl w:val="true"/>
        </w:rPr>
        <w:footnoteReference w:id="1209"/>
      </w:r>
      <w:r>
        <w:rPr>
          <w:rFonts w:ascii="IRNazanin" w:hAnsi="IRNazanin" w:eastAsia="IRNazanin"/>
          <w:color w:val="111111"/>
          <w:sz w:val="28"/>
          <w:sz w:val="28"/>
          <w:szCs w:val="28"/>
          <w:rtl w:val="true"/>
          <w:lang w:bidi="fa-IR"/>
        </w:rPr>
        <w:t>هذه الأسباب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کلّه،مضافاً إلی عدم إمکان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من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و التحسین و الترجیع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المطرب </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الغناء مدّ الصوت المشتمل علی الترجیع المطرب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مجرّد المدّ</w:t>
      </w:r>
      <w:bookmarkStart w:id="328" w:name="pg19762_189546"/>
    </w:p>
    <w:p>
      <w:pPr>
        <w:pStyle w:val="BookText"/>
        <w:rPr/>
      </w:pPr>
      <w:bookmarkEnd w:id="328"/>
      <w:r>
        <w:rPr>
          <w:rFonts w:ascii="IRNazanin" w:hAnsi="IRNazanin" w:eastAsia="IRNazanin"/>
          <w:color w:val="111111"/>
          <w:sz w:val="28"/>
          <w:sz w:val="28"/>
          <w:szCs w:val="28"/>
          <w:rtl w:val="true"/>
          <w:lang w:bidi="fa-IR"/>
        </w:rPr>
        <w:t>و الترجیع و التحسین لا یوجب الحرمة قطعاً؛لما مر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جمیع ما ذکرنا أنّ المتعیّن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الأکثر للغناء علی الطرب بمعنی الخفّة،و توجیه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بإرادة ما یقتضی الطرب و یعرض له بحسب وضع نوع ذلک الترجیع،و إن لم یطرب شخصه لمانع،من غلظة الصوت و مجّ </w:t>
      </w:r>
      <w:r>
        <w:rPr>
          <w:rStyle w:val="FootnoteAnchor"/>
          <w:rtl w:val="true"/>
        </w:rPr>
        <w:footnoteReference w:id="1212"/>
      </w:r>
      <w:r>
        <w:rPr>
          <w:rFonts w:ascii="IRNazanin" w:hAnsi="IRNazanin" w:eastAsia="IRNazanin"/>
          <w:color w:val="111111"/>
          <w:sz w:val="28"/>
          <w:sz w:val="28"/>
          <w:szCs w:val="28"/>
          <w:rtl w:val="true"/>
          <w:lang w:bidi="fa-IR"/>
        </w:rPr>
        <w:t>الأسماع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فی الصحاح حیث فسَّر الغناء بالسماع،و هو المعروف عند أهل العرف،و قد تقدم فی روایة محمد بن أبی عباد المستهتِر بالسماع</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کان،فالمحصَّل من الأدلّة المتقدمة حرمة الصوت المُرَجَّع فیه علی سبیل اللهو؛فإنّ اللهو کما یکون بآلة من غیر صوت کضرب الأوتار و نحوه و بالصوت فی الآلة کالمزمار و القصب و نحوهما فقد یکون بالصوت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صوت یکون لهواً بکیفیته و معدوداً من ألحان أهل الفسوق و المعاصی فهو حرام،و إن فرض أنّه لیس بغناء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لا یُعدّ لهواً فلیس بحرام،و إن فرض صدق الغناء علیه،فرضاً غیر محقق؛لعدم الدلیل علی حرمة الغناء إلّا من حیث کونه باطلاً و لهواً و لغواً و زوراً</w:t>
      </w:r>
      <w:r>
        <w:rPr>
          <w:rFonts w:eastAsia="IRNazanin" w:cs="IRNazanin"/>
          <w:color w:val="111111"/>
          <w:sz w:val="28"/>
          <w:szCs w:val="28"/>
          <w:rtl w:val="true"/>
          <w:lang w:bidi="fa-IR"/>
        </w:rPr>
        <w:t>.</w:t>
      </w:r>
    </w:p>
    <w:p>
      <w:pPr>
        <w:pStyle w:val="Heading5"/>
        <w:numPr>
          <w:ilvl w:val="4"/>
          <w:numId w:val="1"/>
        </w:numPr>
        <w:rPr/>
      </w:pPr>
      <w:bookmarkStart w:id="329" w:name="__RefHeading___Toc5003686_2314609296"/>
      <w:bookmarkStart w:id="330" w:name="_Toc126"/>
      <w:bookmarkEnd w:id="329"/>
      <w:r>
        <w:rPr>
          <w:rtl w:val="true"/>
        </w:rPr>
        <w:t>ثم إن</w:t>
      </w:r>
      <w:r>
        <w:rPr>
          <w:rtl w:val="true"/>
        </w:rPr>
        <w:t>«</w:t>
      </w:r>
      <w:r>
        <w:rPr>
          <w:rtl w:val="true"/>
        </w:rPr>
        <w:t>اللّهو</w:t>
      </w:r>
      <w:r>
        <w:rPr>
          <w:rtl w:val="true"/>
        </w:rPr>
        <w:t>»</w:t>
      </w:r>
      <w:r>
        <w:rPr>
          <w:rtl w:val="true"/>
        </w:rPr>
        <w:t>یتحقق بأمرین</w:t>
      </w:r>
      <w:r>
        <w:rPr>
          <w:rtl w:val="true"/>
        </w:rPr>
        <w:t>:</w:t>
      </w:r>
      <w:bookmarkEnd w:id="330"/>
    </w:p>
    <w:p>
      <w:pPr>
        <w:pStyle w:val="BookText"/>
        <w:rPr/>
      </w:pPr>
      <w:r>
        <w:rPr>
          <w:rFonts w:ascii="Amiri" w:hAnsi="Amiri" w:eastAsia="Amiri" w:cs="Amiri"/>
          <w:color w:val="111111"/>
          <w:sz w:val="28"/>
          <w:sz w:val="28"/>
          <w:szCs w:val="28"/>
          <w:rtl w:val="true"/>
          <w:lang w:bidi="ar-SA"/>
        </w:rPr>
        <w:t>أحدهما قصد التلَهّی و إن لم یکن لهواً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کونه لهواً فی نفسه عند المستمعین و إن لم یقصد به</w:t>
      </w:r>
      <w:bookmarkStart w:id="331" w:name="pg19762_189547"/>
    </w:p>
    <w:p>
      <w:pPr>
        <w:pStyle w:val="BookText"/>
        <w:rPr/>
      </w:pPr>
      <w:bookmarkEnd w:id="331"/>
      <w:r>
        <w:rPr>
          <w:rFonts w:ascii="Amiri" w:hAnsi="Amiri" w:eastAsia="Amiri" w:cs="Amiri"/>
          <w:color w:val="111111"/>
          <w:sz w:val="28"/>
          <w:sz w:val="28"/>
          <w:szCs w:val="28"/>
          <w:rtl w:val="true"/>
          <w:lang w:bidi="ar-SA"/>
        </w:rPr>
        <w:t>التلهّی</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5003688_2314609296"/>
      <w:bookmarkStart w:id="333" w:name="_Toc127"/>
      <w:bookmarkEnd w:id="332"/>
      <w:r>
        <w:rPr>
          <w:rtl w:val="true"/>
        </w:rPr>
        <w:t>ثم إنّ المرجع فی</w:t>
      </w:r>
      <w:r>
        <w:rPr>
          <w:rtl w:val="true"/>
        </w:rPr>
        <w:t>«</w:t>
      </w:r>
      <w:r>
        <w:rPr>
          <w:rtl w:val="true"/>
        </w:rPr>
        <w:t>اللهو</w:t>
      </w:r>
      <w:r>
        <w:rPr>
          <w:rtl w:val="true"/>
        </w:rPr>
        <w:t>»</w:t>
      </w:r>
      <w:r>
        <w:rPr>
          <w:rtl w:val="true"/>
        </w:rPr>
        <w:t>إلی العرف،</w:t>
      </w:r>
      <w:bookmarkEnd w:id="333"/>
    </w:p>
    <w:p>
      <w:pPr>
        <w:pStyle w:val="BookText"/>
        <w:rPr/>
      </w:pPr>
      <w:r>
        <w:rPr>
          <w:rFonts w:ascii="IRNazanin" w:hAnsi="IRNazanin" w:eastAsia="IRNazanin"/>
          <w:color w:val="111111"/>
          <w:sz w:val="28"/>
          <w:sz w:val="28"/>
          <w:szCs w:val="28"/>
          <w:rtl w:val="true"/>
          <w:lang w:bidi="fa-IR"/>
        </w:rPr>
        <w:t xml:space="preserve">و الحاکم بتحققه هو الوجدان؛حیث یجد الصوت المذکور مناسباً لبعض آلات اللّهو و للرقص </w:t>
      </w:r>
      <w:r>
        <w:rPr>
          <w:rStyle w:val="FootnoteAnchor"/>
          <w:rtl w:val="true"/>
        </w:rPr>
        <w:footnoteReference w:id="1214"/>
      </w:r>
      <w:r>
        <w:rPr>
          <w:rFonts w:ascii="IRNazanin" w:hAnsi="IRNazanin" w:eastAsia="IRNazanin"/>
          <w:color w:val="111111"/>
          <w:sz w:val="28"/>
          <w:sz w:val="28"/>
          <w:szCs w:val="28"/>
          <w:rtl w:val="true"/>
          <w:lang w:bidi="fa-IR"/>
        </w:rPr>
        <w:t xml:space="preserve">و لحضور ما تستلذه القوی الشهویة،من کون المغنّی جاریة أو أمرداً و نحو ذلک،و مراتب الوجدان المذکور مختلفة فی الوضوح و الخفاء،فقد یحس </w:t>
      </w:r>
      <w:r>
        <w:rPr>
          <w:rStyle w:val="FootnoteAnchor"/>
          <w:rtl w:val="true"/>
        </w:rPr>
        <w:footnoteReference w:id="1215"/>
      </w:r>
      <w:r>
        <w:rPr>
          <w:rFonts w:ascii="IRNazanin" w:hAnsi="IRNazanin" w:eastAsia="IRNazanin"/>
          <w:color w:val="111111"/>
          <w:sz w:val="28"/>
          <w:sz w:val="28"/>
          <w:szCs w:val="28"/>
          <w:rtl w:val="true"/>
          <w:lang w:bidi="fa-IR"/>
        </w:rPr>
        <w:t>بعض الترجیع من مبادی الغناء و لم یبلغه</w:t>
      </w:r>
      <w:r>
        <w:rPr>
          <w:rFonts w:eastAsia="IRNazanin" w:cs="IRNazanin"/>
          <w:color w:val="111111"/>
          <w:sz w:val="28"/>
          <w:szCs w:val="28"/>
          <w:rtl w:val="true"/>
          <w:lang w:bidi="fa-IR"/>
        </w:rPr>
        <w:t>.</w:t>
      </w:r>
    </w:p>
    <w:p>
      <w:pPr>
        <w:pStyle w:val="Heading5"/>
        <w:numPr>
          <w:ilvl w:val="4"/>
          <w:numId w:val="1"/>
        </w:numPr>
        <w:rPr/>
      </w:pPr>
      <w:bookmarkStart w:id="334" w:name="__RefHeading___Toc5003690_2314609296"/>
      <w:bookmarkStart w:id="335" w:name="_Toc128"/>
      <w:bookmarkEnd w:id="334"/>
      <w:r>
        <w:rPr>
          <w:rtl w:val="true"/>
        </w:rPr>
        <w:t>[</w:t>
      </w:r>
      <w:r>
        <w:rPr>
          <w:rtl w:val="true"/>
        </w:rPr>
        <w:t>لا فرق بین استعمال هذه الکیفیة فی کلام حقٍّ أو باطل</w:t>
      </w:r>
      <w:r>
        <w:rPr>
          <w:rtl w:val="true"/>
        </w:rPr>
        <w:t>]</w:t>
      </w:r>
      <w:bookmarkEnd w:id="335"/>
    </w:p>
    <w:p>
      <w:pPr>
        <w:pStyle w:val="BookText"/>
        <w:rPr/>
      </w:pPr>
      <w:r>
        <w:rPr>
          <w:rFonts w:ascii="IRNazanin" w:hAnsi="IRNazanin" w:eastAsia="IRNazanin"/>
          <w:color w:val="111111"/>
          <w:sz w:val="28"/>
          <w:sz w:val="28"/>
          <w:szCs w:val="28"/>
          <w:rtl w:val="true"/>
          <w:lang w:bidi="fa-IR"/>
        </w:rPr>
        <w:t>و ظهر مما ذکرنا أنّه لا فرق بین استعمال هذه الکیفیة فی کلام حقٍّ أو باطل،فقراءة القرآن و الدعاء و المراثی بصوت یُرجَّع فیه علی سبیل اللّهو لا إشکال فی حرمتها و لا فی تضاعف عقابها؛لکونها معصیة فی مقام الطاعة،و استخفافاً بالمقروّ و المدعوّ و المرثی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أوضح تسویلات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الرجل المتستّر </w:t>
      </w:r>
      <w:r>
        <w:rPr>
          <w:rStyle w:val="FootnoteAnchor"/>
          <w:rtl w:val="true"/>
        </w:rPr>
        <w:footnoteReference w:id="1216"/>
      </w:r>
      <w:r>
        <w:rPr>
          <w:rFonts w:ascii="IRNazanin" w:hAnsi="IRNazanin" w:eastAsia="IRNazanin"/>
          <w:color w:val="111111"/>
          <w:sz w:val="28"/>
          <w:sz w:val="28"/>
          <w:szCs w:val="28"/>
          <w:rtl w:val="true"/>
          <w:lang w:bidi="fa-IR"/>
        </w:rPr>
        <w:t>قد تدعوه نفسه لأجل التفرّج و التنزّه و التلذذ إلی ما یوجب نشاطه و رفع الکسالة عنه من الزمزمة الملهیة،فیجعل ذلک فی بیت من الشعر المنظوم فی الحِکم و المراثی و نحوها،فیتغنی به،أو یحضر عند من یفعل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یُعِدّ مجلساً لأجل إحضار أصحاب الألحان،و یسمّیه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المرثیة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له بذلک ما لا یحصل له من ضرب الأوتار من النشاط و الانبساط،و ربّما یبکی فی خلال ذلک لأجل الهموم المرکوزة</w:t>
      </w:r>
      <w:bookmarkStart w:id="336" w:name="pg19762_189548"/>
    </w:p>
    <w:p>
      <w:pPr>
        <w:pStyle w:val="BookText"/>
        <w:rPr/>
      </w:pPr>
      <w:bookmarkEnd w:id="336"/>
      <w:r>
        <w:rPr>
          <w:rFonts w:ascii="IRNazanin" w:hAnsi="IRNazanin" w:eastAsia="IRNazanin"/>
          <w:color w:val="111111"/>
          <w:sz w:val="28"/>
          <w:sz w:val="28"/>
          <w:szCs w:val="28"/>
          <w:rtl w:val="true"/>
          <w:lang w:bidi="fa-IR"/>
        </w:rPr>
        <w:t xml:space="preserve">فی قلبه،الغائبة </w:t>
      </w:r>
      <w:r>
        <w:rPr>
          <w:rStyle w:val="FootnoteAnchor"/>
          <w:rtl w:val="true"/>
        </w:rPr>
        <w:footnoteReference w:id="1217"/>
      </w:r>
      <w:r>
        <w:rPr>
          <w:rFonts w:ascii="IRNazanin" w:hAnsi="IRNazanin" w:eastAsia="IRNazanin"/>
          <w:color w:val="111111"/>
          <w:sz w:val="28"/>
          <w:sz w:val="28"/>
          <w:szCs w:val="28"/>
          <w:rtl w:val="true"/>
          <w:lang w:bidi="fa-IR"/>
        </w:rPr>
        <w:t xml:space="preserve">عن خاطره،من فقد </w:t>
      </w:r>
      <w:r>
        <w:rPr>
          <w:rStyle w:val="FootnoteAnchor"/>
          <w:rtl w:val="true"/>
        </w:rPr>
        <w:footnoteReference w:id="1218"/>
      </w:r>
      <w:r>
        <w:rPr>
          <w:rFonts w:ascii="IRNazanin" w:hAnsi="IRNazanin" w:eastAsia="IRNazanin"/>
          <w:color w:val="111111"/>
          <w:sz w:val="28"/>
          <w:sz w:val="28"/>
          <w:szCs w:val="28"/>
          <w:rtl w:val="true"/>
          <w:lang w:bidi="fa-IR"/>
        </w:rPr>
        <w:t>ما تستحضره القوی الشهویّة، و یتخیّل أنّه بکی فی المرثیة و فاز بالمرتبة العالیة،و قد أشرف علی النزول إلی درکات الهاویة؛فلا ملجأ إلّا إلی اللّه من شرّ الشیطان و النفس الغاویة</w:t>
      </w:r>
      <w:r>
        <w:rPr>
          <w:rFonts w:eastAsia="IRNazanin" w:cs="IRNazanin"/>
          <w:color w:val="111111"/>
          <w:sz w:val="28"/>
          <w:szCs w:val="28"/>
          <w:rtl w:val="true"/>
          <w:lang w:bidi="fa-IR"/>
        </w:rPr>
        <w:t>.</w:t>
      </w:r>
    </w:p>
    <w:p>
      <w:pPr>
        <w:pStyle w:val="Heading5"/>
        <w:numPr>
          <w:ilvl w:val="4"/>
          <w:numId w:val="1"/>
        </w:numPr>
        <w:rPr/>
      </w:pPr>
      <w:bookmarkStart w:id="337" w:name="__RefHeading___Toc5003692_2314609296"/>
      <w:bookmarkStart w:id="338" w:name="_Toc129"/>
      <w:bookmarkEnd w:id="337"/>
      <w:r>
        <w:rPr>
          <w:rtl w:val="true"/>
        </w:rPr>
        <w:t>[</w:t>
      </w:r>
      <w:r>
        <w:rPr>
          <w:rtl w:val="true"/>
        </w:rPr>
        <w:t>عروض بعض الشبهات فی الحکم أو الموضوع أو اختصاص الحکم ببعض الموضوع</w:t>
      </w:r>
      <w:r>
        <w:rPr>
          <w:rtl w:val="true"/>
        </w:rPr>
        <w:t>]</w:t>
      </w:r>
      <w:bookmarkEnd w:id="338"/>
    </w:p>
    <w:p>
      <w:pPr>
        <w:pStyle w:val="Heading6"/>
        <w:numPr>
          <w:ilvl w:val="5"/>
          <w:numId w:val="1"/>
        </w:numPr>
        <w:rPr/>
      </w:pPr>
      <w:bookmarkStart w:id="339" w:name="__RefHeading___Toc5003694_2314609296"/>
      <w:bookmarkStart w:id="340" w:name="_Toc130"/>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 xml:space="preserve">و ربّما یجرّئ </w:t>
      </w:r>
      <w:r>
        <w:rPr>
          <w:rStyle w:val="FootnoteAnchor"/>
          <w:rtl w:val="true"/>
        </w:rPr>
        <w:footnoteReference w:id="1219"/>
      </w:r>
      <w:r>
        <w:rPr>
          <w:rFonts w:ascii="IRNazanin" w:hAnsi="IRNazanin" w:eastAsia="IRNazanin"/>
          <w:color w:val="111111"/>
          <w:sz w:val="28"/>
          <w:sz w:val="28"/>
          <w:szCs w:val="28"/>
          <w:rtl w:val="true"/>
          <w:lang w:bidi="fa-IR"/>
        </w:rPr>
        <w:t>علی هذا عروض الشبهة فی الأزمنة المتأخرة فی هذه المسألة،تارة من حیث أصل الحکم،و أُخری من حیث الموضوع، و ثالثة من اختصاص الحکم ببعض الموضوع</w:t>
      </w:r>
      <w:r>
        <w:rPr>
          <w:rFonts w:eastAsia="IRNazanin" w:cs="IRNazanin"/>
          <w:color w:val="111111"/>
          <w:sz w:val="28"/>
          <w:szCs w:val="28"/>
          <w:rtl w:val="true"/>
          <w:lang w:bidi="fa-IR"/>
        </w:rPr>
        <w:t>.</w:t>
      </w:r>
    </w:p>
    <w:p>
      <w:pPr>
        <w:pStyle w:val="Heading6"/>
        <w:numPr>
          <w:ilvl w:val="5"/>
          <w:numId w:val="1"/>
        </w:numPr>
        <w:rPr/>
      </w:pPr>
      <w:bookmarkStart w:id="341" w:name="__RefHeading___Toc5003696_2314609296"/>
      <w:bookmarkStart w:id="342" w:name="_Toc131"/>
      <w:bookmarkEnd w:id="341"/>
      <w:r>
        <w:rPr>
          <w:rtl w:val="true"/>
        </w:rPr>
        <w:t>أما الأوّل</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فلأنّه حکی عن المحدث الکاشانی أنّه خصّ الحرام منه بما اشتمل علی محرّم من خارج مثل اللعب بآلات اللهو،و دخول الرجال،و الکلام بالباطل و إلّا فهو فی نفسه غیر محرّم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المحکی من کلامه فی الوافی أنّه بعد حکایة الأخبار التی یأتی بعضها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یظهر من مجموع الأخبار الواردة اختصاص حرمة الغناء و ما یتعلق به من الأجر و التعلیم و الاستماع و البیع و الشراء،کلها بما </w:t>
      </w:r>
      <w:r>
        <w:rPr>
          <w:rStyle w:val="FootnoteAnchor"/>
          <w:rtl w:val="true"/>
        </w:rPr>
        <w:footnoteReference w:id="1220"/>
      </w:r>
      <w:r>
        <w:rPr>
          <w:rFonts w:ascii="IRNazanin" w:hAnsi="IRNazanin" w:eastAsia="IRNazanin"/>
          <w:color w:val="111111"/>
          <w:sz w:val="28"/>
          <w:sz w:val="28"/>
          <w:szCs w:val="28"/>
          <w:rtl w:val="true"/>
          <w:lang w:bidi="fa-IR"/>
        </w:rPr>
        <w:t xml:space="preserve">کان علی النحو المتعارف </w:t>
      </w:r>
      <w:r>
        <w:rPr>
          <w:rStyle w:val="FootnoteAnchor"/>
          <w:rtl w:val="true"/>
        </w:rPr>
        <w:footnoteReference w:id="1221"/>
      </w:r>
      <w:r>
        <w:rPr>
          <w:rFonts w:ascii="IRNazanin" w:hAnsi="IRNazanin" w:eastAsia="IRNazanin"/>
          <w:color w:val="111111"/>
          <w:sz w:val="28"/>
          <w:sz w:val="28"/>
          <w:szCs w:val="28"/>
          <w:rtl w:val="true"/>
          <w:lang w:bidi="fa-IR"/>
        </w:rPr>
        <w:t xml:space="preserve">فی زمن الخلفاء </w:t>
      </w:r>
      <w:r>
        <w:rPr>
          <w:rStyle w:val="FootnoteAnchor"/>
          <w:rtl w:val="true"/>
        </w:rPr>
        <w:footnoteReference w:id="1222"/>
      </w:r>
      <w:r>
        <w:rPr>
          <w:rFonts w:ascii="IRNazanin" w:hAnsi="IRNazanin" w:eastAsia="IRNazanin"/>
          <w:color w:val="111111"/>
          <w:sz w:val="28"/>
          <w:sz w:val="28"/>
          <w:szCs w:val="28"/>
          <w:rtl w:val="true"/>
          <w:lang w:bidi="fa-IR"/>
        </w:rPr>
        <w:t>،من دخول الرجال</w:t>
      </w:r>
    </w:p>
    <w:p>
      <w:pPr>
        <w:pStyle w:val="BookText"/>
        <w:rPr/>
      </w:pPr>
      <w:r>
        <w:rPr>
          <w:rFonts w:ascii="IRNazanin" w:hAnsi="IRNazanin" w:eastAsia="IRNazanin"/>
          <w:color w:val="111111"/>
          <w:sz w:val="28"/>
          <w:sz w:val="28"/>
          <w:szCs w:val="28"/>
          <w:rtl w:val="true"/>
          <w:lang w:bidi="fa-IR"/>
        </w:rPr>
        <w:t>علیهنّ و تکلّمهنّ بالباطل و لعبهنّ بالملاهی من العیدان و القصب و غیرهما،دون ما سوی ذلک من أنواعه،کما یشعر به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بأس بالتغنّی </w:t>
      </w:r>
      <w:r>
        <w:rPr>
          <w:rStyle w:val="FootnoteAnchor"/>
          <w:rtl w:val="true"/>
        </w:rPr>
        <w:footnoteReference w:id="1224"/>
      </w:r>
      <w:r>
        <w:rPr>
          <w:rFonts w:ascii="IRNazanin" w:hAnsi="IRNazanin" w:eastAsia="IRNazanin"/>
          <w:color w:val="111111"/>
          <w:sz w:val="28"/>
          <w:sz w:val="28"/>
          <w:szCs w:val="28"/>
          <w:rtl w:val="true"/>
          <w:lang w:bidi="fa-IR"/>
        </w:rPr>
        <w:t xml:space="preserve">بالأشعار المتضمّنة لذکر الجنة و النار و التشویق إلی دار القرار،و وصف نعم اللّه الملک الجبار،و ذکر العبادات،و الترغیب </w:t>
      </w:r>
      <w:r>
        <w:rPr>
          <w:rStyle w:val="FootnoteAnchor"/>
          <w:rtl w:val="true"/>
        </w:rPr>
        <w:footnoteReference w:id="1225"/>
      </w:r>
      <w:r>
        <w:rPr>
          <w:rFonts w:ascii="IRNazanin" w:hAnsi="IRNazanin" w:eastAsia="IRNazanin"/>
          <w:color w:val="111111"/>
          <w:sz w:val="28"/>
          <w:sz w:val="28"/>
          <w:szCs w:val="28"/>
          <w:rtl w:val="true"/>
          <w:lang w:bidi="fa-IR"/>
        </w:rPr>
        <w:t>فی الخیرات،و الزهد فی الفانیات،و نحو ذلک،کما أُشیر إلیه فی حدیث الفقیه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فذکّرتک </w:t>
      </w:r>
      <w:r>
        <w:rPr>
          <w:rStyle w:val="FootnoteAnchor"/>
          <w:rtl w:val="true"/>
        </w:rPr>
        <w:footnoteReference w:id="1226"/>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و ذلک لأنّ هذا کلّه ذکر اللّه،و ربّما تَقْشَعِرُّ مِنْهُ جُلُودُ الَّذِینَ یَخْشَوْنَ رَبَّهُمْ ثُمَّ تَلِینُ جُلُودُهُمْ وَ قُلُوبُهُمْ إِلیٰ ذِکْرِ اللّٰهِ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بالجملة،فلا یخفی علی أهل الحجی بعد سماع هذه الأخبار تمییز حق الغناء عن باطله،و أنّ أکثر ما یتغنی به الصوفیة </w:t>
      </w:r>
      <w:r>
        <w:rPr>
          <w:rStyle w:val="FootnoteAnchor"/>
          <w:rtl w:val="true"/>
        </w:rPr>
        <w:footnoteReference w:id="1229"/>
      </w:r>
      <w:r>
        <w:rPr>
          <w:rFonts w:ascii="IRNazanin" w:hAnsi="IRNazanin" w:eastAsia="IRNazanin"/>
          <w:color w:val="111111"/>
          <w:sz w:val="28"/>
          <w:sz w:val="28"/>
          <w:szCs w:val="28"/>
          <w:rtl w:val="true"/>
          <w:lang w:bidi="fa-IR"/>
        </w:rPr>
        <w:t xml:space="preserve">فی محافلهم من قبیل الباطل </w:t>
      </w:r>
      <w:r>
        <w:rPr>
          <w:rStyle w:val="FootnoteAnchor"/>
          <w:rtl w:val="true"/>
        </w:rPr>
        <w:footnoteReference w:id="12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استشهاده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أمکن بلا تکلّف تطبیق کلامه علی ما ذکرناه من أنّ المحرم هو الصوت اللّهوی الذی یناسبه اللعب بالملاهی و التکلّم بالأباطیل و دخول الرجال علی النساء،لحظّ </w:t>
      </w:r>
      <w:r>
        <w:rPr>
          <w:rStyle w:val="FootnoteAnchor"/>
          <w:rtl w:val="true"/>
        </w:rPr>
        <w:footnoteReference w:id="1231"/>
      </w:r>
      <w:r>
        <w:rPr>
          <w:rFonts w:ascii="IRNazanin" w:hAnsi="IRNazanin" w:eastAsia="IRNazanin"/>
          <w:color w:val="111111"/>
          <w:sz w:val="28"/>
          <w:sz w:val="28"/>
          <w:szCs w:val="28"/>
          <w:rtl w:val="true"/>
          <w:lang w:bidi="fa-IR"/>
        </w:rPr>
        <w:t>السمع و البصر من شهوة الزنا،دون مجرد الصوت الحسن الذی یذکّر أُمور الآخرة و ینسی شهوات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استشهاده بالروایة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التفصیل بین أفراد الغناء لا من حیث نفسه،فإنّ صوت المغنّیة التی تزفّ العرائس علی سبیل اللهو لا محالة؛و لذا لو قلنا بإباحته فیما یأتی کنّا قد خصّصناه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القول المذکور إلی صاحب الکفایة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فیها بعد ذکر الأخبار المتخالفة جوازاً و منعاً فی القرآن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الجمع بین هذه الأخبار یمکن بوجهین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تخصیص تلک الأخبار الواردة المانعة بما عدا القرآن، و حمل ما یدلّ علی ذم التغنّی بالقرآن علی قراءة تکون علی سبیل اللّهو،کما یصنعه الفساق فی غنائهم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عبد اللّه بن سنان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القرآن بألحان العرب،و إیّاکم و لحون أهل الفسق و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من بعدی أقوام </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 القرآن ترجیع الغناء</w:t>
      </w:r>
      <w:r>
        <w:rPr>
          <w:rFonts w:eastAsia="IRNazanin" w:cs="IRNazanin"/>
          <w:color w:val="111111"/>
          <w:sz w:val="28"/>
          <w:szCs w:val="28"/>
          <w:rtl w:val="true"/>
          <w:lang w:bidi="fa-IR"/>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 أن یقال و حاصل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الأخبار المانعة علی الفرد الشائع فی ذلک الزمان،قال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الشائع فی ذلک الزمان الغناء علی سبیل اللّهو من الجواری و غیرهن فی مجالس الفجور و الخمور و العمل بالملاهی و التکلّم بالباطل و إسماعهن الرجال،فحمل المفرد المعرف یعنی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الأفراد الشائعة فی ذلک الزمان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روایة علیّ بن جعفر الآتیة </w:t>
      </w:r>
      <w:r>
        <w:rPr>
          <w:rStyle w:val="FootnoteAnchor"/>
          <w:rtl w:val="true"/>
        </w:rPr>
        <w:footnoteReference w:id="1234"/>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Style w:val="FootnoteAnchor"/>
          <w:rtl w:val="true"/>
        </w:rPr>
        <w:footnoteReference w:id="1235"/>
      </w:r>
      <w:r>
        <w:rPr>
          <w:rFonts w:ascii="Amiri" w:hAnsi="Amiri" w:eastAsia="Amiri" w:cs="Amiri"/>
          <w:color w:val="111111"/>
          <w:sz w:val="28"/>
          <w:sz w:val="28"/>
          <w:szCs w:val="28"/>
          <w:rtl w:val="true"/>
          <w:lang w:bidi="ar-SA"/>
        </w:rPr>
        <w:t>مؤیّداً لهذا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إشعاراً بأنّ منشأ المنع فی الغناء هو بعض الأُمور المحرّمة المقترنة به کالالتهاء و غیره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عدة من أخبار المنع عن الغناء إشعاراً بکونه لهواً باطلاً،و صدق ذلک فی القرآن و الدعوات و الأذکار المقروّة بالأصوات الطیبة المذکّرة المهیّجة للأشواق إلی العالم الأعلی محلّ تأمّل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التعارض واقع بین أخبار الغناء و الأخبار الکثیرة المتواترة الدالّة علی فضل قراءة القرآن و الأدعیة و الأذکار </w:t>
      </w:r>
      <w:r>
        <w:rPr>
          <w:rStyle w:val="FootnoteAnchor"/>
          <w:rtl w:val="true"/>
        </w:rPr>
        <w:footnoteReference w:id="1236"/>
      </w:r>
      <w:r>
        <w:rPr>
          <w:rFonts w:ascii="IRNazanin" w:hAnsi="IRNazanin" w:eastAsia="IRNazanin"/>
          <w:color w:val="111111"/>
          <w:sz w:val="28"/>
          <w:sz w:val="28"/>
          <w:szCs w:val="28"/>
          <w:rtl w:val="true"/>
          <w:lang w:bidi="fa-IR"/>
        </w:rPr>
        <w:t xml:space="preserve">مع عمومها لغة، و کثرتها،و موافقتها للأصل،و النسبة بین الموضوعین عموم من وجه، فإذاً لا ریب فی تحریم الغناء علی سبیل اللّهو و الاقتران </w:t>
      </w:r>
      <w:r>
        <w:rPr>
          <w:rStyle w:val="FootnoteAnchor"/>
          <w:rtl w:val="true"/>
        </w:rPr>
        <w:footnoteReference w:id="1237"/>
      </w:r>
      <w:r>
        <w:rPr>
          <w:rFonts w:ascii="IRNazanin" w:hAnsi="IRNazanin" w:eastAsia="IRNazanin"/>
          <w:color w:val="111111"/>
          <w:sz w:val="28"/>
          <w:sz w:val="28"/>
          <w:szCs w:val="28"/>
          <w:rtl w:val="true"/>
          <w:lang w:bidi="fa-IR"/>
        </w:rPr>
        <w:t>بالملاهی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ثبت إجماع فی غیره،و إلّا بقی حکمه علی الإباحة،و طریق الاحتیاط واضح </w:t>
      </w:r>
      <w:r>
        <w:rPr>
          <w:rStyle w:val="FootnoteAnchor"/>
          <w:rtl w:val="true"/>
        </w:rPr>
        <w:footnoteReference w:id="12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أنّ الغناء علی ما استفدنا من الأخبار،بل فتاوی الأصحاب و قول أهل اللغة هو من الملاهی،نظیر ضرب الأوتار و النفخ فی القصب و المزمار،و قد تقدم التصریح بذلک فی روایة الأعمش الواردة فی الکبائر فلا یحتاج فی حرمته إلی أن یقترن بالمحرمات الأُخر،کما هو ظاهر بعض ما تقدم من المحدِّثَین المذکورَین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نعم،لو فرض کون الغناء موضوعاً لمطلق الصوت الحسن کما یظهر من بعض ما تقدم فی تفسیر معنی التطریب </w:t>
      </w:r>
      <w:r>
        <w:rPr>
          <w:rStyle w:val="FootnoteAnchor"/>
          <w:rtl w:val="true"/>
        </w:rPr>
        <w:footnoteReference w:id="1240"/>
      </w:r>
      <w:r>
        <w:rPr>
          <w:rFonts w:ascii="IRNazanin" w:hAnsi="IRNazanin" w:eastAsia="IRNazanin"/>
          <w:color w:val="111111"/>
          <w:sz w:val="28"/>
          <w:sz w:val="28"/>
          <w:szCs w:val="28"/>
          <w:rtl w:val="true"/>
          <w:lang w:bidi="fa-IR"/>
        </w:rPr>
        <w:t xml:space="preserve">توجّه ما ذکراه، بل </w:t>
      </w:r>
      <w:r>
        <w:rPr>
          <w:rStyle w:val="FootnoteAnchor"/>
          <w:rtl w:val="true"/>
        </w:rPr>
        <w:footnoteReference w:id="1241"/>
      </w:r>
      <w:r>
        <w:rPr>
          <w:rFonts w:ascii="IRNazanin" w:hAnsi="IRNazanin" w:eastAsia="IRNazanin"/>
          <w:color w:val="111111"/>
          <w:sz w:val="28"/>
          <w:sz w:val="28"/>
          <w:szCs w:val="28"/>
          <w:rtl w:val="true"/>
          <w:lang w:bidi="fa-IR"/>
        </w:rPr>
        <w:t>لا أظن أحداً یفتی بإطلاق حرمة الصوت الحسن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بمدح الصوت الحسن و أنّه من أجمل الجمال،و استحباب القراءة و الدعاء به،و أنّه حلیة القرآن،و اتصاف الأنبیاء</w:t>
      </w:r>
    </w:p>
    <w:p>
      <w:pPr>
        <w:pStyle w:val="BookText"/>
        <w:rPr/>
      </w:pPr>
      <w:r>
        <w:rPr>
          <w:rFonts w:ascii="IRNazanin" w:hAnsi="IRNazanin" w:eastAsia="IRNazanin"/>
          <w:color w:val="111111"/>
          <w:sz w:val="28"/>
          <w:sz w:val="28"/>
          <w:szCs w:val="28"/>
          <w:rtl w:val="true"/>
          <w:lang w:bidi="fa-IR"/>
        </w:rPr>
        <w:t>و الأئمة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غایة الکثرة </w:t>
      </w:r>
      <w:r>
        <w:rPr>
          <w:rStyle w:val="FootnoteAnchor"/>
          <w:rtl w:val="true"/>
        </w:rPr>
        <w:footnoteReference w:id="1243"/>
      </w:r>
      <w:r>
        <w:rPr>
          <w:rFonts w:ascii="IRNazanin" w:hAnsi="IRNazanin" w:eastAsia="IRNazanin"/>
          <w:color w:val="111111"/>
          <w:sz w:val="28"/>
          <w:sz w:val="28"/>
          <w:szCs w:val="28"/>
          <w:rtl w:val="true"/>
          <w:lang w:bidi="fa-IR"/>
        </w:rPr>
        <w:t>و قد جمعها فی الکفایة بعد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غیر واحد من الأخبار یدلّ علی جواز الغناء فی القرآن، بل استحبابه؛بناءً علی دلالة الروایات علی استحباب حسن الصوت و التحزین و الترجیع به،و الظاهر أنّ شیئاً منها لا یوجد بدون الغناء علی ما استفید من کلام أهل اللغة و غیرهم علی ما فصّلناه فی بعض رسائلنا </w:t>
      </w:r>
      <w:r>
        <w:rPr>
          <w:rStyle w:val="FootnoteAnchor"/>
          <w:rtl w:val="true"/>
        </w:rPr>
        <w:footnoteReference w:id="12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فی شرح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أقروا القرآن بألحان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اللحن هو الغناء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بالجملة،فنسبة الخلاف إلیه فی معنی الغناء أولی من نسبة التفصیل إلیه،بل ظاهر أکثر کلمات المحدّث الکاشانی أیضاً ذلک؛لأنّه فی مقام نفی التحریم عن الصوت الحسن المذکِّر لأُمور الآخرة المُنسی لشهوات الدنیا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نعم،بعض کلماتهما ظاهرة فی ما نسب إلیهما من التفصیل فی الصوت اللّهوی الذی لیس هو عند التأمّل تفصیلاً،بل قولاً بإطلاق</w:t>
      </w:r>
    </w:p>
    <w:p>
      <w:pPr>
        <w:pStyle w:val="BookText"/>
        <w:rPr/>
      </w:pPr>
      <w:r>
        <w:rPr>
          <w:rFonts w:ascii="IRNazanin" w:hAnsi="IRNazanin" w:eastAsia="IRNazanin"/>
          <w:color w:val="111111"/>
          <w:sz w:val="28"/>
          <w:sz w:val="28"/>
          <w:szCs w:val="28"/>
          <w:rtl w:val="true"/>
          <w:lang w:bidi="fa-IR"/>
        </w:rPr>
        <w:t xml:space="preserve">جواز الغناء و أنّه لا حرمة فیه أصلاً،و إنّما الحرام ما یقترن به من المحرمات،فهو علی تقدیر صدق نسبته إلیهما فی غایة الضعف لا شاهد له یقید الإطلاقات الکثیرة المدّعی تواترها،إلّا بعض الروایات التی ذکراها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الحمیری بسند لم یُبعّد فی الکفایة إلحاقه بالصحاح </w:t>
      </w:r>
      <w:r>
        <w:rPr>
          <w:rStyle w:val="FootnoteAnchor"/>
          <w:rtl w:val="true"/>
        </w:rPr>
        <w:footnoteReference w:id="1247"/>
      </w:r>
      <w:r>
        <w:rPr>
          <w:rFonts w:ascii="IRNazanin" w:hAnsi="IRNazanin" w:eastAsia="IRNazanin"/>
          <w:color w:val="111111"/>
          <w:sz w:val="28"/>
          <w:sz w:val="28"/>
          <w:szCs w:val="28"/>
          <w:rtl w:val="true"/>
          <w:lang w:bidi="fa-IR"/>
        </w:rPr>
        <w:t>عن علی بن جعفر عن أخیه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الغناء فی الفطر و الأضحی و الفرح،قال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یُعص به</w:t>
      </w:r>
      <w:r>
        <w:rPr>
          <w:rFonts w:eastAsia="IRNazanin" w:cs="IRNazanin"/>
          <w:color w:val="111111"/>
          <w:sz w:val="28"/>
          <w:szCs w:val="28"/>
          <w:rtl w:val="true"/>
          <w:lang w:bidi="fa-IR"/>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به ظاهراً ما لم یصر الغناء سبباً للمعصیة و لا مقدّمة للمعاصی المقارنة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علی بن جعفر،عن أخیه،قال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الغناء هل یصلح فی الفطر و الأضحی و الفرح؟قال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یزمر به</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یُزمر به</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 xml:space="preserve">أی لم یلعب </w:t>
      </w:r>
      <w:r>
        <w:rPr>
          <w:rStyle w:val="FootnoteAnchor"/>
          <w:rtl w:val="true"/>
        </w:rPr>
        <w:footnoteReference w:id="1251"/>
      </w:r>
      <w:r>
        <w:rPr>
          <w:rFonts w:ascii="IRNazanin" w:hAnsi="IRNazanin" w:eastAsia="IRNazanin"/>
          <w:color w:val="111111"/>
          <w:sz w:val="28"/>
          <w:sz w:val="28"/>
          <w:szCs w:val="28"/>
          <w:rtl w:val="true"/>
          <w:lang w:bidi="fa-IR"/>
        </w:rPr>
        <w:t>معه بالمزمار،أو ما لم یکن الغناء بالمزمار و نحوه من آلات الأغانی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1252"/>
      </w:r>
      <w:r>
        <w:rPr>
          <w:rFonts w:ascii="Amiri" w:hAnsi="Amiri" w:eastAsia="Amiri" w:cs="Amiri"/>
          <w:color w:val="111111"/>
          <w:sz w:val="28"/>
          <w:sz w:val="28"/>
          <w:szCs w:val="28"/>
          <w:rtl w:val="true"/>
          <w:lang w:bidi="ar-SA"/>
        </w:rPr>
        <w:t>عن کسب المغنّیات،فقال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یدخل علیها الرجال حرام،و التی تدعی إلی الأعراس لا بأس به،و هو قول اللّه عزّ و جلّ وَ مِنَ النّٰاسِ مَنْ یَشْتَرِی لَهْوَ الْحَدِیثِ لِیُضِلَّ عَنْ سَبِیلِ اللّٰهِ </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بصیر،عن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 المغنّیة التی تزفّ العرائس لیس به بأس،لیست بالتی یدخل علیها الرجال</w:t>
      </w:r>
      <w:r>
        <w:rPr>
          <w:rFonts w:eastAsia="IRNazanin" w:cs="IRNazanin"/>
          <w:color w:val="111111"/>
          <w:sz w:val="28"/>
          <w:szCs w:val="28"/>
          <w:rtl w:val="true"/>
          <w:lang w:bidi="fa-IR"/>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الثانیة و صریح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الغناء منوط بما یقصد منه، فإن کان المقصود إقامة مجلس اللّهو حرم،و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ما ذکره من التفصیل،و یظهر منه </w:t>
      </w:r>
      <w:r>
        <w:rPr>
          <w:rStyle w:val="FootnoteAnchor"/>
          <w:rtl w:val="true"/>
        </w:rPr>
        <w:footnoteReference w:id="1255"/>
      </w:r>
      <w:r>
        <w:rPr>
          <w:rFonts w:ascii="IRNazanin" w:hAnsi="IRNazanin" w:eastAsia="IRNazanin"/>
          <w:color w:val="111111"/>
          <w:sz w:val="28"/>
          <w:sz w:val="28"/>
          <w:szCs w:val="28"/>
          <w:rtl w:val="true"/>
          <w:lang w:bidi="fa-IR"/>
        </w:rPr>
        <w:t>أنّ کلا الغنائین من لهو الحدیث،لکن یقصد بأحدهما إدخال الناس فی المعاصی و الإخراج عن سبیل الحق و طریق الطاعة،دون الآخر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بعدم مقاومة هذه الأخبار للإطلاقات؛لعدم ظهور یعتد به فی دلالتها،فإنّ الروایة الأُولی لعلی بن جعفر ظاهرة فی تحقّق المعصیة بنفس الغناء،فیکون المراد بالغناء مطلق الصوت المشتمل علی</w:t>
      </w:r>
    </w:p>
    <w:p>
      <w:pPr>
        <w:pStyle w:val="BookText"/>
        <w:rPr/>
      </w:pPr>
      <w:r>
        <w:rPr>
          <w:rFonts w:ascii="IRNazanin" w:hAnsi="IRNazanin" w:eastAsia="IRNazanin"/>
          <w:color w:val="111111"/>
          <w:sz w:val="28"/>
          <w:sz w:val="28"/>
          <w:szCs w:val="28"/>
          <w:rtl w:val="true"/>
          <w:lang w:bidi="fa-IR"/>
        </w:rPr>
        <w:t>الترجیع،و هو قد یکون مطرباً ملهیاً فیحرم،و قد لا ینتهی إلی ذلک الحد فلا یُعصی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توجیه الروایة الثانیة لعلیّ بن جعفر،فإنّ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یرجّع فیه ترجیع المزمار،أو لم یقصد منه قصد المزمار، أو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التغنّی علی سبیل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أبی بصیر مع ضعفها سنداً بعلی بن أبی حمزة البطائنی فلا تدلّ إلّا علی کون غناء المغنّیة التی یدخل </w:t>
      </w:r>
      <w:r>
        <w:rPr>
          <w:rStyle w:val="FootnoteAnchor"/>
          <w:rtl w:val="true"/>
        </w:rPr>
        <w:footnoteReference w:id="1256"/>
      </w:r>
      <w:r>
        <w:rPr>
          <w:rFonts w:ascii="IRNazanin" w:hAnsi="IRNazanin" w:eastAsia="IRNazanin"/>
          <w:color w:val="111111"/>
          <w:sz w:val="28"/>
          <w:sz w:val="28"/>
          <w:szCs w:val="28"/>
          <w:rtl w:val="true"/>
          <w:lang w:bidi="fa-IR"/>
        </w:rPr>
        <w:t xml:space="preserve">علیها الرجال داخلاً فی لهو الحدیث فی الآیة،و عدم دخول غناء التی تدعی إلی الأعراس فیه </w:t>
      </w:r>
      <w:r>
        <w:rPr>
          <w:rStyle w:val="FootnoteAnchor"/>
          <w:rtl w:val="true"/>
        </w:rPr>
        <w:footnoteReference w:id="1257"/>
      </w:r>
      <w:r>
        <w:rPr>
          <w:rFonts w:ascii="IRNazanin" w:hAnsi="IRNazanin" w:eastAsia="IRNazanin"/>
          <w:color w:val="111111"/>
          <w:sz w:val="28"/>
          <w:sz w:val="28"/>
          <w:szCs w:val="28"/>
          <w:rtl w:val="true"/>
          <w:lang w:bidi="fa-IR"/>
        </w:rPr>
        <w:t xml:space="preserve">،و هذا لا یدلّ علی دخول ما لم یکن منهما </w:t>
      </w:r>
      <w:r>
        <w:rPr>
          <w:rStyle w:val="FootnoteAnchor"/>
          <w:rtl w:val="true"/>
        </w:rPr>
        <w:footnoteReference w:id="1258"/>
      </w:r>
      <w:r>
        <w:rPr>
          <w:rFonts w:ascii="IRNazanin" w:hAnsi="IRNazanin" w:eastAsia="IRNazanin"/>
          <w:color w:val="111111"/>
          <w:sz w:val="28"/>
          <w:sz w:val="28"/>
          <w:szCs w:val="28"/>
          <w:rtl w:val="true"/>
          <w:lang w:bidi="fa-IR"/>
        </w:rPr>
        <w:t>فی القسم المباح، مع کونه من لهو الحدیث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فرضنا أنّ المغنّی یغنّی بإشعار باطلة، فدخول هذا فی الآیة أقرب من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بالجملة،فالمذکور فی الروایة </w:t>
      </w:r>
      <w:r>
        <w:rPr>
          <w:rStyle w:val="FootnoteAnchor"/>
          <w:rtl w:val="true"/>
        </w:rPr>
        <w:footnoteReference w:id="1259"/>
      </w:r>
      <w:r>
        <w:rPr>
          <w:rFonts w:ascii="IRNazanin" w:hAnsi="IRNazanin" w:eastAsia="IRNazanin"/>
          <w:color w:val="111111"/>
          <w:sz w:val="28"/>
          <w:sz w:val="28"/>
          <w:szCs w:val="28"/>
          <w:rtl w:val="true"/>
          <w:lang w:bidi="fa-IR"/>
        </w:rPr>
        <w:t xml:space="preserve">تقسیم غناء المغنّیة باعتبار ما هو الغالب من أنّها تطلب </w:t>
      </w:r>
      <w:r>
        <w:rPr>
          <w:rStyle w:val="FootnoteAnchor"/>
          <w:rtl w:val="true"/>
        </w:rPr>
        <w:footnoteReference w:id="1260"/>
      </w:r>
      <w:r>
        <w:rPr>
          <w:rFonts w:ascii="IRNazanin" w:hAnsi="IRNazanin" w:eastAsia="IRNazanin"/>
          <w:color w:val="111111"/>
          <w:sz w:val="28"/>
          <w:sz w:val="28"/>
          <w:szCs w:val="28"/>
          <w:rtl w:val="true"/>
          <w:lang w:bidi="fa-IR"/>
        </w:rPr>
        <w:t>للتغنّی،إمّا فی المجالس المختصة بالنساء کما فی الأعراس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للتغنّی فی مجالس الرجال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نعم،الإنصاف أنّه لا یخلو </w:t>
      </w:r>
      <w:r>
        <w:rPr>
          <w:rStyle w:val="FootnoteAnchor"/>
          <w:rtl w:val="true"/>
        </w:rPr>
        <w:footnoteReference w:id="1261"/>
      </w:r>
      <w:r>
        <w:rPr>
          <w:rFonts w:ascii="IRNazanin" w:hAnsi="IRNazanin" w:eastAsia="IRNazanin"/>
          <w:color w:val="111111"/>
          <w:sz w:val="28"/>
          <w:sz w:val="28"/>
          <w:szCs w:val="28"/>
          <w:rtl w:val="true"/>
          <w:lang w:bidi="fa-IR"/>
        </w:rPr>
        <w:t>من إشعار بکون المحرّم هو الذی یدخل فیه الرجال علی المغنّیات،لکن المنصف لا یرفع الید عن</w:t>
      </w:r>
      <w:bookmarkStart w:id="343" w:name="pg19762_189557"/>
    </w:p>
    <w:p>
      <w:pPr>
        <w:pStyle w:val="BookText"/>
        <w:rPr/>
      </w:pPr>
      <w:bookmarkEnd w:id="343"/>
      <w:r>
        <w:rPr>
          <w:rFonts w:ascii="IRNazanin" w:hAnsi="IRNazanin" w:eastAsia="IRNazanin"/>
          <w:color w:val="111111"/>
          <w:sz w:val="28"/>
          <w:sz w:val="28"/>
          <w:szCs w:val="28"/>
          <w:rtl w:val="true"/>
          <w:lang w:bidi="fa-IR"/>
        </w:rPr>
        <w:t>الإطلاقات لأجل هذا الإشعار،خصوصاً مع معارضته بما هو کالصریح فی حرمة غناء المغنّیة و لو لخصوص مولاها،کما تقدم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للرجل الجاریة تُلهیه،و ما ثمنها إلّا ثمن الکلب</w:t>
      </w:r>
      <w:r>
        <w:rPr>
          <w:rFonts w:eastAsia="IRNazanin" w:cs="IRNazanin"/>
          <w:color w:val="111111"/>
          <w:sz w:val="28"/>
          <w:szCs w:val="28"/>
          <w:rtl w:val="true"/>
          <w:lang w:bidi="fa-IR"/>
        </w:rPr>
        <w:t xml:space="preserve">» </w:t>
      </w:r>
      <w:r>
        <w:rPr>
          <w:rStyle w:val="FootnoteAnchor"/>
          <w:rtl w:val="true"/>
        </w:rPr>
        <w:footnoteReference w:id="126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بالجملة،فضعف هذا القول بعد ملاحظة النصوص أظهر من أن یحتاج إلی الإظهار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أبعد بین هذا و بین ما سیجیء من فخر الدین </w:t>
      </w:r>
      <w:r>
        <w:rPr>
          <w:rStyle w:val="FootnoteAnchor"/>
          <w:rtl w:val="true"/>
        </w:rPr>
        <w:footnoteReference w:id="1263"/>
      </w:r>
      <w:r>
        <w:rPr>
          <w:rFonts w:ascii="IRNazanin" w:hAnsi="IRNazanin" w:eastAsia="IRNazanin"/>
          <w:color w:val="111111"/>
          <w:sz w:val="28"/>
          <w:sz w:val="28"/>
          <w:szCs w:val="28"/>
          <w:rtl w:val="true"/>
          <w:lang w:bidi="fa-IR"/>
        </w:rPr>
        <w:t xml:space="preserve">من عدم تجویز الغناء بالأعراس </w:t>
      </w:r>
      <w:r>
        <w:rPr>
          <w:rStyle w:val="FootnoteAnchor"/>
          <w:rtl w:val="true"/>
        </w:rPr>
        <w:footnoteReference w:id="1264"/>
      </w:r>
      <w:r>
        <w:rPr>
          <w:rFonts w:ascii="IRNazanin" w:hAnsi="IRNazanin" w:eastAsia="IRNazanin"/>
          <w:color w:val="111111"/>
          <w:sz w:val="28"/>
          <w:sz w:val="28"/>
          <w:szCs w:val="28"/>
          <w:rtl w:val="true"/>
          <w:lang w:bidi="fa-IR"/>
        </w:rPr>
        <w:t xml:space="preserve">لأنّ الروایتین و إن کانتا نصّین فی الجواز،إلّا أنّهما لا تقاومان الأخبار المانعة؛لتواترها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ذکره فی الکفایة من تعارض أخبار المنع للأخبار الواردة فی فضل قراءة القرآن </w:t>
      </w:r>
      <w:r>
        <w:rPr>
          <w:rStyle w:val="FootnoteAnchor"/>
          <w:rtl w:val="true"/>
        </w:rPr>
        <w:footnoteReference w:id="1266"/>
      </w:r>
      <w:r>
        <w:rPr>
          <w:rFonts w:ascii="IRNazanin" w:hAnsi="IRNazanin" w:eastAsia="IRNazanin"/>
          <w:color w:val="111111"/>
          <w:sz w:val="28"/>
          <w:sz w:val="28"/>
          <w:szCs w:val="28"/>
          <w:rtl w:val="true"/>
          <w:lang w:bidi="fa-IR"/>
        </w:rPr>
        <w:t>فیظهر فساده عند التکلّم فی التفصیل</w:t>
      </w:r>
      <w:r>
        <w:rPr>
          <w:rFonts w:eastAsia="IRNazanin" w:cs="IRNazanin"/>
          <w:color w:val="111111"/>
          <w:sz w:val="28"/>
          <w:szCs w:val="28"/>
          <w:rtl w:val="true"/>
          <w:lang w:bidi="fa-IR"/>
        </w:rPr>
        <w:t>.</w:t>
      </w:r>
    </w:p>
    <w:p>
      <w:pPr>
        <w:pStyle w:val="Heading6"/>
        <w:numPr>
          <w:ilvl w:val="5"/>
          <w:numId w:val="1"/>
        </w:numPr>
        <w:rPr/>
      </w:pPr>
      <w:bookmarkStart w:id="344" w:name="__RefHeading___Toc5003698_2314609296"/>
      <w:bookmarkStart w:id="345" w:name="_Toc132"/>
      <w:bookmarkEnd w:id="344"/>
      <w:r>
        <w:rPr>
          <w:rtl w:val="true"/>
        </w:rPr>
        <w:t>و أمّا الثانی و هو الاشتباه فی الموضوع</w:t>
      </w:r>
      <w:r>
        <w:rPr>
          <w:rtl w:val="true"/>
        </w:rPr>
        <w:t>-:</w:t>
      </w:r>
      <w:bookmarkEnd w:id="345"/>
    </w:p>
    <w:p>
      <w:pPr>
        <w:pStyle w:val="BookText"/>
        <w:rPr/>
      </w:pPr>
      <w:r>
        <w:rPr>
          <w:rFonts w:ascii="IRNazanin" w:hAnsi="IRNazanin" w:eastAsia="IRNazanin"/>
          <w:color w:val="111111"/>
          <w:sz w:val="28"/>
          <w:sz w:val="28"/>
          <w:szCs w:val="28"/>
          <w:rtl w:val="true"/>
          <w:lang w:bidi="fa-IR"/>
        </w:rPr>
        <w:t>فهو ما ظهر مِن بعض مَن لا خبرة له من طلبة زماننا تقلیداً لمن سبقه من أعیاننا من منع صدق الغناء فی المراثی،و هو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أراد أنّ الغناء مما یکون لمواد الألفاظ دخل فیه،فهو تکذیب للعرف و اللغة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اللغة فقد عرفت،و أمّا العرف فلأنه لا ریب أنّ مَن سمع من بعید صوتاً مشتملاً علی الإطراب المقتضی للرقص أو ضرب آلات</w:t>
      </w:r>
      <w:bookmarkStart w:id="346" w:name="pg19762_189558"/>
    </w:p>
    <w:p>
      <w:pPr>
        <w:pStyle w:val="BookText"/>
        <w:rPr/>
      </w:pPr>
      <w:bookmarkEnd w:id="346"/>
      <w:r>
        <w:rPr>
          <w:rFonts w:ascii="IRNazanin" w:hAnsi="IRNazanin" w:eastAsia="IRNazanin"/>
          <w:color w:val="111111"/>
          <w:sz w:val="28"/>
          <w:sz w:val="28"/>
          <w:szCs w:val="28"/>
          <w:rtl w:val="true"/>
          <w:lang w:bidi="fa-IR"/>
        </w:rPr>
        <w:t>اللهو لا یتأمّل فی إطلاق الغناء علیه إلی أن یعلم مواد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الکیفیة التی یقرأ بها للمرثیة لا یصدق علیها تعریف الغناء،فهو تکذیب للحس</w:t>
      </w:r>
      <w:r>
        <w:rPr>
          <w:rFonts w:eastAsia="IRNazanin" w:cs="IRNazanin"/>
          <w:color w:val="111111"/>
          <w:sz w:val="28"/>
          <w:szCs w:val="28"/>
          <w:rtl w:val="true"/>
          <w:lang w:bidi="fa-IR"/>
        </w:rPr>
        <w:t>.</w:t>
      </w:r>
    </w:p>
    <w:p>
      <w:pPr>
        <w:pStyle w:val="Heading6"/>
        <w:numPr>
          <w:ilvl w:val="5"/>
          <w:numId w:val="1"/>
        </w:numPr>
        <w:rPr/>
      </w:pPr>
      <w:bookmarkStart w:id="347" w:name="__RefHeading___Toc5003700_2314609296"/>
      <w:bookmarkStart w:id="348" w:name="_Toc133"/>
      <w:bookmarkEnd w:id="347"/>
      <w:r>
        <w:rPr>
          <w:rtl w:val="true"/>
        </w:rPr>
        <w:t>و أمّا الثالث و هو اختصاص الحرمة ببعض أفراد الموضوع</w:t>
      </w:r>
      <w:r>
        <w:rPr>
          <w:rtl w:val="true"/>
        </w:rPr>
        <w:t>-:</w:t>
      </w:r>
      <w:bookmarkEnd w:id="348"/>
    </w:p>
    <w:p>
      <w:pPr>
        <w:pStyle w:val="BookText"/>
        <w:rPr/>
      </w:pPr>
      <w:r>
        <w:rPr>
          <w:rFonts w:ascii="IRNazanin" w:hAnsi="IRNazanin" w:eastAsia="IRNazanin"/>
          <w:color w:val="111111"/>
          <w:sz w:val="28"/>
          <w:sz w:val="28"/>
          <w:szCs w:val="28"/>
          <w:rtl w:val="true"/>
          <w:lang w:bidi="fa-IR"/>
        </w:rPr>
        <w:t xml:space="preserve">فقد حکی فی جامع المقاصد قولاً لم یسمّ قائله باستثناء الغناء فی المراثی نظیر استثنائه فی الأعراس و لم یذکر وجهه </w:t>
      </w:r>
      <w:r>
        <w:rPr>
          <w:rStyle w:val="FootnoteAnchor"/>
          <w:rtl w:val="true"/>
        </w:rPr>
        <w:footnoteReference w:id="1267"/>
      </w:r>
      <w:r>
        <w:rPr>
          <w:rFonts w:ascii="Amiri" w:hAnsi="Amiri" w:eastAsia="Amiri" w:cs="Amiri"/>
          <w:color w:val="111111"/>
          <w:sz w:val="28"/>
          <w:sz w:val="28"/>
          <w:szCs w:val="28"/>
          <w:rtl w:val="true"/>
          <w:lang w:bidi="ar-SA"/>
        </w:rPr>
        <w:t xml:space="preserve">،و ربّما وجّهه بعضٌ من متأخّری المتأخرین </w:t>
      </w:r>
      <w:r>
        <w:rPr>
          <w:rStyle w:val="FootnoteAnchor"/>
          <w:rtl w:val="true"/>
        </w:rPr>
        <w:footnoteReference w:id="1268"/>
      </w:r>
      <w:r>
        <w:rPr>
          <w:rFonts w:ascii="IRNazanin" w:hAnsi="IRNazanin" w:eastAsia="IRNazanin"/>
          <w:color w:val="111111"/>
          <w:sz w:val="28"/>
          <w:sz w:val="28"/>
          <w:szCs w:val="28"/>
          <w:rtl w:val="true"/>
          <w:lang w:bidi="fa-IR"/>
        </w:rPr>
        <w:t xml:space="preserve">بعمومات </w:t>
      </w:r>
      <w:r>
        <w:rPr>
          <w:rStyle w:val="FootnoteAnchor"/>
          <w:rtl w:val="true"/>
        </w:rPr>
        <w:footnoteReference w:id="1269"/>
      </w:r>
      <w:r>
        <w:rPr>
          <w:rFonts w:ascii="IRNazanin" w:hAnsi="IRNazanin" w:eastAsia="IRNazanin"/>
          <w:color w:val="111111"/>
          <w:sz w:val="28"/>
          <w:sz w:val="28"/>
          <w:szCs w:val="28"/>
          <w:rtl w:val="true"/>
          <w:lang w:bidi="fa-IR"/>
        </w:rPr>
        <w:t xml:space="preserve">أدلّة الإبکاء و الرثاء،و قد أخذ ذلک مما تقدم من صاحب الکفایة من الاستدلال بإطلاق أدلّة قراءة القرآن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المستحبّات لا تقاوم أدلّة المحرمات،خصوصاً التی تکون من مقدماتها؛فإنّ مرجع أدلّة الاستحباب إلی استحباب إیجاد الشیء بسببه المباح،لا بسببه المحرَّم،أ لا تری أنّه لا یجوز إدخال السرور فی قلب المؤمن و إجابته بالمحرمات،کالزنا و اللواط و الغناء؟ و السرّ فی ذلک أنّ دلیل الاستحباب إنّما یدلّ علی کون الفعل لو خلّی و طبعه خالیاً عما یوجب لزوم أحد طرفیه،فلا ینافی ذلک طروّ عنوان من الخارج یوجب لزوم فعله أو ترکه کما إذا صار مقدمة لواجب،أو صادفه عنوان محرم فأجابه المؤمن و إدخال السرور فی</w:t>
      </w:r>
    </w:p>
    <w:p>
      <w:pPr>
        <w:pStyle w:val="BookText"/>
        <w:rPr/>
      </w:pPr>
      <w:r>
        <w:rPr>
          <w:rFonts w:ascii="IRNazanin" w:hAnsi="IRNazanin" w:eastAsia="IRNazanin"/>
          <w:color w:val="111111"/>
          <w:sz w:val="28"/>
          <w:sz w:val="28"/>
          <w:szCs w:val="28"/>
          <w:rtl w:val="true"/>
          <w:lang w:bidi="fa-IR"/>
        </w:rPr>
        <w:t>قلبه لیس فی نفسه شیء ملزم لفعله أو ترکه،فإذا تحقق فی ضمن الزنا فقد طرأ علیه عنوان ملزم لترکه،کما أنّه إذا أمر به الوالد أو السیّد طرأ علیه عنوان ملزم لفعله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جهات الأحکام الثلاثة أعنی الإباحة و الاستحباب و الکراهة لا تزاحم جهة الوجوب أو الحرمة،فالحکم لهما مع اجتماع جهتیهما مع إحدی الجهات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بما ذکرنا من عدم تأدّی المستحبات فی ضمن المحرّمات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اقرأوا القرآن بألحان العرب،و إیّاکم و لحون أهل الفسق </w:t>
      </w:r>
      <w:r>
        <w:rPr>
          <w:rStyle w:val="FootnoteAnchor"/>
          <w:rtl w:val="true"/>
        </w:rPr>
        <w:footnoteReference w:id="1271"/>
      </w:r>
      <w:r>
        <w:rPr>
          <w:rFonts w:ascii="IRNazanin" w:hAnsi="IRNazanin" w:eastAsia="IRNazanin"/>
          <w:color w:val="111111"/>
          <w:sz w:val="28"/>
          <w:sz w:val="28"/>
          <w:szCs w:val="28"/>
          <w:rtl w:val="true"/>
          <w:lang w:bidi="fa-IR"/>
        </w:rPr>
        <w:t>و الکبائر،و سیجیء بعدی أقوام یرجّعون ترجیع الغناء و النوح و الرهبانیة،لا یجوز تراقیهم،قلوبهم مقلوبة،و قلوب من یعجبه شأنهم</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 واحد الألحان و اللحون،و منه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القرآن بلحون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لحن فی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طرّب بها و غرّد،و هو ألحن الناس إذا کان أحسنهم قراءة أو غناء،انتهی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الحدائق جعل اللحن فی هذا الخبر بمعنی اللغة،أی بلغة العرب </w:t>
      </w:r>
      <w:r>
        <w:rPr>
          <w:rStyle w:val="FootnoteAnchor"/>
          <w:rtl w:val="true"/>
        </w:rPr>
        <w:footnoteReference w:id="1274"/>
      </w:r>
      <w:r>
        <w:rPr>
          <w:rFonts w:ascii="IRNazanin" w:hAnsi="IRNazanin" w:eastAsia="IRNazanin"/>
          <w:color w:val="111111"/>
          <w:sz w:val="28"/>
          <w:sz w:val="28"/>
          <w:szCs w:val="28"/>
          <w:rtl w:val="true"/>
          <w:lang w:bidi="fa-IR"/>
        </w:rPr>
        <w:t>و کأنّه أراد باللغة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تخیّل أنّ إبقاءه علی معناه یوجب ظهور الخبر فی جواز الغناء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مطلق اللحن إذا لم یکن علی سبیل اللّهو لیس غناء،و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و لحون أهل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الغناء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تراقیهم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مقصودهم لیس تدبّر معانی القرآن،بل هو مجرّد الصوت المطرب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 أنّه لا تنافی بین حرمة الغناء فی القرآن و ما ورد من قوله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بالقرآن صوتک،فإنّ اللّه یحبّ الصوت الحسن</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فإنّ المراد بالترجیع تردید الصوت فی الحلق،و من المعلوم أنّ مجرّد ذلک لا یکون غناء إذا لم یکن علی سبیل اللّهو،فالمقصود من الأمر بالترجیع أن لا یقرأ کقراءة عبائر الکتب عند المقابلة،لکن مجرد الترجیع لا یکون غناء؛و لذا جعله نوعاً منه فی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 القرآن ترجیع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محکی شمس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الترجیع تردید الصوت مثل ترجیع أهل الألحان و القراءة و الغناء </w:t>
      </w:r>
      <w:r>
        <w:rPr>
          <w:rStyle w:val="FootnoteAnchor"/>
          <w:rtl w:val="true"/>
        </w:rPr>
        <w:footnoteReference w:id="12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بالجملة،فلا تنافی بین الخبرین،و لا بینهما و بین ما دلّ علی حرمة الغناء حتی فی القرآن،کما تقدم زعمه من صاحب الکفایة تبعاً فی بعض ما ذکره من عدم اللّهو فی قراءة القرآن و غیره لما ذکره</w:t>
      </w:r>
    </w:p>
    <w:p>
      <w:pPr>
        <w:pStyle w:val="BookText"/>
        <w:rPr/>
      </w:pPr>
      <w:r>
        <w:rPr>
          <w:rFonts w:ascii="IRNazanin" w:hAnsi="IRNazanin" w:eastAsia="IRNazanin"/>
          <w:color w:val="111111"/>
          <w:sz w:val="28"/>
          <w:sz w:val="28"/>
          <w:szCs w:val="28"/>
          <w:rtl w:val="true"/>
          <w:lang w:bidi="fa-IR"/>
        </w:rPr>
        <w:t>المحقق الأردبیلی رحمه اللّه،حیث إنّه بعد ما وجّه استثناء المراثی و غیرها من الغناء،بأنّه ما ثبت الإجماع إلّا فی غیرها،و الأخبار لیست بصحیحة صریحة فی التحریم مطلقاً أیّد استثناء المراثی بأنّ البکاء و التفجّع مطلوب مرغوب،و فیه ثواب عظیم،و الغناء معین علی ذلک، و أنّه متعارف دائماً فی بلاد المسلمین من زمن المشایخ إلی زماننا هذا من غیر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أیّده بجواز النیاحة و جواز أخذ الأجر علیها، و الظاهر أنّها لا تکون إلّا معه،و بأنّ تحریم الغناء للطرب علی الظاهر، و لیس فی المراثی طرب،بل لیس إلّا الحزن </w:t>
      </w:r>
      <w:r>
        <w:rPr>
          <w:rStyle w:val="FootnoteAnchor"/>
          <w:rtl w:val="true"/>
        </w:rPr>
        <w:footnoteReference w:id="12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شیئاً مما ذکره لا ینفع فی جواز الغناء علی الوجه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الغناء معیناً علی البکاء و التفجّع،فهو ممنوع؛بناءً علی ما عرفت من کون الغناء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علی ظاهر تعریف المشهور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الترجیع المطرب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الطرب الحاصل منه إن کان سروراً فهو منافٍ للتفجّع،لا معین،و إن کان حزناً فهو علی ما هو المرکوز فی النفس الحیوانیة من فقد المشتهیات النفسانیة،لا علی ما أصاب سادات الزمان،مع أنّه علی تقدیر الإعانة لا ینفع فی جواز الشیء کونه مقدمة لمستحب أو مباح،بل لا بدّ من ملاحظة عموم </w:t>
      </w:r>
      <w:r>
        <w:rPr>
          <w:rStyle w:val="FootnoteAnchor"/>
          <w:rtl w:val="true"/>
        </w:rPr>
        <w:footnoteReference w:id="1278"/>
      </w:r>
      <w:r>
        <w:rPr>
          <w:rFonts w:ascii="IRNazanin" w:hAnsi="IRNazanin" w:eastAsia="IRNazanin"/>
          <w:color w:val="111111"/>
          <w:sz w:val="28"/>
          <w:sz w:val="28"/>
          <w:szCs w:val="28"/>
          <w:rtl w:val="true"/>
          <w:lang w:bidi="fa-IR"/>
        </w:rPr>
        <w:t>دلیل الحرمة له،فإن کان فهو،و إلّا فیحکم بإباحته،للأصل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حال،فلا یجوز التمسک فی الإباحة بکونه مقدمة لغیر حرام؛</w:t>
      </w:r>
    </w:p>
    <w:p>
      <w:pPr>
        <w:pStyle w:val="BookText"/>
        <w:rPr/>
      </w:pP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یظهر من هذا و ممّا </w:t>
      </w:r>
      <w:r>
        <w:rPr>
          <w:rStyle w:val="FootnoteAnchor"/>
          <w:rtl w:val="true"/>
        </w:rPr>
        <w:footnoteReference w:id="1279"/>
      </w:r>
      <w:r>
        <w:rPr>
          <w:rFonts w:ascii="IRNazanin" w:hAnsi="IRNazanin" w:eastAsia="IRNazanin"/>
          <w:color w:val="111111"/>
          <w:sz w:val="28"/>
          <w:sz w:val="28"/>
          <w:szCs w:val="28"/>
          <w:rtl w:val="true"/>
          <w:lang w:bidi="fa-IR"/>
        </w:rPr>
        <w:t xml:space="preserve">ذکر أخیراً من أنّ المراثی لیس فیها طرب أنّ نظره إلی المراثی المتعارفة لأهل الدیانة التی لا یقصدونها إلّا للتفجّع،و کأنّه لم یحدث فی عصره المراثی التی یکتفی بها أهل اللّهو و المترفون من الرجال و النساء </w:t>
      </w:r>
      <w:r>
        <w:rPr>
          <w:rStyle w:val="FootnoteAnchor"/>
          <w:rtl w:val="true"/>
        </w:rPr>
        <w:footnoteReference w:id="1280"/>
      </w:r>
      <w:r>
        <w:rPr>
          <w:rFonts w:ascii="IRNazanin" w:hAnsi="IRNazanin" w:eastAsia="IRNazanin"/>
          <w:color w:val="111111"/>
          <w:sz w:val="28"/>
          <w:sz w:val="28"/>
          <w:szCs w:val="28"/>
          <w:rtl w:val="true"/>
          <w:lang w:bidi="fa-IR"/>
        </w:rPr>
        <w:t>عن حضور مجالس اللّهو و ضرب العود و الأوتار و التغنّی بالقصب و المزمار،کما هو الشائع فی زماننا الذی قد أخبر النبی صلّی اللّه علیه و آله و سلم بنظیره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یتّخذون القرآن مزامیر</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 کما أنّ زیارة سیدنا و مولانا أبی عبد اللّه علیه السلام صار سفرها من أسفار اللّهو و النزهة لکثیر من المترَفین،و قد أخبر النبی صلّی اللّه علیه و آله و سلم بنظیره فی سفر الحج،و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أغنیاء أُمتی للنزهة،و الأوساط للتجارة، و الفقراء للسمعة</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و کأن کلامه صلّی اللّه علیه و آله و سلم کالکتاب العزیز وارد فی موردٍ و جارٍ فی نظیره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أظن أنّ ما ذکرنا فی معنی الغناء المحرّم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1283"/>
      </w:r>
      <w:r>
        <w:rPr>
          <w:rFonts w:ascii="IRNazanin" w:hAnsi="IRNazanin" w:eastAsia="IRNazanin"/>
          <w:color w:val="111111"/>
          <w:sz w:val="28"/>
          <w:sz w:val="28"/>
          <w:szCs w:val="28"/>
          <w:rtl w:val="true"/>
          <w:lang w:bidi="fa-IR"/>
        </w:rPr>
        <w:t xml:space="preserve">هؤلاء </w:t>
      </w:r>
      <w:r>
        <w:rPr>
          <w:rStyle w:val="FootnoteAnchor"/>
          <w:rtl w:val="true"/>
        </w:rPr>
        <w:footnoteReference w:id="1284"/>
      </w:r>
      <w:r>
        <w:rPr>
          <w:rFonts w:ascii="IRNazanin" w:hAnsi="IRNazanin" w:eastAsia="IRNazanin"/>
          <w:color w:val="111111"/>
          <w:sz w:val="28"/>
          <w:sz w:val="28"/>
          <w:szCs w:val="28"/>
          <w:rtl w:val="true"/>
          <w:lang w:bidi="fa-IR"/>
        </w:rPr>
        <w:t>و غیرهم غیر مخالفین فیه،و أمّا ما لم یکن</w:t>
      </w:r>
      <w:bookmarkStart w:id="349" w:name="pg19762_189563"/>
    </w:p>
    <w:p>
      <w:pPr>
        <w:pStyle w:val="BookText"/>
        <w:rPr/>
      </w:pPr>
      <w:bookmarkEnd w:id="349"/>
      <w:r>
        <w:rPr>
          <w:rFonts w:ascii="IRNazanin" w:hAnsi="IRNazanin" w:eastAsia="IRNazanin"/>
          <w:color w:val="111111"/>
          <w:sz w:val="28"/>
          <w:sz w:val="28"/>
          <w:szCs w:val="28"/>
          <w:rtl w:val="true"/>
          <w:lang w:bidi="fa-IR"/>
        </w:rPr>
        <w:t xml:space="preserve">علی جهة </w:t>
      </w:r>
      <w:r>
        <w:rPr>
          <w:rStyle w:val="FootnoteAnchor"/>
          <w:rtl w:val="true"/>
        </w:rPr>
        <w:footnoteReference w:id="1285"/>
      </w:r>
      <w:r>
        <w:rPr>
          <w:rFonts w:ascii="IRNazanin" w:hAnsi="IRNazanin" w:eastAsia="IRNazanin"/>
          <w:color w:val="111111"/>
          <w:sz w:val="28"/>
          <w:sz w:val="28"/>
          <w:szCs w:val="28"/>
          <w:rtl w:val="true"/>
          <w:lang w:bidi="fa-IR"/>
        </w:rPr>
        <w:t>اللّهو المناسب لسائر آلاته،فلا دلیل علی تحریمه لو فرض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له؛لأنّ مطلقات الغناء منزَّلة علی ما دلّ علی إناطة الحکم فیه باللّهو و الباطل من الأخبار المتقدمة،خصوصاً مع انصرافها فی أنفسها کأخبار المغنّیة إلی هذا الفرد</w:t>
      </w:r>
      <w:r>
        <w:rPr>
          <w:rFonts w:eastAsia="IRNazanin" w:cs="IRNazanin"/>
          <w:color w:val="111111"/>
          <w:sz w:val="28"/>
          <w:szCs w:val="28"/>
          <w:rtl w:val="true"/>
          <w:lang w:bidi="fa-IR"/>
        </w:rPr>
        <w:t>.</w:t>
      </w:r>
    </w:p>
    <w:p>
      <w:pPr>
        <w:pStyle w:val="Heading5"/>
        <w:numPr>
          <w:ilvl w:val="4"/>
          <w:numId w:val="1"/>
        </w:numPr>
        <w:rPr/>
      </w:pPr>
      <w:bookmarkStart w:id="350" w:name="__RefHeading___Toc5003702_2314609296"/>
      <w:bookmarkStart w:id="351" w:name="_Toc134"/>
      <w:bookmarkEnd w:id="350"/>
      <w:r>
        <w:rPr>
          <w:rtl w:val="true"/>
        </w:rPr>
        <w:t>بقی الکلام فیما استثناه المشهور من الغناء،</w:t>
      </w:r>
      <w:bookmarkEnd w:id="351"/>
    </w:p>
    <w:p>
      <w:pPr>
        <w:pStyle w:val="Heading6"/>
        <w:numPr>
          <w:ilvl w:val="5"/>
          <w:numId w:val="1"/>
        </w:numPr>
        <w:rPr/>
      </w:pPr>
      <w:bookmarkStart w:id="352" w:name="__RefHeading___Toc5003704_2314609296"/>
      <w:bookmarkStart w:id="353" w:name="_Toc135"/>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و هو أمران</w:t>
      </w:r>
      <w:r>
        <w:rPr>
          <w:rFonts w:eastAsia="IRNazanin" w:cs="IRNazanin"/>
          <w:color w:val="111111"/>
          <w:sz w:val="28"/>
          <w:szCs w:val="28"/>
          <w:rtl w:val="true"/>
          <w:lang w:bidi="fa-IR"/>
        </w:rPr>
        <w:t>:</w:t>
      </w:r>
    </w:p>
    <w:p>
      <w:pPr>
        <w:pStyle w:val="Heading6"/>
        <w:numPr>
          <w:ilvl w:val="5"/>
          <w:numId w:val="1"/>
        </w:numPr>
        <w:rPr/>
      </w:pPr>
      <w:bookmarkStart w:id="354" w:name="__RefHeading___Toc5003706_2314609296"/>
      <w:bookmarkStart w:id="355" w:name="_Toc136"/>
      <w:bookmarkEnd w:id="354"/>
      <w:r>
        <w:rPr>
          <w:rtl w:val="true"/>
        </w:rPr>
        <w:t>أحدهما الحُداء بالضم کدعاء</w:t>
      </w:r>
      <w:r>
        <w:rPr>
          <w:rtl w:val="true"/>
        </w:rPr>
        <w:t>:</w:t>
      </w:r>
      <w:r>
        <w:rPr>
          <w:rtl w:val="true"/>
        </w:rPr>
        <w:t>صوت یرجَّع فیه للسیر بالإبل</w:t>
      </w:r>
      <w:r>
        <w:rPr>
          <w:rtl w:val="true"/>
        </w:rPr>
        <w:t>.</w:t>
      </w:r>
      <w:bookmarkEnd w:id="355"/>
    </w:p>
    <w:p>
      <w:p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المشهور استثناؤه </w:t>
      </w:r>
      <w:r>
        <w:rPr>
          <w:rStyle w:val="FootnoteAnchor"/>
          <w:rtl w:val="true"/>
        </w:rPr>
        <w:footnoteReference w:id="1286"/>
      </w:r>
      <w:r>
        <w:rPr>
          <w:rFonts w:ascii="IRNazanin" w:hAnsi="IRNazanin" w:eastAsia="IRNazanin"/>
          <w:color w:val="111111"/>
          <w:sz w:val="28"/>
          <w:sz w:val="28"/>
          <w:szCs w:val="28"/>
          <w:rtl w:val="true"/>
          <w:lang w:bidi="fa-IR"/>
        </w:rPr>
        <w:t xml:space="preserve">و قد صرّح بذلک فی شهادات الشرائع و القواعد،و فی الدروس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تقدیر کونه من الأصوات اللّهویة کما یشهد به استثناؤهم إیّاه عن الغناء بعد أخذهم الإطراب فی تعریفه فلم أجد ما یصلح لاستثنائه مع تواتر الأخبار بالتحریم،عدا روایة نبویة ذکرها فی المسالک </w:t>
      </w:r>
      <w:r>
        <w:rPr>
          <w:rStyle w:val="FootnoteAnchor"/>
          <w:rtl w:val="true"/>
        </w:rPr>
        <w:footnoteReference w:id="1288"/>
      </w:r>
      <w:r>
        <w:rPr>
          <w:rFonts w:ascii="IRNazanin" w:hAnsi="IRNazanin" w:eastAsia="IRNazanin"/>
          <w:color w:val="111111"/>
          <w:sz w:val="28"/>
          <w:sz w:val="28"/>
          <w:szCs w:val="28"/>
          <w:rtl w:val="true"/>
          <w:lang w:bidi="fa-IR"/>
        </w:rPr>
        <w:t xml:space="preserve">من تقریر النبی صلّی اللّه علیه و آله و سلم لعبد اللّه بن رواحة حیث حدا للإبل،و کان حسن الصوت </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دلالته و سنده ما لا یخفی</w:t>
      </w:r>
      <w:r>
        <w:rPr>
          <w:rFonts w:eastAsia="IRNazanin" w:cs="IRNazanin"/>
          <w:color w:val="111111"/>
          <w:sz w:val="28"/>
          <w:szCs w:val="28"/>
          <w:rtl w:val="true"/>
          <w:lang w:bidi="fa-IR"/>
        </w:rPr>
        <w:t>.</w:t>
      </w:r>
    </w:p>
    <w:p>
      <w:pPr>
        <w:pStyle w:val="Heading6"/>
        <w:numPr>
          <w:ilvl w:val="5"/>
          <w:numId w:val="1"/>
        </w:numPr>
        <w:rPr/>
      </w:pPr>
      <w:bookmarkStart w:id="356" w:name="__RefHeading___Toc5003708_2314609296"/>
      <w:bookmarkStart w:id="357" w:name="_Toc137"/>
      <w:bookmarkEnd w:id="356"/>
      <w:r>
        <w:rPr>
          <w:rtl w:val="true"/>
        </w:rPr>
        <w:t>الثانی</w:t>
      </w:r>
      <w:r>
        <w:rPr>
          <w:rtl w:val="true"/>
        </w:rPr>
        <w:t xml:space="preserve">- </w:t>
      </w:r>
      <w:r>
        <w:rPr>
          <w:rtl w:val="true"/>
        </w:rPr>
        <w:t>غناء المغنّیة فی الأعراس إذا لم یکتنف بها</w:t>
      </w:r>
      <w:bookmarkEnd w:id="35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المغنّیة فی الأعراس إذا لم یکتنف بها </w:t>
      </w:r>
      <w:r>
        <w:rPr>
          <w:rStyle w:val="FootnoteAnchor"/>
          <w:rtl w:val="true"/>
        </w:rPr>
        <w:footnoteReference w:id="1290"/>
      </w:r>
      <w:r>
        <w:rPr>
          <w:rFonts w:ascii="Amiri" w:hAnsi="Amiri" w:eastAsia="Amiri" w:cs="Amiri"/>
          <w:color w:val="111111"/>
          <w:sz w:val="28"/>
          <w:sz w:val="28"/>
          <w:szCs w:val="28"/>
          <w:rtl w:val="true"/>
          <w:lang w:bidi="ar-SA"/>
        </w:rPr>
        <w:t>محرّم آخر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التکلّم بالأباطیل،و اللعب بآلات الملاهی المحرّمة،و دخول</w:t>
      </w:r>
    </w:p>
    <w:p>
      <w:pPr>
        <w:pStyle w:val="BookText"/>
        <w:rPr/>
      </w:pPr>
      <w:r>
        <w:rPr>
          <w:rFonts w:ascii="IRNazanin" w:hAnsi="IRNazanin" w:eastAsia="IRNazanin"/>
          <w:color w:val="111111"/>
          <w:sz w:val="28"/>
          <w:sz w:val="28"/>
          <w:szCs w:val="28"/>
          <w:rtl w:val="true"/>
          <w:lang w:bidi="fa-IR"/>
        </w:rPr>
        <w:t xml:space="preserve">الرجال علی النساء و المشهور استثناؤه؛للخبرین المتقدمین عن أبی بصیر فی أجر المغنّیة التی تزفّ العرائس </w:t>
      </w:r>
      <w:r>
        <w:rPr>
          <w:rStyle w:val="FootnoteAnchor"/>
          <w:rtl w:val="true"/>
        </w:rPr>
        <w:footnoteReference w:id="1291"/>
      </w:r>
      <w:r>
        <w:rPr>
          <w:rFonts w:ascii="IRNazanin" w:hAnsi="IRNazanin" w:eastAsia="IRNazanin"/>
          <w:color w:val="111111"/>
          <w:sz w:val="28"/>
          <w:sz w:val="28"/>
          <w:szCs w:val="28"/>
          <w:rtl w:val="true"/>
          <w:lang w:bidi="fa-IR"/>
        </w:rPr>
        <w:t xml:space="preserve">،و نحوهما ثالث عنه أیضاً </w:t>
      </w:r>
      <w:r>
        <w:rPr>
          <w:rStyle w:val="FootnoteAnchor"/>
          <w:rtl w:val="true"/>
        </w:rPr>
        <w:footnoteReference w:id="1292"/>
      </w:r>
      <w:r>
        <w:rPr>
          <w:rFonts w:ascii="Amiri" w:hAnsi="Amiri" w:eastAsia="Amiri" w:cs="Amiri"/>
          <w:color w:val="111111"/>
          <w:sz w:val="28"/>
          <w:sz w:val="28"/>
          <w:szCs w:val="28"/>
          <w:rtl w:val="true"/>
          <w:lang w:bidi="ar-SA"/>
        </w:rPr>
        <w:t>،و إباحة الأجر لازمة لإباحة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الأجر لمجرد الزفّ لا للغناء عنده،مخالفة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سند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غیر صحیح </w:t>
      </w:r>
      <w:r>
        <w:rPr>
          <w:rStyle w:val="FootnoteAnchor"/>
          <w:rtl w:val="true"/>
        </w:rPr>
        <w:footnoteReference w:id="1293"/>
      </w:r>
      <w:r>
        <w:rPr>
          <w:rFonts w:ascii="IRNazanin" w:hAnsi="IRNazanin" w:eastAsia="IRNazanin"/>
          <w:color w:val="111111"/>
          <w:sz w:val="28"/>
          <w:sz w:val="28"/>
          <w:szCs w:val="28"/>
          <w:rtl w:val="true"/>
          <w:lang w:bidi="fa-IR"/>
        </w:rPr>
        <w:t xml:space="preserve">،و الشهرة علی وجه توجب الانجبار غیر ثابتة؛لأنّ المحکی عن المفید رحمه اللّه </w:t>
      </w:r>
      <w:r>
        <w:rPr>
          <w:rStyle w:val="FootnoteAnchor"/>
          <w:rtl w:val="true"/>
        </w:rPr>
        <w:footnoteReference w:id="1294"/>
      </w:r>
      <w:r>
        <w:rPr>
          <w:rFonts w:ascii="IRNazanin" w:hAnsi="IRNazanin" w:eastAsia="IRNazanin"/>
          <w:color w:val="111111"/>
          <w:sz w:val="28"/>
          <w:sz w:val="28"/>
          <w:szCs w:val="28"/>
          <w:rtl w:val="true"/>
          <w:lang w:bidi="fa-IR"/>
        </w:rPr>
        <w:t xml:space="preserve">و القاضی </w:t>
      </w:r>
      <w:r>
        <w:rPr>
          <w:rStyle w:val="FootnoteAnchor"/>
          <w:rtl w:val="true"/>
        </w:rPr>
        <w:footnoteReference w:id="1295"/>
      </w:r>
      <w:r>
        <w:rPr>
          <w:rFonts w:ascii="IRNazanin" w:hAnsi="IRNazanin" w:eastAsia="IRNazanin"/>
          <w:color w:val="111111"/>
          <w:sz w:val="28"/>
          <w:sz w:val="28"/>
          <w:szCs w:val="28"/>
          <w:rtl w:val="true"/>
          <w:lang w:bidi="fa-IR"/>
        </w:rPr>
        <w:t xml:space="preserve">و ظاهر الحلبی </w:t>
      </w:r>
      <w:r>
        <w:rPr>
          <w:rStyle w:val="FootnoteAnchor"/>
          <w:rtl w:val="true"/>
        </w:rPr>
        <w:footnoteReference w:id="1296"/>
      </w:r>
      <w:r>
        <w:rPr>
          <w:rFonts w:ascii="IRNazanin" w:hAnsi="IRNazanin" w:eastAsia="IRNazanin"/>
          <w:color w:val="111111"/>
          <w:sz w:val="28"/>
          <w:sz w:val="28"/>
          <w:szCs w:val="28"/>
          <w:rtl w:val="true"/>
          <w:lang w:bidi="fa-IR"/>
        </w:rPr>
        <w:t xml:space="preserve">و صریح الحلی و التذکرة و الإیضاح </w:t>
      </w:r>
      <w:r>
        <w:rPr>
          <w:rStyle w:val="FootnoteAnchor"/>
          <w:rtl w:val="true"/>
        </w:rPr>
        <w:footnoteReference w:id="1297"/>
      </w:r>
      <w:r>
        <w:rPr>
          <w:rFonts w:ascii="IRNazanin" w:hAnsi="IRNazanin" w:eastAsia="IRNazanin"/>
          <w:color w:val="111111"/>
          <w:sz w:val="28"/>
          <w:sz w:val="28"/>
          <w:szCs w:val="28"/>
          <w:rtl w:val="true"/>
          <w:lang w:bidi="fa-IR"/>
        </w:rPr>
        <w:t>،بل کل من لم یذکر الاستثناء بعد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الإنصاف،أنّ سند الروایات و إن انتهت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یخلو من وثوق،فالعمل بها تبعاً للأکثر غیر بعید، و إن کان الأحوط کما فی الدروس </w:t>
      </w:r>
      <w:r>
        <w:rPr>
          <w:rStyle w:val="FootnoteAnchor"/>
          <w:rtl w:val="true"/>
        </w:rPr>
        <w:footnoteReference w:id="1298"/>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358" w:name="pg19762_189565"/>
    </w:p>
    <w:p>
      <w:pPr>
        <w:pStyle w:val="Heading4"/>
        <w:numPr>
          <w:ilvl w:val="3"/>
          <w:numId w:val="1"/>
        </w:numPr>
        <w:rPr/>
      </w:pPr>
      <w:bookmarkStart w:id="359" w:name="__RefHeading___Toc5003710_2314609296"/>
      <w:bookmarkStart w:id="360" w:name="_Toc138"/>
      <w:bookmarkEnd w:id="358"/>
      <w:bookmarkEnd w:id="359"/>
      <w:r>
        <w:rPr>
          <w:rtl w:val="true"/>
        </w:rPr>
        <w:t>المسألة الرابعة عشر الغیبة</w:t>
      </w:r>
      <w:bookmarkEnd w:id="360"/>
    </w:p>
    <w:p>
      <w:pPr>
        <w:pStyle w:val="Heading5"/>
        <w:numPr>
          <w:ilvl w:val="4"/>
          <w:numId w:val="1"/>
        </w:numPr>
        <w:rPr/>
      </w:pPr>
      <w:bookmarkStart w:id="361" w:name="__RefHeading___Toc5003712_2314609296"/>
      <w:bookmarkStart w:id="362" w:name="_Toc139"/>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حرام بالأدلّة الأربعة،و یدلّ علیه من الکتاب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یَغْتَبْ بَعْضُکُمْ بَعْضاً أَ یُحِبُّ أَحَدُکُمْ أَنْ یَأْکُلَ لَحْمَ أَخِیهِ مَیْتاً</w:t>
      </w:r>
    </w:p>
    <w:p>
      <w:pPr>
        <w:pStyle w:val="BookText"/>
        <w:rPr/>
      </w:pP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المؤمن أخاً،و عرضه کلحمه،و التفکّه به أکلاً،و عدم شعوره بذلک بمنزلة حالة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Style w:val="FootnoteAnchor"/>
          <w:rtl w:val="true"/>
        </w:rPr>
        <w:footnoteReference w:id="130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إِلاّٰ مَنْ ظُلِمَ </w:t>
      </w:r>
      <w:r>
        <w:rPr>
          <w:rStyle w:val="FootnoteAnchor"/>
          <w:rtl w:val="true"/>
        </w:rPr>
        <w:footnoteReference w:id="130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من الأخبار ما لا یحصی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و سلم بعدّة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الغیبة أشدّ من الزنا،و أنّ الرجل یزنی فیتوب و یتوب اللّه علیه،و أنّ صاحب</w:t>
      </w:r>
    </w:p>
    <w:p>
      <w:pPr>
        <w:pStyle w:val="BookText"/>
        <w:rPr/>
      </w:pPr>
      <w:r>
        <w:rPr>
          <w:rFonts w:ascii="IRNazanin" w:hAnsi="IRNazanin" w:eastAsia="IRNazanin"/>
          <w:color w:val="111111"/>
          <w:sz w:val="28"/>
          <w:sz w:val="28"/>
          <w:szCs w:val="28"/>
          <w:rtl w:val="true"/>
          <w:lang w:bidi="fa-IR"/>
        </w:rPr>
        <w:t>الغیبة لا یغفر له حتی یغفر له صاحبه</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یوماً فذکر الربا و عظّم شأنه،فقال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الدرهم یصیبه الرجل من الربا أعظم </w:t>
      </w:r>
      <w:r>
        <w:rPr>
          <w:rStyle w:val="FootnoteAnchor"/>
          <w:rtl w:val="true"/>
        </w:rPr>
        <w:footnoteReference w:id="1304"/>
      </w:r>
      <w:r>
        <w:rPr>
          <w:rFonts w:ascii="IRNazanin" w:hAnsi="IRNazanin" w:eastAsia="IRNazanin"/>
          <w:color w:val="111111"/>
          <w:sz w:val="28"/>
          <w:sz w:val="28"/>
          <w:szCs w:val="28"/>
          <w:rtl w:val="true"/>
          <w:lang w:bidi="fa-IR"/>
        </w:rPr>
        <w:t>من ستّة و ثلاثین زِنیة، و إنّ أربی الربا عرض الرجل المسلم</w:t>
      </w:r>
      <w:r>
        <w:rPr>
          <w:rFonts w:eastAsia="IRNazanin" w:cs="IRNazanin"/>
          <w:color w:val="111111"/>
          <w:sz w:val="28"/>
          <w:szCs w:val="28"/>
          <w:rtl w:val="true"/>
          <w:lang w:bidi="fa-IR"/>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مسلماً أو مسلمة لم یقبل اللّه صلاته و لا صیامه أربعین صباحاً،إلّا أن یغفر له صاحبه</w:t>
      </w:r>
      <w:r>
        <w:rPr>
          <w:rFonts w:eastAsia="IRNazanin" w:cs="IRNazanin"/>
          <w:color w:val="111111"/>
          <w:sz w:val="28"/>
          <w:szCs w:val="28"/>
          <w:rtl w:val="true"/>
          <w:lang w:bidi="fa-IR"/>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مؤمناً بما فیه لم یجمع اللّه بینهما فی الجنة،و من اغتاب مؤمناً بما لیس فیه انقطعت العصمة بینهما،و کان المغتاب خالداً فی النار و بئس المصیر</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من زعم أنّه وُلِدَ من حلال و هو یأکل لحوم الناس بالغیبة،فاجتنب </w:t>
      </w:r>
      <w:r>
        <w:rPr>
          <w:rStyle w:val="FootnoteAnchor"/>
          <w:rtl w:val="true"/>
        </w:rPr>
        <w:footnoteReference w:id="1308"/>
      </w:r>
      <w:r>
        <w:rPr>
          <w:rFonts w:ascii="IRNazanin" w:hAnsi="IRNazanin" w:eastAsia="IRNazanin"/>
          <w:color w:val="111111"/>
          <w:sz w:val="28"/>
          <w:sz w:val="28"/>
          <w:szCs w:val="28"/>
          <w:rtl w:val="true"/>
          <w:lang w:bidi="fa-IR"/>
        </w:rPr>
        <w:t>الغیبة فإنّها إدام کلاب النار</w:t>
      </w:r>
      <w:r>
        <w:rPr>
          <w:rFonts w:eastAsia="IRNazanin" w:cs="IRNazanin"/>
          <w:color w:val="111111"/>
          <w:sz w:val="28"/>
          <w:szCs w:val="28"/>
          <w:rtl w:val="true"/>
          <w:lang w:bidi="fa-IR"/>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مشی فی غیبة أخیه </w:t>
      </w:r>
      <w:r>
        <w:rPr>
          <w:rStyle w:val="FootnoteAnchor"/>
          <w:rtl w:val="true"/>
        </w:rPr>
        <w:footnoteReference w:id="1310"/>
      </w:r>
      <w:r>
        <w:rPr>
          <w:rFonts w:ascii="IRNazanin" w:hAnsi="IRNazanin" w:eastAsia="IRNazanin"/>
          <w:color w:val="111111"/>
          <w:sz w:val="28"/>
          <w:sz w:val="28"/>
          <w:szCs w:val="28"/>
          <w:rtl w:val="true"/>
          <w:lang w:bidi="fa-IR"/>
        </w:rPr>
        <w:t>و کشف عورته کانت أوّل خطوة خطاها وضعها فی جهنم</w:t>
      </w:r>
      <w:r>
        <w:rPr>
          <w:rFonts w:eastAsia="IRNazanin" w:cs="IRNazanin"/>
          <w:color w:val="111111"/>
          <w:sz w:val="28"/>
          <w:szCs w:val="28"/>
          <w:rtl w:val="true"/>
          <w:lang w:bidi="fa-IR"/>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المغتاب إذا تاب فهو آخر من یدخل الجنة، و إن لم یتب فهو أوّل من یدخل النار</w:t>
      </w:r>
      <w:r>
        <w:rPr>
          <w:rFonts w:eastAsia="IRNazanin" w:cs="IRNazanin"/>
          <w:color w:val="111111"/>
          <w:sz w:val="28"/>
          <w:szCs w:val="28"/>
          <w:rtl w:val="true"/>
          <w:lang w:bidi="fa-IR"/>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الغیبة حرام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الغیبة لتأکل الحسنات کما تأکل النار الحطب</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أکل الحسنات إمّا أن یکون علی وجه الإحباط،أو لاضمحلال ثوابها فی جنب عقابه،أو لأنّها تنقل الحسنات إلی المغتاب،کما فی غیر واحد من الأخبار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بأحدٍ یوم القیامة فیوقَف بین یدی الربّ عزّ و جلّ، و یُدفع إلیه کتابه،فلا یری حسناته فیه،فیقول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لیس هذا کتابی لا أری فیه حسناتی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لا یضلّ و لا ینسی،ذهب عملک باغتیاب الناس،ثم یؤتی بآخر و یُدفع إلیه کتابه فیری فیه طاعات کثیرة،فیقول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هذا کتابی فإنی ما عملت هذه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اغتابک فدفع حسناته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کاشف الریبة رحمه اللّه من </w:t>
      </w:r>
      <w:r>
        <w:rPr>
          <w:rStyle w:val="FootnoteAnchor"/>
          <w:rtl w:val="true"/>
        </w:rPr>
        <w:footnoteReference w:id="1316"/>
      </w:r>
      <w:r>
        <w:rPr>
          <w:rFonts w:ascii="IRNazanin" w:hAnsi="IRNazanin" w:eastAsia="IRNazanin"/>
          <w:color w:val="111111"/>
          <w:sz w:val="28"/>
          <w:sz w:val="28"/>
          <w:szCs w:val="28"/>
          <w:rtl w:val="true"/>
          <w:lang w:bidi="fa-IR"/>
        </w:rPr>
        <w:t xml:space="preserve">روایة عبد اللّه </w:t>
      </w:r>
      <w:r>
        <w:rPr>
          <w:rStyle w:val="FootnoteAnchor"/>
          <w:rtl w:val="true"/>
        </w:rPr>
        <w:footnoteReference w:id="1317"/>
      </w:r>
      <w:r>
        <w:rPr>
          <w:rFonts w:ascii="IRNazanin" w:hAnsi="IRNazanin" w:eastAsia="IRNazanin"/>
          <w:color w:val="111111"/>
          <w:sz w:val="28"/>
          <w:sz w:val="28"/>
          <w:szCs w:val="28"/>
          <w:rtl w:val="true"/>
          <w:lang w:bidi="fa-IR"/>
        </w:rPr>
        <w:t>ابن سلیمان النوفلی الطویلة عن الصادق علیه السلام،و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الکفر أن یسمع الرجل من أخیه کلمة فیحفظها علیه یرید أن یفضحه بها،أُولئک لا خلاق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أبی،عن آبائه،عن علی علیه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مؤمن ما رأته عیناه أو سمعت أُذناه مما یشینه و یهدم مروّته،فهو من الذین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ظاهر هذه الأخبار کون الغیبة من الکبائر کما ذکره جماعة </w:t>
      </w:r>
      <w:r>
        <w:rPr>
          <w:rStyle w:val="FootnoteAnchor"/>
          <w:rtl w:val="true"/>
        </w:rPr>
        <w:footnoteReference w:id="1319"/>
      </w:r>
      <w:r>
        <w:rPr>
          <w:rFonts w:ascii="IRNazanin" w:hAnsi="IRNazanin" w:eastAsia="IRNazanin"/>
          <w:color w:val="111111"/>
          <w:sz w:val="28"/>
          <w:sz w:val="28"/>
          <w:szCs w:val="28"/>
          <w:rtl w:val="true"/>
          <w:lang w:bidi="fa-IR"/>
        </w:rPr>
        <w:t>بل أشد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 فی غیر واحد من الأخبار من الکبائر الخیانة </w:t>
      </w:r>
      <w:r>
        <w:rPr>
          <w:rStyle w:val="FootnoteAnchor"/>
          <w:rtl w:val="true"/>
        </w:rPr>
        <w:footnoteReference w:id="1320"/>
      </w:r>
      <w:r>
        <w:rPr>
          <w:rFonts w:ascii="IRNazanin" w:hAnsi="IRNazanin" w:eastAsia="IRNazanin"/>
          <w:color w:val="111111"/>
          <w:sz w:val="28"/>
          <w:sz w:val="28"/>
          <w:szCs w:val="28"/>
          <w:rtl w:val="true"/>
          <w:lang w:bidi="fa-IR"/>
        </w:rPr>
        <w:t>،و یمکن إرجاع الغیبة إلیها،فأیّ خیانة أعظم</w:t>
      </w:r>
    </w:p>
    <w:p>
      <w:pPr>
        <w:pStyle w:val="BookText"/>
        <w:rPr/>
      </w:pPr>
      <w:r>
        <w:rPr>
          <w:rFonts w:ascii="IRNazanin" w:hAnsi="IRNazanin" w:eastAsia="IRNazanin"/>
          <w:color w:val="111111"/>
          <w:sz w:val="28"/>
          <w:sz w:val="28"/>
          <w:szCs w:val="28"/>
          <w:rtl w:val="true"/>
          <w:lang w:bidi="fa-IR"/>
        </w:rPr>
        <w:t>من التفکّه بلحم الأخ علی غفلة منه و عدم شعور؟ و کیف کان،فما سمعناه من بعض من عاصرناه من الوسوسة فی عدّها من الکبائر أظنها فی غیر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الأخبار اختصاص حرمة الغیبة بالمؤمن،فیجوز اغتیاب المخالف،کما یجوز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عموم الآیة کبعض الروایات </w:t>
      </w:r>
      <w:r>
        <w:rPr>
          <w:rStyle w:val="FootnoteAnchor"/>
          <w:rtl w:val="true"/>
        </w:rPr>
        <w:footnoteReference w:id="1321"/>
      </w:r>
      <w:r>
        <w:rPr>
          <w:rFonts w:ascii="IRNazanin" w:hAnsi="IRNazanin" w:eastAsia="IRNazanin"/>
          <w:color w:val="111111"/>
          <w:sz w:val="28"/>
          <w:sz w:val="28"/>
          <w:szCs w:val="28"/>
          <w:rtl w:val="true"/>
          <w:lang w:bidi="fa-IR"/>
        </w:rPr>
        <w:t xml:space="preserve">لمطلق المسلم،مدفوع بما علم بضرورة المذهب من عدم احترامهم و عدم جریان أحکام الإسلام علیهم إلّا قلیلاً ممّا یتوقف استقامة نظم معاش المؤمنین علیه، مثل عدم انفعال ما یلاقیهم بالرطوبة،و حلّ ذبائحهم و مناکحتهم </w:t>
      </w:r>
      <w:r>
        <w:rPr>
          <w:rStyle w:val="FootnoteAnchor"/>
          <w:rtl w:val="true"/>
        </w:rPr>
        <w:footnoteReference w:id="1322"/>
      </w:r>
      <w:r>
        <w:rPr>
          <w:rFonts w:ascii="IRNazanin" w:hAnsi="IRNazanin" w:eastAsia="IRNazanin"/>
          <w:color w:val="111111"/>
          <w:sz w:val="28"/>
          <w:sz w:val="28"/>
          <w:szCs w:val="28"/>
          <w:rtl w:val="true"/>
          <w:lang w:bidi="fa-IR"/>
        </w:rPr>
        <w:t xml:space="preserve">و حرمة دمائهم لحکمة دفع الفتنة،و نسائهم </w:t>
      </w:r>
      <w:r>
        <w:rPr>
          <w:rStyle w:val="FootnoteAnchor"/>
          <w:rtl w:val="true"/>
        </w:rPr>
        <w:footnoteReference w:id="1323"/>
      </w:r>
      <w:r>
        <w:rPr>
          <w:rFonts w:ascii="Amiri" w:hAnsi="Amiri" w:eastAsia="Amiri" w:cs="Amiri"/>
          <w:color w:val="111111"/>
          <w:sz w:val="28"/>
          <w:sz w:val="28"/>
          <w:szCs w:val="28"/>
          <w:rtl w:val="true"/>
          <w:lang w:bidi="ar-SA"/>
        </w:rPr>
        <w:t>لأنّ لکلّ قوم نکاحاً،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التمثیل المذکور فی الآیة مختص بمن ثبت اخوّته،فلا یعمّ من وجب التبرّی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إشکال فی المسألة بعد ملاحظة الروایات الواردة فی الغیبة،و فی حکمة حرمتها،و فی حال غیر المؤمن فی نظر الشارع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دخول الصبیّ الممیّز المتأثر بالغیبة لو سمعها؛لعموم بعض الروایات المتقدمة و غیرها الدالة علی حرمة اغتیاب الناس و أکل</w:t>
      </w:r>
    </w:p>
    <w:p>
      <w:pPr>
        <w:pStyle w:val="BookText"/>
        <w:rPr/>
      </w:pPr>
      <w:r>
        <w:rPr>
          <w:rFonts w:ascii="IRNazanin" w:hAnsi="IRNazanin" w:eastAsia="IRNazanin"/>
          <w:color w:val="111111"/>
          <w:sz w:val="28"/>
          <w:sz w:val="28"/>
          <w:szCs w:val="28"/>
          <w:rtl w:val="true"/>
          <w:lang w:bidi="fa-IR"/>
        </w:rPr>
        <w:t xml:space="preserve">لحومهم </w:t>
      </w:r>
      <w:r>
        <w:rPr>
          <w:rStyle w:val="FootnoteAnchor"/>
          <w:rtl w:val="true"/>
        </w:rPr>
        <w:footnoteReference w:id="1324"/>
      </w:r>
      <w:r>
        <w:rPr>
          <w:rFonts w:ascii="Amiri" w:hAnsi="Amiri" w:eastAsia="Amiri" w:cs="Amiri"/>
          <w:color w:val="111111"/>
          <w:sz w:val="28"/>
          <w:sz w:val="28"/>
          <w:szCs w:val="28"/>
          <w:rtl w:val="true"/>
          <w:lang w:bidi="ar-SA"/>
        </w:rPr>
        <w:t>مع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علیه،کما یشهد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تُخٰالِطُوهُمْ فَإِخْوٰانُکُمْ </w:t>
      </w:r>
      <w:r>
        <w:rPr>
          <w:rStyle w:val="FootnoteAnchor"/>
          <w:rtl w:val="true"/>
        </w:rPr>
        <w:footnoteReference w:id="1325"/>
      </w:r>
      <w:r>
        <w:rPr>
          <w:rFonts w:ascii="IRNazanin" w:hAnsi="IRNazanin" w:eastAsia="IRNazanin"/>
          <w:color w:val="111111"/>
          <w:sz w:val="28"/>
          <w:sz w:val="28"/>
          <w:szCs w:val="28"/>
          <w:rtl w:val="true"/>
          <w:lang w:bidi="fa-IR"/>
        </w:rPr>
        <w:t xml:space="preserve">مضافاً إلی إمکان الاستدلال بالآیة </w:t>
      </w:r>
      <w:r>
        <w:rPr>
          <w:rStyle w:val="FootnoteAnchor"/>
          <w:rtl w:val="true"/>
        </w:rPr>
        <w:footnoteReference w:id="1326"/>
      </w:r>
      <w:r>
        <w:rPr>
          <w:rFonts w:ascii="IRNazanin" w:hAnsi="IRNazanin" w:eastAsia="IRNazanin"/>
          <w:color w:val="111111"/>
          <w:sz w:val="28"/>
          <w:sz w:val="28"/>
          <w:szCs w:val="28"/>
          <w:rtl w:val="true"/>
          <w:lang w:bidi="fa-IR"/>
        </w:rPr>
        <w:t xml:space="preserve">و إن کان الخطاب للمکلفین؛بناءً علی عدّ أطفالهم منهم تغلیباً،و إمکان دعوی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مطلقاً أو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لما ذکرنا صرّح فی کشف الریبة بعدم الفرق بین الصغیر و الکبیر </w:t>
      </w:r>
      <w:r>
        <w:rPr>
          <w:rStyle w:val="FootnoteAnchor"/>
          <w:rtl w:val="true"/>
        </w:rPr>
        <w:footnoteReference w:id="1327"/>
      </w:r>
      <w:r>
        <w:rPr>
          <w:rFonts w:ascii="IRNazanin" w:hAnsi="IRNazanin" w:eastAsia="IRNazanin"/>
          <w:color w:val="111111"/>
          <w:sz w:val="28"/>
          <w:sz w:val="28"/>
          <w:szCs w:val="28"/>
          <w:rtl w:val="true"/>
          <w:lang w:bidi="fa-IR"/>
        </w:rPr>
        <w:t>،و ظاهره الشمول لغیر الممیّز أیضاً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حکم المجنون،إلّا أنّه صرّح بعض الأساطین </w:t>
      </w:r>
      <w:r>
        <w:rPr>
          <w:rStyle w:val="FootnoteAnchor"/>
          <w:rtl w:val="true"/>
        </w:rPr>
        <w:footnoteReference w:id="1328"/>
      </w:r>
      <w:r>
        <w:rPr>
          <w:rFonts w:ascii="IRNazanin" w:hAnsi="IRNazanin" w:eastAsia="IRNazanin"/>
          <w:color w:val="111111"/>
          <w:sz w:val="28"/>
          <w:sz w:val="28"/>
          <w:szCs w:val="28"/>
          <w:rtl w:val="true"/>
          <w:lang w:bidi="fa-IR"/>
        </w:rPr>
        <w:t>باستثناء من لا عقل له و لا تمییز؛معلّلاً بالشک فی دخوله تحت أدلّة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جهة أنّ الإطلاقات منصرفة إلی من یتأثر لو سمع، و سیتّضح ذلک زیادة علی ذلک</w:t>
      </w:r>
      <w:r>
        <w:rPr>
          <w:rFonts w:eastAsia="IRNazanin" w:cs="IRNazanin"/>
          <w:color w:val="111111"/>
          <w:sz w:val="28"/>
          <w:szCs w:val="28"/>
          <w:rtl w:val="true"/>
          <w:lang w:bidi="fa-IR"/>
        </w:rPr>
        <w:t>.</w:t>
      </w:r>
      <w:bookmarkStart w:id="363" w:name="pg19762_189571"/>
    </w:p>
    <w:p>
      <w:pPr>
        <w:pStyle w:val="Heading5"/>
        <w:numPr>
          <w:ilvl w:val="4"/>
          <w:numId w:val="1"/>
        </w:numPr>
        <w:rPr/>
      </w:pPr>
      <w:bookmarkStart w:id="364" w:name="__RefHeading___Toc5003714_2314609296"/>
      <w:bookmarkStart w:id="365" w:name="_Toc140"/>
      <w:bookmarkEnd w:id="363"/>
      <w:bookmarkEnd w:id="364"/>
      <w:r>
        <w:rPr>
          <w:rtl w:val="true"/>
        </w:rPr>
        <w:t>بقی الکلام فی أُمور</w:t>
      </w:r>
      <w:r>
        <w:rPr>
          <w:rtl w:val="true"/>
        </w:rPr>
        <w:t>:</w:t>
      </w:r>
      <w:bookmarkEnd w:id="365"/>
    </w:p>
    <w:p>
      <w:pPr>
        <w:pStyle w:val="Heading6"/>
        <w:numPr>
          <w:ilvl w:val="5"/>
          <w:numId w:val="1"/>
        </w:numPr>
        <w:rPr/>
      </w:pPr>
      <w:bookmarkStart w:id="366" w:name="__RefHeading___Toc5003716_2314609296"/>
      <w:bookmarkStart w:id="367" w:name="_Toc141"/>
      <w:bookmarkEnd w:id="366"/>
      <w:r>
        <w:rPr>
          <w:rtl w:val="true"/>
        </w:rPr>
        <w:t>الأوّل الغیبة</w:t>
      </w:r>
      <w:r>
        <w:rPr>
          <w:rtl w:val="true"/>
        </w:rPr>
        <w:t>:</w:t>
      </w:r>
      <w:r>
        <w:rPr>
          <w:rtl w:val="true"/>
        </w:rPr>
        <w:t>اسم مصدر ل</w:t>
      </w:r>
      <w:r>
        <w:rPr>
          <w:rtl w:val="true"/>
        </w:rPr>
        <w:t>«</w:t>
      </w:r>
      <w:r>
        <w:rPr>
          <w:rtl w:val="true"/>
        </w:rPr>
        <w:t>اغتاب</w:t>
      </w:r>
      <w:r>
        <w:rPr>
          <w:rtl w:val="true"/>
        </w:rPr>
        <w:t>»</w:t>
      </w:r>
      <w:r>
        <w:rPr>
          <w:rtl w:val="true"/>
        </w:rPr>
        <w:t>أو مصدر ل</w:t>
      </w:r>
      <w:r>
        <w:rPr>
          <w:rtl w:val="true"/>
        </w:rPr>
        <w:t>«</w:t>
      </w:r>
      <w:r>
        <w:rPr>
          <w:rtl w:val="true"/>
        </w:rPr>
        <w:t>غاب</w:t>
      </w:r>
      <w:r>
        <w:rPr>
          <w:rtl w:val="true"/>
        </w:rPr>
        <w:t>».</w:t>
      </w:r>
      <w:bookmarkEnd w:id="367"/>
    </w:p>
    <w:p>
      <w:pPr>
        <w:pStyle w:val="BookText"/>
        <w:rPr/>
      </w:pPr>
      <w:r>
        <w:rPr>
          <w:rFonts w:ascii="IRNazanin" w:hAnsi="IRNazanin" w:eastAsia="IRNazanin"/>
          <w:color w:val="111111"/>
          <w:sz w:val="28"/>
          <w:sz w:val="28"/>
          <w:szCs w:val="28"/>
          <w:rtl w:val="true"/>
          <w:lang w:bidi="fa-IR"/>
        </w:rPr>
        <w:t>ففی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اغتابه،إذا ذکره بما یکرهه من العیوب و هو حقّ، و 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غابه،أی عابه و ذکره بما فیه من السوء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یُذکر الإنسان فی غیبته بسوء مما یکون فیه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من الکل خصوصاً القاموس المفسِّر لها أولاً بالعیب أنّ المراد ذکره فی مقام الانتقاص،و المراد بالموصول </w:t>
      </w:r>
      <w:r>
        <w:rPr>
          <w:rStyle w:val="FootnoteAnchor"/>
          <w:rtl w:val="true"/>
        </w:rPr>
        <w:footnoteReference w:id="1332"/>
      </w:r>
      <w:r>
        <w:rPr>
          <w:rFonts w:ascii="IRNazanin" w:hAnsi="IRNazanin" w:eastAsia="IRNazanin"/>
          <w:color w:val="111111"/>
          <w:sz w:val="28"/>
          <w:sz w:val="28"/>
          <w:szCs w:val="28"/>
          <w:rtl w:val="true"/>
          <w:lang w:bidi="fa-IR"/>
        </w:rPr>
        <w:t>هو نفس النقص 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عبارة المصباح کراهة وجوده،و لکنّه غیر مقصود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إمّا کراهة ظهوره و لو لم یکره وجوده کالمیل إلی القبائح و إمّا کراهة ذکره بذلک العیب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التعریف دلّت جملة من الأخبار،مثل قوله صلّی اللّه علیه و آله و سلم و قد سأله أبو ذر عن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ذکرک أخاک</w:t>
      </w:r>
    </w:p>
    <w:p>
      <w:pPr>
        <w:pStyle w:val="BookText"/>
        <w:rPr/>
      </w:pPr>
      <w:r>
        <w:rPr>
          <w:rFonts w:ascii="IRNazanin" w:hAnsi="IRNazanin" w:eastAsia="IRNazanin"/>
          <w:color w:val="111111"/>
          <w:sz w:val="28"/>
          <w:sz w:val="28"/>
          <w:szCs w:val="28"/>
          <w:rtl w:val="true"/>
          <w:lang w:bidi="fa-IR"/>
        </w:rPr>
        <w:t>بما یکرهه</w:t>
      </w:r>
      <w:r>
        <w:rPr>
          <w:rFonts w:eastAsia="IRNazanin" w:cs="IRNazanin"/>
          <w:color w:val="111111"/>
          <w:sz w:val="28"/>
          <w:szCs w:val="28"/>
          <w:rtl w:val="true"/>
          <w:lang w:bidi="fa-IR"/>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نبویٍّ آخر،قال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ما الغیبة؟قالوا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w:t>
      </w:r>
      <w:r>
        <w:rPr>
          <w:rFonts w:eastAsia="IRNazanin" w:cs="IRNazanin"/>
          <w:color w:val="111111"/>
          <w:sz w:val="28"/>
          <w:szCs w:val="28"/>
          <w:rtl w:val="true"/>
          <w:lang w:bidi="fa-IR"/>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قال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حقیقة </w:t>
      </w:r>
      <w:r>
        <w:rPr>
          <w:rStyle w:val="FootnoteAnchor"/>
          <w:rtl w:val="true"/>
        </w:rPr>
        <w:footnoteReference w:id="1335"/>
      </w:r>
      <w:r>
        <w:rPr>
          <w:rFonts w:ascii="IRNazanin" w:hAnsi="IRNazanin" w:eastAsia="IRNazanin"/>
          <w:color w:val="111111"/>
          <w:sz w:val="28"/>
          <w:sz w:val="28"/>
          <w:szCs w:val="28"/>
          <w:rtl w:val="true"/>
          <w:lang w:bidi="fa-IR"/>
        </w:rPr>
        <w:t xml:space="preserve">الغیبة علی ما فی الأخبار أن تقول فی أخیک ما یکرهه </w:t>
      </w:r>
      <w:r>
        <w:rPr>
          <w:rStyle w:val="FootnoteAnchor"/>
          <w:rtl w:val="true"/>
        </w:rPr>
        <w:footnoteReference w:id="1336"/>
      </w:r>
      <w:r>
        <w:rPr>
          <w:rFonts w:ascii="IRNazanin" w:hAnsi="IRNazanin" w:eastAsia="IRNazanin"/>
          <w:color w:val="111111"/>
          <w:sz w:val="28"/>
          <w:sz w:val="28"/>
          <w:szCs w:val="28"/>
          <w:rtl w:val="true"/>
          <w:lang w:bidi="fa-IR"/>
        </w:rPr>
        <w:t xml:space="preserve">مما هو فیه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عبارة المصباح ما یکره ظهوره، سواء کره وجوده کالبرص و الجذام،أم لا،کالمیل إلی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بالموصول نفس الکلام الذی یذکر الشخص به، و یکون کراهته إمّا لکونه إظهاراً للعیب،و إمّا لکونه صادراً علی جهة المذمّة و الاستخفاف و الاستهزاء و إن لم یکن العیب مما یکره إظهاره؛ لکونه ظاهراً بنفسه،و إمّا لکونه مشعراً بالذم و إن لم یقصد المتکلّم الذم به،کالألقاب المشعرة بالذم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أن یتکلّم خلف إنسان مستور بما یغمّه لو سمعه </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التکلم بکلام یغمّه لو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کلام بعض من قارب عصرنا أنّ الإجماع و الأخبار متطابقان علی أنّ حقیقة الغیبة أن یذکر الغیر بما یکره لو سمعه،سواء کان بنقص فی نفسه أو بدنه،أو دینه أو دنیاه،أو فی ما یتعلق به من الأشیاء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أیضاً إرادة الکلام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فی 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الغیبة ذکر الإنسان فی حال غیبته بما یکره نسبته إلیه مما یُعدّ نقصاً فی العرف بقصد الانتقاص و الذم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یخرج علی هذا التعریف ما إذا ذُکر الشخص بصفات ظاهرة یکون وجودها نقصاً مع عدم قصد انتقاصه بذلک،مع أنّه داخل فی التعریف عند الشهید رحمه اللّه أیضاً؛حیث عدّ من الغیبة ذکر بعض الأشخاص بالصفات المعروف بها،کالأعمش و الأعور،و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ذکر عیوب الجاریة التی یراد شراؤها إذا لم یقصد من ذکرها إلّا بیان الواقع،و غیر ذلک مما ذکره هو و غیره من المستثنیات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قصد الانتقاص یحصل بمجرد بیان النقائص،موجبة لاستدراک ذکره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یُعدّ نقصاً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بملاحظة ما تقدم من الأخبار و کلمات الأصحاب بناءً علی إرجاع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الکلام المذکور به،لا إلی الوصف ما تقدم من أنّ الغیبة أن یذکر الإنسان بکلام یسوؤه،إمّا بإظهار عیبه المستور و إن لم یقصد انتقاصه،و إمّا بانتقاصه بعیب غیر مستور،</w:t>
      </w:r>
    </w:p>
    <w:p>
      <w:pPr>
        <w:pStyle w:val="BookText"/>
        <w:rPr/>
      </w:pPr>
      <w:r>
        <w:rPr>
          <w:rFonts w:ascii="IRNazanin" w:hAnsi="IRNazanin" w:eastAsia="IRNazanin"/>
          <w:color w:val="111111"/>
          <w:sz w:val="28"/>
          <w:sz w:val="28"/>
          <w:szCs w:val="28"/>
          <w:rtl w:val="true"/>
          <w:lang w:bidi="fa-IR"/>
        </w:rPr>
        <w:t>إمّا بقصد المتکلم،أو بکون الکلام بنفسه منقّصاً له،کما إذا اتصف الشخص بالألقاب المشعرة بالذم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الوصف الذی یُسند إلی الإنسان تعین إرادة کراهة ظهورها،فیختص بالقسم الأوّل،و هو ما کان إظهاراً لأمر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الاحتمال،بل یعیّنه،الأخبار المستفیضة الدالة علی اعتبار کون المقول مستوراً غیر منکشف،مثل قوله علیه السلام فی ما رواه العیاشی بسنده عن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أن تقول فی أخیک ما فیه ممّا قد ستره اللّه علیه</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داود بن سرحان المرویة فی الکافی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الغیبة،قال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تقول لأخیک فی دینه ما لم یفعل،و تبثّ علیه أمراً قد ستره اللّه علیه لم یقم علیه فیه حدّ</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أبان عن رجل لا یعلمه </w:t>
      </w:r>
      <w:r>
        <w:rPr>
          <w:rStyle w:val="FootnoteAnchor"/>
          <w:rtl w:val="true"/>
        </w:rPr>
        <w:footnoteReference w:id="1343"/>
      </w:r>
      <w:r>
        <w:rPr>
          <w:rFonts w:ascii="IRNazanin" w:hAnsi="IRNazanin" w:eastAsia="IRNazanin"/>
          <w:color w:val="111111"/>
          <w:sz w:val="28"/>
          <w:sz w:val="28"/>
          <w:szCs w:val="28"/>
          <w:rtl w:val="true"/>
          <w:lang w:bidi="fa-IR"/>
        </w:rPr>
        <w:t>إلّا یحیی الأزرق قال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رجلاً مِن خلفه بما هو فیه ممّا عرفه الناس لم یغتبه،و من ذکره مِن خلفه بما هو فیه مما لا یعرفه</w:t>
      </w:r>
    </w:p>
    <w:p>
      <w:pPr>
        <w:pStyle w:val="BookText"/>
        <w:rPr/>
      </w:pPr>
      <w:r>
        <w:rPr>
          <w:rFonts w:ascii="IRNazanin" w:hAnsi="IRNazanin" w:eastAsia="IRNazanin"/>
          <w:color w:val="111111"/>
          <w:sz w:val="28"/>
          <w:sz w:val="28"/>
          <w:szCs w:val="28"/>
          <w:rtl w:val="true"/>
          <w:lang w:bidi="fa-IR"/>
        </w:rPr>
        <w:t>الناس فقد اغتابه،و من ذکره بما لیس فیه فقد بهته</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عبد الرحمن بن سیابة بابن هاشم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أن تقول فی أخیک ما ستره اللّه علیه، و أمّا الأمر الظاهر مثل الحدّة و العجلة فلا،و البهتان أن تقول فیه ما لیس فیه</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کما تری صریحة فی اعتبار کون الشیء غیر 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ما فی الصحاح من أنّ الغیبة أن یتکلّم خلف إنسان مستور بما یغمّه لو سمعه،فإن کان صدقاً سُمّی غیبة،و إن کان کذباً سُمّی بهتاناً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ذلک المقول وافق الأخبار،و إن أراد مقابل المتجاهر احتمل الموافقة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الملخّص من مجموع ما ورد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المقول إن لم یکن نقصاً،فلا یکون ذکر الشخص حینئذٍ غیبة،و إن اعتقد المقول فیه کونه نقصاً علیه،نظیر ما إذا نفی عنه الاجتهاد و لیس ممن یکون ذلک نقصاً فی حقه إلّا أنّه معتقد باجتهاد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یحرم هذا من وجه آخر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نقصاً شرعاً أو عرفاً بحسب حال المغتاب فإن کان مخفیّاً</w:t>
      </w:r>
    </w:p>
    <w:p>
      <w:pPr>
        <w:pStyle w:val="BookText"/>
        <w:rPr/>
      </w:pPr>
      <w:r>
        <w:rPr>
          <w:rFonts w:ascii="IRNazanin" w:hAnsi="IRNazanin" w:eastAsia="IRNazanin"/>
          <w:color w:val="111111"/>
          <w:sz w:val="28"/>
          <w:sz w:val="28"/>
          <w:szCs w:val="28"/>
          <w:rtl w:val="true"/>
          <w:lang w:bidi="fa-IR"/>
        </w:rPr>
        <w:t>للسامع بحیث یستنکف عن ظهوره للناس،و أراد القائل تنقیص المغتاب به،فهو المتیقن من أفراد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یرد القائل التنقیص فالظاهر حرمته؛لکونه کشفاً لعورة المؤمن،و قد تقدم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غیبة أخیه و کشف عورته</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ابن سنان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علی المؤمن 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سِفلتیه </w:t>
      </w:r>
      <w:r>
        <w:rPr>
          <w:rStyle w:val="FootnoteAnchor"/>
          <w:rtl w:val="true"/>
        </w:rPr>
        <w:footnoteReference w:id="13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حیث تذهب إنّما هو </w:t>
      </w:r>
      <w:r>
        <w:rPr>
          <w:rStyle w:val="FootnoteAnchor"/>
          <w:rtl w:val="true"/>
        </w:rPr>
        <w:footnoteReference w:id="1350"/>
      </w:r>
      <w:r>
        <w:rPr>
          <w:rFonts w:ascii="Amiri" w:hAnsi="Amiri" w:eastAsia="Amiri" w:cs="Amiri"/>
          <w:color w:val="111111"/>
          <w:sz w:val="28"/>
          <w:sz w:val="28"/>
          <w:szCs w:val="28"/>
          <w:rtl w:val="true"/>
          <w:lang w:bidi="ar-SA"/>
        </w:rPr>
        <w:t>إذاعة سرّه</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محمد بن فضیل </w:t>
      </w:r>
      <w:r>
        <w:rPr>
          <w:rStyle w:val="FootnoteAnchor"/>
          <w:rtl w:val="true"/>
        </w:rPr>
        <w:footnoteReference w:id="1352"/>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تذیعنّ علیه شیئاً تشینه به و تهدم به مروّته،فتکون من الذین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یقیّد إطلاق النهی بصورة قصد الشین و الهدم من جهة الاستشهاد بآیة حبّ شیاع الفاحشة،بل الظاهر أنّ المراد مجرّد فعل ما یوجب شیاعها؛مع أنّه لا فائدة کثیرة فی التنبیه علی دخول القاصد</w:t>
      </w:r>
    </w:p>
    <w:p>
      <w:pPr>
        <w:pStyle w:val="BookText"/>
        <w:rPr/>
      </w:pPr>
      <w:r>
        <w:rPr>
          <w:rFonts w:ascii="IRNazanin" w:hAnsi="IRNazanin" w:eastAsia="IRNazanin"/>
          <w:color w:val="111111"/>
          <w:sz w:val="28"/>
          <w:sz w:val="28"/>
          <w:szCs w:val="28"/>
          <w:rtl w:val="true"/>
          <w:lang w:bidi="fa-IR"/>
        </w:rPr>
        <w:t>لإشاعة الفاحشة فی عموم الآیة،و إنّما یحسن التنبیه علی أنّ قاصد السبب قاصد للمسبب و إن لم یقصده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إشکال من حیث النقل و العقل فی حرمة إذاعة ما یوجب مهانة المؤمن و سقوطه عن أعین الناس فی الجملة،و إنّما الکلام فی أنّها غیبة أم لا؟ مقتضی الأخبار المتقدمة بأسرها ذلک،خصوصاً المستفیضة الأخیرة </w:t>
      </w:r>
      <w:r>
        <w:rPr>
          <w:rStyle w:val="FootnoteAnchor"/>
          <w:rtl w:val="true"/>
        </w:rPr>
        <w:footnoteReference w:id="1354"/>
      </w:r>
      <w:r>
        <w:rPr>
          <w:rFonts w:ascii="IRNazanin" w:hAnsi="IRNazanin" w:eastAsia="IRNazanin"/>
          <w:color w:val="111111"/>
          <w:sz w:val="28"/>
          <w:sz w:val="28"/>
          <w:szCs w:val="28"/>
          <w:rtl w:val="true"/>
          <w:lang w:bidi="fa-IR"/>
        </w:rPr>
        <w:t>فإنّ التفصیل فیها بین الظاهر و الخفی إنّما یکون مع عدم قصد القائل المذمة و الانتقاص،و أمّا مع قصده فلا فرق بینهما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المنفیّ فی تلک الأخبار و إن کان تحقّق موضوع الغیبة دون الحکم بالحرمة،إلّا أنّ ظاهر سیاقها نفی الحرمة فیما عداها </w:t>
      </w:r>
      <w:r>
        <w:rPr>
          <w:rStyle w:val="FootnoteAnchor"/>
          <w:rtl w:val="true"/>
        </w:rPr>
        <w:footnoteReference w:id="1355"/>
      </w:r>
      <w:r>
        <w:rPr>
          <w:rFonts w:ascii="IRNazanin" w:hAnsi="IRNazanin" w:eastAsia="IRNazanin"/>
          <w:color w:val="111111"/>
          <w:sz w:val="28"/>
          <w:sz w:val="28"/>
          <w:szCs w:val="28"/>
          <w:rtl w:val="true"/>
          <w:lang w:bidi="fa-IR"/>
        </w:rPr>
        <w:t xml:space="preserve">أیضاً،لکن مقتضی ظاهر التعریف المتقدم عن کاشف الریبة </w:t>
      </w:r>
      <w:r>
        <w:rPr>
          <w:rStyle w:val="FootnoteAnchor"/>
          <w:rtl w:val="true"/>
        </w:rPr>
        <w:footnoteReference w:id="1356"/>
      </w:r>
      <w:r>
        <w:rPr>
          <w:rFonts w:ascii="IRNazanin" w:hAnsi="IRNazanin" w:eastAsia="IRNazanin"/>
          <w:color w:val="111111"/>
          <w:sz w:val="28"/>
          <w:sz w:val="28"/>
          <w:szCs w:val="28"/>
          <w:rtl w:val="true"/>
          <w:lang w:bidi="fa-IR"/>
        </w:rPr>
        <w:t>عدمه؛لأنّه اعتبر قصد الانتقاص و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یراد اعتبار ذلک فیما یقع علی وجهین، دون ما لا یقع إلّا علی وجه واحد؛فإنّ قصد ما لا ینفک عن الانتقاص قصد 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المقول نقصاً ظاهراً للسامع،فإن لم یقصد القائل الذم و لم یکن الوصف من الأوصاف المشعرة بالذمّ نظیر الألقاب المشعرة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خارج عن الغیبة؛لعدم حصول کراهة للمقول فیه،</w:t>
      </w:r>
    </w:p>
    <w:p>
      <w:pPr>
        <w:pStyle w:val="BookText"/>
        <w:rPr/>
      </w:pPr>
      <w:r>
        <w:rPr>
          <w:rFonts w:ascii="IRNazanin" w:hAnsi="IRNazanin" w:eastAsia="IRNazanin"/>
          <w:color w:val="111111"/>
          <w:sz w:val="28"/>
          <w:sz w:val="28"/>
          <w:szCs w:val="28"/>
          <w:rtl w:val="true"/>
          <w:lang w:bidi="fa-IR"/>
        </w:rPr>
        <w:t>لا من حیث الإظهار،و لا من حیث ذمّ المتکلم،و لا من حیث الإشعار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من الأوصاف المشعرة بالذمّ أو قصد المتکلم التعییر و المذمّة بوجوده،فلا إشکال فی حرمة الثانی،بل و کذا الأوّل؛لعموم ما دلّ علی حرمة إیذاء المؤمن و إهانته </w:t>
      </w:r>
      <w:r>
        <w:rPr>
          <w:rStyle w:val="FootnoteAnchor"/>
          <w:rtl w:val="true"/>
        </w:rPr>
        <w:footnoteReference w:id="1357"/>
      </w:r>
      <w:r>
        <w:rPr>
          <w:rFonts w:ascii="Amiri" w:hAnsi="Amiri" w:eastAsia="Amiri" w:cs="Amiri"/>
          <w:color w:val="111111"/>
          <w:sz w:val="28"/>
          <w:sz w:val="28"/>
          <w:szCs w:val="28"/>
          <w:rtl w:val="true"/>
          <w:lang w:bidi="ar-SA"/>
        </w:rPr>
        <w:t xml:space="preserve">و حرمة التنابز بالألقاب </w:t>
      </w:r>
      <w:r>
        <w:rPr>
          <w:rStyle w:val="FootnoteAnchor"/>
          <w:rtl w:val="true"/>
        </w:rPr>
        <w:footnoteReference w:id="1358"/>
      </w:r>
      <w:r>
        <w:rPr>
          <w:rFonts w:ascii="IRNazanin" w:hAnsi="IRNazanin" w:eastAsia="IRNazanin"/>
          <w:color w:val="111111"/>
          <w:sz w:val="28"/>
          <w:sz w:val="28"/>
          <w:szCs w:val="28"/>
          <w:rtl w:val="true"/>
          <w:lang w:bidi="fa-IR"/>
        </w:rPr>
        <w:t>و حرمة تعییر المؤمن علی صدور معصیة منه،فضلاً عن غیرها؛ففی عدة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عیّر مؤمناً علی معصیة لم یمت حتی یرتکبه</w:t>
      </w:r>
      <w:r>
        <w:rPr>
          <w:rFonts w:eastAsia="IRNazanin" w:cs="IRNazanin"/>
          <w:color w:val="111111"/>
          <w:sz w:val="28"/>
          <w:szCs w:val="28"/>
          <w:rtl w:val="true"/>
          <w:lang w:bidi="fa-IR"/>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الکلام فی کونهما </w:t>
      </w:r>
      <w:r>
        <w:rPr>
          <w:rStyle w:val="FootnoteAnchor"/>
          <w:rtl w:val="true"/>
        </w:rPr>
        <w:footnoteReference w:id="1360"/>
      </w:r>
      <w:r>
        <w:rPr>
          <w:rFonts w:ascii="IRNazanin" w:hAnsi="IRNazanin" w:eastAsia="IRNazanin"/>
          <w:color w:val="111111"/>
          <w:sz w:val="28"/>
          <w:sz w:val="28"/>
          <w:szCs w:val="28"/>
          <w:rtl w:val="true"/>
          <w:lang w:bidi="fa-IR"/>
        </w:rPr>
        <w:t>من الغیبة؛فإنّ ظاهر المستفیضة المتقدمة عدم کونهما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ما عداها من الأخبار المتقدمة </w:t>
      </w:r>
      <w:r>
        <w:rPr>
          <w:rStyle w:val="FootnoteAnchor"/>
          <w:rtl w:val="true"/>
        </w:rPr>
        <w:footnoteReference w:id="1361"/>
      </w:r>
      <w:r>
        <w:rPr>
          <w:rFonts w:ascii="IRNazanin" w:hAnsi="IRNazanin" w:eastAsia="IRNazanin"/>
          <w:color w:val="111111"/>
          <w:sz w:val="28"/>
          <w:sz w:val="28"/>
          <w:szCs w:val="28"/>
          <w:rtl w:val="true"/>
          <w:lang w:bidi="fa-IR"/>
        </w:rPr>
        <w:t xml:space="preserve">بناءً علی إرجاع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إلی کراهة الکلام الذی یُذکر به الغیر،و کذلک کلام أهل اللغة عدا الصحاح علی بعض احتمالاته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 غیبة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العمل بالمستفیضة لا یخلو عن قوّة،و إن کان ظاهر الأکثر</w:t>
      </w:r>
    </w:p>
    <w:p>
      <w:pPr>
        <w:pStyle w:val="BookText"/>
        <w:rPr/>
      </w:pPr>
      <w:r>
        <w:rPr>
          <w:rFonts w:ascii="IRNazanin" w:hAnsi="IRNazanin" w:eastAsia="IRNazanin"/>
          <w:color w:val="111111"/>
          <w:sz w:val="28"/>
          <w:sz w:val="28"/>
          <w:szCs w:val="28"/>
          <w:rtl w:val="true"/>
          <w:lang w:bidi="fa-IR"/>
        </w:rPr>
        <w:t xml:space="preserve">خلافه؛فیکون ذکر الشخص بالعیوب الظاهرة الذی لا یفید </w:t>
      </w:r>
      <w:r>
        <w:rPr>
          <w:rStyle w:val="FootnoteAnchor"/>
          <w:rtl w:val="true"/>
        </w:rPr>
        <w:footnoteReference w:id="1362"/>
      </w:r>
      <w:r>
        <w:rPr>
          <w:rFonts w:ascii="IRNazanin" w:hAnsi="IRNazanin" w:eastAsia="IRNazanin"/>
          <w:color w:val="111111"/>
          <w:sz w:val="28"/>
          <w:sz w:val="28"/>
          <w:szCs w:val="28"/>
          <w:rtl w:val="true"/>
          <w:lang w:bidi="fa-IR"/>
        </w:rPr>
        <w:t xml:space="preserve">السامع اطلاعاً لم یعلمه،و لا یعلمه عادة من غیر خبر مخبر لیس </w:t>
      </w:r>
      <w:r>
        <w:rPr>
          <w:rStyle w:val="FootnoteAnchor"/>
          <w:rtl w:val="true"/>
        </w:rPr>
        <w:footnoteReference w:id="1363"/>
      </w:r>
      <w:r>
        <w:rPr>
          <w:rFonts w:ascii="IRNazanin" w:hAnsi="IRNazanin" w:eastAsia="IRNazanin"/>
          <w:color w:val="111111"/>
          <w:sz w:val="28"/>
          <w:sz w:val="28"/>
          <w:szCs w:val="28"/>
          <w:rtl w:val="true"/>
          <w:lang w:bidi="fa-IR"/>
        </w:rPr>
        <w:t>غیبة، فلا یحرم إلّا إذا ثبتت الحرمة من حیث المذمّة و التعییر،أو من جهة کون نفس الاتصاف بتلک الصفة ممّا یستنکفه المغتاب و لو باعتبار بعض التعبیرات فیحرم من جهة الإیذاء و الاستخفاف و الذم و التعییر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المصرّح به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الفرق فی ذلک علی ما صرح به غیر واحد </w:t>
      </w:r>
      <w:r>
        <w:rPr>
          <w:rStyle w:val="FootnoteAnchor"/>
          <w:rtl w:val="true"/>
        </w:rPr>
        <w:footnoteReference w:id="1364"/>
      </w:r>
      <w:r>
        <w:rPr>
          <w:rFonts w:ascii="IRNazanin" w:hAnsi="IRNazanin" w:eastAsia="IRNazanin"/>
          <w:color w:val="111111"/>
          <w:sz w:val="28"/>
          <w:sz w:val="28"/>
          <w:szCs w:val="28"/>
          <w:rtl w:val="true"/>
          <w:lang w:bidi="fa-IR"/>
        </w:rPr>
        <w:t xml:space="preserve">بین ما کان نقصاناً </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بدنه أو نسبه أو خُلقه أو فعله أو قوله أو دینه أو دنیاه،حتی فی ثوبه أو داره أو دابته،أو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مولانا الصادق علیه السلام الإشارة إلی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الغیبة تقع بذکر عیب فی الخلق و الفعل و المعاملة و المذهب و الجهل و أشباهه</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البدن،فکذکرک فیه العَمَش،و الحَوَل،و العَوَر،و القَرَع، و القِصَر و الطول،و السواد و الصفرة،و جمیع ما یتصور أن یوصف به مما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النسب،بأن </w:t>
      </w:r>
      <w:r>
        <w:rPr>
          <w:rStyle w:val="FootnoteAnchor"/>
          <w:rtl w:val="true"/>
        </w:rPr>
        <w:footnoteReference w:id="1368"/>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فاسق أو خبیث أو خسیس أو إسکاف أو حائک،أو نحو ذلک مما یکره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الخُلق،فبأن یقول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سیّء الخُلق،بخیل،مراء </w:t>
      </w:r>
      <w:r>
        <w:rPr>
          <w:rStyle w:val="FootnoteAnchor"/>
          <w:rtl w:val="true"/>
        </w:rPr>
        <w:footnoteReference w:id="1370"/>
      </w:r>
      <w:r>
        <w:rPr>
          <w:rFonts w:ascii="IRNazanin" w:hAnsi="IRNazanin" w:eastAsia="IRNazanin"/>
          <w:color w:val="111111"/>
          <w:sz w:val="28"/>
          <w:sz w:val="28"/>
          <w:szCs w:val="28"/>
          <w:rtl w:val="true"/>
          <w:lang w:bidi="fa-IR"/>
        </w:rPr>
        <w:t>متکبر، شدید الغضب،جبان،ضعیف القلب،و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أفعاله المتعلّقة بالدین،فکقولک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سارق،کذاب،شارب، خائن،ظالم،متهاون بالصلاة،لا یحسن الرکوع و السجود،و لا یجتنب من النجاسات،لیس بارّاً بوالدیه،لا یحرس نفسه من الغیبة و التعرض لإعراض الناس</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أفعاله المتعلقة بالدنیا،فکقولک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 الأدب،متهاون بالناس، لا یری لأحد علیه حقاً،کثیر الکلام،کثیر الأکل،نؤوم </w:t>
      </w:r>
      <w:r>
        <w:rPr>
          <w:rStyle w:val="FootnoteAnchor"/>
          <w:rtl w:val="true"/>
        </w:rPr>
        <w:footnoteReference w:id="1371"/>
      </w:r>
      <w:r>
        <w:rPr>
          <w:rFonts w:ascii="IRNazanin" w:hAnsi="IRNazanin" w:eastAsia="IRNazanin"/>
          <w:color w:val="111111"/>
          <w:sz w:val="28"/>
          <w:sz w:val="28"/>
          <w:szCs w:val="28"/>
          <w:rtl w:val="true"/>
          <w:lang w:bidi="fa-IR"/>
        </w:rPr>
        <w:t>یجلس 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ثوبه،فکقولک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واسع الکُمّ،طویل الذیل،وَسِخ الثیاب، و نحو ذلک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النص و إن کان منصرفاً إلی الذکر باللسان،لکن المراد به حقیقة الذکر،فهو مقابل الإغفال،فکلّ ما یوجب التذکر للشخص من القول و الفعل و الإشارة و غیرها فهو ذکر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المبالغة فی تهجین المطلب الذی ذکره بعض المصنفین، بحیث یفهم منها الإزراء بحال ذلک المصنف؛فإنّ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المطلب بدیهی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لصاحبه بأنّه لا یعرف البدیهیات،بخلاف 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مستلزم لما هو بدیهیّ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 تعریضاً بأنّ صاحبه لم ینتقل إلی الملازمة بین المطلب و بین ما هو بدیهیّ البطلان، و لعل الملازمة 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من بعض الأعلام بالنسبة إلی بعضهم ما لا بدّ له من الحمل و التوجیه،أعوذ باللّه من الغرور،و إعجاب المرء بنفسه،و حسده علی غیره،و الاستیکال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دواعی الغیبة کثیرة،روی عن مولانا الصادق علیه السلام التنبیه علیها إجمالاً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الغیبة تتنوّع بعشرة أنواع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شفاء غیظ،و مساعدة قوم،و تصدیق خبر بلا کشف،و تهمة،و سوء ظنّ،و حسد،و سُخْرِیة،و تعجّب </w:t>
      </w:r>
      <w:r>
        <w:rPr>
          <w:rStyle w:val="FootnoteAnchor"/>
          <w:rtl w:val="true"/>
        </w:rPr>
        <w:footnoteReference w:id="1373"/>
      </w:r>
      <w:r>
        <w:rPr>
          <w:rFonts w:ascii="Amiri" w:hAnsi="Amiri" w:eastAsia="Amiri" w:cs="Amiri"/>
          <w:color w:val="111111"/>
          <w:sz w:val="28"/>
          <w:sz w:val="28"/>
          <w:szCs w:val="28"/>
          <w:rtl w:val="true"/>
          <w:lang w:bidi="ar-SA"/>
        </w:rPr>
        <w:t>و تبرّم،و تزیّن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ذکر الشخص قد یتضح کونها غیبة،و قد یخفی علی النفس لحبّ أو بغض،فیری أنّه لم یغتب و قد وقع فی أعظمها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قد یغتم بسبب ما یُبتلی به أخوه فی الدین لأجل أمر یرجع إلی نقص فی فعله أو رأیه،فیذکره المغتم فی مقام التأسف علیه بما یکره ظهوره للغیر،مع أنّه کان یمکنه بیان حاله للغیر علی وجه لا یذکر اسمه،لیکون قد أحرز ثواب الاغتمام علی ما أصاب المؤمن،لکن الشیطان یخدعه و یوقعه فی ذکر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أنّه هل یعتبر فی الغیبة حضور مخاطب عند المغتاب، أو یکفی ذکره عند نفسه؟ظاهر الأکثر الدخول،کما صرح به بعض المعاصرین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نعم،ربما یستثنی من حکمها عند من استثنی ما لو علم اثنان صفة شخص فیذکر أحدهما بحضرة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ما قوّیناه من الرجوع فی تعریف الغیبة إلی ما دلّت علیه المستفیضة المتقدمة من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ستر مستور</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،فلا یدخل ذلک فی الغیبة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أیضاً أنّه لا یدخل فیها ما لو کان الغائب مجهولاً عند المخاطب مردداً بین أشخاص غیر محصورة،کما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الیوم رجل بخیل دنیء ذمیم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Style w:val="FootnoteAnchor"/>
          <w:rtl w:val="true"/>
        </w:rPr>
        <w:footnoteReference w:id="1377"/>
      </w:r>
      <w:r>
        <w:rPr>
          <w:rFonts w:ascii="IRNazanin" w:hAnsi="IRNazanin" w:eastAsia="IRNazanin"/>
          <w:color w:val="111111"/>
          <w:sz w:val="28"/>
          <w:sz w:val="28"/>
          <w:szCs w:val="28"/>
          <w:rtl w:val="true"/>
          <w:lang w:bidi="fa-IR"/>
        </w:rPr>
        <w:t xml:space="preserve">ظاهر تعریف الأکثر </w:t>
      </w:r>
      <w:r>
        <w:rPr>
          <w:rStyle w:val="FootnoteAnchor"/>
          <w:rtl w:val="true"/>
        </w:rPr>
        <w:footnoteReference w:id="1378"/>
      </w:r>
      <w:r>
        <w:rPr>
          <w:rFonts w:ascii="IRNazanin" w:hAnsi="IRNazanin" w:eastAsia="IRNazanin"/>
          <w:color w:val="111111"/>
          <w:sz w:val="28"/>
          <w:sz w:val="28"/>
          <w:szCs w:val="28"/>
          <w:rtl w:val="true"/>
          <w:lang w:bidi="fa-IR"/>
        </w:rPr>
        <w:t>دخوله،</w:t>
      </w:r>
    </w:p>
    <w:p>
      <w:pPr>
        <w:pStyle w:val="BookText"/>
        <w:rPr/>
      </w:pPr>
      <w:r>
        <w:rPr>
          <w:rFonts w:ascii="IRNazanin" w:hAnsi="IRNazanin" w:eastAsia="IRNazanin"/>
          <w:color w:val="111111"/>
          <w:sz w:val="28"/>
          <w:sz w:val="28"/>
          <w:szCs w:val="28"/>
          <w:rtl w:val="true"/>
          <w:lang w:bidi="fa-IR"/>
        </w:rPr>
        <w:t>و إن خرج عن الحکم؛بناءً علی اعتبار التأثیر عند السامع،و ظاهر المستفیضة المتقدمة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قصد المذمّة و التعییر حرم من هذه الجهة،فیجب علی السامع نهی المتکلّم عنه،إلّا إذا احتمل أن یکون الشخص متجاهراً بالفسق،فیحمل فعل المتکلّم علی الصحة،کما سیجیء فی مسألة الاستماع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الذم و التعییر لمجهول العین لا یجب الردع عنه،مع کون الذم و التعییر فی موقعهما،بأن کان مستحقاً لهما،و إن لم یستحق مواجهته بالذم أو ذکره عند غیره بالذم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الغائب المذکور مشتبهاً علی الإطلاق،أمّا لو کان مردّداً بین أشخاص،فإن کان بحیث لا یکره کلّهم ذکر واحد مبهم منهم کان کالمشتبه علی الإطلاق،کما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عجمیٌّ أو عربیٌّ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بحیث یکون الذم راجعاً إلی العنوان،کأن یکون فی المثالین تعریض إلی ذمّ تمام العجم أو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بحیث یکره کلّهم ذکر واحد مبهم منهم،کأن یقول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ابنی زید،أو أحد أخویه کذا و کذا</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ففی کونه اغتیاباً لکلٍّ منهما؛ لذکرهما بما یکرهانه من التعریض؛لاحتمال کونه هو المعیوب،و عدمه؛</w:t>
      </w:r>
    </w:p>
    <w:p>
      <w:pPr>
        <w:pStyle w:val="BookText"/>
        <w:rPr/>
      </w:pPr>
      <w:r>
        <w:rPr>
          <w:rFonts w:ascii="IRNazanin" w:hAnsi="IRNazanin" w:eastAsia="IRNazanin"/>
          <w:color w:val="111111"/>
          <w:sz w:val="28"/>
          <w:sz w:val="28"/>
          <w:szCs w:val="28"/>
          <w:rtl w:val="true"/>
          <w:lang w:bidi="fa-IR"/>
        </w:rPr>
        <w:t>لعدم تهتّک ستر المعیوب منهما،کما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أهل البلد الفلانی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فرق بینهما من جهة کون ما نحن فیه محرَّماً من حیث الإساءة إلی المؤمن بتعریضه للاحتمال دون المثال،أو کونه اغتیاباً للمعیوب الواقعی منهما،و إساءة بالنسبة إلی غیره؛لأنّه تهتّک بالنسبة إلیه؛لأنّه إظهار فی الجملة لعیبه بتقلیل مشارکه فی احتمال العیب فیکون الاطلاع علیه قریباً،و أمّا الآخر فقد أساء بالنسبة إلیه،حیث عرّضه لاحتمال العیب،وجوه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یوجد فی کلام بعض الفضلاء أنّ من شرط الغیبة أن یکون متعلّقها محصوراً،و إلّا فلا تُعدّ غیبة،فلو قال عن أهل بلدة غیر محصورة ما لو قاله عن شخص واحد کان غیبة </w:t>
      </w:r>
      <w:r>
        <w:rPr>
          <w:rStyle w:val="FootnoteAnchor"/>
          <w:rtl w:val="true"/>
        </w:rPr>
        <w:footnoteReference w:id="1382"/>
      </w:r>
      <w:r>
        <w:rPr>
          <w:rFonts w:ascii="IRNazanin" w:hAnsi="IRNazanin" w:eastAsia="IRNazanin"/>
          <w:color w:val="111111"/>
          <w:sz w:val="28"/>
          <w:sz w:val="28"/>
          <w:szCs w:val="28"/>
          <w:rtl w:val="true"/>
          <w:lang w:bidi="fa-IR"/>
        </w:rPr>
        <w:t xml:space="preserve">، لم یحتسب غیبة </w:t>
      </w:r>
      <w:r>
        <w:rPr>
          <w:rStyle w:val="FootnoteAnchor"/>
          <w:rtl w:val="true"/>
        </w:rPr>
        <w:footnoteReference w:id="13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أنّ ذمّ جمع غیر محصور لا یُعدّ غیبة و إن قصد انتقاص کل منهم،کما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هذه القریة،أو هذه البلدة کلّهم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کونه غیبة محرّمة،و لا وجه لإخراجه عن موضوعها أو حکمها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ذمّ المردد بین غیر المحصور لا یُعدّ غیبة،فلا بأس 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ذکر بعض تبعاً لبعض الأساطین </w:t>
      </w:r>
      <w:r>
        <w:rPr>
          <w:rStyle w:val="FootnoteAnchor"/>
          <w:rtl w:val="true"/>
        </w:rPr>
        <w:footnoteReference w:id="1384"/>
      </w:r>
      <w:r>
        <w:rPr>
          <w:rFonts w:ascii="IRNazanin" w:hAnsi="IRNazanin" w:eastAsia="IRNazanin"/>
          <w:color w:val="111111"/>
          <w:sz w:val="28"/>
          <w:sz w:val="28"/>
          <w:szCs w:val="28"/>
          <w:rtl w:val="true"/>
          <w:lang w:bidi="fa-IR"/>
        </w:rPr>
        <w:t>فی مستثنیات</w:t>
      </w:r>
    </w:p>
    <w:p>
      <w:pPr>
        <w:pStyle w:val="BookText"/>
        <w:rPr/>
      </w:pPr>
      <w:r>
        <w:rPr>
          <w:rFonts w:ascii="IRNazanin" w:hAnsi="IRNazanin" w:eastAsia="IRNazanin"/>
          <w:color w:val="111111"/>
          <w:sz w:val="28"/>
          <w:sz w:val="28"/>
          <w:szCs w:val="28"/>
          <w:rtl w:val="true"/>
          <w:lang w:bidi="fa-IR"/>
        </w:rPr>
        <w:t xml:space="preserve">الغیبة ما لو علّق الذمّ بطائفة أو أهل بلدة أو أهل قریة مع قیام القرینة علی عدم إرادة الجمیع،کذمّ العرب أو العجم أو أهل الکوفة أو البصرة و بعض القری </w:t>
      </w:r>
      <w:r>
        <w:rPr>
          <w:rStyle w:val="FootnoteAnchor"/>
          <w:rtl w:val="true"/>
        </w:rPr>
        <w:footnoteReference w:id="13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الأغلب،ففی کونه اغتیاباً لکلٍّ منهم و عدمه،ما تقدّم فی المحصور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بالجملة،فالمدار فی التحریم غیر المدار فی صدق الغیبة،و بینهما عموم من وجه</w:t>
      </w:r>
      <w:r>
        <w:rPr>
          <w:rFonts w:eastAsia="IRNazanin" w:cs="IRNazanin"/>
          <w:color w:val="111111"/>
          <w:sz w:val="28"/>
          <w:szCs w:val="28"/>
          <w:rtl w:val="true"/>
          <w:lang w:bidi="fa-IR"/>
        </w:rPr>
        <w:t>.</w:t>
      </w:r>
      <w:bookmarkStart w:id="368" w:name="pg19762_189586"/>
    </w:p>
    <w:p>
      <w:pPr>
        <w:pStyle w:val="Heading6"/>
        <w:numPr>
          <w:ilvl w:val="5"/>
          <w:numId w:val="1"/>
        </w:numPr>
        <w:rPr/>
      </w:pPr>
      <w:bookmarkStart w:id="369" w:name="__RefHeading___Toc5003718_2314609296"/>
      <w:bookmarkStart w:id="370" w:name="_Toc142"/>
      <w:bookmarkEnd w:id="368"/>
      <w:bookmarkEnd w:id="369"/>
      <w:r>
        <w:rPr>
          <w:rtl w:val="true"/>
        </w:rPr>
        <w:t>الثانی فی کفارة الغیبة الماحیة لها</w:t>
      </w:r>
      <w:bookmarkEnd w:id="370"/>
    </w:p>
    <w:p>
      <w:pPr>
        <w:pStyle w:val="BookText"/>
        <w:rPr/>
      </w:pPr>
      <w:r>
        <w:rPr>
          <w:rFonts w:ascii="IRNazanin" w:hAnsi="IRNazanin" w:eastAsia="IRNazanin"/>
          <w:color w:val="111111"/>
          <w:sz w:val="28"/>
          <w:sz w:val="28"/>
          <w:szCs w:val="28"/>
          <w:rtl w:val="true"/>
          <w:lang w:bidi="fa-IR"/>
        </w:rPr>
        <w:t>و مقتضی کونها من حقوق الناس توقّف رفعها علی إسقاط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کونها من حقوق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ظلم علی المغتاب،و للأخبار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المؤمن علی المؤمن أن لا یغتابه</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عرض المسلم کحرمة دمه و ماله</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توقّف رفعها علی إبراء ذی الحقّ،فللمستفیضة المعتضدة بالأصل</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أنّ الغیبة لا تُغْفَر حتی یَغْفِر صاحبها </w:t>
      </w:r>
      <w:r>
        <w:rPr>
          <w:rStyle w:val="FootnoteAnchor"/>
          <w:rtl w:val="true"/>
        </w:rPr>
        <w:footnoteReference w:id="13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أنّها ناقلة للحسنات و السیئات </w:t>
      </w:r>
      <w:r>
        <w:rPr>
          <w:rStyle w:val="FootnoteAnchor"/>
          <w:rtl w:val="true"/>
        </w:rPr>
        <w:footnoteReference w:id="1389"/>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حکاه غیر واحد عن الشیخ الکراجکی بسنده المتصل إلی علی بن الحسین،عن أبیه </w:t>
      </w:r>
      <w:r>
        <w:rPr>
          <w:rStyle w:val="FootnoteAnchor"/>
          <w:rtl w:val="true"/>
        </w:rPr>
        <w:footnoteReference w:id="1391"/>
      </w:r>
      <w:r>
        <w:rPr>
          <w:rFonts w:ascii="IRNazanin" w:hAnsi="IRNazanin" w:eastAsia="IRNazanin"/>
          <w:color w:val="111111"/>
          <w:sz w:val="28"/>
          <w:sz w:val="28"/>
          <w:szCs w:val="28"/>
          <w:rtl w:val="true"/>
          <w:lang w:bidi="fa-IR"/>
        </w:rPr>
        <w:t>عن أمیر المؤمنین علیهم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علی أخیه ثلاثون حقاً لا براءة له منها إلّا بأدائها،أو العفو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أحدکم لیدع من حقوق أخیه شیئاً فیطالبه به یوم القیامة،فیقضی له علیه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النبویّ المحکی فی السرائر و 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لأخیه</w:t>
      </w:r>
    </w:p>
    <w:p>
      <w:pPr>
        <w:pStyle w:val="BookText"/>
        <w:rPr/>
      </w:pPr>
      <w:r>
        <w:rPr>
          <w:rFonts w:ascii="IRNazanin" w:hAnsi="IRNazanin" w:eastAsia="IRNazanin"/>
          <w:color w:val="111111"/>
          <w:sz w:val="28"/>
          <w:sz w:val="28"/>
          <w:szCs w:val="28"/>
          <w:rtl w:val="true"/>
          <w:lang w:bidi="fa-IR"/>
        </w:rPr>
        <w:t xml:space="preserve">عنده مظلمة فی عرض أو مال فلیستحللها من قبل أن یأتی یوم لیس هناک درهم و لا دینار،فیؤخذ من حسناته،فإن لم تکن له حسنات أُخذ من سیّئات صاحبه فیتزاید </w:t>
      </w:r>
      <w:r>
        <w:rPr>
          <w:rStyle w:val="FootnoteAnchor"/>
          <w:rtl w:val="true"/>
        </w:rPr>
        <w:footnoteReference w:id="1394"/>
      </w:r>
      <w:r>
        <w:rPr>
          <w:rFonts w:ascii="Amiri" w:hAnsi="Amiri" w:eastAsia="Amiri" w:cs="Amiri"/>
          <w:color w:val="111111"/>
          <w:sz w:val="28"/>
          <w:sz w:val="28"/>
          <w:szCs w:val="28"/>
          <w:rtl w:val="true"/>
          <w:lang w:bidi="ar-SA"/>
        </w:rPr>
        <w:t>علی سیّئاته</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نبویٍّ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مسلماً أو مسلمةً لم یقبل اللّه صلاته و لا صیامه أربعین یوماً و لیلة،إلّا أن یغفر له صاحبه</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الدعاء التاسع و الثلاثین من أدعیة الصحیفة السجادیة </w:t>
      </w:r>
      <w:r>
        <w:rPr>
          <w:rStyle w:val="FootnoteAnchor"/>
          <w:rtl w:val="true"/>
        </w:rPr>
        <w:footnoteReference w:id="1397"/>
      </w:r>
      <w:r>
        <w:rPr>
          <w:rFonts w:ascii="IRNazanin" w:hAnsi="IRNazanin" w:eastAsia="IRNazanin"/>
          <w:color w:val="111111"/>
          <w:sz w:val="28"/>
          <w:sz w:val="28"/>
          <w:szCs w:val="28"/>
          <w:rtl w:val="true"/>
          <w:lang w:bidi="fa-IR"/>
        </w:rPr>
        <w:t xml:space="preserve">و دعاء یوم الاثنین من ملحقاتها </w:t>
      </w:r>
      <w:r>
        <w:rPr>
          <w:rStyle w:val="FootnoteAnchor"/>
          <w:rtl w:val="true"/>
        </w:rPr>
        <w:footnoteReference w:id="1398"/>
      </w:r>
      <w:r>
        <w:rPr>
          <w:rFonts w:ascii="IRNazanin" w:hAnsi="IRNazanin" w:eastAsia="IRNazanin"/>
          <w:color w:val="111111"/>
          <w:sz w:val="28"/>
          <w:sz w:val="28"/>
          <w:szCs w:val="28"/>
          <w:rtl w:val="true"/>
          <w:lang w:bidi="fa-IR"/>
        </w:rPr>
        <w:t>ما یدلّ علی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مقتضی الأصل و الأخبار بین التمکّن من الوصول إلی صاحبه و تعذره؛لأنّ تعذّر البراءة لا یوجب سقوط الحق،کما فی غیر هذا المقام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روی السکونی </w:t>
      </w:r>
      <w:r>
        <w:rPr>
          <w:rStyle w:val="FootnoteAnchor"/>
          <w:rtl w:val="true"/>
        </w:rPr>
        <w:footnoteReference w:id="1399"/>
      </w:r>
      <w:r>
        <w:rPr>
          <w:rFonts w:ascii="IRNazanin" w:hAnsi="IRNazanin" w:eastAsia="IRNazanin"/>
          <w:color w:val="111111"/>
          <w:sz w:val="28"/>
          <w:sz w:val="28"/>
          <w:szCs w:val="28"/>
          <w:rtl w:val="true"/>
          <w:lang w:bidi="fa-IR"/>
        </w:rPr>
        <w:t>عن أبی عبد اللّه علیه السلام عن</w:t>
      </w:r>
    </w:p>
    <w:p>
      <w:pPr>
        <w:pStyle w:val="BookText"/>
        <w:rPr/>
      </w:pP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کفارة الاغتیاب أن تستغفر لمن اغتبته کلّما </w:t>
      </w:r>
      <w:r>
        <w:rPr>
          <w:rStyle w:val="FootnoteAnchor"/>
          <w:rtl w:val="true"/>
        </w:rPr>
        <w:footnoteReference w:id="1400"/>
      </w:r>
      <w:r>
        <w:rPr>
          <w:rFonts w:ascii="IRNazanin" w:hAnsi="IRNazanin" w:eastAsia="IRNazanin"/>
          <w:color w:val="111111"/>
          <w:sz w:val="28"/>
          <w:sz w:val="28"/>
          <w:szCs w:val="28"/>
          <w:rtl w:val="true"/>
          <w:lang w:bidi="fa-IR"/>
        </w:rPr>
        <w:t>ذکرته</w:t>
      </w:r>
      <w:r>
        <w:rPr>
          <w:rFonts w:eastAsia="IRNazanin" w:cs="IRNazanin"/>
          <w:color w:val="111111"/>
          <w:sz w:val="28"/>
          <w:szCs w:val="28"/>
          <w:rtl w:val="true"/>
          <w:lang w:bidi="fa-IR"/>
        </w:rPr>
        <w:t xml:space="preserve">» </w:t>
      </w:r>
      <w:r>
        <w:rPr>
          <w:rStyle w:val="FootnoteAnchor"/>
          <w:rtl w:val="true"/>
        </w:rPr>
        <w:footnoteReference w:id="1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سنده أمکن تخصیص الإطلاقات المتقدمة به،فیکون الاستغفار طریقاً أیضاً إلی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العدم أیضاً؛لأنّ کون الاستغفار کفارة لا یدلّ علی البراءة،فلعله کفارة للذنب من حیث کونه حقاً للّه تعالی،نظیر کفارة قتل الخطأ التی لا توجب براءة القاتل، إلّا أن یدّعی ظهور السیاق فی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کشف الریبة بعد ذکر النبویّین الأخیرین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الجمع بینهما بحمل الاستغفار له علی من لم تبلغ غیبته المغتاب، فینبغی له الاقتصار علی الدعاء و الاستغفار؛لأنّ فی محالّته إثارةً للفتنة و جلباً للضغائن،و فی حکم من لم تبلغه من لم یقدر علی الوصول إلیه لموت أو غیبة،و حمل المحالّة علی من یمکن التوصّل إلیه مع بلوغه الغیبة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النبویّ الأخیر سنداً فلا مانع عن العمل به،بجعله طریقاً إلی البراءة مطلقاً فی مقابل الاستبراء،و إلّا تعیّن طرحه و الرجوع إلی الأصل و إطلاق الأخبار المتقدمة،و تعذر الاستبراء أو وجود المفسدة فیه لا یوجب وجود مبرئ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نعم،أرسل بعض من قارب عصرنا </w:t>
      </w:r>
      <w:r>
        <w:rPr>
          <w:rStyle w:val="FootnoteAnchor"/>
          <w:rtl w:val="true"/>
        </w:rPr>
        <w:footnoteReference w:id="1403"/>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إن اغتبت فبلغ المغتاب فاستحلّ منه،و إن لم یبلغه فاستغفر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السکونی المرویة فی الکافی فی باب الظلم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أحداً ففاته،فلیستغفر اللّه له؛فإنّه کفّارة له</w:t>
      </w:r>
      <w:r>
        <w:rPr>
          <w:rFonts w:eastAsia="IRNazanin" w:cs="IRNazanin"/>
          <w:color w:val="111111"/>
          <w:sz w:val="28"/>
          <w:szCs w:val="28"/>
          <w:rtl w:val="true"/>
          <w:lang w:bidi="fa-IR"/>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الإنصاف،أنّ الأخبار الواردة فی هذا الباب کلّها غیر نقیّة السند، و أصالة البراءة تقتضی عدم وجوب الاستحلال و لا الاستغفار،و أصالة بقاء الحق الثابت للمغتاب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عدم الخروج منه إلّا بالاستحلال خاصة،لکن المثبت لکون الغیبة حقاً بمعنی وجوب البراءة منه لیس إلّا الأخبار غیر النقیّة السند،مع أنّ السند لو کان نقیّاً کانت الدلالة ضعیفة؛لذکر حقوق أُخر فی الروایات، لا قائل بوجوب البراءة منها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القضاء یوم القیامة لذیها علی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المعاملة معه معاملة من لم یراع حقوق المؤمن،لا العقاب علیها،کما لا یخفی علی من لاحظ الحقوق الثلاثین المذکورة فی روایة الکراجکی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فالقول بعدم کونه حقّا للناس بمعنی وجوب البراءة،نظیر الحقوق المالیّة،لا یخلو عن قوّة،و إن کان الاحتیاط فی خلافه،بل لا یخلو عن قرب؛من جهة کثرة الأخبار الدالة علی وجوب الاستبراء منها، بل اعتبار سند بعضها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الأحوط الاستحلال إن تیسّر،و إلّا فالاستغفار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غفر اللّه لمن اغتبناه و لمن اغتابنا بحقِّ محمدٍ و آله الطاهرین صلوات اللّه علیهم أجمعین</w:t>
      </w:r>
      <w:r>
        <w:rPr>
          <w:rFonts w:eastAsia="IRNazanin" w:cs="IRNazanin"/>
          <w:color w:val="111111"/>
          <w:sz w:val="28"/>
          <w:szCs w:val="28"/>
          <w:rtl w:val="true"/>
          <w:lang w:bidi="fa-IR"/>
        </w:rPr>
        <w:t>.</w:t>
      </w:r>
      <w:bookmarkStart w:id="371" w:name="pg19762_189592"/>
    </w:p>
    <w:p>
      <w:pPr>
        <w:pStyle w:val="Heading6"/>
        <w:numPr>
          <w:ilvl w:val="5"/>
          <w:numId w:val="1"/>
        </w:numPr>
        <w:rPr/>
      </w:pPr>
      <w:bookmarkStart w:id="372" w:name="__RefHeading___Toc5003720_2314609296"/>
      <w:bookmarkStart w:id="373" w:name="_Toc143"/>
      <w:bookmarkEnd w:id="371"/>
      <w:bookmarkEnd w:id="372"/>
      <w:r>
        <w:rPr>
          <w:rtl w:val="true"/>
        </w:rPr>
        <w:t>الثالث فیما استثنی من الغیبة و حکم بجوازها بالمعنی الأعم</w:t>
      </w:r>
      <w:bookmarkEnd w:id="373"/>
    </w:p>
    <w:p>
      <w:pPr>
        <w:pStyle w:val="BookText"/>
        <w:rPr/>
      </w:pPr>
      <w:r>
        <w:rPr>
          <w:rFonts w:ascii="IRNazanin" w:hAnsi="IRNazanin" w:eastAsia="IRNazanin"/>
          <w:color w:val="111111"/>
          <w:sz w:val="28"/>
          <w:sz w:val="28"/>
          <w:szCs w:val="28"/>
          <w:rtl w:val="true"/>
          <w:lang w:bidi="fa-IR"/>
        </w:rPr>
        <w:t>فاعلم أنّ المستفاد من الأخبار المتقدمة و غیرها أنّ حرمة الغیبة لأجل انتقاص المؤمن و تأذّیه منه،فإذا فرض هناک مصلحة راجعة إلی المغتاب بالکسر،أو بالفتح،أو ثالث دلّ العقل أو الشرع علی کونها أعظم من مصلحة احترام المؤمن بترک ذلک القول فیه،وجب کون الحکم علی طبق أقوی المصلحتین،کما هو الحال فی کلّ معصیة من حقوق اللّه و حقوق الناس،و قد نبّه علیه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المقاصد بعد ما تقدّم عنه فی تعریف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ضابط الغیبة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فعل یقصد به هتک عرض المؤمن،أو التفکّه به، أو إضحاک الناس منه،و أمّا ما کان لغرض صحیح فلا یحرم،کنصح المستشیر،و التظلّم و سماعه،و الجرح و التعدیل،و ردّ من ادّعی نسباً لیس له،و القدح فی مقالة باطلة خصوصاً فی الدین </w:t>
      </w:r>
      <w:r>
        <w:rPr>
          <w:rStyle w:val="FootnoteAnchor"/>
          <w:rtl w:val="true"/>
        </w:rPr>
        <w:footnoteReference w:id="14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المرخّص فی ذکر مساءة الغیر هو غرض صحیح فی الشرع لا یمکن التوصل إلیه إلّا به </w:t>
      </w:r>
      <w:r>
        <w:rPr>
          <w:rStyle w:val="FootnoteAnchor"/>
          <w:rtl w:val="true"/>
        </w:rPr>
        <w:footnoteReference w:id="1408"/>
      </w:r>
      <w:r>
        <w:rPr>
          <w:rFonts w:ascii="IRNazanin" w:hAnsi="IRNazanin" w:eastAsia="IRNazanin"/>
          <w:color w:val="111111"/>
          <w:sz w:val="28"/>
          <w:sz w:val="28"/>
          <w:szCs w:val="28"/>
          <w:rtl w:val="true"/>
          <w:lang w:bidi="fa-IR"/>
        </w:rPr>
        <w:t xml:space="preserve">،انتهی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bookmarkStart w:id="374" w:name="pg19762_189593"/>
    </w:p>
    <w:p>
      <w:pPr>
        <w:pStyle w:val="BookText"/>
        <w:rPr/>
      </w:pPr>
      <w:bookmarkEnd w:id="374"/>
      <w:r>
        <w:rPr>
          <w:rFonts w:ascii="IRNazanin" w:hAnsi="IRNazanin" w:eastAsia="IRNazanin"/>
          <w:color w:val="111111"/>
          <w:sz w:val="28"/>
          <w:sz w:val="28"/>
          <w:szCs w:val="28"/>
          <w:rtl w:val="true"/>
          <w:lang w:bidi="fa-IR"/>
        </w:rPr>
        <w:t>و علی هذا،فموارد الاستثناء لا تنحصر فی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Heading6"/>
        <w:numPr>
          <w:ilvl w:val="5"/>
          <w:numId w:val="1"/>
        </w:numPr>
        <w:rPr/>
      </w:pPr>
      <w:bookmarkStart w:id="375" w:name="__RefHeading___Toc5003722_2314609296"/>
      <w:bookmarkStart w:id="376" w:name="_Toc144"/>
      <w:bookmarkEnd w:id="375"/>
      <w:r>
        <w:rPr>
          <w:rtl w:val="true"/>
        </w:rPr>
        <w:t>الظاهر استثناء موضعین لجواز الغیبة من دون مصلحة</w:t>
      </w:r>
      <w:r>
        <w:rPr>
          <w:rtl w:val="true"/>
        </w:rPr>
        <w:t>:</w:t>
      </w:r>
      <w:bookmarkEnd w:id="376"/>
    </w:p>
    <w:p>
      <w:pPr>
        <w:pStyle w:val="Heading6"/>
        <w:numPr>
          <w:ilvl w:val="5"/>
          <w:numId w:val="1"/>
        </w:numPr>
        <w:rPr/>
      </w:pPr>
      <w:bookmarkStart w:id="377" w:name="__RefHeading___Toc5003724_2314609296"/>
      <w:bookmarkStart w:id="378" w:name="_Toc145"/>
      <w:bookmarkEnd w:id="377"/>
      <w:r>
        <w:rPr>
          <w:rtl w:val="true"/>
        </w:rPr>
        <w:t>أحدهما</w:t>
      </w:r>
      <w:r>
        <w:rPr>
          <w:rtl w:val="true"/>
        </w:rPr>
        <w:t>:</w:t>
      </w:r>
      <w:bookmarkEnd w:id="378"/>
    </w:p>
    <w:p>
      <w:pPr>
        <w:pStyle w:val="BookText"/>
        <w:rPr/>
      </w:pPr>
      <w:r>
        <w:rPr>
          <w:rFonts w:ascii="IRNazanin" w:hAnsi="IRNazanin" w:eastAsia="IRNazanin"/>
          <w:color w:val="111111"/>
          <w:sz w:val="28"/>
          <w:sz w:val="28"/>
          <w:szCs w:val="28"/>
          <w:rtl w:val="true"/>
          <w:lang w:bidi="fa-IR"/>
        </w:rPr>
        <w:t>ما إذا کان المغتاب متجاهراً بالفسق؛</w:t>
      </w:r>
    </w:p>
    <w:p>
      <w:pPr>
        <w:pStyle w:val="BookText"/>
        <w:rPr/>
      </w:pPr>
      <w:r>
        <w:rPr>
          <w:rFonts w:ascii="IRNazanin" w:hAnsi="IRNazanin" w:eastAsia="IRNazanin"/>
          <w:color w:val="111111"/>
          <w:sz w:val="28"/>
          <w:sz w:val="28"/>
          <w:szCs w:val="28"/>
          <w:rtl w:val="true"/>
          <w:lang w:bidi="fa-IR"/>
        </w:rPr>
        <w:t>فإنّ من لا یبالی بظهور فسقه بین الناس لا یکره ذکره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فی مقام ذمّه کرهه من حیث المذمّة،لکن المذمّة علی الفسق المتجاهر به لا تحرم، کما لا یحرم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w:t>
      </w:r>
      <w:r>
        <w:rPr>
          <w:rStyle w:val="FootnoteAnchor"/>
          <w:rtl w:val="true"/>
        </w:rPr>
        <w:footnoteReference w:id="1410"/>
      </w:r>
      <w:r>
        <w:rPr>
          <w:rFonts w:ascii="IRNazanin" w:hAnsi="IRNazanin" w:eastAsia="IRNazanin"/>
          <w:color w:val="111111"/>
          <w:sz w:val="28"/>
          <w:sz w:val="28"/>
          <w:szCs w:val="28"/>
          <w:rtl w:val="true"/>
          <w:lang w:bidi="fa-IR"/>
        </w:rPr>
        <w:t>عن الصحاح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الأخبار المستفیضة جواز غیبة المتجاهر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روایة هارون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جاهر الفاسق بفسقه فلا حرمة له و لا غیبة</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ألقی جلباب الحیاء فلا غیبة له</w:t>
      </w:r>
      <w:r>
        <w:rPr>
          <w:rFonts w:eastAsia="IRNazanin" w:cs="IRNazanin"/>
          <w:color w:val="111111"/>
          <w:sz w:val="28"/>
          <w:szCs w:val="28"/>
          <w:rtl w:val="true"/>
          <w:lang w:bidi="fa-IR"/>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 لهم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هوی مبتدع،و الإمام الجائر،و الفاسق المعلن بفسقه</w:t>
      </w:r>
      <w:r>
        <w:rPr>
          <w:rFonts w:eastAsia="IRNazanin" w:cs="IRNazanin"/>
          <w:color w:val="111111"/>
          <w:sz w:val="28"/>
          <w:szCs w:val="28"/>
          <w:rtl w:val="true"/>
          <w:lang w:bidi="fa-IR"/>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 فلم یظلمهم،و حدّثهم فلم</w:t>
      </w:r>
    </w:p>
    <w:p>
      <w:pPr>
        <w:pStyle w:val="BookText"/>
        <w:rPr/>
      </w:pPr>
      <w:r>
        <w:rPr>
          <w:rFonts w:ascii="IRNazanin" w:hAnsi="IRNazanin" w:eastAsia="IRNazanin"/>
          <w:color w:val="111111"/>
          <w:sz w:val="28"/>
          <w:sz w:val="28"/>
          <w:szCs w:val="28"/>
          <w:rtl w:val="true"/>
          <w:lang w:bidi="fa-IR"/>
        </w:rPr>
        <w:t>یکذبهم،و وعدهم فلم یخلفهم،فهو ممن کملت مروّته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عدله</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و وجبت اخوّته،و حرمت غیبته</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ابن أبی یعفور الواردة فی بیان العدالة،بعد تعریف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علی ذلک أن یکون ساتراً لعیوبه حتی یحرم علی المسلمین تفتیش ما وراء ذلک من عثراته</w:t>
      </w:r>
      <w:r>
        <w:rPr>
          <w:rFonts w:eastAsia="IRNazanin" w:cs="IRNazanin"/>
          <w:color w:val="111111"/>
          <w:sz w:val="28"/>
          <w:szCs w:val="28"/>
          <w:rtl w:val="true"/>
          <w:lang w:bidi="fa-IR"/>
        </w:rPr>
        <w:t xml:space="preserve">» </w:t>
      </w:r>
      <w:r>
        <w:rPr>
          <w:rStyle w:val="FootnoteAnchor"/>
          <w:rtl w:val="true"/>
        </w:rPr>
        <w:footnoteReference w:id="1416"/>
      </w:r>
      <w:r>
        <w:rPr>
          <w:rFonts w:ascii="Amiri" w:hAnsi="Amiri" w:eastAsia="Amiri" w:cs="Amiri"/>
          <w:color w:val="111111"/>
          <w:sz w:val="28"/>
          <w:sz w:val="28"/>
          <w:szCs w:val="28"/>
          <w:rtl w:val="true"/>
          <w:lang w:bidi="ar-SA"/>
        </w:rPr>
        <w:t xml:space="preserve">دلّ </w:t>
      </w:r>
      <w:r>
        <w:rPr>
          <w:rStyle w:val="FootnoteAnchor"/>
          <w:rtl w:val="true"/>
        </w:rPr>
        <w:footnoteReference w:id="1417"/>
      </w:r>
      <w:r>
        <w:rPr>
          <w:rFonts w:ascii="IRNazanin" w:hAnsi="IRNazanin" w:eastAsia="IRNazanin"/>
          <w:color w:val="111111"/>
          <w:sz w:val="28"/>
          <w:sz w:val="28"/>
          <w:szCs w:val="28"/>
          <w:rtl w:val="true"/>
          <w:lang w:bidi="fa-IR"/>
        </w:rPr>
        <w:t>علی ترتّب حرمة التفتیش علی کون الرجل ساتراً،فتنتفی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 قوله علیه السلام فی روایة علقمة المحکیة عن المحاسن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تره بعینک یرتکب ذنباً و لم یشهد علیه شاهدان فهو من أهل العدالة و الستر،و شهادته مقبولة و إن کان فی نفسه مذنباً،و من اغتابه بما فیه فهو خارج عن ولایة اللّه تعالی،داخل فی ولایة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 دلّ علی ترتب حرمة الاغتیاب و قبول الشهادة علی کونه من أهل الستر و کونه من أهل العدالة علی طریق اللفّ و النشر أو علی اشتراط الکلّ بکون الرجل غیر مرئی منه المعصیة و لا مشهوداً علیه بها،</w:t>
      </w:r>
    </w:p>
    <w:p>
      <w:pPr>
        <w:pStyle w:val="BookText"/>
        <w:rPr/>
      </w:pPr>
      <w:r>
        <w:rPr>
          <w:rFonts w:ascii="IRNazanin" w:hAnsi="IRNazanin" w:eastAsia="IRNazanin"/>
          <w:color w:val="111111"/>
          <w:sz w:val="28"/>
          <w:sz w:val="28"/>
          <w:szCs w:val="28"/>
          <w:rtl w:val="true"/>
          <w:lang w:bidi="fa-IR"/>
        </w:rPr>
        <w:t>و مقتضی المفهوم جواز الاغتیاب مع عدم الشرط،خرج منه غیر المتجاهر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مستأنفة غیر معطوفة علی الجزاء،خلاف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إطلاق الروایات جواز غیبة المتجاهر فی ما تجاهر به، و لو مع عدم قصد غرض صحیح،و لم أجد من قال باعتبار قصد الغرض الصحیح،و هو ارتداعه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نعم،تقدّم عن الشهید الثانی احتمال اعتبار قصد النهی عن المنکر فی جواز سبّ المتجاهر،مع اعترافه بأنّ ظاهر النص و الفتوی عدمه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یجوز اغتیاب المتجاهر فی غیر ما تجاهر به؟ صرّح الشهید الثانی و غیره بعدم الجواز </w:t>
      </w:r>
      <w:r>
        <w:rPr>
          <w:rStyle w:val="FootnoteAnchor"/>
          <w:rtl w:val="true"/>
        </w:rPr>
        <w:footnoteReference w:id="1421"/>
      </w:r>
      <w:r>
        <w:rPr>
          <w:rFonts w:ascii="IRNazanin" w:hAnsi="IRNazanin" w:eastAsia="IRNazanin"/>
          <w:color w:val="111111"/>
          <w:sz w:val="28"/>
          <w:sz w:val="28"/>
          <w:szCs w:val="28"/>
          <w:rtl w:val="true"/>
          <w:lang w:bidi="fa-IR"/>
        </w:rPr>
        <w:t xml:space="preserve">،و حکی عن الشهید أیضاً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الروایات النافیة لاحترام المتجاهر و غیر الساتر </w:t>
      </w:r>
      <w:r>
        <w:rPr>
          <w:rStyle w:val="FootnoteAnchor"/>
          <w:rtl w:val="true"/>
        </w:rPr>
        <w:footnoteReference w:id="1423"/>
      </w:r>
      <w:r>
        <w:rPr>
          <w:rFonts w:ascii="IRNazanin" w:hAnsi="IRNazanin" w:eastAsia="IRNazanin"/>
          <w:color w:val="111111"/>
          <w:sz w:val="28"/>
          <w:sz w:val="28"/>
          <w:szCs w:val="28"/>
          <w:rtl w:val="true"/>
          <w:lang w:bidi="fa-IR"/>
        </w:rPr>
        <w:t xml:space="preserve">هو الجواز،و استظهره فی الحدائق من کلام جملة من الأعلام </w:t>
      </w:r>
      <w:r>
        <w:rPr>
          <w:rStyle w:val="FootnoteAnchor"/>
          <w:rtl w:val="true"/>
        </w:rPr>
        <w:footnoteReference w:id="1424"/>
      </w:r>
      <w:r>
        <w:rPr>
          <w:rFonts w:ascii="IRNazanin" w:hAnsi="IRNazanin" w:eastAsia="IRNazanin"/>
          <w:color w:val="111111"/>
          <w:sz w:val="28"/>
          <w:sz w:val="28"/>
          <w:szCs w:val="28"/>
          <w:rtl w:val="true"/>
          <w:lang w:bidi="fa-IR"/>
        </w:rPr>
        <w:t xml:space="preserve">و صرح به بعض الأساطین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ینبغی إلحاق ما یتستّر به بما یتجاهر فیه إذا کان دونه فی القبح، فمن تجاهر باللواط و العیاذ باللّه جاز اغتیابه بالتعرض للنساء الأجانب </w:t>
      </w:r>
      <w:r>
        <w:rPr>
          <w:rStyle w:val="FootnoteAnchor"/>
          <w:rtl w:val="true"/>
        </w:rPr>
        <w:footnoteReference w:id="1426"/>
      </w:r>
      <w:r>
        <w:rPr>
          <w:rFonts w:ascii="IRNazanin" w:hAnsi="IRNazanin" w:eastAsia="IRNazanin"/>
          <w:color w:val="111111"/>
          <w:sz w:val="28"/>
          <w:sz w:val="28"/>
          <w:szCs w:val="28"/>
          <w:rtl w:val="true"/>
          <w:lang w:bidi="fa-IR"/>
        </w:rPr>
        <w:t>، و مَن تجاهر بقطع الطرق جاز اغتیابه بالسرقة،و من تجاهر بکونه جلّاد السلطان یقتل الناس و ینکّلهم جاز اغتیابه بشرب الخمر،و من تجاهر بالقبائح المعروفة جاز اغتیابه بکل قبیح؛و لعلّ هذا هو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ألقی جلباب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تجاهر بمعصیة خاصة و عُدّ مستوراً بالنسبة إلی غیرها،کبعض عمّال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بالمتجاهر من تجاهر بالقبیح بعنوان أنّه قبیح،فلو تجاهر به مع إظهار محمل له لا یعرف فساده إلّا القلیل کما إذا کان من عمّال الظلمة و ادّعی فی ذلک عذراً مخالفاً للواقع،أو غیر مسموع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 متجاهراً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اعتذاره واضح الفساد لم یخرج عن المتجاهر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متجاهراً عند أهل بلده أو محلته مستوراً عند غیرهم، هل یجوز ذکره عند غیرهم؟ففیه إشکال،من إمکان </w:t>
      </w:r>
      <w:r>
        <w:rPr>
          <w:rStyle w:val="FootnoteAnchor"/>
          <w:rtl w:val="true"/>
        </w:rPr>
        <w:footnoteReference w:id="1427"/>
      </w:r>
      <w:r>
        <w:rPr>
          <w:rFonts w:ascii="IRNazanin" w:hAnsi="IRNazanin" w:eastAsia="IRNazanin"/>
          <w:color w:val="111111"/>
          <w:sz w:val="28"/>
          <w:sz w:val="28"/>
          <w:szCs w:val="28"/>
          <w:rtl w:val="true"/>
          <w:lang w:bidi="fa-IR"/>
        </w:rPr>
        <w:t>دعوی ظهور روایات الرخصة فی من لا یستنکف عن الاطلاع علی عمله مطلقاً، فربّ متجاهر فی بلد،متستّر فی بلاد الغربة أو فی طریق الحجّ و الزیارة؛ لئلّا یقع عن عیون الناس</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بالجملة،فحیث کان الأصل فی المؤمن الاحترام علی الإطلاق، وجب الاقتصار علی ما تیقّن خروجه</w:t>
      </w:r>
      <w:r>
        <w:rPr>
          <w:rFonts w:eastAsia="IRNazanin" w:cs="IRNazanin"/>
          <w:color w:val="111111"/>
          <w:sz w:val="28"/>
          <w:szCs w:val="28"/>
          <w:rtl w:val="true"/>
          <w:lang w:bidi="fa-IR"/>
        </w:rPr>
        <w:t>.</w:t>
      </w:r>
      <w:bookmarkStart w:id="379" w:name="pg19762_189597"/>
    </w:p>
    <w:p>
      <w:pPr>
        <w:pStyle w:val="BookText"/>
        <w:rPr/>
      </w:pPr>
      <w:bookmarkEnd w:id="379"/>
      <w:r>
        <w:rPr>
          <w:rFonts w:ascii="IRNazanin" w:hAnsi="IRNazanin" w:eastAsia="IRNazanin"/>
          <w:color w:val="111111"/>
          <w:sz w:val="28"/>
          <w:sz w:val="28"/>
          <w:szCs w:val="28"/>
          <w:rtl w:val="true"/>
          <w:lang w:bidi="fa-IR"/>
        </w:rPr>
        <w:t>فالأحوط الاقتصار علی ذکر المتجاهر بما لا یکرهه لو سمعه و لا یستنکف من ظهوره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تأذّی من ذمّه بذلک دون ظهوره،لم یقدح فی الجواز؛ و لذا جاز سبّه بما لا یکون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الفارق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مناط الأوّل المذمّة و التنقیص فیجوز،و مناط الثانی إظهار عیوبه فلا یجوز إلّا بمقدار الرخصة</w:t>
      </w:r>
      <w:r>
        <w:rPr>
          <w:rFonts w:eastAsia="IRNazanin" w:cs="IRNazanin"/>
          <w:color w:val="111111"/>
          <w:sz w:val="28"/>
          <w:szCs w:val="28"/>
          <w:rtl w:val="true"/>
          <w:lang w:bidi="fa-IR"/>
        </w:rPr>
        <w:t>.</w:t>
      </w:r>
    </w:p>
    <w:p>
      <w:pPr>
        <w:pStyle w:val="Heading6"/>
        <w:numPr>
          <w:ilvl w:val="5"/>
          <w:numId w:val="1"/>
        </w:numPr>
        <w:rPr/>
      </w:pPr>
      <w:bookmarkStart w:id="380" w:name="__RefHeading___Toc5003726_2314609296"/>
      <w:bookmarkStart w:id="381" w:name="_Toc146"/>
      <w:bookmarkEnd w:id="380"/>
      <w:r>
        <w:rPr>
          <w:rtl w:val="true"/>
        </w:rPr>
        <w:t>الثانی</w:t>
      </w:r>
      <w:r>
        <w:rPr>
          <w:rtl w:val="true"/>
        </w:rPr>
        <w:t>:</w:t>
      </w:r>
      <w:bookmarkEnd w:id="381"/>
    </w:p>
    <w:p>
      <w:pPr>
        <w:pStyle w:val="BookText"/>
        <w:rPr/>
      </w:pPr>
      <w:r>
        <w:rPr>
          <w:rFonts w:ascii="IRNazanin" w:hAnsi="IRNazanin" w:eastAsia="IRNazanin"/>
          <w:color w:val="111111"/>
          <w:sz w:val="28"/>
          <w:sz w:val="28"/>
          <w:szCs w:val="28"/>
          <w:rtl w:val="true"/>
          <w:lang w:bidi="fa-IR"/>
        </w:rPr>
        <w:t>تظلّم المظلوم و إظهار ما فعل به الظالم و إن کان متستراً به</w:t>
      </w:r>
    </w:p>
    <w:p>
      <w:pPr>
        <w:pStyle w:val="BookText"/>
        <w:rPr/>
      </w:pPr>
      <w:r>
        <w:rPr>
          <w:rFonts w:ascii="Amiri" w:hAnsi="Amiri" w:eastAsia="Amiri" w:cs="Amiri"/>
          <w:color w:val="111111"/>
          <w:sz w:val="28"/>
          <w:sz w:val="28"/>
          <w:szCs w:val="28"/>
          <w:rtl w:val="true"/>
          <w:lang w:bidi="ar-SA"/>
        </w:rPr>
        <w:t>کما إذا ضربه فی اللیل الماضی و شتمه،أو أخذ ماله جاز ذکره بذلک عند من لا یعلم ذلک منه؛لظاهر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w:t>
      </w:r>
      <w:r>
        <w:rPr>
          <w:rStyle w:val="FootnoteAnchor"/>
          <w:rtl w:val="true"/>
        </w:rPr>
        <w:footnoteReference w:id="142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إِلاّٰ مَنْ ظُلِمَ </w:t>
      </w:r>
      <w:r>
        <w:rPr>
          <w:rStyle w:val="FootnoteAnchor"/>
          <w:rtl w:val="true"/>
        </w:rPr>
        <w:footnoteReference w:id="1429"/>
      </w:r>
      <w:r>
        <w:rPr>
          <w:rFonts w:ascii="IRNazanin" w:hAnsi="IRNazanin" w:eastAsia="IRNazanin"/>
          <w:color w:val="111111"/>
          <w:sz w:val="28"/>
          <w:sz w:val="28"/>
          <w:szCs w:val="28"/>
          <w:rtl w:val="true"/>
          <w:lang w:bidi="fa-IR"/>
        </w:rPr>
        <w:t>فعن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یحبّ أن یجهر الرجل بالظلم و السوء و یظلم إلّا من ظُلم،فأطلق له أن یعارضه بالظلم</w:t>
      </w:r>
      <w:r>
        <w:rPr>
          <w:rFonts w:eastAsia="IRNazanin" w:cs="IRNazanin"/>
          <w:color w:val="111111"/>
          <w:sz w:val="28"/>
          <w:szCs w:val="28"/>
          <w:rtl w:val="true"/>
          <w:lang w:bidi="fa-IR"/>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تفسیر العیاشی،عنه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أضاف قوماً فأساء ضیافتهم </w:t>
      </w:r>
      <w:r>
        <w:rPr>
          <w:rStyle w:val="FootnoteAnchor"/>
          <w:rtl w:val="true"/>
        </w:rPr>
        <w:footnoteReference w:id="1431"/>
      </w:r>
      <w:r>
        <w:rPr>
          <w:rFonts w:ascii="IRNazanin" w:hAnsi="IRNazanin" w:eastAsia="IRNazanin"/>
          <w:color w:val="111111"/>
          <w:sz w:val="28"/>
          <w:sz w:val="28"/>
          <w:szCs w:val="28"/>
          <w:rtl w:val="true"/>
          <w:lang w:bidi="fa-IR"/>
        </w:rPr>
        <w:t>فهو ممن ظلم،فلا جناح علیهم فیما قالوا فیه</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إن وجب توجیهها،إمّا بحمل الإساءة علی ما یکون ظلماً و هتکاً لاحترامهم أو بغیر ذلک،إلّا أنّها دالّة علی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الشریفة،و أنّ کلّ من ظُلم فلا جُناح علیه فیما قال فی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نحوها فی وجوب </w:t>
      </w:r>
      <w:r>
        <w:rPr>
          <w:rStyle w:val="FootnoteAnchor"/>
          <w:rtl w:val="true"/>
        </w:rPr>
        <w:footnoteReference w:id="1433"/>
      </w:r>
      <w:r>
        <w:rPr>
          <w:rFonts w:ascii="IRNazanin" w:hAnsi="IRNazanin" w:eastAsia="IRNazanin"/>
          <w:color w:val="111111"/>
          <w:sz w:val="28"/>
          <w:sz w:val="28"/>
          <w:szCs w:val="28"/>
          <w:rtl w:val="true"/>
          <w:lang w:bidi="fa-IR"/>
        </w:rPr>
        <w:t>التوجیه روایة أُخری فی هذا المعنی محکیة عن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الضیف ینزل بالرجل فلا یحسن ضیافته،فلا جناح علیه فی أن یذکره بسوء </w:t>
      </w:r>
      <w:r>
        <w:rPr>
          <w:rStyle w:val="FootnoteAnchor"/>
          <w:rtl w:val="true"/>
        </w:rPr>
        <w:footnoteReference w:id="1434"/>
      </w:r>
      <w:r>
        <w:rPr>
          <w:rFonts w:ascii="IRNazanin" w:hAnsi="IRNazanin" w:eastAsia="IRNazanin"/>
          <w:color w:val="111111"/>
          <w:sz w:val="28"/>
          <w:sz w:val="28"/>
          <w:szCs w:val="28"/>
          <w:rtl w:val="true"/>
          <w:lang w:bidi="fa-IR"/>
        </w:rPr>
        <w:t>ما فعله</w:t>
      </w:r>
      <w:r>
        <w:rPr>
          <w:rFonts w:eastAsia="IRNazanin" w:cs="IRNazanin"/>
          <w:color w:val="111111"/>
          <w:sz w:val="28"/>
          <w:szCs w:val="28"/>
          <w:rtl w:val="true"/>
          <w:lang w:bidi="fa-IR"/>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الحکم فیما نحن فیه أنّ فی منع المظلوم من هذا الذی هو نوع من التشفّی حرجاً عظیماً؛و لأنّ فی تشریع الجواز مظنة ردع الظالم،و هی مصلحة خالیة عن مفسدة،فیثبت الجواز؛لأنّ الأحکام تابعة للمصالح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تقدم من عدم الاحترام للإمام الجائر </w:t>
      </w:r>
      <w:r>
        <w:rPr>
          <w:rStyle w:val="FootnoteAnchor"/>
          <w:rtl w:val="true"/>
        </w:rPr>
        <w:footnoteReference w:id="1436"/>
      </w:r>
      <w:r>
        <w:rPr>
          <w:rFonts w:ascii="IRNazanin" w:hAnsi="IRNazanin" w:eastAsia="IRNazanin"/>
          <w:color w:val="111111"/>
          <w:sz w:val="28"/>
          <w:sz w:val="28"/>
          <w:szCs w:val="28"/>
          <w:rtl w:val="true"/>
          <w:lang w:bidi="fa-IR"/>
        </w:rPr>
        <w:t>بناءً علی أنّ عدم احترامه من جهة جوره،لا من جهة تجاهره،و إلّا لم یذکره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المعلن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الحق مقال</w:t>
      </w:r>
      <w:r>
        <w:rPr>
          <w:rFonts w:eastAsia="IRNazanin" w:cs="IRNazanin"/>
          <w:color w:val="111111"/>
          <w:sz w:val="28"/>
          <w:szCs w:val="28"/>
          <w:rtl w:val="true"/>
          <w:lang w:bidi="fa-IR"/>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جمیع ما ذکر عدم تقیید جواز الغیبة بکونها عند من</w:t>
      </w:r>
    </w:p>
    <w:p>
      <w:pPr>
        <w:pStyle w:val="BookText"/>
        <w:rPr/>
      </w:pPr>
      <w:r>
        <w:rPr>
          <w:rFonts w:ascii="IRNazanin" w:hAnsi="IRNazanin" w:eastAsia="IRNazanin"/>
          <w:color w:val="111111"/>
          <w:sz w:val="28"/>
          <w:sz w:val="28"/>
          <w:szCs w:val="28"/>
          <w:rtl w:val="true"/>
          <w:lang w:bidi="fa-IR"/>
        </w:rPr>
        <w:t xml:space="preserve">یرجو إزالة الظلم عنه،و قواه بعض الأساطین </w:t>
      </w:r>
      <w:r>
        <w:rPr>
          <w:rStyle w:val="FootnoteAnchor"/>
          <w:rtl w:val="true"/>
        </w:rPr>
        <w:footnoteReference w:id="1438"/>
      </w:r>
      <w:r>
        <w:rPr>
          <w:rFonts w:ascii="IRNazanin" w:hAnsi="IRNazanin" w:eastAsia="IRNazanin"/>
          <w:color w:val="111111"/>
          <w:sz w:val="28"/>
          <w:sz w:val="28"/>
          <w:szCs w:val="28"/>
          <w:rtl w:val="true"/>
          <w:lang w:bidi="fa-IR"/>
        </w:rPr>
        <w:t xml:space="preserve">،خلافاً لکاشف الریبة </w:t>
      </w:r>
      <w:r>
        <w:rPr>
          <w:rStyle w:val="FootnoteAnchor"/>
          <w:rtl w:val="true"/>
        </w:rPr>
        <w:footnoteReference w:id="1439"/>
      </w:r>
      <w:r>
        <w:rPr>
          <w:rFonts w:ascii="IRNazanin" w:hAnsi="IRNazanin" w:eastAsia="IRNazanin"/>
          <w:color w:val="111111"/>
          <w:sz w:val="28"/>
          <w:sz w:val="28"/>
          <w:szCs w:val="28"/>
          <w:rtl w:val="true"/>
          <w:lang w:bidi="fa-IR"/>
        </w:rPr>
        <w:t xml:space="preserve">و جمع ممن تأخر عنه </w:t>
      </w:r>
      <w:r>
        <w:rPr>
          <w:rStyle w:val="FootnoteAnchor"/>
          <w:rtl w:val="true"/>
        </w:rPr>
        <w:footnoteReference w:id="1440"/>
      </w:r>
      <w:r>
        <w:rPr>
          <w:rFonts w:ascii="IRNazanin" w:hAnsi="IRNazanin" w:eastAsia="IRNazanin"/>
          <w:color w:val="111111"/>
          <w:sz w:val="28"/>
          <w:sz w:val="28"/>
          <w:szCs w:val="28"/>
          <w:rtl w:val="true"/>
          <w:lang w:bidi="fa-IR"/>
        </w:rPr>
        <w:t>فقیَّدوه؛اقتصاراً فی مخالفة الأصل علی المتیقّن من الأدلّة؛لعدم عموم فی الآیة و عدم نهوض ما تقدم فی تفسیرها للحجّیة، مع أنّ المروی عن الباقر علیه السلام فی تفسیرها المحکی عن 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Style w:val="FootnoteAnchor"/>
          <w:rtl w:val="true"/>
        </w:rPr>
        <w:footnoteReference w:id="1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الشتم فی الانتصار إلّا مَن ظُلم،فلا بأس له أن ینتصر ممّن ظلمه بما یجوز الانتصار به فی الدین</w:t>
      </w:r>
      <w:r>
        <w:rPr>
          <w:rFonts w:eastAsia="IRNazanin" w:cs="IRNazanin"/>
          <w:color w:val="111111"/>
          <w:sz w:val="28"/>
          <w:szCs w:val="28"/>
          <w:rtl w:val="true"/>
          <w:lang w:bidi="fa-IR"/>
        </w:rPr>
        <w:t xml:space="preserve">»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الکتاب المذکور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نظیره وَ انْتَصَرُوا مِنْ بَعْدِ مٰا ظُلِمُوا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بعد الآیة </w:t>
      </w:r>
      <w:r>
        <w:rPr>
          <w:rStyle w:val="FootnoteAnchor"/>
          <w:rtl w:val="true"/>
        </w:rPr>
        <w:footnoteReference w:id="1444"/>
      </w:r>
      <w:r>
        <w:rPr>
          <w:rFonts w:ascii="IRNazanin" w:hAnsi="IRNazanin" w:eastAsia="IRNazanin"/>
          <w:color w:val="111111"/>
          <w:sz w:val="28"/>
          <w:sz w:val="28"/>
          <w:szCs w:val="28"/>
          <w:rtl w:val="true"/>
          <w:lang w:bidi="fa-IR"/>
        </w:rPr>
        <w:t>لا یصلح للخروج بها عن الأصل الثابت بالأدلّة العقلیة و النقلیة،و مقتضاه الاقتصار علی مورد رجاء تدارک الظلم، فلو لم یکن قابلاً للتدارک لم تکن فائدة فی هتک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یکن</w:t>
      </w:r>
    </w:p>
    <w:p>
      <w:pPr>
        <w:pStyle w:val="BookText"/>
        <w:rPr/>
      </w:pPr>
      <w:r>
        <w:rPr>
          <w:rFonts w:ascii="IRNazanin" w:hAnsi="IRNazanin" w:eastAsia="IRNazanin"/>
          <w:color w:val="111111"/>
          <w:sz w:val="28"/>
          <w:sz w:val="28"/>
          <w:szCs w:val="28"/>
          <w:rtl w:val="true"/>
          <w:lang w:bidi="fa-IR"/>
        </w:rPr>
        <w:t>ما فعل به ظلماً،بل کان من ترک الأولی،و إن کان یظهر من بعض الأخبار جواز الاشتکاء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الکافی و التهذیب بسندهما عن حماد بن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علی أبی عبد اللّه علیه السلام فشکا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من أصحابه فلم یلبث أن جاء المشکوّ علیه </w:t>
      </w:r>
      <w:r>
        <w:rPr>
          <w:rStyle w:val="FootnoteAnchor"/>
          <w:rtl w:val="true"/>
        </w:rPr>
        <w:footnoteReference w:id="1446"/>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لفلان یشکوک؟فقال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یشکونی أنّی استقضیت منه حقّی،فجلس أبو عبد اللّه علیه السلام مغضباً،فقال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إذا استقضیت حقّک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یَخٰافُونَ سُوءَ الْحِسٰابِ </w:t>
      </w:r>
      <w:r>
        <w:rPr>
          <w:rStyle w:val="FootnoteAnchor"/>
          <w:rtl w:val="true"/>
        </w:rPr>
        <w:footnoteReference w:id="1447"/>
      </w:r>
      <w:r>
        <w:rPr>
          <w:rFonts w:ascii="IRNazanin" w:hAnsi="IRNazanin" w:eastAsia="IRNazanin"/>
          <w:color w:val="111111"/>
          <w:sz w:val="28"/>
          <w:sz w:val="28"/>
          <w:szCs w:val="28"/>
          <w:rtl w:val="true"/>
          <w:lang w:bidi="fa-IR"/>
        </w:rPr>
        <w:t>أ تری أنّهم خافوا اللّه عزّ و جلّ أن یجور علیهم؟لا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خافوا إلاّ الاستقضاء،فسمّاه اللّه عزّ و جلّ سوء الحساب،فمن استقضی فقد أساء</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ثعلبة بن میمون المرویة عن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 قوم یحدّثهم،إذ ذکر رجل منهم رجلاً فوقع فیه و شکاه،فقال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أنّی لک بأخیک کلّه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 الرجال </w:t>
      </w:r>
      <w:r>
        <w:rPr>
          <w:rStyle w:val="FootnoteAnchor"/>
          <w:rtl w:val="true"/>
        </w:rPr>
        <w:footnoteReference w:id="1450"/>
      </w:r>
      <w:bookmarkStart w:id="382" w:name="pg19762_189601"/>
    </w:p>
    <w:p>
      <w:pPr>
        <w:pStyle w:val="BookText"/>
        <w:rPr/>
      </w:pPr>
      <w:bookmarkEnd w:id="382"/>
      <w:r>
        <w:rPr>
          <w:rFonts w:ascii="IRNazanin" w:hAnsi="IRNazanin" w:eastAsia="IRNazanin"/>
          <w:color w:val="111111"/>
          <w:sz w:val="28"/>
          <w:sz w:val="28"/>
          <w:szCs w:val="28"/>
          <w:rtl w:val="true"/>
          <w:lang w:bidi="fa-IR"/>
        </w:rPr>
        <w:t xml:space="preserve">المهذب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 الجواب أنّ الشکوی إنّما کانت من ترک الأولی الذی لا یلیق بالأخ الکامل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کله،فالأحوط عدّ هذه الصورة من الصور العشر الآتیة </w:t>
      </w:r>
      <w:r>
        <w:rPr>
          <w:rStyle w:val="FootnoteAnchor"/>
          <w:rtl w:val="true"/>
        </w:rPr>
        <w:footnoteReference w:id="1453"/>
      </w:r>
      <w:r>
        <w:rPr>
          <w:rFonts w:ascii="IRNazanin" w:hAnsi="IRNazanin" w:eastAsia="IRNazanin"/>
          <w:color w:val="111111"/>
          <w:sz w:val="28"/>
          <w:sz w:val="28"/>
          <w:szCs w:val="28"/>
          <w:rtl w:val="true"/>
          <w:lang w:bidi="fa-IR"/>
        </w:rPr>
        <w:t>التی رخّص فیها فی الغیبة لغرض صحیح أقوی من مصلحة احترام المغتاب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الأحوط جعل الصورة السابقة خارجة عن موضوع الغیبة بذکر المتجاهر بما لا یکره نسبته إلیه من الفسق المتجاهر به،و إن جعلها من تعرض لصور الاستثناء منها</w:t>
      </w:r>
      <w:r>
        <w:rPr>
          <w:rFonts w:eastAsia="IRNazanin" w:cs="IRNazanin"/>
          <w:color w:val="111111"/>
          <w:sz w:val="28"/>
          <w:szCs w:val="28"/>
          <w:rtl w:val="true"/>
          <w:lang w:bidi="fa-IR"/>
        </w:rPr>
        <w:t>.</w:t>
      </w:r>
    </w:p>
    <w:p>
      <w:pPr>
        <w:pStyle w:val="Heading6"/>
        <w:numPr>
          <w:ilvl w:val="5"/>
          <w:numId w:val="1"/>
        </w:numPr>
        <w:rPr/>
      </w:pPr>
      <w:bookmarkStart w:id="383" w:name="__RefHeading___Toc5003728_2314609296"/>
      <w:bookmarkStart w:id="384" w:name="_Toc147"/>
      <w:bookmarkEnd w:id="383"/>
      <w:r>
        <w:rPr>
          <w:rtl w:val="true"/>
        </w:rPr>
        <w:t>فیبقی من موارد الرخصة لمزاحمة الغرض الأهم صورٌ تعرضوا لها</w:t>
      </w:r>
      <w:r>
        <w:rPr>
          <w:rtl w:val="true"/>
        </w:rPr>
        <w:t>:</w:t>
      </w:r>
      <w:bookmarkEnd w:id="384"/>
    </w:p>
    <w:p>
      <w:pPr>
        <w:pStyle w:val="Heading6"/>
        <w:numPr>
          <w:ilvl w:val="5"/>
          <w:numId w:val="1"/>
        </w:numPr>
        <w:rPr/>
      </w:pPr>
      <w:bookmarkStart w:id="385" w:name="__RefHeading___Toc5003730_2314609296"/>
      <w:bookmarkStart w:id="386" w:name="_Toc148"/>
      <w:bookmarkEnd w:id="385"/>
      <w:r>
        <w:rPr>
          <w:rtl w:val="true"/>
        </w:rPr>
        <w:t>منها</w:t>
      </w:r>
      <w:r>
        <w:rPr>
          <w:rtl w:val="true"/>
        </w:rPr>
        <w:t>:</w:t>
      </w:r>
      <w:bookmarkEnd w:id="386"/>
    </w:p>
    <w:p>
      <w:pPr>
        <w:pStyle w:val="BookText"/>
        <w:rPr/>
      </w:pPr>
      <w:r>
        <w:rPr>
          <w:rFonts w:ascii="IRNazanin" w:hAnsi="IRNazanin" w:eastAsia="IRNazanin"/>
          <w:color w:val="111111"/>
          <w:sz w:val="28"/>
          <w:sz w:val="28"/>
          <w:szCs w:val="28"/>
          <w:rtl w:val="true"/>
          <w:lang w:bidi="fa-IR"/>
        </w:rPr>
        <w:t>نصح المستشیر،</w:t>
      </w:r>
    </w:p>
    <w:p>
      <w:pPr>
        <w:pStyle w:val="BookText"/>
        <w:rPr/>
      </w:pPr>
      <w:r>
        <w:rPr>
          <w:rFonts w:ascii="IRNazanin" w:hAnsi="IRNazanin" w:eastAsia="IRNazanin"/>
          <w:color w:val="111111"/>
          <w:sz w:val="28"/>
          <w:sz w:val="28"/>
          <w:szCs w:val="28"/>
          <w:rtl w:val="true"/>
          <w:lang w:bidi="fa-IR"/>
        </w:rPr>
        <w:t>فإنّ النصیحة واجبة للمستشیر،فإنّ خیانته قد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الکامل،أی الرجل المهذّب</w:t>
      </w:r>
      <w:r>
        <w:rPr>
          <w:rFonts w:eastAsia="IRNazanin" w:cs="IRNazanin"/>
          <w:color w:val="111111"/>
          <w:sz w:val="28"/>
          <w:szCs w:val="28"/>
          <w:rtl w:val="true"/>
          <w:lang w:bidi="fa-IR"/>
        </w:rPr>
        <w:t>».</w:t>
      </w:r>
      <w:bookmarkStart w:id="387" w:name="pg19762_189602"/>
    </w:p>
    <w:p>
      <w:pPr>
        <w:pStyle w:val="BookText"/>
        <w:rPr/>
      </w:pPr>
      <w:bookmarkEnd w:id="387"/>
      <w:r>
        <w:rPr>
          <w:rFonts w:ascii="IRNazanin" w:hAnsi="IRNazanin" w:eastAsia="IRNazanin"/>
          <w:color w:val="111111"/>
          <w:sz w:val="28"/>
          <w:sz w:val="28"/>
          <w:szCs w:val="28"/>
          <w:rtl w:val="true"/>
          <w:lang w:bidi="fa-IR"/>
        </w:rPr>
        <w:t>تکون أقوی مفسدةً من الوقوع فی المغتاب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النصح من غیر استشارة،فإنّ من أراد تزویج امرأة و أنت تعلم بقبائحها التی توجب وقوع الرجل من أجلها فی الغیبة </w:t>
      </w:r>
      <w:r>
        <w:rPr>
          <w:rStyle w:val="FootnoteAnchor"/>
          <w:rtl w:val="true"/>
        </w:rPr>
        <w:footnoteReference w:id="1454"/>
      </w:r>
      <w:r>
        <w:rPr>
          <w:rFonts w:ascii="IRNazanin" w:hAnsi="IRNazanin" w:eastAsia="IRNazanin"/>
          <w:color w:val="111111"/>
          <w:sz w:val="28"/>
          <w:sz w:val="28"/>
          <w:szCs w:val="28"/>
          <w:rtl w:val="true"/>
          <w:lang w:bidi="fa-IR"/>
        </w:rPr>
        <w:t xml:space="preserve">و الفساد،فلا ریب أنّ التنبیه علی بعضها و إن أوجب الوقیعة فیها أولی من ترک نصح المؤمن،مع ظهور عدّة من الأخبار فی وجوبه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5003732_2314609296"/>
      <w:bookmarkStart w:id="389" w:name="_Toc149"/>
      <w:bookmarkEnd w:id="388"/>
      <w:r>
        <w:rPr>
          <w:rtl w:val="true"/>
        </w:rPr>
        <w:t>و منها</w:t>
      </w:r>
      <w:r>
        <w:rPr>
          <w:rtl w:val="true"/>
        </w:rPr>
        <w:t>:</w:t>
      </w:r>
      <w:bookmarkEnd w:id="389"/>
    </w:p>
    <w:p>
      <w:pPr>
        <w:pStyle w:val="BookText"/>
        <w:rPr/>
      </w:pPr>
      <w:r>
        <w:rPr>
          <w:rFonts w:ascii="IRNazanin" w:hAnsi="IRNazanin" w:eastAsia="IRNazanin"/>
          <w:color w:val="111111"/>
          <w:sz w:val="28"/>
          <w:sz w:val="28"/>
          <w:szCs w:val="28"/>
          <w:rtl w:val="true"/>
          <w:lang w:bidi="fa-IR"/>
        </w:rPr>
        <w:t>الاستفتاء،</w:t>
      </w:r>
    </w:p>
    <w:p>
      <w:pPr>
        <w:pStyle w:val="BookText"/>
        <w:rPr/>
      </w:pPr>
      <w:r>
        <w:rPr>
          <w:rFonts w:ascii="IRNazanin" w:hAnsi="IRNazanin" w:eastAsia="IRNazanin"/>
          <w:color w:val="111111"/>
          <w:sz w:val="28"/>
          <w:sz w:val="28"/>
          <w:szCs w:val="28"/>
          <w:rtl w:val="true"/>
          <w:lang w:bidi="fa-IR"/>
        </w:rPr>
        <w:t>بأن یقول للمفتی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ظلمنی فلان حقی،فکیف طریقی فی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الاستفتاء موقوفاً علی ذکر الظالم بالخصوص، و إلّا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علیه بحکایة هند زوجة أبی سفیان و اشتکائها إلی رسول اللّه صلّی اللّه علیه و آله و سلم 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شحیح لا یعطینی ما یکفینی و ولدی</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،فلم یرد صلّی اللّه علیه و آله و سلم علیها غیبةَ أبی سفیان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نوقش فی هذا الاستدلال بخروج غیبة مثل أبی سفیان عن محلِّ الکلام أمکن الاستدلال بصحیحة عبد اللّه بن سنان،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 لا تدفع یدَ 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فامنع من یدخل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فقیّدها؛فإنّک لا تبرّها بشیء أفضل من أن تمنعها</w:t>
      </w:r>
      <w:bookmarkStart w:id="390" w:name="pg19762_189603"/>
    </w:p>
    <w:p>
      <w:pPr>
        <w:pStyle w:val="BookText"/>
        <w:rPr/>
      </w:pPr>
      <w:bookmarkEnd w:id="390"/>
      <w:r>
        <w:rPr>
          <w:rFonts w:ascii="Amiri" w:hAnsi="Amiri" w:eastAsia="Amiri" w:cs="Amiri"/>
          <w:color w:val="111111"/>
          <w:sz w:val="28"/>
          <w:sz w:val="28"/>
          <w:szCs w:val="28"/>
          <w:rtl w:val="true"/>
          <w:lang w:bidi="ar-SA"/>
        </w:rPr>
        <w:t>عن محارم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کونها متجاهرة،مدفوع بالأصل</w:t>
      </w:r>
      <w:r>
        <w:rPr>
          <w:rFonts w:eastAsia="IRNazanin" w:cs="IRNazanin"/>
          <w:color w:val="111111"/>
          <w:sz w:val="28"/>
          <w:szCs w:val="28"/>
          <w:rtl w:val="true"/>
          <w:lang w:bidi="fa-IR"/>
        </w:rPr>
        <w:t>.</w:t>
      </w:r>
    </w:p>
    <w:p>
      <w:pPr>
        <w:pStyle w:val="Heading6"/>
        <w:numPr>
          <w:ilvl w:val="5"/>
          <w:numId w:val="1"/>
        </w:numPr>
        <w:rPr/>
      </w:pPr>
      <w:bookmarkStart w:id="391" w:name="__RefHeading___Toc5003734_2314609296"/>
      <w:bookmarkStart w:id="392" w:name="_Toc150"/>
      <w:bookmarkEnd w:id="391"/>
      <w:r>
        <w:rPr>
          <w:rtl w:val="true"/>
        </w:rPr>
        <w:t>و منها</w:t>
      </w:r>
      <w:r>
        <w:rPr>
          <w:rtl w:val="true"/>
        </w:rPr>
        <w:t>:</w:t>
      </w:r>
      <w:bookmarkEnd w:id="392"/>
    </w:p>
    <w:p>
      <w:pPr>
        <w:pStyle w:val="BookText"/>
        <w:rPr/>
      </w:pPr>
      <w:r>
        <w:rPr>
          <w:rFonts w:ascii="IRNazanin" w:hAnsi="IRNazanin" w:eastAsia="IRNazanin"/>
          <w:color w:val="111111"/>
          <w:sz w:val="28"/>
          <w:sz w:val="28"/>
          <w:szCs w:val="28"/>
          <w:rtl w:val="true"/>
          <w:lang w:bidi="fa-IR"/>
        </w:rPr>
        <w:t>قصد ردع المغتاب عن المنکر الذی یفعله،</w:t>
      </w:r>
    </w:p>
    <w:p>
      <w:pPr>
        <w:pStyle w:val="BookText"/>
        <w:rPr/>
      </w:pPr>
      <w:r>
        <w:rPr>
          <w:rFonts w:ascii="IRNazanin" w:hAnsi="IRNazanin" w:eastAsia="IRNazanin"/>
          <w:color w:val="111111"/>
          <w:sz w:val="28"/>
          <w:sz w:val="28"/>
          <w:szCs w:val="28"/>
          <w:rtl w:val="true"/>
          <w:lang w:bidi="fa-IR"/>
        </w:rPr>
        <w:t xml:space="preserve">فإنّه أولی من ستر المنکر علیه،فهو فی الحقیقة إحسان فی حقه،مضافاً إلی عموم أدلّة النهی عن المنکر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5003736_2314609296"/>
      <w:bookmarkStart w:id="394" w:name="_Toc151"/>
      <w:bookmarkEnd w:id="393"/>
      <w:r>
        <w:rPr>
          <w:rtl w:val="true"/>
        </w:rPr>
        <w:t>و منها</w:t>
      </w:r>
      <w:r>
        <w:rPr>
          <w:rtl w:val="true"/>
        </w:rPr>
        <w:t>:</w:t>
      </w:r>
      <w:bookmarkEnd w:id="394"/>
    </w:p>
    <w:p>
      <w:pPr>
        <w:pStyle w:val="BookText"/>
        <w:rPr/>
      </w:pPr>
      <w:r>
        <w:rPr>
          <w:rFonts w:ascii="Amiri" w:hAnsi="Amiri" w:eastAsia="Amiri" w:cs="Amiri"/>
          <w:color w:val="111111"/>
          <w:sz w:val="28"/>
          <w:sz w:val="28"/>
          <w:szCs w:val="28"/>
          <w:rtl w:val="true"/>
          <w:lang w:bidi="ar-SA"/>
        </w:rPr>
        <w:t>قصد حسم مادّة فساد المغتاب عن الناس،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کالمبتدع الذی یُخاف من إضلاله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مضافاً إلی أنّ مصلحة دفع فتنته عن الناس أولی من ستر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الکافی بسنده الصحیح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أهل الریب و البدع من بعدی فأظهِروا البراءة منهم،و أکثِروا من سبّهم و القول فیهم و الوقیعة،و باهِتوهم؛کیلا یطمعوا فی الفساد فی الإسلام،</w:t>
      </w:r>
      <w:bookmarkStart w:id="395" w:name="pg19762_189604"/>
    </w:p>
    <w:p>
      <w:pPr>
        <w:pStyle w:val="BookText"/>
        <w:rPr/>
      </w:pPr>
      <w:bookmarkEnd w:id="395"/>
      <w:r>
        <w:rPr>
          <w:rFonts w:ascii="Amiri" w:hAnsi="Amiri" w:eastAsia="Amiri" w:cs="Amiri"/>
          <w:color w:val="111111"/>
          <w:sz w:val="28"/>
          <w:sz w:val="28"/>
          <w:szCs w:val="28"/>
          <w:rtl w:val="true"/>
          <w:lang w:bidi="ar-SA"/>
        </w:rPr>
        <w:t xml:space="preserve">و یَحْذَرَهُم الناس،و لا یتعلَّموا </w:t>
      </w:r>
      <w:r>
        <w:rPr>
          <w:rStyle w:val="FootnoteAnchor"/>
          <w:rtl w:val="true"/>
        </w:rPr>
        <w:footnoteReference w:id="1459"/>
      </w:r>
      <w:r>
        <w:rPr>
          <w:rFonts w:ascii="IRNazanin" w:hAnsi="IRNazanin" w:eastAsia="IRNazanin"/>
          <w:color w:val="111111"/>
          <w:sz w:val="28"/>
          <w:sz w:val="28"/>
          <w:szCs w:val="28"/>
          <w:rtl w:val="true"/>
          <w:lang w:bidi="fa-IR"/>
        </w:rPr>
        <w:t>من بِدَعِهم،یکتب اللّه لکم بذلک الحسنات،و یرفع لکم به الدرجات</w:t>
      </w:r>
      <w:r>
        <w:rPr>
          <w:rFonts w:eastAsia="IRNazanin" w:cs="IRNazanin"/>
          <w:color w:val="111111"/>
          <w:sz w:val="28"/>
          <w:szCs w:val="28"/>
          <w:rtl w:val="true"/>
          <w:lang w:bidi="fa-IR"/>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5003738_2314609296"/>
      <w:bookmarkStart w:id="397" w:name="_Toc152"/>
      <w:bookmarkEnd w:id="396"/>
      <w:r>
        <w:rPr>
          <w:rtl w:val="true"/>
        </w:rPr>
        <w:t>و منها</w:t>
      </w:r>
      <w:r>
        <w:rPr>
          <w:rtl w:val="true"/>
        </w:rPr>
        <w:t>:</w:t>
      </w:r>
      <w:bookmarkEnd w:id="397"/>
    </w:p>
    <w:p>
      <w:pPr>
        <w:pStyle w:val="BookText"/>
        <w:rPr/>
      </w:pPr>
      <w:r>
        <w:rPr>
          <w:rFonts w:ascii="IRNazanin" w:hAnsi="IRNazanin" w:eastAsia="IRNazanin"/>
          <w:color w:val="111111"/>
          <w:sz w:val="28"/>
          <w:sz w:val="28"/>
          <w:szCs w:val="28"/>
          <w:rtl w:val="true"/>
          <w:lang w:bidi="fa-IR"/>
        </w:rPr>
        <w:t>جرح الشهود؛</w:t>
      </w:r>
    </w:p>
    <w:p>
      <w:pPr>
        <w:pStyle w:val="BookText"/>
        <w:rPr/>
      </w:pPr>
      <w:r>
        <w:rPr>
          <w:rFonts w:ascii="IRNazanin" w:hAnsi="IRNazanin" w:eastAsia="IRNazanin"/>
          <w:color w:val="111111"/>
          <w:sz w:val="28"/>
          <w:sz w:val="28"/>
          <w:szCs w:val="28"/>
          <w:rtl w:val="true"/>
          <w:lang w:bidi="fa-IR"/>
        </w:rPr>
        <w:t>فإنّ الإجماع دلّ علی جوازه،و لأنّ مصلحة عدم الحکم بشهادة الفسّاق أولی من الستر علی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بل أولی بالجواز جرح الرواة؛فإنّ مفسدة العمل بروایة الفاسق أعظم من مفسدة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بالزنا و غیره لإقامة الحدود</w:t>
      </w:r>
      <w:r>
        <w:rPr>
          <w:rFonts w:eastAsia="IRNazanin" w:cs="IRNazanin"/>
          <w:color w:val="111111"/>
          <w:sz w:val="28"/>
          <w:szCs w:val="28"/>
          <w:rtl w:val="true"/>
          <w:lang w:bidi="fa-IR"/>
        </w:rPr>
        <w:t>.</w:t>
      </w:r>
    </w:p>
    <w:p>
      <w:pPr>
        <w:pStyle w:val="Heading6"/>
        <w:numPr>
          <w:ilvl w:val="5"/>
          <w:numId w:val="1"/>
        </w:numPr>
        <w:rPr/>
      </w:pPr>
      <w:bookmarkStart w:id="398" w:name="__RefHeading___Toc5003740_2314609296"/>
      <w:bookmarkStart w:id="399" w:name="_Toc153"/>
      <w:bookmarkEnd w:id="398"/>
      <w:r>
        <w:rPr>
          <w:rtl w:val="true"/>
        </w:rPr>
        <w:t>و منها</w:t>
      </w:r>
      <w:r>
        <w:rPr>
          <w:rtl w:val="true"/>
        </w:rPr>
        <w:t>:</w:t>
      </w:r>
      <w:bookmarkEnd w:id="399"/>
    </w:p>
    <w:p>
      <w:pPr>
        <w:pStyle w:val="BookText"/>
        <w:rPr/>
      </w:pPr>
      <w:r>
        <w:rPr>
          <w:rFonts w:ascii="IRNazanin" w:hAnsi="IRNazanin" w:eastAsia="IRNazanin"/>
          <w:color w:val="111111"/>
          <w:sz w:val="28"/>
          <w:sz w:val="28"/>
          <w:szCs w:val="28"/>
          <w:rtl w:val="true"/>
          <w:lang w:bidi="fa-IR"/>
        </w:rPr>
        <w:t>دفع الضرر عن المغتاب،</w:t>
      </w:r>
    </w:p>
    <w:p>
      <w:pPr>
        <w:pStyle w:val="BookText"/>
        <w:rPr/>
      </w:pPr>
      <w:r>
        <w:rPr>
          <w:rFonts w:ascii="IRNazanin" w:hAnsi="IRNazanin" w:eastAsia="IRNazanin"/>
          <w:color w:val="111111"/>
          <w:sz w:val="28"/>
          <w:sz w:val="28"/>
          <w:szCs w:val="28"/>
          <w:rtl w:val="true"/>
          <w:lang w:bidi="fa-IR"/>
        </w:rPr>
        <w:t>و علیه یحمل ما ورد فی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ذلک الإمام علیه السلام بقوله فی بعض ما أمر علیه السلام عبد اللّه بن زرارة بتبلیغ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منی علی والدک السلام،فقل 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أعیبک دفاعاً منّی عنک،فإنّ الناس یسارعون إلی کل من قرّبناه و مجّدناه </w:t>
      </w:r>
      <w:r>
        <w:rPr>
          <w:rStyle w:val="FootnoteAnchor"/>
          <w:rtl w:val="true"/>
        </w:rPr>
        <w:footnoteReference w:id="1461"/>
      </w:r>
      <w:r>
        <w:rPr>
          <w:rFonts w:ascii="IRNazanin" w:hAnsi="IRNazanin" w:eastAsia="IRNazanin"/>
          <w:color w:val="111111"/>
          <w:sz w:val="28"/>
          <w:sz w:val="28"/>
          <w:szCs w:val="28"/>
          <w:rtl w:val="true"/>
          <w:lang w:bidi="fa-IR"/>
        </w:rPr>
        <w:t>لإدخال الأذی فیمن نحبه و نقرّبه،و یذمّونه لمحبّتنا له و قربه و دنوّه منا،و یرون إدخال الأذی علیه و قتله،و یحمدون کلّ من عیّبناه نحن،</w:t>
      </w:r>
    </w:p>
    <w:p>
      <w:pPr>
        <w:pStyle w:val="BookText"/>
        <w:rPr/>
      </w:pPr>
      <w:r>
        <w:rPr>
          <w:rFonts w:ascii="IRNazanin" w:hAnsi="IRNazanin" w:eastAsia="IRNazanin"/>
          <w:color w:val="111111"/>
          <w:sz w:val="28"/>
          <w:sz w:val="28"/>
          <w:szCs w:val="28"/>
          <w:rtl w:val="true"/>
          <w:lang w:bidi="fa-IR"/>
        </w:rPr>
        <w:t xml:space="preserve">و إنّما أعیبک؛لأنّک رجل اشتهرت بنا </w:t>
      </w:r>
      <w:r>
        <w:rPr>
          <w:rStyle w:val="FootnoteAnchor"/>
          <w:rtl w:val="true"/>
        </w:rPr>
        <w:footnoteReference w:id="1462"/>
      </w:r>
      <w:r>
        <w:rPr>
          <w:rFonts w:ascii="IRNazanin" w:hAnsi="IRNazanin" w:eastAsia="IRNazanin"/>
          <w:color w:val="111111"/>
          <w:sz w:val="28"/>
          <w:sz w:val="28"/>
          <w:szCs w:val="28"/>
          <w:rtl w:val="true"/>
          <w:lang w:bidi="fa-IR"/>
        </w:rPr>
        <w:t xml:space="preserve">بمیلک إلینا،و أنت فی ذلک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الناس </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محمود الأمر </w:t>
      </w:r>
      <w:r>
        <w:rPr>
          <w:rStyle w:val="FootnoteAnchor"/>
          <w:rtl w:val="true"/>
        </w:rPr>
        <w:footnoteReference w:id="1464"/>
      </w:r>
      <w:r>
        <w:rPr>
          <w:rFonts w:ascii="Amiri" w:hAnsi="Amiri" w:eastAsia="Amiri" w:cs="Amiri"/>
          <w:color w:val="111111"/>
          <w:sz w:val="28"/>
          <w:sz w:val="28"/>
          <w:szCs w:val="28"/>
          <w:rtl w:val="true"/>
          <w:lang w:bidi="ar-SA"/>
        </w:rPr>
        <w:t>لمودّتک لنا و میلک إلینا،فأحببت أن أعیبک؛لیحمدوا أمرک فی الدین بعیبک و نقصک و یکون ذلک منّا دافع شرّهم عنک،یقول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التنزیل من عند اللّه،لا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عابها إلّا لکی تسلم من المَلِک و لا تغصب </w:t>
      </w:r>
      <w:r>
        <w:rPr>
          <w:rStyle w:val="FootnoteAnchor"/>
          <w:rtl w:val="true"/>
        </w:rPr>
        <w:footnoteReference w:id="1466"/>
      </w:r>
      <w:r>
        <w:rPr>
          <w:rFonts w:ascii="IRNazanin" w:hAnsi="IRNazanin" w:eastAsia="IRNazanin"/>
          <w:color w:val="111111"/>
          <w:sz w:val="28"/>
          <w:sz w:val="28"/>
          <w:szCs w:val="28"/>
          <w:rtl w:val="true"/>
          <w:lang w:bidi="fa-IR"/>
        </w:rPr>
        <w:t>علی یدیه،و لقد کانت صالحة لیس للعیب فیها مساغ،و الحمد للّه،فافهم المَثَلَ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أحب الناس إلیّ و أحبّ أصحاب أبی إلیّ حیّاً و میّتاً،و إنّک أفضل سفن ذلک البحر القمقام الزاخر،و إنّ وراءک لملکاً ظلوماً غصوباً،یرقب عبور کلّ سفینة صالحة ترد من بحر الهدی لیأخذها غصباً و یغصب أهلها،فرحمة اللّه علیک حیّاً و رحمة اللّه علیک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بذلک الغیبة للتقیّة علی نفس المتکلّم أو ماله أو عرضه،</w:t>
      </w:r>
      <w:bookmarkStart w:id="400" w:name="pg19762_189606"/>
    </w:p>
    <w:p>
      <w:pPr>
        <w:pStyle w:val="BookText"/>
        <w:rPr/>
      </w:pPr>
      <w:bookmarkEnd w:id="400"/>
      <w:r>
        <w:rPr>
          <w:rFonts w:ascii="IRNazanin" w:hAnsi="IRNazanin" w:eastAsia="IRNazanin"/>
          <w:color w:val="111111"/>
          <w:sz w:val="28"/>
          <w:sz w:val="28"/>
          <w:szCs w:val="28"/>
          <w:rtl w:val="true"/>
          <w:lang w:bidi="fa-IR"/>
        </w:rPr>
        <w:t xml:space="preserve">أو عن </w:t>
      </w:r>
      <w:r>
        <w:rPr>
          <w:rStyle w:val="FootnoteAnchor"/>
          <w:rtl w:val="true"/>
        </w:rPr>
        <w:footnoteReference w:id="1468"/>
      </w:r>
      <w:r>
        <w:rPr>
          <w:rFonts w:ascii="IRNazanin" w:hAnsi="IRNazanin" w:eastAsia="IRNazanin"/>
          <w:color w:val="111111"/>
          <w:sz w:val="28"/>
          <w:sz w:val="28"/>
          <w:szCs w:val="28"/>
          <w:rtl w:val="true"/>
          <w:lang w:bidi="fa-IR"/>
        </w:rPr>
        <w:t>ثالث؛فإنّ الضرورات تبیح المحظورات</w:t>
      </w:r>
      <w:r>
        <w:rPr>
          <w:rFonts w:eastAsia="IRNazanin" w:cs="IRNazanin"/>
          <w:color w:val="111111"/>
          <w:sz w:val="28"/>
          <w:szCs w:val="28"/>
          <w:rtl w:val="true"/>
          <w:lang w:bidi="fa-IR"/>
        </w:rPr>
        <w:t>.</w:t>
      </w:r>
    </w:p>
    <w:p>
      <w:pPr>
        <w:pStyle w:val="Heading6"/>
        <w:numPr>
          <w:ilvl w:val="5"/>
          <w:numId w:val="1"/>
        </w:numPr>
        <w:rPr/>
      </w:pPr>
      <w:bookmarkStart w:id="401" w:name="__RefHeading___Toc5003742_2314609296"/>
      <w:bookmarkStart w:id="402" w:name="_Toc154"/>
      <w:bookmarkEnd w:id="401"/>
      <w:r>
        <w:rPr>
          <w:rtl w:val="true"/>
        </w:rPr>
        <w:t>و منها</w:t>
      </w:r>
      <w:r>
        <w:rPr>
          <w:rtl w:val="true"/>
        </w:rPr>
        <w:t>:</w:t>
      </w:r>
      <w:bookmarkEnd w:id="402"/>
    </w:p>
    <w:p>
      <w:pPr>
        <w:pStyle w:val="BookText"/>
        <w:rPr/>
      </w:pPr>
      <w:r>
        <w:rPr>
          <w:rFonts w:ascii="IRNazanin" w:hAnsi="IRNazanin" w:eastAsia="IRNazanin"/>
          <w:color w:val="111111"/>
          <w:sz w:val="28"/>
          <w:sz w:val="28"/>
          <w:szCs w:val="28"/>
          <w:rtl w:val="true"/>
          <w:lang w:bidi="fa-IR"/>
        </w:rPr>
        <w:t>ذکر الشخص بعیبه الذی صار بمنزلة الصفة الممیّزة التی لا یعرف إلّا بها</w:t>
      </w:r>
    </w:p>
    <w:p>
      <w:pPr>
        <w:pStyle w:val="BookText"/>
        <w:rPr/>
      </w:pP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کالأعمش و الأعرج و الأشتر و الأحول،و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زینب العطّارة الحولاء إلی نساء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بأس بذلک فیما إذا صارت الصفة فی اشتهار یوصف </w:t>
      </w:r>
      <w:r>
        <w:rPr>
          <w:rStyle w:val="FootnoteAnchor"/>
          <w:rtl w:val="true"/>
        </w:rPr>
        <w:footnoteReference w:id="1471"/>
      </w:r>
      <w:r>
        <w:rPr>
          <w:rFonts w:ascii="IRNazanin" w:hAnsi="IRNazanin" w:eastAsia="IRNazanin"/>
          <w:color w:val="111111"/>
          <w:sz w:val="28"/>
          <w:sz w:val="28"/>
          <w:szCs w:val="28"/>
          <w:rtl w:val="true"/>
          <w:lang w:bidi="fa-IR"/>
        </w:rPr>
        <w:t>الشخص بها إلی حیث لا یکره ذلک صاحبها،و علیه یحمل ما صدر عن الإمام علیه السلام و غیره من العلماء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کون هذا استثناءً مبنیّ علی کون مجرّد ذکر العیب الظاهر من دون قصد الانتقاص غیبة،و قد منعنا ذلک سابقاً؛إذ لا وجه لکراهة المغتاب؛لعدم کونه إظهاراً لعیب غیر ظاهر،و المفروض عدم قصد الذمّ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الصفات المشعرة بالذم کالألقاب المشعرة به، یکره الإنسان الاتّصاف بها و لو من دون قصد الذم؛فإنّ إشعارها بالذمّ کافٍ فی الکراهة</w:t>
      </w:r>
      <w:r>
        <w:rPr>
          <w:rFonts w:eastAsia="IRNazanin" w:cs="IRNazanin"/>
          <w:color w:val="111111"/>
          <w:sz w:val="28"/>
          <w:szCs w:val="28"/>
          <w:rtl w:val="true"/>
          <w:lang w:bidi="fa-IR"/>
        </w:rPr>
        <w:t>.</w:t>
      </w:r>
    </w:p>
    <w:p>
      <w:pPr>
        <w:pStyle w:val="Heading6"/>
        <w:numPr>
          <w:ilvl w:val="5"/>
          <w:numId w:val="1"/>
        </w:numPr>
        <w:rPr/>
      </w:pPr>
      <w:bookmarkStart w:id="403" w:name="__RefHeading___Toc5003744_2314609296"/>
      <w:bookmarkStart w:id="404" w:name="_Toc155"/>
      <w:bookmarkEnd w:id="403"/>
      <w:r>
        <w:rPr>
          <w:rtl w:val="true"/>
        </w:rPr>
        <w:t xml:space="preserve">و منها </w:t>
      </w:r>
      <w:r>
        <w:rPr>
          <w:rtl w:val="true"/>
        </w:rPr>
        <w:t>[</w:t>
      </w:r>
      <w:r>
        <w:rPr>
          <w:rtl w:val="true"/>
        </w:rPr>
        <w:t>ذکر الشخص بما لا یؤثر عند السامع شیئا،لکونه عالما به</w:t>
      </w:r>
      <w:r>
        <w:rPr>
          <w:rtl w:val="true"/>
        </w:rPr>
        <w:t>]</w:t>
      </w:r>
      <w:bookmarkEnd w:id="40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حکاه فی کشف الریبة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إذا علم اثنان من</w:t>
      </w:r>
      <w:bookmarkStart w:id="405" w:name="pg19762_189607"/>
    </w:p>
    <w:p>
      <w:pPr>
        <w:pStyle w:val="BookText"/>
        <w:rPr/>
      </w:pPr>
      <w:bookmarkEnd w:id="405"/>
      <w:r>
        <w:rPr>
          <w:rFonts w:ascii="IRNazanin" w:hAnsi="IRNazanin" w:eastAsia="IRNazanin"/>
          <w:color w:val="111111"/>
          <w:sz w:val="28"/>
          <w:sz w:val="28"/>
          <w:szCs w:val="28"/>
          <w:rtl w:val="true"/>
          <w:lang w:bidi="fa-IR"/>
        </w:rPr>
        <w:t xml:space="preserve">رجل معصیة شاهداها فأجری أحدهما ذکرها فی غیبة ذلک العاصی جاز؛لأنّه لا یؤثّر عند السامع شیئاً،و إن کان الأولی تنزیه النفس و اللسان عن ذلک لغیر غرض من الأغراض الصحیحة،خصوصاً مع احتمال نسیان المخاطب لذلک،أو خوف اشتهارها </w:t>
      </w:r>
      <w:r>
        <w:rPr>
          <w:rStyle w:val="FootnoteAnchor"/>
          <w:rtl w:val="true"/>
        </w:rPr>
        <w:footnoteReference w:id="1472"/>
      </w:r>
      <w:r>
        <w:rPr>
          <w:rFonts w:ascii="IRNazanin" w:hAnsi="IRNazanin" w:eastAsia="IRNazanin"/>
          <w:color w:val="111111"/>
          <w:sz w:val="28"/>
          <w:sz w:val="28"/>
          <w:szCs w:val="28"/>
          <w:rtl w:val="true"/>
          <w:lang w:bidi="fa-IR"/>
        </w:rPr>
        <w:t xml:space="preserve">عنهما </w:t>
      </w:r>
      <w:r>
        <w:rPr>
          <w:rStyle w:val="FootnoteAnchor"/>
          <w:rtl w:val="true"/>
        </w:rPr>
        <w:footnoteReference w:id="14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فرض عدم کون ذکرهما فی مقام التعییر و المذمّة و لیس هنا هتک ستر أیضاً،فلا وجه للتحریم و لا لکونها غیبة،إلّا علی ظاهر بعض التعاریف المتقدّمة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5003746_2314609296"/>
      <w:bookmarkStart w:id="407" w:name="_Toc156"/>
      <w:bookmarkEnd w:id="406"/>
      <w:r>
        <w:rPr>
          <w:rtl w:val="true"/>
        </w:rPr>
        <w:t>و منها</w:t>
      </w:r>
      <w:r>
        <w:rPr>
          <w:rtl w:val="true"/>
        </w:rPr>
        <w:t>:</w:t>
      </w:r>
      <w:bookmarkEnd w:id="407"/>
    </w:p>
    <w:p>
      <w:pPr>
        <w:pStyle w:val="BookText"/>
        <w:rPr/>
      </w:pPr>
      <w:r>
        <w:rPr>
          <w:rFonts w:ascii="Amiri" w:hAnsi="Amiri" w:eastAsia="Amiri" w:cs="Amiri"/>
          <w:color w:val="111111"/>
          <w:sz w:val="28"/>
          <w:sz w:val="28"/>
          <w:szCs w:val="28"/>
          <w:rtl w:val="true"/>
          <w:lang w:bidi="ar-SA"/>
        </w:rPr>
        <w:t>ردّ من ادّعی نسباً لیس له،</w:t>
      </w:r>
    </w:p>
    <w:p>
      <w:pPr>
        <w:pStyle w:val="BookText"/>
        <w:rPr/>
      </w:pPr>
      <w:r>
        <w:rPr>
          <w:rFonts w:ascii="IRNazanin" w:hAnsi="IRNazanin" w:eastAsia="IRNazanin"/>
          <w:color w:val="111111"/>
          <w:sz w:val="28"/>
          <w:sz w:val="28"/>
          <w:szCs w:val="28"/>
          <w:rtl w:val="true"/>
          <w:lang w:bidi="fa-IR"/>
        </w:rPr>
        <w:t>فإنّ مصلحة حفظ الأنساب أولی من مراعاة حرمة المغتاب</w:t>
      </w:r>
      <w:r>
        <w:rPr>
          <w:rFonts w:eastAsia="IRNazanin" w:cs="IRNazanin"/>
          <w:color w:val="111111"/>
          <w:sz w:val="28"/>
          <w:szCs w:val="28"/>
          <w:rtl w:val="true"/>
          <w:lang w:bidi="fa-IR"/>
        </w:rPr>
        <w:t>.</w:t>
      </w:r>
    </w:p>
    <w:p>
      <w:pPr>
        <w:pStyle w:val="Heading6"/>
        <w:numPr>
          <w:ilvl w:val="5"/>
          <w:numId w:val="1"/>
        </w:numPr>
        <w:rPr/>
      </w:pPr>
      <w:bookmarkStart w:id="408" w:name="__RefHeading___Toc5003748_2314609296"/>
      <w:bookmarkStart w:id="409" w:name="_Toc157"/>
      <w:bookmarkEnd w:id="408"/>
      <w:r>
        <w:rPr>
          <w:rtl w:val="true"/>
        </w:rPr>
        <w:t>و منها</w:t>
      </w:r>
      <w:r>
        <w:rPr>
          <w:rtl w:val="true"/>
        </w:rPr>
        <w:t>:</w:t>
      </w:r>
      <w:bookmarkEnd w:id="409"/>
    </w:p>
    <w:p>
      <w:pPr>
        <w:pStyle w:val="BookText"/>
        <w:rPr/>
      </w:pPr>
      <w:r>
        <w:rPr>
          <w:rFonts w:ascii="IRNazanin" w:hAnsi="IRNazanin" w:eastAsia="IRNazanin"/>
          <w:color w:val="111111"/>
          <w:sz w:val="28"/>
          <w:sz w:val="28"/>
          <w:szCs w:val="28"/>
          <w:rtl w:val="true"/>
          <w:lang w:bidi="fa-IR"/>
        </w:rPr>
        <w:t>القدح فی مقالة باطلة</w:t>
      </w:r>
    </w:p>
    <w:p>
      <w:pPr>
        <w:pStyle w:val="BookText"/>
        <w:rPr/>
      </w:pPr>
      <w:r>
        <w:rPr>
          <w:rFonts w:ascii="IRNazanin" w:hAnsi="IRNazanin" w:eastAsia="IRNazanin"/>
          <w:color w:val="111111"/>
          <w:sz w:val="28"/>
          <w:sz w:val="28"/>
          <w:szCs w:val="28"/>
          <w:rtl w:val="true"/>
          <w:lang w:bidi="fa-IR"/>
        </w:rPr>
        <w:t>و إن دلّ علی نقصان قائلها،إذا توقّف حفظ الحقّ و إضاعة الباطل علیه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وقع من بعض العلماء بالنسبة إلی من تقدّم علیه منهم من الجهر بالسوء من القول،فلم یعرف له وجه،مع شیوعه بینهم من قدیم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ذکروا موارد للاستثناء لا حاجة إلی ذکرها بعد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قدّمنا </w:t>
      </w:r>
      <w:r>
        <w:rPr>
          <w:rStyle w:val="FootnoteAnchor"/>
          <w:rtl w:val="true"/>
        </w:rPr>
        <w:footnoteReference w:id="1475"/>
      </w:r>
      <w:r>
        <w:rPr>
          <w:rFonts w:ascii="IRNazanin" w:hAnsi="IRNazanin" w:eastAsia="IRNazanin"/>
          <w:color w:val="111111"/>
          <w:sz w:val="28"/>
          <w:sz w:val="28"/>
          <w:szCs w:val="28"/>
          <w:rtl w:val="true"/>
          <w:lang w:bidi="fa-IR"/>
        </w:rPr>
        <w:t xml:space="preserve">أنّ الضابط فی الرخصة وجود مصلحة غالبة علی مفسدة هتک احترام </w:t>
      </w:r>
      <w:r>
        <w:rPr>
          <w:rStyle w:val="FootnoteAnchor"/>
          <w:rtl w:val="true"/>
        </w:rPr>
        <w:footnoteReference w:id="1476"/>
      </w:r>
      <w:r>
        <w:rPr>
          <w:rFonts w:ascii="IRNazanin" w:hAnsi="IRNazanin" w:eastAsia="IRNazanin"/>
          <w:color w:val="111111"/>
          <w:sz w:val="28"/>
          <w:sz w:val="28"/>
          <w:szCs w:val="28"/>
          <w:rtl w:val="true"/>
          <w:lang w:bidi="fa-IR"/>
        </w:rPr>
        <w:t>المؤمن،و هذا یختلف باختلاف تلک المصالح و مراتب مفسدة هتک المؤمن،فإنّها متدرجة فی القوّة و الضعف،فربّ مؤمن لا یساوی عِرضَه شیءٌ،فالواجب التحرّی فی الترجیح بین المصلحة و المفسدة</w:t>
      </w:r>
      <w:r>
        <w:rPr>
          <w:rFonts w:eastAsia="IRNazanin" w:cs="IRNazanin"/>
          <w:color w:val="111111"/>
          <w:sz w:val="28"/>
          <w:szCs w:val="28"/>
          <w:rtl w:val="true"/>
          <w:lang w:bidi="fa-IR"/>
        </w:rPr>
        <w:t>.</w:t>
      </w:r>
      <w:bookmarkStart w:id="410" w:name="pg19762_189609"/>
    </w:p>
    <w:p>
      <w:pPr>
        <w:pStyle w:val="Heading6"/>
        <w:numPr>
          <w:ilvl w:val="5"/>
          <w:numId w:val="1"/>
        </w:numPr>
        <w:rPr/>
      </w:pPr>
      <w:bookmarkStart w:id="411" w:name="__RefHeading___Toc5003750_2314609296"/>
      <w:bookmarkStart w:id="412" w:name="_Toc158"/>
      <w:bookmarkEnd w:id="410"/>
      <w:bookmarkEnd w:id="411"/>
      <w:r>
        <w:rPr>
          <w:rtl w:val="true"/>
        </w:rPr>
        <w:t>الرابع یحرم استماع الغیبة</w:t>
      </w:r>
      <w:bookmarkEnd w:id="412"/>
    </w:p>
    <w:p>
      <w:pPr>
        <w:pStyle w:val="BookText"/>
        <w:rPr/>
      </w:pPr>
      <w:r>
        <w:rPr>
          <w:rFonts w:ascii="IRNazanin" w:hAnsi="IRNazanin" w:eastAsia="IRNazanin"/>
          <w:color w:val="111111"/>
          <w:sz w:val="28"/>
          <w:sz w:val="28"/>
          <w:szCs w:val="28"/>
          <w:rtl w:val="true"/>
          <w:lang w:bidi="fa-IR"/>
        </w:rPr>
        <w:t>بلا خلاف،فقد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السامع للغیبة أحد المغتابین</w:t>
      </w:r>
      <w:r>
        <w:rPr>
          <w:rFonts w:eastAsia="IRNazanin" w:cs="IRNazanin"/>
          <w:color w:val="111111"/>
          <w:sz w:val="28"/>
          <w:szCs w:val="28"/>
          <w:rtl w:val="true"/>
          <w:lang w:bidi="fa-IR"/>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فی حرمته کثیرة </w:t>
      </w:r>
      <w:r>
        <w:rPr>
          <w:rStyle w:val="FootnoteAnchor"/>
          <w:rtl w:val="true"/>
        </w:rPr>
        <w:footnoteReference w:id="1478"/>
      </w:r>
      <w:r>
        <w:rPr>
          <w:rFonts w:ascii="IRNazanin" w:hAnsi="IRNazanin" w:eastAsia="IRNazanin"/>
          <w:color w:val="111111"/>
          <w:sz w:val="28"/>
          <w:sz w:val="28"/>
          <w:szCs w:val="28"/>
          <w:rtl w:val="true"/>
          <w:lang w:bidi="fa-IR"/>
        </w:rPr>
        <w:t xml:space="preserve">إلّا أنّ ما یدلّ علی کونه من الکبائر کالروایة المذکورة و نحوها </w:t>
      </w:r>
      <w:r>
        <w:rPr>
          <w:rStyle w:val="FootnoteAnchor"/>
          <w:rtl w:val="true"/>
        </w:rPr>
        <w:footnoteReference w:id="1479"/>
      </w:r>
      <w:r>
        <w:rPr>
          <w:rFonts w:ascii="IRNazanin" w:hAnsi="IRNazanin" w:eastAsia="IRNazanin"/>
          <w:color w:val="111111"/>
          <w:sz w:val="28"/>
          <w:sz w:val="28"/>
          <w:szCs w:val="28"/>
          <w:rtl w:val="true"/>
          <w:lang w:bidi="fa-IR"/>
        </w:rPr>
        <w:t>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المحرّم سماع الغیبة المحرّمة،دون ما علم حلیّتها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متجاهراً عند المغتاب مستوراً عند المستمع و قلنا بجواز الغیبة حینئذٍ للمتکلم،فالمحکی جواز الاستماع مع احتمال کونه متجاهراً، لا مع </w:t>
      </w:r>
      <w:r>
        <w:rPr>
          <w:rStyle w:val="FootnoteAnchor"/>
          <w:rtl w:val="true"/>
        </w:rPr>
        <w:footnoteReference w:id="1480"/>
      </w:r>
      <w:r>
        <w:rPr>
          <w:rFonts w:ascii="IRNazanin" w:hAnsi="IRNazanin" w:eastAsia="IRNazanin"/>
          <w:color w:val="111111"/>
          <w:sz w:val="28"/>
          <w:sz w:val="28"/>
          <w:szCs w:val="28"/>
          <w:rtl w:val="true"/>
          <w:lang w:bidi="fa-IR"/>
        </w:rPr>
        <w:t>العلم بعدمه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أحد مغتاباً لآخر و هو لا یعلم المغتاب مستحقاً للغیبة و لا عدمه،قیل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نهی القائل؛لإمکان الاستحقاق،فیحمل فعل القائل علی الصحة ما لم یعلم فساده،و لأنّ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ردعه یستلزم انتهاک حرمته،و هو أحد المحرّمین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التنزّه عن ذلک </w:t>
      </w:r>
      <w:r>
        <w:rPr>
          <w:rStyle w:val="FootnoteAnchor"/>
          <w:rtl w:val="true"/>
        </w:rPr>
        <w:footnoteReference w:id="1482"/>
      </w:r>
      <w:r>
        <w:rPr>
          <w:rFonts w:ascii="IRNazanin" w:hAnsi="IRNazanin" w:eastAsia="IRNazanin"/>
          <w:color w:val="111111"/>
          <w:sz w:val="28"/>
          <w:sz w:val="28"/>
          <w:szCs w:val="28"/>
          <w:rtl w:val="true"/>
          <w:lang w:bidi="fa-IR"/>
        </w:rPr>
        <w:t xml:space="preserve">حتی یتحقّق المخرج منه؛لعموم الأدلّة و ترک الاستفصال فیها،و هو دلیل إرادة العموم حذراً من الإغراء بالجهل، و لأنّ ذلک لو تمّ لتمشّی فیمن یعلم عدم استحقاق المقول عنه بالنسبة إلی السامع مع احتمال اطلاع القائل علی ما یوجب تسویغ مقالته، و هو هدم قاعدة النهی عن الغیبة </w:t>
      </w:r>
      <w:r>
        <w:rPr>
          <w:rStyle w:val="FootnoteAnchor"/>
          <w:rtl w:val="true"/>
        </w:rPr>
        <w:footnoteReference w:id="14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المحکی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 علی جواز الاستماع، و إنّما یدلّ علی عدم وجوب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بحرمة استماع هذه الغیبة مع فرض جوازها للقائل؛ لأنّ السامع أحد المغتابین،فکما أنّ المغتاب تحرم علیه الغیبة إلّا إذا علم التجاهرَ المُسوِّغ،فکذلک السامع یحرم علیه الاستماع إلّا إذا علم التجاهر، و أمّا نهی القائل فغیر لازم مع دعوی القائل العذر المُسوِّغ،بل مع احتماله فی حقّه و إن اعتقد الناهی عدم التجاهر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عدم اعتقاد القائل بالتجاهر وجب ردعه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الأقوی جواز الاستماع إذا جاز للقائل؛لأنّه قول غیر منکر،فلا یحرم الإصغاء إلیه؛للأصل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w:t>
      </w:r>
      <w:r>
        <w:rPr>
          <w:rStyle w:val="FootnoteAnchor"/>
          <w:rtl w:val="true"/>
        </w:rPr>
        <w:footnoteReference w:id="1484"/>
      </w:r>
      <w:r>
        <w:rPr>
          <w:rFonts w:ascii="IRNazanin" w:hAnsi="IRNazanin" w:eastAsia="IRNazanin"/>
          <w:color w:val="111111"/>
          <w:sz w:val="28"/>
          <w:sz w:val="28"/>
          <w:szCs w:val="28"/>
          <w:rtl w:val="true"/>
          <w:lang w:bidi="fa-IR"/>
        </w:rPr>
        <w:t>علی تقدیر صحّتها تدلّ علی أنّ السامع لغیبةٍ کقائل تلک الغیبة،فإن کان القائل عاصیاً کان المستمع کذلک،فتکون دلیلاً علی الجواز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استظهر منها أنّ السامع للغیبة کأنّه متکلّم بها،فإن جاز للسامع التکلّم بغیبة </w:t>
      </w:r>
      <w:r>
        <w:rPr>
          <w:rStyle w:val="FootnoteAnchor"/>
          <w:rtl w:val="true"/>
        </w:rPr>
        <w:footnoteReference w:id="1485"/>
      </w:r>
      <w:r>
        <w:rPr>
          <w:rFonts w:ascii="IRNazanin" w:hAnsi="IRNazanin" w:eastAsia="IRNazanin"/>
          <w:color w:val="111111"/>
          <w:sz w:val="28"/>
          <w:sz w:val="28"/>
          <w:szCs w:val="28"/>
          <w:rtl w:val="true"/>
          <w:lang w:bidi="fa-IR"/>
        </w:rPr>
        <w:t>جاز سماعها،و إن حرم علیه حرم سماعها أیضاً، کانت الروایة علی تقدیر صحتها دلیلاً للتحریم فیما نحن فیه، لکنه خلاف الظاهر من الروایة علی تقدیر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بالتثنیة، و إن کان هو الظاهر علی تقدیر قراءته بالجمع،لکن هذا التقدیر خلاف الظاهر،و قد تقدم فی مسألة التشبیب أنّه إذا </w:t>
      </w:r>
      <w:r>
        <w:rPr>
          <w:rStyle w:val="FootnoteAnchor"/>
          <w:rtl w:val="true"/>
        </w:rPr>
        <w:footnoteReference w:id="1486"/>
      </w:r>
      <w:r>
        <w:rPr>
          <w:rFonts w:ascii="IRNazanin" w:hAnsi="IRNazanin" w:eastAsia="IRNazanin"/>
          <w:color w:val="111111"/>
          <w:sz w:val="28"/>
          <w:sz w:val="28"/>
          <w:szCs w:val="28"/>
          <w:rtl w:val="true"/>
          <w:lang w:bidi="fa-IR"/>
        </w:rPr>
        <w:t xml:space="preserve">کان شکّ السامع فی حصول شرط حرمته من القائل لم یحرم استماعه،فراجع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یظهر من الأخبار المستفیضة وجوب رد الغیبة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المجالس بإسناده عن أبی ذرّ رضوان اللّه علیه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اغتیب عنده أخوه المؤمن و هو یستطیع نصره فنصره،نصره اللّه تعالی فی الدنیا و الآخرة،و إن خذله و هو یستطیع نصره،خذله اللّه فی الدنیا و الآخرة</w:t>
      </w:r>
      <w:r>
        <w:rPr>
          <w:rFonts w:eastAsia="IRNazanin" w:cs="IRNazanin"/>
          <w:color w:val="111111"/>
          <w:sz w:val="28"/>
          <w:szCs w:val="28"/>
          <w:rtl w:val="true"/>
          <w:lang w:bidi="fa-IR"/>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نحوها عن الصدوق بإسناده عن الصادق عن آبائه علیهم السلام فی وصیّة النبیّ صلّی اللّه علیه و آله و سلم لعلی علیه السلام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عقاب الأعمال بسنده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أخیه غیبة سمعها فی مجلس ردّ اللّه عنه ألف باب من الشرّ فی الدنیا و الآخرة،فإن لم یردّ عنه و أعجبه کان علیه کوزر من اغتابه</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الصدوق بإسناده عن الصادق علیه السلام فی حدیث المناهی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تطوّل علی أخیه فی غیبة 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فیه،فی مجلس </w:t>
      </w:r>
      <w:r>
        <w:rPr>
          <w:rStyle w:val="FootnoteAnchor"/>
          <w:rtl w:val="true"/>
        </w:rPr>
        <w:footnoteReference w:id="1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فردّها عنه ردّ اللّه عنه ألف باب من الشرّ فی الدنیا و الآخرة،فإن هو لم یردّها و هو قادر علی ردّها کان علیه کوزر من اغتابه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 زیادة عقابه أنّه إذا لم یرده تجرّأ المغتاب علی الغیبة، فیصرّ علی هذه الغیبة و غیرها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الردّ غیر النهی عن الغیبة،و المراد به الانتصار</w:t>
      </w:r>
    </w:p>
    <w:p>
      <w:pPr>
        <w:pStyle w:val="BookText"/>
        <w:rPr/>
      </w:pPr>
      <w:r>
        <w:rPr>
          <w:rFonts w:ascii="IRNazanin" w:hAnsi="IRNazanin" w:eastAsia="IRNazanin"/>
          <w:color w:val="111111"/>
          <w:sz w:val="28"/>
          <w:sz w:val="28"/>
          <w:szCs w:val="28"/>
          <w:rtl w:val="true"/>
          <w:lang w:bidi="fa-IR"/>
        </w:rPr>
        <w:t>للغائب بما یناسب تلک الغیبة،فإن کان عیباً دنیویاً انتصر له بأنّ العیب لیس إلّا ما عاب اللّه به من المعاصی التی من أکبرها ذکرک أخاک بما لم یعبه اللّه به،و إن کان عیباً دینیاً وجّهه بمحامل تخرجه عن المعصیة، فإن لم یقبل التوجیه انتصر له بأنّ المؤمن قد یبتلی بالمعصیة،فینبغی أن تستغفر له و تهتمّ له،لا أن تعیّر علیه،و أنّ تعییرک إیّاه لعلّه أعظم عند اللّه من معصیته،و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یتضاعف عقاب المغتاب إذا کان ممّن یمدح المغتاب فی حضوره،و هذا و إن کان فی نفسه مباحاً إلّا أنّه إذا انضمّ مع ذمّه فی غیبته سُمّی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اللسانین</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و تأکّد حرمته؛و لذا ورد فی المستفیضة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یجیء ذو اللسانین یوم القیامة و له لسانان من النار</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فإنّ لسان المدح فی الحضور و إن لم یکن لساناً من نار،إلّا أنّه إذا انضمّ إلی لسان الذمّ فی الغیاب صار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المجالس بسنده عن حفص بن غیاث،عن الصادق علیه السلام، عن أبیه،عن آبائه،عن علی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مدح أخاه المؤمن فی وجهه و اغتابه من ورائه فقد انقطعت العصمة بینهما</w:t>
      </w:r>
      <w:r>
        <w:rPr>
          <w:rFonts w:eastAsia="IRNazanin" w:cs="IRNazanin"/>
          <w:color w:val="111111"/>
          <w:sz w:val="28"/>
          <w:szCs w:val="28"/>
          <w:rtl w:val="true"/>
          <w:lang w:bidi="fa-IR"/>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العبد عبد یکون ذا وجهین و ذا 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یطری أخاه شاهداً و یأکله غائباً،إن اعطی حسده،و إن ابتُلی خذله</w:t>
      </w:r>
      <w:r>
        <w:rPr>
          <w:rFonts w:eastAsia="IRNazanin" w:cs="IRNazanin"/>
          <w:color w:val="111111"/>
          <w:sz w:val="28"/>
          <w:szCs w:val="28"/>
          <w:rtl w:val="true"/>
          <w:lang w:bidi="fa-IR"/>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قد یطلق الاغتیاب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یقال فی شخصٍ ما لیس فیه،و هو أغلظ تحریماً من الغیبة،و وجهه ظاهر؛لأنّه جامع بین مفسدتی </w:t>
      </w:r>
      <w:r>
        <w:rPr>
          <w:rStyle w:val="FootnoteAnchor"/>
          <w:rtl w:val="true"/>
        </w:rPr>
        <w:footnoteReference w:id="1498"/>
      </w:r>
      <w:r>
        <w:rPr>
          <w:rFonts w:ascii="IRNazanin" w:hAnsi="IRNazanin" w:eastAsia="IRNazanin"/>
          <w:color w:val="111111"/>
          <w:sz w:val="28"/>
          <w:sz w:val="28"/>
          <w:szCs w:val="28"/>
          <w:rtl w:val="true"/>
          <w:lang w:bidi="fa-IR"/>
        </w:rPr>
        <w:t>الکذب و الغیبة،و یمکن القول بتعدّد العقاب من جهة کلّ من العنوانین و المرکب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علقمة،عن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آبائه علیهم السلام،عن رسول اللّه صلّی اللّه علیه و آله و سلم،أنّه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مؤمناً بما فیه لم یجمع اللّه بینهما فی الجنة أبداً،و من اغتاب مؤمناً بما لیس فیه فقد انقطعت العصمة بینهما،و کان المغتاب خالداً فی النار و بئس المصیر</w:t>
      </w:r>
      <w:r>
        <w:rPr>
          <w:rFonts w:eastAsia="IRNazanin" w:cs="IRNazanin"/>
          <w:color w:val="111111"/>
          <w:sz w:val="28"/>
          <w:szCs w:val="28"/>
          <w:rtl w:val="true"/>
          <w:lang w:bidi="fa-IR"/>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bookmarkStart w:id="413" w:name="pg19762_189615"/>
    </w:p>
    <w:p>
      <w:pPr>
        <w:pStyle w:val="Heading5"/>
        <w:numPr>
          <w:ilvl w:val="4"/>
          <w:numId w:val="1"/>
        </w:numPr>
        <w:rPr/>
      </w:pPr>
      <w:bookmarkStart w:id="414" w:name="__RefHeading___Toc5003752_2314609296"/>
      <w:bookmarkStart w:id="415" w:name="_Toc159"/>
      <w:bookmarkEnd w:id="413"/>
      <w:bookmarkEnd w:id="414"/>
      <w:r>
        <w:rPr>
          <w:rtl w:val="true"/>
        </w:rPr>
        <w:t>خاتمة فی بعض ما ورد من حقوق المسلم علی أخیه</w:t>
      </w:r>
      <w:bookmarkEnd w:id="415"/>
    </w:p>
    <w:p>
      <w:pPr>
        <w:pStyle w:val="BookText"/>
        <w:rPr/>
      </w:pPr>
      <w:r>
        <w:rPr>
          <w:rFonts w:ascii="IRNazanin" w:hAnsi="IRNazanin" w:eastAsia="IRNazanin"/>
          <w:color w:val="111111"/>
          <w:sz w:val="28"/>
          <w:sz w:val="28"/>
          <w:szCs w:val="28"/>
          <w:rtl w:val="true"/>
          <w:lang w:bidi="fa-IR"/>
        </w:rPr>
        <w:t>ففی صحیحة مرازم،عن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أداء حق المؤمن</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الوسائل و کشف الریبة،عن کنز الفوائد للشیخ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محمد بن علی الصیرفی،عن محمد بن علی الجعابی،عن القاسم بن محمد بن جعفر العلوی،عن أبیه،عن آبائه، عن علی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علی أخیه ثلاثون حقّا،لا براءة له منها إلّا بأدائها أو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 زلّته، و یرحم عبرته،و یستر عورته،و یقیل عثرته،و یقبل معذرته،و یردّ غیبته، و یدیم نصیحته،و یحفظ خلّته،و یرعی ذمّته،و یعود مرضه،و یشهد میتته </w:t>
      </w:r>
      <w:r>
        <w:rPr>
          <w:rStyle w:val="FootnoteAnchor"/>
          <w:rtl w:val="true"/>
        </w:rPr>
        <w:footnoteReference w:id="1501"/>
      </w:r>
      <w:r>
        <w:rPr>
          <w:rFonts w:ascii="IRNazanin" w:hAnsi="IRNazanin" w:eastAsia="IRNazanin"/>
          <w:color w:val="111111"/>
          <w:sz w:val="28"/>
          <w:sz w:val="28"/>
          <w:szCs w:val="28"/>
          <w:rtl w:val="true"/>
          <w:lang w:bidi="fa-IR"/>
        </w:rPr>
        <w:t>، و یجیب دعوته،و یقبل هدیّته،و یکافئ صلته،و یشکر نعمته، و یحسن نصرته،و یحفظ حلیلته،و یقضی حاجته،و یستنجح مسألته، و یسمّت عطسته،و یرشد ضالّته،و یردّ سلامه،و یطیّب کلامه،و یبرّ إنعامه، و یصدّق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یوالی ولیّه </w:t>
      </w:r>
      <w:r>
        <w:rPr>
          <w:rStyle w:val="FootnoteAnchor"/>
          <w:rtl w:val="true"/>
        </w:rPr>
        <w:footnoteReference w:id="1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یعادیه </w:t>
      </w:r>
      <w:r>
        <w:rPr>
          <w:rStyle w:val="FootnoteAnchor"/>
          <w:rtl w:val="true"/>
        </w:rPr>
        <w:footnoteReference w:id="1503"/>
      </w:r>
      <w:r>
        <w:rPr>
          <w:rFonts w:ascii="Amiri" w:hAnsi="Amiri" w:eastAsia="Amiri" w:cs="Amiri"/>
          <w:color w:val="111111"/>
          <w:sz w:val="28"/>
          <w:sz w:val="28"/>
          <w:szCs w:val="28"/>
          <w:rtl w:val="true"/>
          <w:lang w:bidi="ar-SA"/>
        </w:rPr>
        <w:t>و ینصره ظالماً و مظلوماً</w:t>
      </w:r>
    </w:p>
    <w:p>
      <w:pPr>
        <w:pStyle w:val="BookText"/>
        <w:rPr/>
      </w:pPr>
      <w:r>
        <w:rPr>
          <w:rFonts w:ascii="IRNazanin" w:hAnsi="IRNazanin" w:eastAsia="IRNazanin"/>
          <w:color w:val="111111"/>
          <w:sz w:val="28"/>
          <w:sz w:val="28"/>
          <w:szCs w:val="28"/>
          <w:rtl w:val="true"/>
          <w:lang w:bidi="fa-IR"/>
        </w:rPr>
        <w:t>فأمّا نصرته ظالماً فیردّه عن ظلمه،و أمّا نصرته مظلوماً فیعینه علی أخذ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یسلمه،و لا یخذله،و یحبّ له من الخیر ما یحبّ لنفسه،و یکره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الشرّ </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یکره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أحدکم لیدع من حقوق أخیه شیئاً فیطالبه به یوم القیامة فیقضی له علیه</w:t>
      </w:r>
      <w:r>
        <w:rPr>
          <w:rFonts w:eastAsia="IRNazanin" w:cs="IRNazanin"/>
          <w:color w:val="111111"/>
          <w:sz w:val="28"/>
          <w:szCs w:val="28"/>
          <w:rtl w:val="true"/>
          <w:lang w:bidi="fa-IR"/>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فی حقوق المؤمن کثیرة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إرادة الحقوق المستحبّة التی ینبغی أداؤها،و معنی القضاء لذیها علی من هی علیه </w:t>
      </w:r>
      <w:r>
        <w:rPr>
          <w:rStyle w:val="FootnoteAnchor"/>
          <w:rtl w:val="true"/>
        </w:rPr>
        <w:footnoteReference w:id="1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معه معاملة من أهملها بالحرمان عمّا أُعدّ لمن أدّی حقوق الاُخوّة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ظاهرها و إن کان عامّاً،إلّا أنّه یمکن تخصیصها بالأخ العارف بهذه الحقوق المؤدّی لها بحسب الیسر،أمّا المؤمن المضیّع لها فالظاهر عدم تأکّد مراعاة هذه الحقوق بالنسبة إلیه،و لا یوجب إهمالها مطالبته </w:t>
      </w:r>
      <w:r>
        <w:rPr>
          <w:rStyle w:val="FootnoteAnchor"/>
          <w:rtl w:val="true"/>
        </w:rPr>
        <w:footnoteReference w:id="1508"/>
      </w:r>
      <w:r>
        <w:rPr>
          <w:rFonts w:ascii="IRNazanin" w:hAnsi="IRNazanin" w:eastAsia="IRNazanin"/>
          <w:color w:val="111111"/>
          <w:sz w:val="28"/>
          <w:sz w:val="28"/>
          <w:szCs w:val="28"/>
          <w:rtl w:val="true"/>
          <w:lang w:bidi="fa-IR"/>
        </w:rPr>
        <w:t>یوم القیامة؛لتحقّق المقاصة،فإنّ التهاتر یقع فی الحقوق، کما یقع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غیر واحد من الأخبار ما یظهر منه الرخصة فی ترک هذه الحقوق لبعض الاخوان،بل لجمیعهم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الصدوق رحمه اللّه فی الخصال،و کتاب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الکلینی بسندهما عن أبی جعفر علیه السلام </w:t>
      </w:r>
      <w:r>
        <w:rPr>
          <w:rStyle w:val="FootnoteAnchor"/>
          <w:rtl w:val="true"/>
        </w:rPr>
        <w:footnoteReference w:id="15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 أمیر المؤمنین علیه الصلاة و السلام رجل بالبصرة،فقال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الإخوان،فقال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الإخوان صنفان،إخوان الثقة و إخوان المکاشرة </w:t>
      </w:r>
      <w:r>
        <w:rPr>
          <w:rStyle w:val="FootnoteAnchor"/>
          <w:rtl w:val="true"/>
        </w:rPr>
        <w:footnoteReference w:id="1510"/>
      </w:r>
      <w:r>
        <w:rPr>
          <w:rFonts w:ascii="IRNazanin" w:hAnsi="IRNazanin" w:eastAsia="IRNazanin"/>
          <w:color w:val="111111"/>
          <w:sz w:val="28"/>
          <w:sz w:val="28"/>
          <w:szCs w:val="28"/>
          <w:rtl w:val="true"/>
          <w:lang w:bidi="fa-IR"/>
        </w:rPr>
        <w:t xml:space="preserve">،فأمّا إخوان الثقة فهم کالکفّ و الجناح و الأهل و المال،فإذا کنت من أخیک علی ثقة فابذل له مالک و یدک،و صاف من صافاه،و عادِ من عاداه،و اکتم سرّه و عیبه </w:t>
      </w:r>
      <w:r>
        <w:rPr>
          <w:rStyle w:val="FootnoteAnchor"/>
          <w:rtl w:val="true"/>
        </w:rPr>
        <w:footnoteReference w:id="1511"/>
      </w:r>
      <w:r>
        <w:rPr>
          <w:rFonts w:ascii="IRNazanin" w:hAnsi="IRNazanin" w:eastAsia="IRNazanin"/>
          <w:color w:val="111111"/>
          <w:sz w:val="28"/>
          <w:sz w:val="28"/>
          <w:szCs w:val="28"/>
          <w:rtl w:val="true"/>
          <w:lang w:bidi="fa-IR"/>
        </w:rPr>
        <w:t>، و أظهر منه الحَسَن؛و اعلم أیّها السائل أنّهم أعزّ من الکبریت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إخوان المکاشرة فإنّک تصیب منهم لذّتک،فلا تقطعنّ ذلک منهم، و لا تطلبنّ ما وراء ذلک من ضمیرهم،و ابذل لهم ما بذلوا لک من طلاقة الوجه و حلاوة اللسان</w:t>
      </w:r>
      <w:r>
        <w:rPr>
          <w:rFonts w:eastAsia="IRNazanin" w:cs="IRNazanin"/>
          <w:color w:val="111111"/>
          <w:sz w:val="28"/>
          <w:szCs w:val="28"/>
          <w:rtl w:val="true"/>
          <w:lang w:bidi="fa-IR"/>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عبید اللّه الحلبی المرویة فی الکافی عن</w:t>
      </w:r>
    </w:p>
    <w:p>
      <w:pPr>
        <w:pStyle w:val="BookText"/>
        <w:rPr/>
      </w:pPr>
      <w:r>
        <w:rPr>
          <w:rFonts w:ascii="IRNazanin" w:hAnsi="IRNazanin" w:eastAsia="IRNazanin"/>
          <w:color w:val="111111"/>
          <w:sz w:val="28"/>
          <w:sz w:val="28"/>
          <w:szCs w:val="28"/>
          <w:rtl w:val="true"/>
          <w:lang w:bidi="fa-IR"/>
        </w:rPr>
        <w:t>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الصداقة إلّا بحدودها فمن کانت فیه هذه الحدود أو شیء منها فانسبه إلی الصداقة،و من لم یکن فیه شیء منها فلا تنسبه إلی شیء من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فأوّلها أن تکون سریرته و علانیته لک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أن یری زینک زینه و شینک 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أن لا تغیّره علیک ولایةٌ و 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الرابعة أن لا یمنعک شیئاً تناله مقدرته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الخامسة و هی تجمع </w:t>
      </w:r>
      <w:r>
        <w:rPr>
          <w:rStyle w:val="FootnoteAnchor"/>
          <w:rtl w:val="true"/>
        </w:rPr>
        <w:footnoteReference w:id="1514"/>
      </w:r>
      <w:r>
        <w:rPr>
          <w:rFonts w:ascii="IRNazanin" w:hAnsi="IRNazanin" w:eastAsia="IRNazanin"/>
          <w:color w:val="111111"/>
          <w:sz w:val="28"/>
          <w:sz w:val="28"/>
          <w:szCs w:val="28"/>
          <w:rtl w:val="true"/>
          <w:lang w:bidi="fa-IR"/>
        </w:rPr>
        <w:t>هذه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یسلمک عند النکبات</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إذا لم تکن الصداقة لم تکن الاُخوّة،فلا بأس بترک الحقوق المذکورة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الصدیق صدیقاً حتی یحفظ أخاه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نکبته،و فی غیبته،و فی وفاته</w:t>
      </w:r>
      <w:r>
        <w:rPr>
          <w:rFonts w:eastAsia="IRNazanin" w:cs="IRNazanin"/>
          <w:color w:val="111111"/>
          <w:sz w:val="28"/>
          <w:szCs w:val="28"/>
          <w:rtl w:val="true"/>
          <w:lang w:bidi="fa-IR"/>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الإخوان،بسنده عن الوصافی،عن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 من کان قِبَلکم </w:t>
      </w:r>
      <w:r>
        <w:rPr>
          <w:rStyle w:val="FootnoteAnchor"/>
          <w:rtl w:val="true"/>
        </w:rPr>
        <w:footnoteReference w:id="1517"/>
      </w:r>
      <w:r>
        <w:rPr>
          <w:rFonts w:ascii="IRNazanin" w:hAnsi="IRNazanin" w:eastAsia="IRNazanin"/>
          <w:color w:val="111111"/>
          <w:sz w:val="28"/>
          <w:sz w:val="28"/>
          <w:szCs w:val="28"/>
          <w:rtl w:val="true"/>
          <w:lang w:bidi="fa-IR"/>
        </w:rPr>
        <w:t>إذا کان الرجل لیس علیه رداء و عند بعض إخوانه رداء یطرحه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لیس عنده إزار یوصل إلیه بعض إخوانه بفضل إزاره حتی یجد له إزاراً؟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بیده علی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هؤلاء بإخوة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r>
        <w:rPr>
          <w:rFonts w:ascii="IRNazanin" w:hAnsi="IRNazanin" w:eastAsia="IRNazanin"/>
          <w:color w:val="111111"/>
          <w:sz w:val="28"/>
          <w:sz w:val="28"/>
          <w:szCs w:val="28"/>
          <w:rtl w:val="true"/>
          <w:lang w:bidi="fa-IR"/>
        </w:rPr>
        <w:t>دلّ علی أنّ من لا یواسی المؤمن لیس بأخٍ له،فلا یکون له حقوق الأُخوّة المذکورة فی روایات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روایة ابن أبی عمیر عن خلّاد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أبطأ علی رسول اللّه صلّی اللّه علیه و آله و سلم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أبطأ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کان لک جار له ثوبان یعیرک أحدهما؟فقال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لک بأخ</w:t>
      </w:r>
      <w:r>
        <w:rPr>
          <w:rFonts w:eastAsia="IRNazanin" w:cs="IRNazanin"/>
          <w:color w:val="111111"/>
          <w:sz w:val="28"/>
          <w:szCs w:val="28"/>
          <w:rtl w:val="true"/>
          <w:lang w:bidi="fa-IR"/>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یونس بن ظبیان،قال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اختبروا إخوانکم بخصلتین،فإن کانتا فیهم،و إلّا،فاعزُب ثم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اعزُب </w:t>
      </w:r>
      <w:r>
        <w:rPr>
          <w:rStyle w:val="FootnoteAnchor"/>
          <w:rtl w:val="true"/>
        </w:rPr>
        <w:footnoteReference w:id="1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الصلوات فی مواقیتها،و البرّ بالإخوان فی الیسر و العسر</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bookmarkStart w:id="416" w:name="pg19762_189621"/>
    </w:p>
    <w:p>
      <w:pPr>
        <w:pStyle w:val="BookText"/>
        <w:rPr/>
      </w:pPr>
      <w:bookmarkEnd w:id="41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5003754_2314609296"/>
      <w:bookmarkStart w:id="418" w:name="_Toc160"/>
      <w:bookmarkEnd w:id="417"/>
      <w:r>
        <w:rPr>
          <w:rtl w:val="true"/>
        </w:rPr>
        <w:t>المسألة</w:t>
      </w:r>
      <w:r>
        <w:rPr>
          <w:rtl w:val="true"/>
        </w:rPr>
        <w:t>]</w:t>
      </w:r>
      <w:r>
        <w:rPr>
          <w:rtl w:val="true"/>
        </w:rPr>
        <w:t>الخامسة عشر القِمار</w:t>
      </w:r>
      <w:bookmarkEnd w:id="418"/>
    </w:p>
    <w:p>
      <w:pPr>
        <w:pStyle w:val="Heading5"/>
        <w:numPr>
          <w:ilvl w:val="4"/>
          <w:numId w:val="1"/>
        </w:numPr>
        <w:rPr/>
      </w:pPr>
      <w:bookmarkStart w:id="419" w:name="__RefHeading___Toc5003756_2314609296"/>
      <w:bookmarkStart w:id="420" w:name="_Toc161"/>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حرام إجماعاً،و یدلّ علیه الکتاب </w:t>
      </w:r>
      <w:r>
        <w:rPr>
          <w:rStyle w:val="FootnoteAnchor"/>
          <w:rtl w:val="true"/>
        </w:rPr>
        <w:footnoteReference w:id="1523"/>
      </w:r>
      <w:r>
        <w:rPr>
          <w:rFonts w:ascii="Amiri" w:hAnsi="Amiri" w:eastAsia="Amiri" w:cs="Amiri"/>
          <w:color w:val="111111"/>
          <w:sz w:val="28"/>
          <w:sz w:val="28"/>
          <w:szCs w:val="28"/>
          <w:rtl w:val="true"/>
          <w:lang w:bidi="ar-SA"/>
        </w:rPr>
        <w:t xml:space="preserve">و السنّة المتواترة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بکسر القاف کما عن بعض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علی اللعب بشیء من الآلات المعروفة</w:t>
      </w:r>
      <w:r>
        <w:rPr>
          <w:rFonts w:eastAsia="IRNazanin" w:cs="IRNazanin"/>
          <w:color w:val="111111"/>
          <w:sz w:val="28"/>
          <w:szCs w:val="28"/>
          <w:rtl w:val="true"/>
          <w:lang w:bidi="fa-IR"/>
        </w:rPr>
        <w:t xml:space="preserve">» </w:t>
      </w:r>
      <w:r>
        <w:rPr>
          <w:rStyle w:val="FootnoteAnchor"/>
          <w:rtl w:val="true"/>
        </w:rPr>
        <w:footnoteReference w:id="1525"/>
      </w:r>
      <w:r>
        <w:rPr>
          <w:rFonts w:ascii="IRNazanin" w:hAnsi="IRNazanin" w:eastAsia="IRNazanin"/>
          <w:color w:val="111111"/>
          <w:sz w:val="28"/>
          <w:sz w:val="28"/>
          <w:szCs w:val="28"/>
          <w:rtl w:val="true"/>
          <w:lang w:bidi="fa-IR"/>
        </w:rPr>
        <w:t xml:space="preserve">و حکی عن جماعة أنّه قد یطلق علی اللعب بهذه الأشیاء مطلقاً و لو من دون رهن </w:t>
      </w:r>
      <w:r>
        <w:rPr>
          <w:rStyle w:val="FootnoteAnchor"/>
          <w:rtl w:val="true"/>
        </w:rPr>
        <w:footnoteReference w:id="1526"/>
      </w:r>
      <w:r>
        <w:rPr>
          <w:rFonts w:ascii="IRNazanin" w:hAnsi="IRNazanin" w:eastAsia="IRNazanin"/>
          <w:color w:val="111111"/>
          <w:sz w:val="28"/>
          <w:sz w:val="28"/>
          <w:szCs w:val="28"/>
          <w:rtl w:val="true"/>
          <w:lang w:bidi="fa-IR"/>
        </w:rPr>
        <w:t xml:space="preserve">،و به صرّح فی جامع المقاصد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بعضٍ </w:t>
      </w:r>
      <w:r>
        <w:rPr>
          <w:rStyle w:val="FootnoteAnchor"/>
          <w:rtl w:val="true"/>
        </w:rPr>
        <w:footnoteReference w:id="1528"/>
      </w:r>
      <w:r>
        <w:rPr>
          <w:rFonts w:ascii="Amiri" w:hAnsi="Amiri" w:eastAsia="Amiri" w:cs="Amiri"/>
          <w:color w:val="111111"/>
          <w:sz w:val="28"/>
          <w:sz w:val="28"/>
          <w:szCs w:val="28"/>
          <w:rtl w:val="true"/>
          <w:lang w:bidi="ar-SA"/>
        </w:rPr>
        <w:t>أنّ أصل المقامرة المغالبة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کان،فهنا مسائل أربع؛لأنّ اللعب قد یکون بآلات القِمار</w:t>
      </w:r>
      <w:bookmarkStart w:id="421" w:name="pg19762_189622"/>
    </w:p>
    <w:p>
      <w:pPr>
        <w:pStyle w:val="BookText"/>
        <w:rPr/>
      </w:pPr>
      <w:bookmarkEnd w:id="421"/>
      <w:r>
        <w:rPr>
          <w:rFonts w:ascii="IRNazanin" w:hAnsi="IRNazanin" w:eastAsia="IRNazanin"/>
          <w:color w:val="111111"/>
          <w:sz w:val="28"/>
          <w:sz w:val="28"/>
          <w:szCs w:val="28"/>
          <w:rtl w:val="true"/>
          <w:lang w:bidi="fa-IR"/>
        </w:rPr>
        <w:t>مع الرهن،و قد یکون بدونه،و المغالبة بغیر آلات القِمار قد تکون مع العوض،و قد تکون بدونه</w:t>
      </w:r>
      <w:r>
        <w:rPr>
          <w:rFonts w:eastAsia="IRNazanin" w:cs="IRNazanin"/>
          <w:color w:val="111111"/>
          <w:sz w:val="28"/>
          <w:szCs w:val="28"/>
          <w:rtl w:val="true"/>
          <w:lang w:bidi="fa-IR"/>
        </w:rPr>
        <w:t>.</w:t>
      </w:r>
    </w:p>
    <w:p>
      <w:pPr>
        <w:pStyle w:val="Heading5"/>
        <w:numPr>
          <w:ilvl w:val="4"/>
          <w:numId w:val="1"/>
        </w:numPr>
        <w:rPr/>
      </w:pPr>
      <w:bookmarkStart w:id="422" w:name="__RefHeading___Toc5003758_2314609296"/>
      <w:bookmarkStart w:id="423" w:name="_Toc162"/>
      <w:bookmarkEnd w:id="422"/>
      <w:r>
        <w:rPr>
          <w:rtl w:val="true"/>
        </w:rPr>
        <w:t>فالأُولی</w:t>
      </w:r>
      <w:r>
        <w:rPr>
          <w:rtl w:val="true"/>
        </w:rPr>
        <w:t xml:space="preserve">- </w:t>
      </w:r>
      <w:r>
        <w:rPr>
          <w:rtl w:val="true"/>
        </w:rPr>
        <w:t>اللعب بآلات القِمار مع الرهن</w:t>
      </w:r>
      <w:r>
        <w:rPr>
          <w:rtl w:val="true"/>
        </w:rPr>
        <w:t>.</w:t>
      </w:r>
      <w:bookmarkEnd w:id="423"/>
    </w:p>
    <w:p>
      <w:pPr>
        <w:pStyle w:val="BookText"/>
        <w:rPr/>
      </w:pPr>
      <w:r>
        <w:rPr>
          <w:rFonts w:ascii="IRNazanin" w:hAnsi="IRNazanin" w:eastAsia="IRNazanin"/>
          <w:color w:val="111111"/>
          <w:sz w:val="28"/>
          <w:sz w:val="28"/>
          <w:szCs w:val="28"/>
          <w:rtl w:val="true"/>
          <w:lang w:bidi="fa-IR"/>
        </w:rPr>
        <w:t xml:space="preserve">و لا إشکال فی حرمته و حرمة العوض،و الإجماع علیه </w:t>
      </w:r>
      <w:r>
        <w:rPr>
          <w:rStyle w:val="FootnoteAnchor"/>
          <w:rtl w:val="true"/>
        </w:rPr>
        <w:footnoteReference w:id="1529"/>
      </w:r>
      <w:r>
        <w:rPr>
          <w:rFonts w:ascii="IRNazanin" w:hAnsi="IRNazanin" w:eastAsia="IRNazanin"/>
          <w:color w:val="111111"/>
          <w:sz w:val="28"/>
          <w:sz w:val="28"/>
          <w:szCs w:val="28"/>
          <w:rtl w:val="true"/>
          <w:lang w:bidi="fa-IR"/>
        </w:rPr>
        <w:t xml:space="preserve">محقّق، و الأخبار به </w:t>
      </w:r>
      <w:r>
        <w:rPr>
          <w:rStyle w:val="FootnoteAnchor"/>
          <w:rtl w:val="true"/>
        </w:rPr>
        <w:footnoteReference w:id="1530"/>
      </w:r>
      <w:r>
        <w:rPr>
          <w:rFonts w:ascii="Amiri" w:hAnsi="Amiri" w:eastAsia="Amiri" w:cs="Amiri"/>
          <w:color w:val="111111"/>
          <w:sz w:val="28"/>
          <w:sz w:val="28"/>
          <w:szCs w:val="28"/>
          <w:rtl w:val="true"/>
          <w:lang w:bidi="ar-SA"/>
        </w:rPr>
        <w:t xml:space="preserve">متواترة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5003760_2314609296"/>
      <w:bookmarkStart w:id="425" w:name="_Toc163"/>
      <w:bookmarkEnd w:id="424"/>
      <w:r>
        <w:rPr>
          <w:rtl w:val="true"/>
        </w:rPr>
        <w:t>الثانیة</w:t>
      </w:r>
      <w:r>
        <w:rPr>
          <w:rtl w:val="true"/>
        </w:rPr>
        <w:t xml:space="preserve">- </w:t>
      </w:r>
      <w:r>
        <w:rPr>
          <w:rtl w:val="true"/>
        </w:rPr>
        <w:t>اللعب بآلات القِمار من دون رهن</w:t>
      </w:r>
      <w:r>
        <w:rPr>
          <w:rtl w:val="true"/>
        </w:rPr>
        <w:t>.</w:t>
      </w:r>
      <w:bookmarkEnd w:id="425"/>
    </w:p>
    <w:p>
      <w:pPr>
        <w:pStyle w:val="BookText"/>
        <w:rPr/>
      </w:pPr>
      <w:r>
        <w:rPr>
          <w:rFonts w:ascii="IRNazanin" w:hAnsi="IRNazanin" w:eastAsia="IRNazanin"/>
          <w:color w:val="111111"/>
          <w:sz w:val="28"/>
          <w:sz w:val="28"/>
          <w:szCs w:val="28"/>
          <w:rtl w:val="true"/>
          <w:lang w:bidi="fa-IR"/>
        </w:rPr>
        <w:t>و فی صدق القِمار علیه نظر؛لما عرفت،و مجرّد الاستعمال لا یوجب إجراء أحکام المطلقات و لو مع البناء علی أصالة الحقیقة فی الاستعمال؛لقوّة انصرافها إلی الغالب من وجود الرهن فی اللعب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تظهر الخدشة فی الاستدلال علی المطلب بإطلاق النهی عن اللعب بتلک الآلات؛بناء علی انصرافه إلی المتعارف من ثبوت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یبعد دعوی الانصراف فی روایة أبی الربیع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الشطرَنج و النرد؟قال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تقربوهما،قلت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فالغناء؟قال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خیر فیه،لا تقربه</w:t>
      </w:r>
      <w:r>
        <w:rPr>
          <w:rFonts w:eastAsia="IRNazanin" w:cs="IRNazanin"/>
          <w:color w:val="111111"/>
          <w:sz w:val="28"/>
          <w:szCs w:val="28"/>
          <w:rtl w:val="true"/>
          <w:lang w:bidi="fa-IR"/>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الأولی الاستدلال علی ذلک بما تقدّم فی روایة تحف العقول من أنّ ما یجیء منه الفساد محضاً لا یجوز التقلّب فیه من جمیع وجوه الحرکات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القمی،عن أبی الجارود،عن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w:t>
      </w:r>
      <w:r>
        <w:rPr>
          <w:rStyle w:val="FootnoteAnchor"/>
          <w:rtl w:val="true"/>
        </w:rPr>
        <w:footnoteReference w:id="15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الخمر فکلّ مسکر من الشراب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المَیسِر فالنرد و الشطرَنج،و کلّ قِمار میسر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هذا بیعه و شراؤه و الانتفاع بشیء من هذا حرام </w:t>
      </w:r>
      <w:r>
        <w:rPr>
          <w:rStyle w:val="FootnoteAnchor"/>
          <w:rtl w:val="true"/>
        </w:rPr>
        <w:footnoteReference w:id="1535"/>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المراد بالقِمار هنا المعنی المصدری،حتّی یرد ما تقدّم من انصرافه إلی اللعب مع الرهن،بل المراد الآلات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المَیسِر فهو النرد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الحکم ما عن مجالس المفید الثانی رحمه اللّه ولد شیخنا الطوسی رحمه اللّه بسنده عن أمیر المؤمنین علیه السلام فی تفسیر المَیسِر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ألهی عن ذکر اللّه فهو المَیسِر</w:t>
      </w:r>
      <w:r>
        <w:rPr>
          <w:rFonts w:eastAsia="IRNazanin" w:cs="IRNazanin"/>
          <w:color w:val="111111"/>
          <w:sz w:val="28"/>
          <w:szCs w:val="28"/>
          <w:rtl w:val="true"/>
          <w:lang w:bidi="fa-IR"/>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الفضیل،قال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هذه الأشیاء التی یلعب بها الناس من النرد و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انتهیت إلی السدَر </w:t>
      </w:r>
      <w:r>
        <w:rPr>
          <w:rStyle w:val="FootnoteAnchor"/>
          <w:rtl w:val="true"/>
        </w:rPr>
        <w:footnoteReference w:id="15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میّز اللّه الحق من الباطل مع أیّهما یکون؟قلت </w:t>
      </w:r>
      <w:r>
        <w:rPr>
          <w:rStyle w:val="FootnoteAnchor"/>
          <w:rtl w:val="true"/>
        </w:rPr>
        <w:footnoteReference w:id="1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 و الباطل؟</w:t>
      </w:r>
      <w:r>
        <w:rPr>
          <w:rFonts w:eastAsia="IRNazanin" w:cs="IRNazanin"/>
          <w:color w:val="111111"/>
          <w:sz w:val="28"/>
          <w:szCs w:val="28"/>
          <w:rtl w:val="true"/>
          <w:lang w:bidi="fa-IR"/>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زرارة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الشطرَنج و عن لعبة شبیب </w:t>
      </w:r>
      <w:r>
        <w:rPr>
          <w:rStyle w:val="FootnoteAnchor"/>
          <w:rtl w:val="true"/>
        </w:rPr>
        <w:footnoteReference w:id="1541"/>
      </w:r>
      <w:r>
        <w:rPr>
          <w:rFonts w:ascii="IRNazanin" w:hAnsi="IRNazanin" w:eastAsia="IRNazanin"/>
          <w:color w:val="111111"/>
          <w:sz w:val="28"/>
          <w:sz w:val="28"/>
          <w:szCs w:val="28"/>
          <w:rtl w:val="true"/>
          <w:lang w:bidi="fa-IR"/>
        </w:rPr>
        <w:t>التی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لعبة الأمیر </w:t>
      </w:r>
      <w:r>
        <w:rPr>
          <w:rStyle w:val="FootnoteAnchor"/>
          <w:rtl w:val="true"/>
        </w:rPr>
        <w:footnoteReference w:id="1542"/>
      </w:r>
      <w:r>
        <w:rPr>
          <w:rFonts w:ascii="IRNazanin" w:hAnsi="IRNazanin" w:eastAsia="IRNazanin"/>
          <w:color w:val="111111"/>
          <w:sz w:val="28"/>
          <w:sz w:val="28"/>
          <w:szCs w:val="28"/>
          <w:rtl w:val="true"/>
          <w:lang w:bidi="fa-IR"/>
        </w:rPr>
        <w:t>و عن لعبة الثلاث؟فقال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رأیتک </w:t>
      </w:r>
      <w:r>
        <w:rPr>
          <w:rStyle w:val="FootnoteAnchor"/>
          <w:rtl w:val="true"/>
        </w:rPr>
        <w:footnoteReference w:id="1543"/>
      </w:r>
      <w:r>
        <w:rPr>
          <w:rFonts w:ascii="IRNazanin" w:hAnsi="IRNazanin" w:eastAsia="IRNazanin"/>
          <w:color w:val="111111"/>
          <w:sz w:val="28"/>
          <w:sz w:val="28"/>
          <w:szCs w:val="28"/>
          <w:rtl w:val="true"/>
          <w:lang w:bidi="fa-IR"/>
        </w:rPr>
        <w:t xml:space="preserve">إذا میّز اللّه بین الحقّ و الباطل مع أیّهما تکون؟قلت </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خیر فیه</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عبد الواحد بن مختار،عن اللعب بالشطرنج،قال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لمشغول عن اللعب</w:t>
      </w:r>
      <w:r>
        <w:rPr>
          <w:rFonts w:eastAsia="IRNazanin" w:cs="IRNazanin"/>
          <w:color w:val="111111"/>
          <w:sz w:val="28"/>
          <w:szCs w:val="28"/>
          <w:rtl w:val="true"/>
          <w:lang w:bidi="fa-IR"/>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مقتضی إناطة الحکم بالباطل و اللعب عدم اعتبار الرهن فی</w:t>
      </w:r>
      <w:bookmarkStart w:id="426" w:name="pg19762_189625"/>
    </w:p>
    <w:p>
      <w:pPr>
        <w:pStyle w:val="BookText"/>
        <w:rPr/>
      </w:pPr>
      <w:bookmarkEnd w:id="426"/>
      <w:r>
        <w:rPr>
          <w:rFonts w:ascii="IRNazanin" w:hAnsi="IRNazanin" w:eastAsia="IRNazanin"/>
          <w:color w:val="111111"/>
          <w:sz w:val="28"/>
          <w:sz w:val="28"/>
          <w:szCs w:val="28"/>
          <w:rtl w:val="true"/>
          <w:lang w:bidi="fa-IR"/>
        </w:rPr>
        <w:t>حرمة اللعب بهذه الأشیاء،و لا یجری دعوی الانصراف هنا</w:t>
      </w:r>
      <w:r>
        <w:rPr>
          <w:rFonts w:eastAsia="IRNazanin" w:cs="IRNazanin"/>
          <w:color w:val="111111"/>
          <w:sz w:val="28"/>
          <w:szCs w:val="28"/>
          <w:rtl w:val="true"/>
          <w:lang w:bidi="fa-IR"/>
        </w:rPr>
        <w:t>.</w:t>
      </w:r>
    </w:p>
    <w:p>
      <w:pPr>
        <w:pStyle w:val="Heading5"/>
        <w:numPr>
          <w:ilvl w:val="4"/>
          <w:numId w:val="1"/>
        </w:numPr>
        <w:rPr/>
      </w:pPr>
      <w:bookmarkStart w:id="427" w:name="__RefHeading___Toc5003762_2314609296"/>
      <w:bookmarkStart w:id="428" w:name="_Toc164"/>
      <w:bookmarkEnd w:id="427"/>
      <w:r>
        <w:rPr>
          <w:rtl w:val="true"/>
        </w:rPr>
        <w:t>الثالثة</w:t>
      </w:r>
      <w:r>
        <w:rPr>
          <w:rtl w:val="true"/>
        </w:rPr>
        <w:t xml:space="preserve">- </w:t>
      </w:r>
      <w:r>
        <w:rPr>
          <w:rtl w:val="true"/>
        </w:rPr>
        <w:t>المراهنة علی اللعب بغیر الآلات المعدّة للقِمار</w:t>
      </w:r>
      <w:r>
        <w:rPr>
          <w:rtl w:val="true"/>
        </w:rPr>
        <w:t>.</w:t>
      </w:r>
      <w:bookmarkEnd w:id="428"/>
    </w:p>
    <w:p>
      <w:pPr>
        <w:pStyle w:val="BookText"/>
        <w:rPr/>
      </w:pPr>
      <w:r>
        <w:rPr>
          <w:rFonts w:ascii="IRNazanin" w:hAnsi="IRNazanin" w:eastAsia="IRNazanin"/>
          <w:color w:val="111111"/>
          <w:sz w:val="28"/>
          <w:sz w:val="28"/>
          <w:szCs w:val="28"/>
          <w:rtl w:val="true"/>
          <w:lang w:bidi="fa-IR"/>
        </w:rPr>
        <w:t>کالمراهنة علی حمل الحجر الثقیل و علی المصارعة و علی الطیور و علی الطفرة،و نحو ذلک ممّا عدّوها فی باب السبق و الرمایة من أفراد غیر ما نصّ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الإلحاق بالقِمار فی الحرمة و الفساد،بل صریح بعض أنّه قِمار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العلّامة الطباطبائی رحمه اللّه فی مصابیحه بعدم الخلاف فی الحرمة و الفساد </w:t>
      </w:r>
      <w:r>
        <w:rPr>
          <w:rStyle w:val="FootnoteAnchor"/>
          <w:rtl w:val="true"/>
        </w:rPr>
        <w:footnoteReference w:id="1548"/>
      </w:r>
      <w:r>
        <w:rPr>
          <w:rFonts w:ascii="IRNazanin" w:hAnsi="IRNazanin" w:eastAsia="IRNazanin"/>
          <w:color w:val="111111"/>
          <w:sz w:val="28"/>
          <w:sz w:val="28"/>
          <w:szCs w:val="28"/>
          <w:rtl w:val="true"/>
          <w:lang w:bidi="fa-IR"/>
        </w:rPr>
        <w:t xml:space="preserve">،و هو ظاهر کلّ من نفی الخلاف فی تحریم المسابقة فیما عدا المنصوص مع العوض و جعل محلّ الخلاف فیها بدون العوض </w:t>
      </w:r>
      <w:r>
        <w:rPr>
          <w:rStyle w:val="FootnoteAnchor"/>
          <w:rtl w:val="true"/>
        </w:rPr>
        <w:footnoteReference w:id="1549"/>
      </w:r>
      <w:r>
        <w:rPr>
          <w:rFonts w:ascii="IRNazanin" w:hAnsi="IRNazanin" w:eastAsia="IRNazanin"/>
          <w:color w:val="111111"/>
          <w:sz w:val="28"/>
          <w:sz w:val="28"/>
          <w:szCs w:val="28"/>
          <w:rtl w:val="true"/>
          <w:lang w:bidi="fa-IR"/>
        </w:rPr>
        <w:t>فإنّ ظاهر ذلک أنّ محلّ الخلاف هنا هو محلّ الوفاق هناک،و من المعلوم أنّه لیس هنا إلّا الحرمة التکلیفیة،دون خصوص الفساد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لتحضر الرهان فی الخفّ و الحافر</w:t>
      </w:r>
    </w:p>
    <w:p>
      <w:pPr>
        <w:pStyle w:val="BookText"/>
        <w:rPr/>
      </w:pPr>
      <w:r>
        <w:rPr>
          <w:rFonts w:ascii="IRNazanin" w:hAnsi="IRNazanin" w:eastAsia="IRNazanin"/>
          <w:color w:val="111111"/>
          <w:sz w:val="28"/>
          <w:sz w:val="28"/>
          <w:szCs w:val="28"/>
          <w:rtl w:val="true"/>
          <w:lang w:bidi="fa-IR"/>
        </w:rPr>
        <w:t>و الریش،و ما سوی ذلک قِمار حرام</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العلاء بن سیابة،عن الصادق علیه السلام،عن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الملائکة لتنفر عند الرهان و تلعن صاحبه ما خلا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الخف </w:t>
      </w:r>
      <w:r>
        <w:rPr>
          <w:rStyle w:val="FootnoteAnchor"/>
          <w:rtl w:val="true"/>
        </w:rPr>
        <w:footnoteReference w:id="1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الریش و النصل</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المحکی عن تفسیر العیاشی،عن یاسر الخادم،عن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المَیسِر،قال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الثقل </w:t>
      </w:r>
      <w:r>
        <w:rPr>
          <w:rStyle w:val="FootnoteAnchor"/>
          <w:rtl w:val="true"/>
        </w:rPr>
        <w:footnoteReference w:id="1553"/>
      </w:r>
      <w:r>
        <w:rPr>
          <w:rFonts w:ascii="IRNazanin" w:hAnsi="IRNazanin" w:eastAsia="IRNazanin"/>
          <w:color w:val="111111"/>
          <w:sz w:val="28"/>
          <w:sz w:val="28"/>
          <w:szCs w:val="28"/>
          <w:rtl w:val="true"/>
          <w:lang w:bidi="fa-IR"/>
        </w:rPr>
        <w:t>من کلّ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الثقل </w:t>
      </w:r>
      <w:r>
        <w:rPr>
          <w:rStyle w:val="FootnoteAnchor"/>
          <w:rtl w:val="true"/>
        </w:rPr>
        <w:footnoteReference w:id="1554"/>
      </w:r>
      <w:r>
        <w:rPr>
          <w:rFonts w:ascii="IRNazanin" w:hAnsi="IRNazanin" w:eastAsia="IRNazanin"/>
          <w:color w:val="111111"/>
          <w:sz w:val="28"/>
          <w:sz w:val="28"/>
          <w:szCs w:val="28"/>
          <w:rtl w:val="true"/>
          <w:lang w:bidi="fa-IR"/>
        </w:rPr>
        <w:t xml:space="preserve">ما یخرج بین المتراهنین من الدراهم و غیرها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مصحّحة معمّر بن 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قومر علیه فهو میسر</w:t>
      </w:r>
      <w:r>
        <w:rPr>
          <w:rFonts w:eastAsia="IRNazanin" w:cs="IRNazanin"/>
          <w:color w:val="111111"/>
          <w:sz w:val="28"/>
          <w:szCs w:val="28"/>
          <w:rtl w:val="true"/>
          <w:lang w:bidi="fa-IR"/>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جابر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p>
    <w:p>
      <w:pPr>
        <w:pStyle w:val="BookText"/>
        <w:rPr/>
      </w:pPr>
      <w:r>
        <w:rPr>
          <w:rFonts w:ascii="Amiri" w:hAnsi="Amiri" w:eastAsia="Amiri" w:cs="Amiri"/>
          <w:color w:val="111111"/>
          <w:sz w:val="28"/>
          <w:sz w:val="28"/>
          <w:szCs w:val="28"/>
          <w:rtl w:val="true"/>
          <w:lang w:bidi="ar-SA"/>
        </w:rPr>
        <w:t>ما المَیسِر؟قال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یقامر به </w:t>
      </w:r>
      <w:r>
        <w:rPr>
          <w:rStyle w:val="FootnoteAnchor"/>
          <w:rtl w:val="true"/>
        </w:rPr>
        <w:footnoteReference w:id="1558"/>
      </w:r>
      <w:r>
        <w:rPr>
          <w:rFonts w:ascii="IRNazanin" w:hAnsi="IRNazanin" w:eastAsia="IRNazanin"/>
          <w:color w:val="111111"/>
          <w:sz w:val="28"/>
          <w:sz w:val="28"/>
          <w:szCs w:val="28"/>
          <w:rtl w:val="true"/>
          <w:lang w:bidi="fa-IR"/>
        </w:rPr>
        <w:t>حتی الکعاب و الجوز</w:t>
      </w:r>
      <w:r>
        <w:rPr>
          <w:rFonts w:eastAsia="IRNazanin" w:cs="IRNazanin"/>
          <w:color w:val="111111"/>
          <w:sz w:val="28"/>
          <w:szCs w:val="28"/>
          <w:rtl w:val="true"/>
          <w:lang w:bidi="fa-IR"/>
        </w:rPr>
        <w:t xml:space="preserve">» </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المقامرة بمعنی المغالبة علی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هذه الروایات الظاهرة بل الصریحة فی التحریم المعتضدة بدعوی عدم الخلاف فی الحکم ممّن تقدّم فقد استظهر بعض مشایخنا المعاصرین </w:t>
      </w:r>
      <w:r>
        <w:rPr>
          <w:rStyle w:val="FootnoteAnchor"/>
          <w:rtl w:val="true"/>
        </w:rPr>
        <w:footnoteReference w:id="1560"/>
      </w:r>
      <w:r>
        <w:rPr>
          <w:rFonts w:ascii="IRNazanin" w:hAnsi="IRNazanin" w:eastAsia="IRNazanin"/>
          <w:color w:val="111111"/>
          <w:sz w:val="28"/>
          <w:sz w:val="28"/>
          <w:szCs w:val="28"/>
          <w:rtl w:val="true"/>
          <w:lang w:bidi="fa-IR"/>
        </w:rPr>
        <w:t xml:space="preserve">اختصاص الحرمة بما کان بالآلات المعدّة للقِمار،و أمّا مطلق الرهان علی المغالبة </w:t>
      </w:r>
      <w:r>
        <w:rPr>
          <w:rStyle w:val="FootnoteAnchor"/>
          <w:rtl w:val="true"/>
        </w:rPr>
        <w:footnoteReference w:id="1561"/>
      </w:r>
      <w:r>
        <w:rPr>
          <w:rFonts w:ascii="IRNazanin" w:hAnsi="IRNazanin" w:eastAsia="IRNazanin"/>
          <w:color w:val="111111"/>
          <w:sz w:val="28"/>
          <w:sz w:val="28"/>
          <w:szCs w:val="28"/>
          <w:rtl w:val="true"/>
          <w:lang w:bidi="fa-IR"/>
        </w:rPr>
        <w:t xml:space="preserve">بغیرها فلیس فیه إلّا فساد المعاملة و عدم تملّک الرهن </w:t>
      </w:r>
      <w:r>
        <w:rPr>
          <w:rStyle w:val="FootnoteAnchor"/>
          <w:rtl w:val="true"/>
        </w:rPr>
        <w:footnoteReference w:id="1562"/>
      </w:r>
      <w:r>
        <w:rPr>
          <w:rFonts w:ascii="IRNazanin" w:hAnsi="IRNazanin" w:eastAsia="IRNazanin"/>
          <w:color w:val="111111"/>
          <w:sz w:val="28"/>
          <w:sz w:val="28"/>
          <w:szCs w:val="28"/>
          <w:rtl w:val="true"/>
          <w:lang w:bidi="fa-IR"/>
        </w:rPr>
        <w:t xml:space="preserve">،فیحرم التصرّف فیه؛لأنّه أکل مال بالباطل،و لا معصیة من جهة العمل کما فی القِمار،بل لو أخذ الرهن هنا بعنوان الوفاء بالعهد،الذی هو نذر لا کفّارة له مع طیب النفس من الباذل لا بعنوان أنّ المقامرة المذکورة أوجبته و ألزمته أمکن القول بجوازه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من الأخبار إطلاق القِمار علیه،و کونه موجباً للعن الملائکة و تنفّرهم،و أنّه من المَیسِر المقرون بالخمر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أخیراً من جواز أخذ الرهن بعنوان الوفاء بالعهد، فلم أفهم معناه؛لأنّ العهد الذی تضمّنه العقد الفاسد لا معنی لاستحباب الوفاء به؛إذ لا یستحبّ ترتیب آثار الملک علی ما لم یحصل فیه سبب تملّک،</w:t>
      </w:r>
    </w:p>
    <w:p>
      <w:pPr>
        <w:pStyle w:val="BookText"/>
        <w:rPr/>
      </w:pPr>
      <w:r>
        <w:rPr>
          <w:rFonts w:ascii="IRNazanin" w:hAnsi="IRNazanin" w:eastAsia="IRNazanin"/>
          <w:color w:val="111111"/>
          <w:sz w:val="28"/>
          <w:sz w:val="28"/>
          <w:szCs w:val="28"/>
          <w:rtl w:val="true"/>
          <w:lang w:bidi="fa-IR"/>
        </w:rPr>
        <w:t xml:space="preserve">إلّا أن یراد صورة الوفاء،بأن یملّکه تملیکاً </w:t>
      </w:r>
      <w:r>
        <w:rPr>
          <w:rStyle w:val="FootnoteAnchor"/>
          <w:rtl w:val="true"/>
        </w:rPr>
        <w:footnoteReference w:id="1564"/>
      </w:r>
      <w:r>
        <w:rPr>
          <w:rFonts w:ascii="IRNazanin" w:hAnsi="IRNazanin" w:eastAsia="IRNazanin"/>
          <w:color w:val="111111"/>
          <w:sz w:val="28"/>
          <w:sz w:val="28"/>
          <w:szCs w:val="28"/>
          <w:rtl w:val="true"/>
          <w:lang w:bidi="fa-IR"/>
        </w:rPr>
        <w:t>جدیداً بعد الغلبة فی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حِلّ الأکل علی هذا الوجه جارٍ فی القِمار المحرّم أیضاً،غایة الأمر الفرق بینهما بأنّ الوفاء لا یستحبّ فی المحرّم،لکنّ الکلام فی تصرف المبذول له </w:t>
      </w:r>
      <w:r>
        <w:rPr>
          <w:rStyle w:val="FootnoteAnchor"/>
          <w:rtl w:val="true"/>
        </w:rPr>
        <w:footnoteReference w:id="1565"/>
      </w:r>
      <w:r>
        <w:rPr>
          <w:rFonts w:ascii="IRNazanin" w:hAnsi="IRNazanin" w:eastAsia="IRNazanin"/>
          <w:color w:val="111111"/>
          <w:sz w:val="28"/>
          <w:sz w:val="28"/>
          <w:szCs w:val="28"/>
          <w:rtl w:val="true"/>
          <w:lang w:bidi="fa-IR"/>
        </w:rPr>
        <w:t xml:space="preserve">بعد التملیک </w:t>
      </w:r>
      <w:r>
        <w:rPr>
          <w:rStyle w:val="FootnoteAnchor"/>
          <w:rtl w:val="true"/>
        </w:rPr>
        <w:footnoteReference w:id="1566"/>
      </w:r>
      <w:r>
        <w:rPr>
          <w:rFonts w:ascii="IRNazanin" w:hAnsi="IRNazanin" w:eastAsia="IRNazanin"/>
          <w:color w:val="111111"/>
          <w:sz w:val="28"/>
          <w:sz w:val="28"/>
          <w:szCs w:val="28"/>
          <w:rtl w:val="true"/>
          <w:lang w:bidi="fa-IR"/>
        </w:rPr>
        <w:t>الجدید،لا فی فعل الباذل و أنّه یستحب 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أظنّ الحکم بحرمة الفعل مضافاً إلی الفساد محلّ إشکال،بل و لا محلّ خلاف،کما یظهر من کتاب السبق و الرمایة، و کتاب الشهادات،و تقدّم دعواه صریحاً من بعض الأعلام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نعم،عن الکافی و التهذیب بسندهما عن محمد بن قیس،عن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قضی أمیر المؤمنین علیه السلام فی رجل آکَلَ و أصحابٌ له شاةً،فقال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أکلتموها فهی لکم،و إن لم تأکلوها فعلیکم کذا و کذا،فقضی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باطل،لا شیء فی المؤاکلة من الطعام </w:t>
      </w:r>
      <w:r>
        <w:rPr>
          <w:rStyle w:val="FootnoteAnchor"/>
          <w:rtl w:val="true"/>
        </w:rPr>
        <w:footnoteReference w:id="1568"/>
      </w:r>
      <w:r>
        <w:rPr>
          <w:rFonts w:ascii="IRNazanin" w:hAnsi="IRNazanin" w:eastAsia="IRNazanin"/>
          <w:color w:val="111111"/>
          <w:sz w:val="28"/>
          <w:sz w:val="28"/>
          <w:szCs w:val="28"/>
          <w:rtl w:val="true"/>
          <w:lang w:bidi="fa-IR"/>
        </w:rPr>
        <w:t xml:space="preserve">ما قلّ منه أو کثر </w:t>
      </w:r>
      <w:r>
        <w:rPr>
          <w:rStyle w:val="FootnoteAnchor"/>
          <w:rtl w:val="true"/>
        </w:rPr>
        <w:footnoteReference w:id="1569"/>
      </w:r>
      <w:r>
        <w:rPr>
          <w:rFonts w:ascii="Amiri" w:hAnsi="Amiri" w:eastAsia="Amiri" w:cs="Amiri"/>
          <w:color w:val="111111"/>
          <w:sz w:val="28"/>
          <w:sz w:val="28"/>
          <w:szCs w:val="28"/>
          <w:rtl w:val="true"/>
          <w:lang w:bidi="ar-SA"/>
        </w:rPr>
        <w:t xml:space="preserve">،و منع غرامة </w:t>
      </w:r>
      <w:r>
        <w:rPr>
          <w:rStyle w:val="FootnoteAnchor"/>
          <w:rtl w:val="true"/>
        </w:rPr>
        <w:footnoteReference w:id="1570"/>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ظاهرها من حیث عدم ردع الإمام علیه السلام عن فعل مثل هذا أنّه لیس بحرام،إلّا أنّه لا یترتّب علیه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هذا وارد علی تقدیر القول بالبطلان و عدم التحریم؛لأنّ </w:t>
      </w:r>
      <w:r>
        <w:rPr>
          <w:rStyle w:val="FootnoteAnchor"/>
          <w:rtl w:val="true"/>
        </w:rPr>
        <w:footnoteReference w:id="1572"/>
      </w:r>
      <w:r>
        <w:rPr>
          <w:rFonts w:ascii="IRNazanin" w:hAnsi="IRNazanin" w:eastAsia="IRNazanin"/>
          <w:color w:val="111111"/>
          <w:sz w:val="28"/>
          <w:sz w:val="28"/>
          <w:szCs w:val="28"/>
          <w:rtl w:val="true"/>
          <w:lang w:bidi="fa-IR"/>
        </w:rPr>
        <w:t>التصرف فی هذا المال مع فساد المعاملة حرام أیضاً،فتأمّل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حکم العوض من حیث الفساد حکم سائر المأخوذ بالمعاملات الفاسدة،یجب ردّه علی مالکه مع بقائه،و مع التلف فالبدل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من قیء الإمام علیه السلام البیض الذی قامر به الغلام </w:t>
      </w:r>
      <w:r>
        <w:rPr>
          <w:rStyle w:val="FootnoteAnchor"/>
          <w:rtl w:val="true"/>
        </w:rPr>
        <w:footnoteReference w:id="1573"/>
      </w:r>
      <w:r>
        <w:rPr>
          <w:rFonts w:ascii="IRNazanin" w:hAnsi="IRNazanin" w:eastAsia="IRNazanin"/>
          <w:color w:val="111111"/>
          <w:sz w:val="28"/>
          <w:sz w:val="28"/>
          <w:szCs w:val="28"/>
          <w:rtl w:val="true"/>
          <w:lang w:bidi="fa-IR"/>
        </w:rPr>
        <w:t>فلعلّه للحذر من أن یصیر الحرام جزءاً من بدنه،لا للردّ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بأنّ ما کان تأثیره کذلک یشکل أکل المعصوم علیه السلام له جهلاً؛بناءً علی عدم إقدامه علی المحرمات الواقعیة غیر المتبدلة بالعلم لا جهلاً و لا غفلة؛لأنّ ما دلّ علی عدم جواز الغفلة علیه فی ترک الواجب و فعل الحرام دلّ علی عدم جواز الجهل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مجرد التصرف من المحرمات العِلمیّة و التأثیر الواقعی غیر المتبدل بالجهل إنّما هو فی بقائه و صیرورته بدلاً عمّا یتحلّل من بدنه علیه السلام،و الفرض اطّلاعه علیه فی أوائل وقت تصرف المعدة و لم یستمرّ جهله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لتطبیق فعلهم علی القواعد،و إلّا فلهم فی حرکاتهم</w:t>
      </w:r>
      <w:bookmarkStart w:id="429" w:name="pg19762_189630"/>
    </w:p>
    <w:p>
      <w:pPr>
        <w:pStyle w:val="BookText"/>
        <w:rPr/>
      </w:pPr>
      <w:bookmarkEnd w:id="429"/>
      <w:r>
        <w:rPr>
          <w:rFonts w:ascii="IRNazanin" w:hAnsi="IRNazanin" w:eastAsia="IRNazanin"/>
          <w:color w:val="111111"/>
          <w:sz w:val="28"/>
          <w:sz w:val="28"/>
          <w:szCs w:val="28"/>
          <w:rtl w:val="true"/>
          <w:lang w:bidi="fa-IR"/>
        </w:rPr>
        <w:t>من أفعالهم و أقوالهم شؤون لا یعلمها غیرهم</w:t>
      </w:r>
      <w:r>
        <w:rPr>
          <w:rFonts w:eastAsia="IRNazanin" w:cs="IRNazanin"/>
          <w:color w:val="111111"/>
          <w:sz w:val="28"/>
          <w:szCs w:val="28"/>
          <w:rtl w:val="true"/>
          <w:lang w:bidi="fa-IR"/>
        </w:rPr>
        <w:t>.</w:t>
      </w:r>
    </w:p>
    <w:p>
      <w:pPr>
        <w:pStyle w:val="Heading5"/>
        <w:numPr>
          <w:ilvl w:val="4"/>
          <w:numId w:val="1"/>
        </w:numPr>
        <w:rPr/>
      </w:pPr>
      <w:bookmarkStart w:id="430" w:name="__RefHeading___Toc5003764_2314609296"/>
      <w:bookmarkStart w:id="431" w:name="_Toc165"/>
      <w:bookmarkEnd w:id="430"/>
      <w:r>
        <w:rPr>
          <w:rtl w:val="true"/>
        </w:rPr>
        <w:t>الرابعة</w:t>
      </w:r>
      <w:r>
        <w:rPr>
          <w:rtl w:val="true"/>
        </w:rPr>
        <w:t xml:space="preserve">- </w:t>
      </w:r>
      <w:r>
        <w:rPr>
          <w:rtl w:val="true"/>
        </w:rPr>
        <w:t>المغالبة بغیر عوض فی غیر ما نصّ علی جواز المسابقة فیه</w:t>
      </w:r>
      <w:r>
        <w:rPr>
          <w:rtl w:val="true"/>
        </w:rPr>
        <w:t>.</w:t>
      </w:r>
      <w:bookmarkEnd w:id="431"/>
    </w:p>
    <w:p>
      <w:pPr>
        <w:pStyle w:val="BookText"/>
        <w:rPr/>
      </w:pPr>
      <w:r>
        <w:rPr>
          <w:rFonts w:ascii="IRNazanin" w:hAnsi="IRNazanin" w:eastAsia="IRNazanin"/>
          <w:color w:val="111111"/>
          <w:sz w:val="28"/>
          <w:sz w:val="28"/>
          <w:szCs w:val="28"/>
          <w:rtl w:val="true"/>
          <w:lang w:bidi="fa-IR"/>
        </w:rPr>
        <w:t xml:space="preserve">و الأکثر علی ما فی الریاض </w:t>
      </w:r>
      <w:r>
        <w:rPr>
          <w:rStyle w:val="FootnoteAnchor"/>
          <w:rtl w:val="true"/>
        </w:rPr>
        <w:footnoteReference w:id="1574"/>
      </w:r>
      <w:r>
        <w:rPr>
          <w:rFonts w:ascii="IRNazanin" w:hAnsi="IRNazanin" w:eastAsia="IRNazanin"/>
          <w:color w:val="111111"/>
          <w:sz w:val="28"/>
          <w:sz w:val="28"/>
          <w:szCs w:val="28"/>
          <w:rtl w:val="true"/>
          <w:lang w:bidi="fa-IR"/>
        </w:rPr>
        <w:t xml:space="preserve">علی التحریم،بل حکی فیها عن جماعة </w:t>
      </w:r>
      <w:r>
        <w:rPr>
          <w:rStyle w:val="FootnoteAnchor"/>
          <w:rtl w:val="true"/>
        </w:rPr>
        <w:footnoteReference w:id="1575"/>
      </w:r>
      <w:r>
        <w:rPr>
          <w:rFonts w:ascii="IRNazanin" w:hAnsi="IRNazanin" w:eastAsia="IRNazanin"/>
          <w:color w:val="111111"/>
          <w:sz w:val="28"/>
          <w:sz w:val="28"/>
          <w:szCs w:val="28"/>
          <w:rtl w:val="true"/>
          <w:lang w:bidi="fa-IR"/>
        </w:rPr>
        <w:t>دعوی الإجماع علیه،و هو الظاهر من بعض العبارات المحکیة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موضع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تجوز المسابقة علی المصارعة بعوض و لا بغیر عوض عند علمائنا أجمع؛لعموم النهی إلّا فی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 و الحافر،و النصل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استدلاله أن مستند الإجماع هو النهی، و هو جارٍ فی غیر المصارعة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موضعٍ آخر </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المسابقة علی رمی الحجارة بالید و المِقْلاع و المَنْجَنیق،سواء کان بعوض أو بغیر عوض عند علمائنا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1579"/>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یجوز المسابقة علی المَراکِب و السفُنِ و الطیّاراتِ </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 xml:space="preserve">عند علمائنا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المسابقة علی مُناطَحَة الغنم و مُهارَشَة الدیک، بعوض و لا بغیر 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لا یجوز المسابقة علی </w:t>
      </w:r>
      <w:r>
        <w:rPr>
          <w:rStyle w:val="FootnoteAnchor"/>
          <w:rtl w:val="true"/>
        </w:rPr>
        <w:footnoteReference w:id="1582"/>
      </w:r>
      <w:r>
        <w:rPr>
          <w:rFonts w:ascii="IRNazanin" w:hAnsi="IRNazanin" w:eastAsia="IRNazanin"/>
          <w:color w:val="111111"/>
          <w:sz w:val="28"/>
          <w:sz w:val="28"/>
          <w:szCs w:val="28"/>
          <w:rtl w:val="true"/>
          <w:lang w:bidi="fa-IR"/>
        </w:rPr>
        <w:t xml:space="preserve">ما لا ینتفع به فی الحرب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 فی ما مثّل به اللعب بالخاتم و الصولجان،و رمی البنادق و الجَلاَهِق، و الوقوف علی رجلٍ واحدة،و معرفة ما فی الید من الزوج و الفرد، و سائر الملاعب،و کذلک اللبث فی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جوّزه بعض الشافعیة، و لیس بجیّد </w:t>
      </w:r>
      <w:r>
        <w:rPr>
          <w:rStyle w:val="FootnoteAnchor"/>
          <w:rtl w:val="true"/>
        </w:rPr>
        <w:footnoteReference w:id="15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المسالک المیل إلی الجواز </w:t>
      </w:r>
      <w:r>
        <w:rPr>
          <w:rStyle w:val="FootnoteAnchor"/>
          <w:rtl w:val="true"/>
        </w:rPr>
        <w:footnoteReference w:id="1585"/>
      </w:r>
      <w:r>
        <w:rPr>
          <w:rFonts w:ascii="IRNazanin" w:hAnsi="IRNazanin" w:eastAsia="IRNazanin"/>
          <w:color w:val="111111"/>
          <w:sz w:val="28"/>
          <w:sz w:val="28"/>
          <w:szCs w:val="28"/>
          <w:rtl w:val="true"/>
          <w:lang w:bidi="fa-IR"/>
        </w:rPr>
        <w:t xml:space="preserve">،و استجوده فی الکفایة </w:t>
      </w:r>
      <w:r>
        <w:rPr>
          <w:rStyle w:val="FootnoteAnchor"/>
          <w:rtl w:val="true"/>
        </w:rPr>
        <w:footnoteReference w:id="1586"/>
      </w:r>
      <w:r>
        <w:rPr>
          <w:rFonts w:ascii="IRNazanin" w:hAnsi="IRNazanin" w:eastAsia="IRNazanin"/>
          <w:color w:val="111111"/>
          <w:sz w:val="28"/>
          <w:sz w:val="28"/>
          <w:szCs w:val="28"/>
          <w:rtl w:val="true"/>
          <w:lang w:bidi="fa-IR"/>
        </w:rPr>
        <w:t xml:space="preserve">،و تبعه بعض من تأخّر عنه </w:t>
      </w:r>
      <w:r>
        <w:rPr>
          <w:rStyle w:val="FootnoteAnchor"/>
          <w:rtl w:val="true"/>
        </w:rPr>
        <w:footnoteReference w:id="1587"/>
      </w:r>
      <w:r>
        <w:rPr>
          <w:rFonts w:ascii="IRNazanin" w:hAnsi="IRNazanin" w:eastAsia="IRNazanin"/>
          <w:color w:val="111111"/>
          <w:sz w:val="28"/>
          <w:sz w:val="28"/>
          <w:szCs w:val="28"/>
          <w:rtl w:val="true"/>
          <w:lang w:bidi="fa-IR"/>
        </w:rPr>
        <w:t>للأصل،و عدم ثبوت الإجماع،و عدم النصّ عدا ما تقدم من التذکرة من عموم النهی،و هو غیر دال؛لأنّ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یحتمل التحریک،بل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المشهور فی الروایة </w:t>
      </w:r>
      <w:r>
        <w:rPr>
          <w:rStyle w:val="FootnoteAnchor"/>
          <w:rtl w:val="true"/>
        </w:rPr>
        <w:footnoteReference w:id="1588"/>
      </w:r>
      <w:r>
        <w:rPr>
          <w:rFonts w:ascii="IRNazanin" w:hAnsi="IRNazanin" w:eastAsia="IRNazanin"/>
          <w:color w:val="111111"/>
          <w:sz w:val="28"/>
          <w:sz w:val="28"/>
          <w:szCs w:val="28"/>
          <w:rtl w:val="true"/>
          <w:lang w:bidi="fa-IR"/>
        </w:rPr>
        <w:t>، و علیه فلا تدل إلّا علی تحریم المراهنة،بل هی غیر ظاهرة فی التحریم أیضاً؛لاحتمال إرادة فسادها،بل هو الأظهر؛لأنّ نفی العوض ظاهر</w:t>
      </w:r>
    </w:p>
    <w:p>
      <w:pPr>
        <w:pStyle w:val="BookText"/>
        <w:rPr/>
      </w:pPr>
      <w:r>
        <w:rPr>
          <w:rFonts w:ascii="IRNazanin" w:hAnsi="IRNazanin" w:eastAsia="IRNazanin"/>
          <w:color w:val="111111"/>
          <w:sz w:val="28"/>
          <w:sz w:val="28"/>
          <w:szCs w:val="28"/>
          <w:rtl w:val="true"/>
          <w:lang w:bidi="fa-IR"/>
        </w:rPr>
        <w:t>فی نفی استحقاقه،و إرادة نفی جواز العقد علیه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السکون،فکما یحتمل نفی الجواز التکلیفی یحتمل نفی الصحة؛لوروده مورد الغالب،من اشتمال المسابقة علی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للتحریم أیضاً بأدلّة القِمار؛بناءً علی أنّه مطلق المغالبة و لو بدون العوض،کما یدلّ علیه ما تقدّم من إطلاق الروایة </w:t>
      </w:r>
      <w:r>
        <w:rPr>
          <w:rStyle w:val="FootnoteAnchor"/>
          <w:rtl w:val="true"/>
        </w:rPr>
        <w:footnoteReference w:id="1589"/>
      </w:r>
      <w:r>
        <w:rPr>
          <w:rFonts w:ascii="Amiri" w:hAnsi="Amiri" w:eastAsia="Amiri" w:cs="Amiri"/>
          <w:color w:val="111111"/>
          <w:sz w:val="28"/>
          <w:sz w:val="28"/>
          <w:szCs w:val="28"/>
          <w:rtl w:val="true"/>
          <w:lang w:bidi="ar-SA"/>
        </w:rPr>
        <w:t>بکون اللعب بالنَّرْدِ و الشطرَنج بدون العوض قِماراً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 أنّه یشترط فی صدق القِمار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کون المغالبة بالآلات المعدّة للقِمار و إن لم یکن عوض،و إمّا المغالبة مع العوض و إن لم یکن بالآلات المعدّة للقِمار علی ما یشهد به إطلاقه فی روایة الرهان فی الخُفّ و الحافِر </w:t>
      </w:r>
      <w:r>
        <w:rPr>
          <w:rStyle w:val="FootnoteAnchor"/>
          <w:rtl w:val="true"/>
        </w:rPr>
        <w:footnoteReference w:id="1590"/>
      </w:r>
      <w:r>
        <w:rPr>
          <w:rFonts w:ascii="IRNazanin" w:hAnsi="IRNazanin" w:eastAsia="IRNazanin"/>
          <w:color w:val="111111"/>
          <w:sz w:val="28"/>
          <w:sz w:val="28"/>
          <w:szCs w:val="28"/>
          <w:rtl w:val="true"/>
          <w:lang w:bidi="fa-IR"/>
        </w:rPr>
        <w:t>فی غایة البعد،بل الأظهر أنّه مطلق المغالبة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أنّ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موقوف علی عدم دخول الآلة فی مفهوم القِمار،کما فی سائر الآلات المضافة إلی الأعمال،و الآلة غیر مأخوذة فی المفهوم،و قد عرفت أنّ العوض أیضاً غیر مأخوذ فیه </w:t>
      </w:r>
      <w:r>
        <w:rPr>
          <w:rStyle w:val="FootnoteAnchor"/>
          <w:rtl w:val="true"/>
        </w:rPr>
        <w:footnoteReference w:id="159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یستدل علی التحریم أیضاً بما تقدم من أخبار حرمة الشطرَنج و النرد؛معلّلة بکونهما </w:t>
      </w:r>
      <w:r>
        <w:rPr>
          <w:rStyle w:val="FootnoteAnchor"/>
          <w:rtl w:val="true"/>
        </w:rPr>
        <w:footnoteReference w:id="1592"/>
      </w:r>
      <w:r>
        <w:rPr>
          <w:rFonts w:ascii="Amiri" w:hAnsi="Amiri" w:eastAsia="Amiri" w:cs="Amiri"/>
          <w:color w:val="111111"/>
          <w:sz w:val="28"/>
          <w:sz w:val="28"/>
          <w:szCs w:val="28"/>
          <w:rtl w:val="true"/>
          <w:lang w:bidi="ar-SA"/>
        </w:rPr>
        <w:t>من الباطل و اللعب،و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ألهی عن ذکر اللّه عزّ و جلّ فهو المَیسِر</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 فی بیان حکم اللعب بالأربعة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نستحبّ </w:t>
      </w:r>
      <w:r>
        <w:rPr>
          <w:rStyle w:val="FootnoteAnchor"/>
          <w:rtl w:val="true"/>
        </w:rPr>
        <w:footnoteReference w:id="1594"/>
      </w:r>
      <w:r>
        <w:rPr>
          <w:rFonts w:ascii="IRNazanin" w:hAnsi="IRNazanin" w:eastAsia="IRNazanin"/>
          <w:color w:val="111111"/>
          <w:sz w:val="28"/>
          <w:sz w:val="28"/>
          <w:szCs w:val="28"/>
          <w:rtl w:val="true"/>
          <w:lang w:bidi="fa-IR"/>
        </w:rPr>
        <w:t>شیئاً من اللعب غیر الرهان و الرمی</w:t>
      </w:r>
      <w:r>
        <w:rPr>
          <w:rFonts w:eastAsia="IRNazanin" w:cs="IRNazanin"/>
          <w:color w:val="111111"/>
          <w:sz w:val="28"/>
          <w:szCs w:val="28"/>
          <w:rtl w:val="true"/>
          <w:lang w:bidi="fa-IR"/>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رهان الفرس،و لا شکّ فی صدق اللهو و اللعب فی ما نحن فیه؛ ضرورة أنّ العوض لا دخل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دلّ علی أنّ کل لَهو المؤمن باطل خلا ثلاثة،و عدّ منها إجراء الخیل،و ملاعبة الرجل امرأته </w:t>
      </w:r>
      <w:r>
        <w:rPr>
          <w:rStyle w:val="FootnoteAnchor"/>
          <w:rtl w:val="true"/>
        </w:rPr>
        <w:footnoteReference w:id="1596"/>
      </w:r>
      <w:r>
        <w:rPr>
          <w:rFonts w:ascii="Amiri" w:hAnsi="Amiri" w:eastAsia="Amiri" w:cs="Amiri"/>
          <w:color w:val="111111"/>
          <w:sz w:val="28"/>
          <w:sz w:val="28"/>
          <w:szCs w:val="28"/>
          <w:rtl w:val="true"/>
          <w:lang w:bidi="ar-SA"/>
        </w:rPr>
        <w:t xml:space="preserve">و لعلّه لذلک کلّه استدلّ فی الریاض </w:t>
      </w:r>
      <w:r>
        <w:rPr>
          <w:rStyle w:val="FootnoteAnchor"/>
          <w:rtl w:val="true"/>
        </w:rPr>
        <w:footnoteReference w:id="1597"/>
      </w:r>
      <w:r>
        <w:rPr>
          <w:rFonts w:ascii="IRNazanin" w:hAnsi="IRNazanin" w:eastAsia="IRNazanin"/>
          <w:color w:val="111111"/>
          <w:sz w:val="28"/>
          <w:sz w:val="28"/>
          <w:szCs w:val="28"/>
          <w:rtl w:val="true"/>
          <w:lang w:bidi="fa-IR"/>
        </w:rPr>
        <w:t xml:space="preserve">تبعاً للمهذب </w:t>
      </w:r>
      <w:r>
        <w:rPr>
          <w:rStyle w:val="FootnoteAnchor"/>
          <w:rtl w:val="true"/>
        </w:rPr>
        <w:footnoteReference w:id="1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مسألتنا </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حرمة اللهو</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یشکل الاستدلال فی ما إذا تعلّق بهذه الأفعال غرض صحیح یخرجه عن صدق اللهو عرفاً،فیمکن إناطة الحکم باللهو و یحکم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مصادیقه بالإباحة،إلّا أن یکون قولاً بالفصل،و هو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بعض الکلام فی ذلک عند التعرض لحکم اللهو و موضوعه إن شاء اللّه</w:t>
      </w:r>
      <w:r>
        <w:rPr>
          <w:rFonts w:eastAsia="IRNazanin" w:cs="IRNazanin"/>
          <w:color w:val="111111"/>
          <w:sz w:val="28"/>
          <w:szCs w:val="28"/>
          <w:rtl w:val="true"/>
          <w:lang w:bidi="fa-IR"/>
        </w:rPr>
        <w:t>.</w:t>
      </w:r>
      <w:bookmarkStart w:id="432" w:name="pg19762_189635"/>
    </w:p>
    <w:p>
      <w:pPr>
        <w:pStyle w:val="Heading4"/>
        <w:numPr>
          <w:ilvl w:val="3"/>
          <w:numId w:val="1"/>
        </w:numPr>
        <w:rPr/>
      </w:pPr>
      <w:bookmarkStart w:id="433" w:name="__RefHeading___Toc5003766_2314609296"/>
      <w:bookmarkStart w:id="434" w:name="_Toc166"/>
      <w:bookmarkEnd w:id="432"/>
      <w:bookmarkEnd w:id="433"/>
      <w:r>
        <w:rPr>
          <w:rtl w:val="true"/>
        </w:rPr>
        <w:t>[</w:t>
      </w:r>
      <w:r>
        <w:rPr>
          <w:rtl w:val="true"/>
        </w:rPr>
        <w:t>المسألة</w:t>
      </w:r>
      <w:r>
        <w:rPr>
          <w:rtl w:val="true"/>
        </w:rPr>
        <w:t>]</w:t>
      </w:r>
      <w:r>
        <w:rPr>
          <w:rtl w:val="true"/>
        </w:rPr>
        <w:t>السادسة عشر القیادة</w:t>
      </w:r>
      <w:bookmarkEnd w:id="434"/>
    </w:p>
    <w:p>
      <w:pPr>
        <w:pStyle w:val="BookText"/>
        <w:rPr/>
      </w:pPr>
      <w:r>
        <w:rPr>
          <w:rFonts w:ascii="IRNazanin" w:hAnsi="IRNazanin" w:eastAsia="IRNazanin"/>
          <w:color w:val="111111"/>
          <w:sz w:val="28"/>
          <w:sz w:val="28"/>
          <w:szCs w:val="28"/>
          <w:rtl w:val="true"/>
          <w:lang w:bidi="fa-IR"/>
        </w:rPr>
        <w:t xml:space="preserve">حرام </w:t>
      </w:r>
      <w:r>
        <w:rPr>
          <w:rStyle w:val="FootnoteAnchor"/>
          <w:rtl w:val="true"/>
        </w:rPr>
        <w:footnoteReference w:id="1600"/>
      </w:r>
      <w:r>
        <w:rPr>
          <w:rFonts w:ascii="IRNazanin" w:hAnsi="IRNazanin" w:eastAsia="IRNazanin"/>
          <w:color w:val="111111"/>
          <w:sz w:val="28"/>
          <w:sz w:val="28"/>
          <w:szCs w:val="28"/>
          <w:rtl w:val="true"/>
          <w:lang w:bidi="fa-IR"/>
        </w:rPr>
        <w:t>،و هی السعی بین الشخصین لجمعهما علی الوطء المحرّم،و هی من الکبائر،و قد تقدم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الواصلة و المستوصلة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فی مسألة تدلیس الماشطة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ثلاثة أرباع حدّ الزانی، خمسة و سبعین سوطاً،و یُنفی من المصر الذی هو فیه</w:t>
      </w:r>
      <w:r>
        <w:rPr>
          <w:rFonts w:eastAsia="IRNazanin" w:cs="IRNazanin"/>
          <w:color w:val="111111"/>
          <w:sz w:val="28"/>
          <w:szCs w:val="28"/>
          <w:rtl w:val="true"/>
          <w:lang w:bidi="fa-IR"/>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الأوّل من المکاسب المحرّمة و یلیه الجزء الثانی و أوّله القیافة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به،و أورد قسماً منه فی الحدیث الأوّل من الباب الأوّل من أبواب الإجارة،و قسماً آخر فی الحدیث الأوّل 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النفقات،و قسماً ثالثاً فی الحدیث الأوّل 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لمّا کان الاختلاف بین المصادر التی نقلت الروایة کثیراً، فلذلک لم نتعرّض له إلّا إذا کان مهمّاً،نعم سوف نذکر الاختلاف الموجود بین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سنتّبع هذه الطریقة فی سائر الروایات المنقولة فی الکتاب إن شاء اللّه تعالی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العمل لهم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الکسب معهم بجهة الولایة لهم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شربه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المصادر،و لعلّ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استظهره الشهیدی رحمه اللّه أیضاً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 العقول،و فی سائر النسخ و الحدائق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فیجعل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الفاقدة للعبارة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حلٍّ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حمل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الحدائق،و فی سائر النسخ 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استأجرته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ینجیها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تحف العقول و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 العقول و الحدائق،و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ینصرف،و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تتصرف،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المصادر،إلّا أنّ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 و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الحرکات کلّها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 المباح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فلعلّه لما فیه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الوسائل فی الوسائل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،و صاحب الحدائق فی الحدائق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یرحمک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هو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کلّ مأمور به ممّا هو صلاح للعباد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کلّ مأمور به ممّا هو منّ علی العباد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للجسم،و فساد للنفس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للجسم،و فاسد للنفس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الأثر المحرّم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حیث التشریع،فیتفرّع علی إرادة الشرعیّة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المأکول اللحم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الجنید علی ما فی الدروس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من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،و المحقّق فی النافع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التحلیل أشبه،و الفاضل الآبی فی کشف الرموز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و المحقّق السبزواری فی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،و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الأطعمة،المسألة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مشطوب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بلزوم تخصیص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الرفع علی الخبریّة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 عنه مضافاً إلی ما ذکر من الضعف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فیه لزوم تخصیص الأکثر،فلا بدّ من الطرح أو التأویل بما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صحّة وجود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بناءً علی ما فی بعض النسخ المصحّحة من 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علیها،و علی ما فی الآخر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،فالخبر له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متعلّقاً للقصور،فتأمّل؛فإنّ فی العبارة ما لا یخفی علی التقدیرین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مفتاح الکرامة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المباحة،الحدیث الأوّل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 العذرة سحت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عبد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المجلسی فی ملاذ الأخیار </w:t>
      </w:r>
      <w:r>
        <w:rPr>
          <w:rFonts w:eastAsia="IRNazanin" w:cs="IRNazanin"/>
          <w:b w:val="false"/>
          <w:bCs w:val="false"/>
          <w:i w:val="false"/>
          <w:iCs w:val="false"/>
          <w:color w:val="333333"/>
          <w:sz w:val="20"/>
          <w:szCs w:val="20"/>
        </w:rPr>
        <w:t>10:379</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،عن والده العلّامة المجلسی الأوّل قدّس سرّهما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الحمل من المجلسی الأوّل أیضاً،حسبما حکاه عنه فی ملاذ الأخیار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آنفاً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التذکرة و الخلاف فی أوّل المسألة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المحقق السبزواری قدّس سرّه استشکل فی ثبوت الاتفاق و استوجه الجواز فیما ینتفع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کتب السیّد،لکن حکاه عنه العلّامة فی المنتهی </w:t>
      </w:r>
      <w:r>
        <w:rPr>
          <w:rFonts w:eastAsia="IRNazanin" w:cs="IRNazanin"/>
          <w:b w:val="false"/>
          <w:bCs w:val="false"/>
          <w:i w:val="false"/>
          <w:iCs w:val="false"/>
          <w:color w:val="333333"/>
          <w:sz w:val="20"/>
          <w:szCs w:val="20"/>
        </w:rPr>
        <w:t>2:1008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أمّا شرح الإرشاد فلا یوجد لدینا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إذا حرّم شیئاً حرّم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آنفاً، و ما تقدّم من روایة تحف العقول و دعائم الإسلام فی أوّل الکتاب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من الذبیحة،الحدیث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بتبعیته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جامع المقاصد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،عن الفائق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السید العاملی فی مفتاح الکرامة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المقاصد و حواشی الشهید قدّس سرّه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2:1009</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،کتاب الرهن،المسألة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روایتی تحف العقول و دعائم الإسلام،المتقدّمتین فی أوّل الکتاب، و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إذا حرّم شیئاً حرّم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عن عوالی اللآلی آنفاً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علاجنا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العلّامة فی التذکرة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2:1009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أوّل الکتاب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أوّل الکتاب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علیّ بن أبی هریرة،و فی الخلاف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أحدهما محرّف عن الآخر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لدینا،لکن حکاه عنه السید العاملی فی مفتاح الکرامة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الجماعة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 الإرجاع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جماعة من العامّة کالشافعی و أحمد و الأوزاعی و غیرهم و بعض منّا، علی ما فی التذکرة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 المال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بهما،و ما أثبتناه مطابق لسائر النسخ،و لما ورد فی الحدیث،راجع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،و العلّامة فی الإرشاد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الصوف و العظم و الشعر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قطع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السبزواری استوجه العمل بروایة البزنطی،لکن الموجود فی کفایة الأحکام بعد الحکم باستثناء الأدهان؛مستدلا بصحیحة الحلبی و صحیحة زرارة و صحیحة سعید الأعرج و غیرها،و أنّ ذکر الإسراج و الاستصباح فی الروایات غیر دالّ علی الحصر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القول بالجواز مطلقاً متّجه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حواشی الشهید علی القواعد أنّه نُقل عن العلّامة فی حلقة الدرس أنّه جوّز الاستصباح بألیات الغنم المقطوعة،تحت السماء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المحرّمة،الحدیث الأوّل،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تعلم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المحدّث البحرانی فی الحدائق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زهرة فی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العلّامة فی المنتهی </w:t>
      </w:r>
      <w:r>
        <w:rPr>
          <w:rFonts w:eastAsia="IRNazanin" w:cs="IRNazanin"/>
          <w:b w:val="false"/>
          <w:bCs w:val="false"/>
          <w:i w:val="false"/>
          <w:iCs w:val="false"/>
          <w:color w:val="333333"/>
          <w:sz w:val="20"/>
          <w:szCs w:val="20"/>
        </w:rPr>
        <w:t>2:1009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غیره،و الشهیدان فی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الکلب خاصّة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اجعلها 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ابن حدید،الواقع فی سند الروایة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قد تقدّم مع سابقه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منهیّ عن أکله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جعل المسوخ من الأعیان النجسة و ادّعی الإجماع علی عدم جواز بیعها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زیادة منّا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صاحب الجواهر قدّس سرّه،انظر الجواهر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الانتفاع و الاستخدام،و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الانتفاع به و الاستخدام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التخریج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مخالف سوی الحسن العمانی،علی ما حکی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نقله عن الخلاف و المنتهی و إیضاح الفوائد و غیرها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إلیها فی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2:1009</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 لم نقف علیه فی الوسائل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أکثر النسخ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بأس بثمن الهرّ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التخریج عنهما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قدّس سرّه أراد بذلک ما نقله السیّد المجاهد عن أستاذه فی مقام الجمع بین الروایات،انظر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،ذیل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ثالثاً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أوردوا الأخبار المذکورة فی أُصولهم و مصنّفاتهم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أمّا القاضی فلم نقف فی کتابیه علی ما یدلّ علی المنع،و إن نسبه إلیه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الإشارة إلی مواضع کلامهم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؛و أمّا أبو الصلاح فلم نقف علی فتواه بالجواز فی الکافی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فی فقه آل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الآبی فی کشف الرموز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علیه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کتاب البیع،انظر المبسوط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الإجارة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العاملی فی مفتاح الکرامة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نجس،</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بیع الکلب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الزیت النجس للاستصباح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،مع تفاوت فی بعض الألفاظ</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2:1009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عن المبسوط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القائل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یذکره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یزول نجاسته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أوّل الکتاب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عوالی اللآلی و سنن الدارقطنی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ینجس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کهمس،نعم راوی الحدیث السابق هو أبو کهمس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مفتاح الکرامة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المستند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قبولها،و فی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قبول الطهارة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المنفعة المحلّلة المقصودة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زهرة فی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الشیخ فی الخلاف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أکثر النسخ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تبیعه و تبیّنه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النسخ،لکنّ الروایة عن الحلبی،نعم الروایة التی تلیها فی الوسائل عن سعید الأعرج</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فی الزیت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عبارة التنقیح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،و بمعناهما عبارة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أُستاذه العلّامة السید بحر العلوم،و أُنظر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محذوفة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یصحّ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متساویة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تبیّنه لمن یشتریه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إسماعیل بن عبد الخالق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المحکیّة عن التهذیب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تقدّم من ذیل صحیحة معاویة بن وهب المرویة فی التهذیب،و موثّقة أبی بصیر،و روایة إسماعیل بن عبد الخالق،راجع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خبرٍ یدلّ علی حرمة القسم الأوّل أی ترغیب الشخص علی المعصیة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یدلّ علی حرمة سبّ آلهة الکفّار فهناک عدّة أخبار وردت</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الأردبیلی فی مجمع الفائدة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عن السرائر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الإشارة إلی مواضع کلامهم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خالف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أُنظر أیضاً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یباع لذلک مطلقاً،و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یباع مطلقاً،و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یباع أیضاً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داود،و الصواب ما أثبتناه من 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سائر النسخ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الأطعمة،المسألة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عن المحقّق و العلّامة و الشهیدین و المحقّق الکرکی فی الصفحات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لَکُمْ مٰا فِی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یُحَرِّمُ عَلَیْهِمُ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یفید تحریم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المحرّمة،الحدیث الأوّل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یهراق مرقها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کلام السیّد المرتضی،المتقدّم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الخلاف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القلیل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أحکام الماء القلیل المتنجس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النجس لا یجوز استعماله فی رفع حدث و لا إزالة خبث مطلقا و لا فی أکل و لا فی شرب إلاّ عند الضرورة،و أطلق الشیخ المنع من استعماله إلاّ عند الضرورة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لنا،إن مقتضی 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الاستعمال مطلقا،ترک العمل به فی ما ذکرنا بالإتفاق و النقل،فیکون الباقی علی الأصل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موضع آخر من أحکام الماء 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ردّ من قال بوجوب الإراقه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یتعلق الغرض ببقائه لأجل الاسعمال فی غیر الطهارة و الأکل و الشرب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صح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،و لم نجد فی کلامه الاستدلال بالأصل صریحاً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المرسلة المتقدّمة عن المبسوط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فقط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بها،و هو الأنسب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المتنجسة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للنحل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یشهد لذلک أنّ المحقق قدّس سرّه فی ما تقدم من کلامه الأوّل لم یسند عموم المنع إلّا إلی إطلاق الشیخ قدّس سرّه، لا إلی مذهبه هنا کلمتان غیر مقروءتین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صح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لفظ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 علیه السلام سئل عن الزیت یقع فیه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،کتاب البیوع،المسألة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التنجیس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لا 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 لا تدلّان،و ما أثبتناه مطابق 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لفائدة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الدهن النجس لفائدة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الاستصباح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ذکره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لا یوجد لدینا شرح الإرشاد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،کتاب الطهارة،المسألة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مسائل الاکتساب بالأعیان النجسة،فراجع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تذکیر الضمیر صحیح أیضاً باعتبار رجوعه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الروایة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بمنع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لثبوت النهی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الکبیر کاشف الغطاء قدّس سرّه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مطابق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قیده هو قدّس سرّه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الانتفاع بما یسمی استعمالاً،و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قیده هو قدّس سرّه الانتفاع بما یسمی استعمالاً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انصرافها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النجاسات،الحدیث الأوّل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علیه السلام، فقلت 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فنصطبح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6:255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16:364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المحرّمة،الحدیث الأوّل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مبغوضاً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،و العلّامة فی الإرشاد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،و الفاضل الآبی فی کشف الرموز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عن التذکرة و المنتهیٰ و التنقیح،فی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لها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دفع العوض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به،و الحدیث الأوّل 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قلنا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الکتاب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مثل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ذلک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 به فی مسألة آلات اللهو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الکبیر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لتحدید الوزن یختلف باختلاف البلدان،ففی بعضها یقدّر بثلاثة أرطال،و فی بعضها بخمسة أرطال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محیط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عبارة العلّامة فی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أُحرقت ضمن قیمة الرضاض، راجع القواعد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السیّد العاملی فی مفتاح الکرامة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،لکنّا لم نقف فی التذکرة إلّا علی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عُدَّ مالاً فالأقوی عندی الجواز مع زوال الصفة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18:201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النافی للریب هو صاحب الحدائق،لا صاحب الریاض کما هو ظاهر السیاق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کلام العلّامة،کما أشرنا إلیه آنفاً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الوثوق،و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الوجوب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العلّامة فی التذکرة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غیرها،و المحقّق الثانی فی جامع المقاصد </w:t>
      </w:r>
      <w:r>
        <w:rPr>
          <w:rFonts w:eastAsia="IRNazanin" w:cs="IRNazanin"/>
          <w:b w:val="false"/>
          <w:bCs w:val="false"/>
          <w:i w:val="false"/>
          <w:iCs w:val="false"/>
          <w:color w:val="333333"/>
          <w:sz w:val="20"/>
          <w:szCs w:val="20"/>
        </w:rPr>
        <w:t>6:247</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10:529</w:t>
      </w:r>
      <w:r>
        <w:rPr>
          <w:rFonts w:ascii="IRNazanin" w:hAnsi="IRNazanin" w:eastAsia="IRNazanin"/>
          <w:b w:val="false"/>
          <w:b w:val="false"/>
          <w:bCs w:val="false"/>
          <w:i w:val="false"/>
          <w:i w:val="false"/>
          <w:iCs w:val="false"/>
          <w:color w:val="333333"/>
          <w:sz w:val="20"/>
          <w:sz w:val="20"/>
          <w:szCs w:val="20"/>
          <w:rtl w:val="true"/>
        </w:rPr>
        <w:t xml:space="preserve">؛کما أنّ مقتضی کلام الشیخ فی مسألة غصب آنیة الذهب و الفضّة ذلک،انظر المبسوط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المحرّم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فسیجیء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الترسة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الترثة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المطلوب منه،و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المطلوب منه،المتیقّن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قصد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النسخ،لکن فی المصادر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بکر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بنصفین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یباع بشیء فیه غشّ،و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لا یباع بما فیه غشّ</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إلیک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عند أبی الحسن علیه السلام و إذا دنانیر مصبوبة بین یدیه،فنظر إلی دینار فأخذه بیده ثمّ قطّعه بنصفین،ثم 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ألقه فی البالوعة حتّی لا یباع شیء فیه غشّ</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وقع عنوان المعاوضة علی الدرهم المشکوک بسکة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المنصرف إطلاقه إلی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الخمر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یعمل خمراً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بإزائها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إجارة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أبی عبد اللّه علیه السلام أسأله عن الرجل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یطرح</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روایة تحف العقول،و روایة الفقه الرضوی،و روایة دعائم الإسلام،و النبویّ المشهور،المتقدّمة کلّها فی أوّل الکتاب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لفظه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التوت أبیعه یصنع للصلیب و الصنم؟قال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یختفی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صلیباً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بالبیع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السرقة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ثمن الکلب و المغنّیة سحت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باختلاف یسیر فی اللفظ</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العنب،و أرض یحوطها حائط فیه أشجار ملتفّة لا یمکن زراعة أرضها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محیط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یبیع العنب و التمر ممّن یعلم أنّه یجعله خمراً أو سکراً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التوز،و أمّا فی المصادر الحدیثیّة،ففی الکافی و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التوت،و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التوز؛و قال المحدث الکاشانی فی 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التوز بضمّ المثنّاة الفوقانیّة و الزای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یصنع به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الوافی </w:t>
      </w:r>
      <w:r>
        <w:rPr>
          <w:rFonts w:eastAsia="IRNazanin" w:cs="IRNazanin"/>
          <w:b w:val="false"/>
          <w:bCs w:val="false"/>
          <w:i w:val="false"/>
          <w:iCs w:val="false"/>
          <w:color w:val="333333"/>
          <w:sz w:val="20"/>
          <w:szCs w:val="20"/>
        </w:rPr>
        <w:t>17:276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التوت فهو شجر یأکل ورقه دود القزّ،و له ثمرٌ أبیض حلوٌ،و منه ما یثمر ثمراً حامضاً ثم یسْوَدّ فیحلو،و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 الشامی،و یقال لثمره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لفظه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التوت أبیعه یصنع للصلیب و الصنم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اختلاف النسخ فیه،فی الصفحة السابقة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الفقرة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بشهادة غیر واحد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شطب علیها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العلّامة فی الإرشاد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نسبه فی الجواهر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رفاعة،و الصواب ما أثبتناه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أری بالأوّل بأساً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علیه،و إن نسبه فی المستند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صریح الفاضلین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الأردبیلی و السبزواری،لکنّا لم نجد التصریح بذلک فی کلام الأردبیلی،و سیأتی من المؤلّف قدّس سرّه بعد نقل کلامه عن آیات أحکامه التصریح بأنّه لم یعلّق صدق الإعانة علی القصد فقط،انظر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النراقی،انظر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ظهور لکلامه فی أنّ الحدیث من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نعم،رواه ابن ماجة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،کتاب الدّیات،الحدیث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صلّی اللّه علیه و آله و سلم،و رواه ابن أبی جمهور الأحسائی فی 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سیاق ما روی عن رسول اللّه صلّی اللّه علیه و آله و سلم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18:205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16:393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16:393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قد أعنت علی نفسک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النخبة لسبط الجزائری قدّس سرّه عن البهائی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عبد اللّه بن المبارک،علی ما نقله أبو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عبارته کما فی المتن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بالإعانة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لصدقه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بالصدق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فاعل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تأنیث الضمیر باعتبار الخبر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نعلم بصرف ما قصد بالبیع إلی الحرام و تخصیصه به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اعترف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اختیاره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المولی النراقی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 الصواب ما أثبتناه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کتملّک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،لکنّهما لم یقیّدا بیع السلاح من أعداء الدین بحال قیام الحرب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السبزواری فی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سلبوا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بنی أُمیّة وجدوا لهم من یکتب و یجبی لهم الفیء،و یقاتل عنهم، و یشهد جماعتهم،لما سلبونا حقّنا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حصوله إلّا باجتماعهم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النسخ،و لعلّ تأنیث الضمیر باعتبار الخبر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أفاده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یمکن التفصیل فی شروط الحرام المعان علیها بین ما ینحصر فائدته 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هو جزء للتسبیب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المتوصّل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المصدر،إلّا أنّه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الأوّل،مع تفاوتٍ یسیر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الوسائل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تحملوا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لم ترد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منعاً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مثالٌ لإطلاق الجواز،و روایة علی بن جعفر و وصیّة النبیّ صلّی اللّه علیه و آله و سلم مثالان لإطلاق المنع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حواشی الشهید علی القواعد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قد تقدّمتا فی أوّل المسألة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باختصاص البیع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عبارة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المنتهی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البهیّة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و الخفّین و نحو هذا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بإزائها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یستفاد من الشرع من الفتاوی و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النافع للفاضل القطیفی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حکاه عنه السید العاملی فی مفتاح الکرامة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عن العلّامة فی التذکرة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فیشمله،و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فیشمل،و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فأشبه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عوالی اللآلی و دعائم الإسلام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تَکُونَ تِجٰارَةً عَنْ 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عمومات الصلح و العقود و الهبة المعوّضة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بعض هذه المنافع،راجع الوسائل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فیها إلّا علی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 المذکّی ممّا لا یؤکل لحمه لا یصحّ بیعه؛لعدم الانتفاع به فی غیر الأکل المحرم،و لو فرض له نفعٌ مّا فکذلک؛لعدم اعتباره فی نظر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دعائم الإسلام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المقنعة و النهایة و السرائر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العبارة فی سائر النسخ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المنقولة موافقة لعبارة النهایة باختلاف یسیر،و ما فی المقنعة أکثر اختلافاً،انظر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المواشطة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ینقشن الأیدی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تصلی الشعر بالشعر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بهذه الجملة تتم المرسلة، انظر الوسائل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حصول الخلط بین ذیل هذه المرسلة و ذیل المرسلة الآتیة عن الفقیه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،مع اختلاف،الوسائل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فیه أیضاً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،کتاب الصلاة،المسألة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النامصة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الإغماض عن الإشکال فی تذکیر الضمیر لکنّ الذی وقفنا علیه فی المقنع هو الفتوی بمضمون المرسلة، من دون إشارة إلی الکراهة المستفادة من مفهومها،فیحتمل أن یکون الضمیر راجعاً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بتقدیر المضاف،أی أُفتی بمضمون المرسلة،فلاحظ</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تشارط و قبلت ما تعطی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خبر باللفظ المذکور،نعم،ورد مؤدّاه فی الوسائل </w:t>
      </w:r>
      <w:r>
        <w:rPr>
          <w:rFonts w:eastAsia="IRNazanin" w:cs="IRNazanin"/>
          <w:b w:val="false"/>
          <w:bCs w:val="false"/>
          <w:i w:val="false"/>
          <w:iCs w:val="false"/>
          <w:color w:val="333333"/>
          <w:sz w:val="20"/>
          <w:szCs w:val="20"/>
        </w:rPr>
        <w:t>13:245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الإجارة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الأردبیلی فی مجمع الفائدة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دلیله الإجماع و أنّه نوع 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الإجماع غیر ظاهر فیما قیل و کذا کونه غشّاً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یتعرّض للنبوی،و منهم المحدّث البحرانی فی الحدائق </w:t>
      </w:r>
      <w:r>
        <w:rPr>
          <w:rFonts w:eastAsia="IRNazanin" w:cs="IRNazanin"/>
          <w:b w:val="false"/>
          <w:bCs w:val="false"/>
          <w:i w:val="false"/>
          <w:iCs w:val="false"/>
          <w:color w:val="333333"/>
          <w:sz w:val="20"/>
          <w:szCs w:val="20"/>
        </w:rPr>
        <w:t>18:198</w:t>
      </w:r>
      <w:r>
        <w:rPr>
          <w:rFonts w:ascii="IRNazanin" w:hAnsi="IRNazanin" w:eastAsia="IRNazanin"/>
          <w:b w:val="false"/>
          <w:b w:val="false"/>
          <w:bCs w:val="false"/>
          <w:i w:val="false"/>
          <w:i w:val="false"/>
          <w:iCs w:val="false"/>
          <w:color w:val="333333"/>
          <w:sz w:val="20"/>
          <w:sz w:val="20"/>
          <w:szCs w:val="20"/>
          <w:rtl w:val="true"/>
        </w:rPr>
        <w:t>، و حکاه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الکفایة،لکن لم نعثر علیه فی کفایة الأحکام للسبزواری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حدیثاً آخر کما یوهمه ظاهر العبارة بل هو قسم آخر من الحدیث المحکی عن العلل آنفاً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الملابس،الحدیث الأول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مفتاح الکرامة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،و حکاه صاحب الجواهر عن شرح أُستاذه و استجوده،راجع الجواهر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نسخة بدل،و وردت فی سائر النسخ مع اختلاف فی بعض الضمائر و الأفعال من حیث التذکیر و التأنیث،و فی بعضها علیها 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کلّها لا تخلو عن مسامحة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نسخة بدل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موجودة فی المصدر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،العلّامة فی التذکرة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فی الدروس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،و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من استدلّ بجمیع الفقرات المذکورة،نعم استدلّ الشهید الثانی</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یَنْهیٰ عَنِ الْفَحْشٰاءِ وَ الْمُنْکَرِ وَ الْبَغْیِ یَعِظُکُمْ لَعَلَّکُمْ 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یُحِبُّونَ أَنْ تَشِیعَ الْفٰاحِشَةُ فِی الَّذِینَ آمَنُوا لَهُمْ عَذٰابٌ أَلِیمٌ فِی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مقتضی روایة ابن أبی یعفور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 تُعرَف عدالة الرجل بین المسلمین حتی تقبل شهادته لهم و علیهم؟فقال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تعرفوه بالستر و العفاف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 الأوّل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الإجارة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آدابه،الحدیث الأول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نِسٰاءَ النَّبِیِّ لَسْتُنَّ کَأَحَدٍ مِنَ النِّسٰاءِ إِنِ اتَّقَیْتُنَّ فَلاٰ تَخْضَعْنَ بِالْقَوْلِ فَیَطْمَعَ الَّذِی فِی قَلْبِهِ مَرَضٌ وَ قُلْنَ قَوْلاً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یَضْرِبْنَ بِأَرْجُلِهِنَّ لِیُعْلَمَ مٰا یُخْفِینَ مِنْ زِینَتِهِنَّ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ظاهر الشرائع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،و الشهید فی ظاهر الدروس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حواشی الشهید قدّس سرّه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کاشف الغطاء قدّس سرّه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تستفاد من عبارة الشهید فی الدروس حیث استثنی من حرمة التشبیب نساء أهل الحرب،انظر الدروس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،و أشار إلی ذلک فی مفتاح الکرامة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فی الدروس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،و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التجسیم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لدینا،و حکاه عنه السیّد العاملی فی مفتاح الکرامة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لدینا،و حکاه عنه السیّد العاملی فی مفتاح الکرامة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لدینا،و حکاه عنه السید العاملی فی مفتاح الکرامة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المساکن،الحدیث الأوّل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الکتاب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بالجسم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الدفن،الحدیث الأوّل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کاشف الغطاء فی شرحه علی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الشبیه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تماثیل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الحدیثیة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للجسم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التعمیم من إطلاق کلام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،و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هذا القائل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 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مجمع الفائدة فی باب لباس المصلّی، و الموجود فیه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یفهم من الأخبار الصحیحة عدم تحریم إبقاء الصورة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دون نسبة إلی الأصحاب،انظر مجمع الفائدة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ما لم یکن شیئاً من الحیوان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یستدلّ للحرمة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ما بین المعقوفتین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زائد،و وردت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الموضعین 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الموضعین 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بعثنی رسول اللّه صلّی اللّه علیه و آله و سلم إلی المدینة،فقال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صورة إلّا محوتها و لا قبراً إلّا سوّیته،و لا کلباً إلّا قتلته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12:221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مشیّة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الربا،ذیل الحدیث الأوّل،و لفظه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علیّ علیه السلام یکره الحلال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صحیحة محمد بن مسلم،المتقدمة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شطر من الحدیث النبوی المتقدم کما فی المصادر الحدیثیة و قد أورده المؤلف قدّس سرّه سابقاً بدون هذه الفقرة،و ظاهر عبارته هنا أنّه شطر من حدیث آخر؛و یحتمل بعیداً وقوع التحریف فی العبارة،بأن یکون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صحیحة زرارة 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التماثیل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نفرشها،و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نفرشها،نفترشها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من المصدر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الأحکام الباقیة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الشهیدی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ما بین المعقوفتین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قلّة دین و 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أُنظر 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مفقودة من نسخة الکتاب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التزویج و القمر فی العقرب،کما فی جامع المقاصد و لفظ الروایات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و </w:t>
      </w:r>
      <w:r>
        <w:rPr>
          <w:rFonts w:eastAsia="IRNazanin" w:cs="IRNazanin"/>
          <w:b w:val="false"/>
          <w:bCs w:val="false"/>
          <w:i w:val="false"/>
          <w:iCs w:val="false"/>
          <w:color w:val="333333"/>
          <w:sz w:val="20"/>
          <w:szCs w:val="20"/>
        </w:rPr>
        <w:t>8:266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مبتن،و لعل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حساباتهم مبتنیة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بترتیب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الاتصالات،و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الاتصالات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مستنداً إلی الوضع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القضیة فی قصص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القول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المکروب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فالکاهن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وقع بعینه،و 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إلی الحج و غیره،الحدیث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بالنظر فی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العلم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،و رواه فی الوسائل </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الحج،الحدیث الأوّل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أثبتناه،طبقاً للمصدر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أُذینة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أثبتناه،کما فی کتب الأخبار و التراجم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ذلک،و لم یرد فی المصدر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تقدّم‌ی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ذلک ممّا أفاده فی بیان قول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عُظّم اللّه بمثل البداء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الوافی،</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معرفة مخلوقاته و أفعاله سبحانه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التنجیم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لها مدخلاً فی التأثر بالنفع و الضرر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أصل النسخ،لکنّه استُدرک فی هامش بعضها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الحدیقة الهلالیة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59:299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58:308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12:101</w:t>
      </w:r>
      <w:r>
        <w:rPr>
          <w:rFonts w:ascii="IRNazanin" w:hAnsi="IRNazanin" w:eastAsia="IRNazanin"/>
          <w:b w:val="false"/>
          <w:b w:val="false"/>
          <w:bCs w:val="false"/>
          <w:i w:val="false"/>
          <w:i w:val="false"/>
          <w:iCs w:val="false"/>
          <w:color w:val="333333"/>
          <w:sz w:val="20"/>
          <w:sz w:val="20"/>
          <w:szCs w:val="20"/>
          <w:rtl w:val="true"/>
        </w:rPr>
        <w:t xml:space="preserve">،فی هامش عنوان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نصه عن نهج البلاغة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المعتبر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لإحدی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السیّد شارح النخبة فی ظاهر کلامه الآتی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الأنواء،و هی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نون و سکون واو فهمزة،و هو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عبیدة 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ثمانیة و عشرون نجماً،معروفة المطالع فی أزمنة السنة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العرب فی الجاهلیة إذا سقط منها نجم و طلع الآخر،قالوا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أن یکون عند ذلک ریاح و مطر،فینسبون کل غیث یکون عند ذلک إلی النجم الذی یسقط حینئذ، فیقولون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مُطِرْنا بِنوءِ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لسان العرب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النخبة للسید عبد اللّه،حفید السید نعمة اللّه 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لکن فیه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58:250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الوجه الثانی من الوجوه المتصورة فی اعتقاد ربط الحرکات الفلکیة بالکائنات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الضمیر 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 من المقام،و 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الحرکات الفلکیة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المذکورة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قدّس سرّه فی مقدمة الشرح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صنف شیخنا الأقدم و إمامنا الأعظم،أبو إسحاق إبراهیم بن نوبخت قدس روحه الزکیة و نفسه العلیة مختصراً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الیاقوت،و ذکر اختلاف الأقوال فی اسم مؤلّفه؛إلی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الیاقوت شروح منها للعلّامة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شرح عبد الحمید المعتزلی ابن أبی الحدید،قال 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البال أنّها تسمّی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 الیاقوت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الملکوت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منقبة،و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کلّ نجم منها مُوکَّل مدبَّر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معرفة مخلوقاته و أفعاله سبحانه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بمعتقده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وقوع هذه الأشیاء لیس بلازم و لا أکثری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بأسباب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الیمانی لا أدری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ما بعده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من هنا إلی آخر هذه الفقرة کما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 فی 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أدری،فما زُحل عندکم فی النجوم؟فقال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نحس،فقال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تقل هذا،فإنّه نجم أمیر المؤمنین، و هو نجم الأوصیاء،و هو النجم الثاقب الذی قال اللّه تعالی فی کتابه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،و الآیة من سورة 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المکشوف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الحدیقة الهلالیة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متحمّل،و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منتحل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حکاه فی مفتاح الکرامة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بعد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حکاه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ملخصاً عن السید ابن طاوس فی کتاب فَرَج المهموم،و أُنظر الباب الأوّل منه إلی الباب الخامس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منشعبة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قلیله لا ینتفع به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الحدیقة الهلالیة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العلامیة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58:231</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صدرها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8:195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لا یخفی علیه من قصب الأجمة واحدة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آجاله،و کذا فی ما یأتی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صافیاً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مجاری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یحضر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 فی النهار،و اختلطت الزیادة فی اللیل و النهار و لم یعرفوا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 فی اللیل و النهار، و لم یعرفوا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مطابق لما أورده فی البحار،و أمّا عبارة فَرَج المهموم فهکذا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 الوقت و اختلط اللیل بالنهار،فاختلط حسابهم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58:236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،نقلاً عن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،مع اختلافات اخری غیر ما أشرنا إلیها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58:243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8:330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،و رواه فی الوسائل </w:t>
      </w:r>
      <w:r>
        <w:rPr>
          <w:rFonts w:eastAsia="IRNazanin" w:cs="IRNazanin"/>
          <w:b w:val="false"/>
          <w:bCs w:val="false"/>
          <w:i w:val="false"/>
          <w:iCs w:val="false"/>
          <w:color w:val="333333"/>
          <w:sz w:val="20"/>
          <w:szCs w:val="20"/>
        </w:rPr>
        <w:t>12:103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الحدیث أیضاً مثل سابقه نقله فی البحار عن الکافی، و لیس کذلک،بل نقله فی البحار عن فرج المهموم بإسناده عن الکلینی فی کتاب تعبیر الرؤیا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غانم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أیضاً،لکن فی فَرَج المهموم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 قوم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أصحّ من الرؤیا؟فقال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ذلک صحیحاً قبل أن ترد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کانت صحیحة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زائدة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علماء النجوم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58:242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،نقلاً عن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علم من علم الأنبیاء،و فی 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علم الأنبیاء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الحدیث مذکور بتمامه، انظر البحار </w:t>
      </w:r>
      <w:r>
        <w:rPr>
          <w:rFonts w:eastAsia="IRNazanin" w:cs="IRNazanin"/>
          <w:b w:val="false"/>
          <w:bCs w:val="false"/>
          <w:i w:val="false"/>
          <w:iCs w:val="false"/>
          <w:color w:val="333333"/>
          <w:sz w:val="20"/>
          <w:szCs w:val="20"/>
        </w:rPr>
        <w:t>58:235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مصدره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علم فی أصل صحیح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مصدره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تکلم فی النجوم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فَرَج المهموم،و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 اللّه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58:245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،نقلاً عن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من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 من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الریّان بن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السابقة، و قد حصل الخلط بینهما،راجع المصدر السابق،و الکافی </w:t>
      </w:r>
      <w:r>
        <w:rPr>
          <w:rFonts w:eastAsia="IRNazanin" w:cs="IRNazanin"/>
          <w:b w:val="false"/>
          <w:bCs w:val="false"/>
          <w:i w:val="false"/>
          <w:iCs w:val="false"/>
          <w:color w:val="333333"/>
          <w:sz w:val="20"/>
          <w:szCs w:val="20"/>
        </w:rPr>
        <w:t>8:330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البحار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روایة محمد بن سالم،المتقدمة آنفاً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الیمانی،المتقدم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إلیها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رواه فی الوسائل </w:t>
      </w:r>
      <w:r>
        <w:rPr>
          <w:rFonts w:eastAsia="IRNazanin" w:cs="IRNazanin"/>
          <w:b w:val="false"/>
          <w:bCs w:val="false"/>
          <w:i w:val="false"/>
          <w:iCs w:val="false"/>
          <w:color w:val="333333"/>
          <w:sz w:val="20"/>
          <w:szCs w:val="20"/>
        </w:rPr>
        <w:t>12:104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اجْتَنِبُوا قَوْلَ الزُّورِ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أول الکتاب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إلی الحجّ،الحدیث الأوّل،و 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حفظهما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تمزّق و لا تحرق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تمزّق و تحرق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تمزّق و تخرق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 من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المبسوط أیضاً،و المناسب تثنیة الضمائر،کما لا یخفی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،مع حذف بعض الکلمات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أصل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إتلافها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من غلط النساخ أو من سهو القلم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تَأْکُلُوا أَمْوٰالَکُمْ بَیْنَکُمْ بِالْبٰاطِلِ وَ تُدْلُوا بِهٰا إِلَی الْحُکّٰامِ لِتَأْکُلُوا فَرِیقاً مِنْ أَمْوٰالِ النّٰاسِ بِالْإِثْمِ وَ 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تُدْلُوا بِهٰا إِلَی الْحُکّٰامِ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الرشوة،انظر الصحاح </w:t>
      </w:r>
      <w:r>
        <w:rPr>
          <w:rFonts w:eastAsia="IRNazanin" w:cs="IRNazanin"/>
          <w:b w:val="false"/>
          <w:bCs w:val="false"/>
          <w:i w:val="false"/>
          <w:iCs w:val="false"/>
          <w:color w:val="333333"/>
          <w:sz w:val="20"/>
          <w:szCs w:val="20"/>
        </w:rPr>
        <w:t>6:2340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شرک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،باب الستة،الحدیث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الرشا یا عمّار فی الأحکام،فإنّ ذلک الکفر باللّه العظیم و برسوله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فی الوسائل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ظاهراً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یبذله أحد المتخاصمین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المتحاکمین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یُنقص</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روایة یوسف بن جابر 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یفید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فی جامع المقاصد دعوی النصّ و الإجماع علی الحرمة مطلقاً،سواء تعین علیه الحکم أو لا،لکن الموجود فیه ادعاء النص و الإجماع علی مطلق الحرمة،انظر جامع المقاصد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لإطلاق ما تقدّم،و یدلّ أیضاً علی حرمة الجعل ما تقدّم فی روایة عمّار بن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فریقین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القاضی،الحدیث الأوّل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،و کلامه صریح فی جواز أخذ الأجر،فراجع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الحدیث مذکور بتمامه، انظر الوسائل </w:t>
      </w:r>
      <w:r>
        <w:rPr>
          <w:rFonts w:eastAsia="IRNazanin" w:cs="IRNazanin"/>
          <w:b w:val="false"/>
          <w:bCs w:val="false"/>
          <w:i w:val="false"/>
          <w:iCs w:val="false"/>
          <w:color w:val="333333"/>
          <w:sz w:val="20"/>
          <w:szCs w:val="20"/>
        </w:rPr>
        <w:t>18:102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بالبذل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أوردهما فی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و سلم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 عن أمالی الطوسی مسنداً،عن جابر،عن النبی صلّی اللّه علیه و آله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الأُمراء 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أوردهما فی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و سلم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 عن أمالی الطوسی مسنداً،عن جابر،عن النبی صلّی اللّه علیه و آله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الأُمراء 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رواه عنه فی الوسائل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لأخیه الحاجة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روایتی أصبغ و عمّار المتقدّمتین فی أوّل العنوان،و ما تقدّم آنفاً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هدایا العمّال غلول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نص الحدیث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 یرشو الرجل الرشوة علی أن یتحول من منزله فیسکنه؟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الأداوی،و هو جمع إداوة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صغیر من جلد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العقود،الحدیث الأوّل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علیه،نعم استشکل صاحب الجواهر فی الرجوع بها مع تلفها و علم الدافع بالحرمة،باعتبار تسلیطه،انظر الجواهر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ثبت فساده بما ذکرناه فی باب الغصب من أنّ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یضمن بصحیحه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عدم الضمان مستنداً إلی نفس العقد الصحیح،لمکان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ضمان العین المستأجرة لیس مستنداً إلی الإجارة الصحیحة،بل إلی قاعدة الأمانة المالکیّة و الشرعیّة؛لکون التصرف فی العین مقدمة لاستیفاء المنفعة مأذوناً فیه شرعاً،فلا یترتب علیه الضمان، بخلاف الإجارة الفاسدة؛فإنّ الإذن الشرعی فیها مفقود،و الإذن المالکی غیر مثمر؛ لکونه تبعیّاً،و لکونه لمصلحة القابض،فتأمّل،کذا فی بعض النسخ</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هذا من مورد التداعی 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عنه و عن تفسیر أبی الفتوح، العلّامة النوری فی مستدرک الوسائل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کتاب الودیعة،الحدیث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فتکسبوا العداوة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فتکتسبوا العداوة بینهم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وزره و وزر صاحبه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فلا اغتشاش فی الضمائر،کما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فرض صحة ما نقله قدّس سرّه یمکن التخلّص عمّا قاله من الاغتشاش بإرجاع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وزره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المستفاد من المقام،نظیر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اعْدِلُوا هُوَ أَقْرَبُ لِلتَّقْویٰ</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کاشف الغطاء فی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العبارة باختلاف یسیر فی مفتاح الکرامة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السبّ من غیر أن یسنده إلی أحد،فراجع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الریب و البدع</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 ما یناسبهما، الحدیث الأوّل،و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أکثروا من سبّهم و القول فیهم و الوقیعة، و باهتوهم کیلا یطمعوا فی الفساد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فیه، و 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موضعه بیاض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یُؤْذُونَ الْمُؤْمِنِینَ وَ الْمُؤْمِنٰاتِ بِغَیْرِ مَا اکْتَسَبُوا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راجع الوسائل </w:t>
      </w:r>
      <w:r>
        <w:rPr>
          <w:rFonts w:eastAsia="IRNazanin" w:cs="IRNazanin"/>
          <w:b w:val="false"/>
          <w:bCs w:val="false"/>
          <w:i w:val="false"/>
          <w:iCs w:val="false"/>
          <w:color w:val="333333"/>
          <w:sz w:val="20"/>
          <w:szCs w:val="20"/>
        </w:rPr>
        <w:t>8:587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به،ضمن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،فی مسألة التنجیم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12:103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أحادیث أُخر غیر النبویّین المذکورین 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العاملی فی مفتاح الکرامة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فارس فی مجملة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صریح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إنّه قدّس سرّه نقل آنفاً عن الدروس بلا واسطة،فلا وجه لإسناده هنا إلی الحکایة؛مع أنّ عبارة الدروس صریحة فی اعتبار الإضرار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عبارة المسالک أیضاً صریحة فی ذلک؛فراجع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تلبّسهم،تلبیسهم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تلبیهم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لسانه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المصدرین المتقدمین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،و العبارة المنقولة هنا هی عبارة التنقیح باختلاف یسیر،و تغییر بعض الضمائر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ما یحکیه بعد أسطر عن الفاضل المقداد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ما یرویه عن الاحتجاج من حدیث الزندیق الذی سأل أبا عبد اللّه علیه السلام عن مسائل کثیرة،و سیأتی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التعریف الذی تقدم عن العلّامة و الشهیدین قدّس سرّهم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یستفاد منه حصول ملکة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نقله عن بعض</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59:277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الکذّابین،و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الکلدانیین و الکذّابین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استحداث</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المفعول من باب التفعیل،یراد منه هنا 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لغة الفرس و الترک،و هو قسم من أقسام الحلویات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الکیمیاء علم یراد به تحویل بعض المعادن إلی بعض،و علی الخصوص تحویلها إلی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اللیمیا،و علم السیمیاء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یطلق علی غیر الحقیقی من السحر، و حاصله إحداث مثالات خیالیة لا وجود لها فی الحسّ،و قد یطلق علی إیجاد تلک المثالات بصورها فی الحس،و تکون صوراً فی جوهر 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59:278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صوّره،و غیّره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،و عبارته خالیة من دعوی الضرورة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دعوی الشهیدین فی الدروس و المسالک أنّ مستحلّه یقتل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الشهیدین و الفاضل المیسی و المحقق الأردبیلی،کما یأتی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بعض الطلسمات،و لعلّ مراده بما یسند إلیه علیه السلام طلسم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بعض الشروح</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النخبة للسید عبد اللّه حفید المحدث 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دعوی الضرورة إلیهم مع خلوّ کلامهم عنها إنّما هی بلحاظ حکمهم بقتل مستحله،حیث إنّه لا یکون إلّا إذا کانت حرمته من المسلّمات و الضروریات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کلامهما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و عن الشهید الأوّل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فی الصفحات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نسخ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اختلفت المصادر أیضاً فی ضبط هذه الکلمة،ففی الکافی مثل ما أثبتناه،و فی الفقیه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الطبعة القدیمة للتهذیب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،باب الصناعات،الحدیث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روی عنه فی الوسائل </w:t>
      </w:r>
      <w:r>
        <w:rPr>
          <w:rFonts w:eastAsia="IRNazanin" w:cs="IRNazanin"/>
          <w:b w:val="false"/>
          <w:bCs w:val="false"/>
          <w:i w:val="false"/>
          <w:iCs w:val="false"/>
          <w:color w:val="333333"/>
          <w:sz w:val="20"/>
          <w:szCs w:val="20"/>
        </w:rPr>
        <w:t>12:105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،ذیل الحدیث الأوّل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قدّس سرّه فی المنتهی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یذکر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یقفوا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فی المصدر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کما یدلّ علی السم ما هو و علی ما یدفع به غائلة السم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المصدر،و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یقال للمتعلّم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تسحروهم فلا تکفر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تسحروهم فلا تکفروا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یسحروهم فلا یکفروا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تسحروهم فتکفروا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 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،مع اختلافات اخری غیر ما أشرنا إلیها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جمیع النسخ،أثبتناه من المصدر و الکتب الرجالیة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أکثر النسخ،إلّا أنّه استُدرک فی بعضها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الآیة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 أن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کالمنتهی </w:t>
      </w:r>
      <w:r>
        <w:rPr>
          <w:rFonts w:eastAsia="IRNazanin" w:cs="IRNazanin"/>
          <w:b w:val="false"/>
          <w:bCs w:val="false"/>
          <w:i w:val="false"/>
          <w:iCs w:val="false"/>
          <w:color w:val="333333"/>
          <w:sz w:val="20"/>
          <w:szCs w:val="20"/>
        </w:rPr>
        <w:t>2:1014</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المیسیّة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یصرح بالمنع،و لعله یستفاد من مفهوم کلامه،انظر المسالک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إبطال السحر رفع مسببه،کما یشهد به التعبیر بالحل،مثلاً إطفاء النار التی سحر الساحر بدخنتها،أو حلّ الخیط المعقود سحراً،أو محو المکتوب،أو إظهار المدفون کذلک لیس إبطالاً للسحر،صح</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 موارد کلامهم آنفاً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الأردبیلی فی مجمع الفائدة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،و المحدث الکاشانی فی المفاتیح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القائل،راجع الصفحة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العلّامة فی المنتهی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 الخلاف،و هکذا المحقق الأردبیلی فی مجمع 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 الإجماع المحکی و المحصل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تقدم عن البحار فی تعریف ما جعله قسماً رابعاً لأقسام السحر، 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 أکثر النسخ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رواه عنه فی الوسائل </w:t>
      </w:r>
      <w:r>
        <w:rPr>
          <w:rFonts w:eastAsia="IRNazanin" w:cs="IRNazanin"/>
          <w:b w:val="false"/>
          <w:bCs w:val="false"/>
          <w:i w:val="false"/>
          <w:iCs w:val="false"/>
          <w:color w:val="333333"/>
          <w:sz w:val="20"/>
          <w:szCs w:val="20"/>
        </w:rPr>
        <w:t>12:211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،باب یجمع عقوبات الأعمال،الحدیث الأوّل، و رواه عنه فی الوسائل </w:t>
      </w:r>
      <w:r>
        <w:rPr>
          <w:rFonts w:eastAsia="IRNazanin" w:cs="IRNazanin"/>
          <w:b w:val="false"/>
          <w:bCs w:val="false"/>
          <w:i w:val="false"/>
          <w:iCs w:val="false"/>
          <w:color w:val="333333"/>
          <w:sz w:val="20"/>
          <w:szCs w:val="20"/>
        </w:rPr>
        <w:t>12:210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عبیس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الوسائل، 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قال المحدّث العاملی فی ذیل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الشیخ بإسناده عن عبیس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هشام عن أبی عبد اللّه علیه السلام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سأله عن سعره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بکیر،و الصواب ما أثبتناه من المصدر و کتب الرجال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فقطعها نصفین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الحدیث مذکور بتمامه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طعام واحد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سعرهما شتّی،و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سعرهما شیء،فالأوّل مطابق للفقیه و الوسائل،و الثانی للتهذیب،و الثالث للکافی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 إذا أعلمتهم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العیوب،الحدیث الأوّل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التلبیس</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الروایة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الثالثة،فی حرمة بیع العنب ممّن یعمله خمراً بقصد أن یعمله،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حول ما یقصد منه المتعاملان المنفعة المحرّمة،فی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6:435</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6:436</w:t>
      </w:r>
      <w:r>
        <w:rPr>
          <w:rFonts w:ascii="IRNazanin" w:hAnsi="IRNazanin" w:eastAsia="IRNazanin"/>
          <w:b w:val="false"/>
          <w:b w:val="false"/>
          <w:bCs w:val="false"/>
          <w:i w:val="false"/>
          <w:i w:val="false"/>
          <w:iCs w:val="false"/>
          <w:color w:val="333333"/>
          <w:sz w:val="20"/>
          <w:sz w:val="20"/>
          <w:szCs w:val="20"/>
          <w:rtl w:val="true"/>
        </w:rPr>
        <w:t xml:space="preserve">،باب النرد و الشطرنج،الحدیث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xml:space="preserve">،باب الغناء،الحدیث الأوّل،و عنه فی الوسائل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القمی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12:230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إلیک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قول الزور،قال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قول الرجل للذی یغنّی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علیک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5097</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علی فرض مطابقتها لما صدر من قلم المؤلّف قدّس سرّه،فمرجع ضمیر التثنیة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الخبر مذکور بتمامه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العباسی ذکر عنک أنّک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فلان إذا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مشتهراً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الآیة من 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أُنظر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6:2449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3:1232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مکروهة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،أبواب المائة فما فوقه،ذیل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11:262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إلیک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الحسن الرضا علیه السلام عن شراء المغنّیة،قال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تکون للرجل الجاریة تُلهیه،و ما ثمنها إلّا ثمن 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القرآن،الحدیث الأوّل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قائله،و جعله المحقق النراقی ثامن الأقوال من دون إسناد إلی قائلٍ معیّن،انظر المستند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تحسین القراءة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النهایة؛لابن الأثیر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الشرائع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التعبیر مسامحة،و المراد من القید الخفة الناشئة من السرور أو الحزن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الدهر بالإنسان دوّاریّ أفنی القرون،و هو قَعْسَری قاله العجّاج کما فی دیوانه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الطرب خفّة تلحق الإنسان عند السرور و عند الحزن،و المراد به فی هذا البیت السرور،یخاطب نفسه 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تطرب إلی اللهو طرب الشبّان و أنت شیخ مسنّ؟انظر لسان العرب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اکتفی فی التعریف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،باب الشهادات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،نقله عن بعض الأصحاب،و ظاهره تلقّیه بالقبول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 الإتیان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الوصلیة و التعبیر بالتوهم مخالفة الطریحی فی ما ذکره من المغایرة حیث إنّ هذا التعبیر لا یکون إلّا فی مقام ذکر المخالف و علیه یکون مرجع ضمیر المفعول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الاتحاد المدلول علیه بالکلام السابق،و لکن لا یخفی علیک أنّه لیس فی المجمع ما یدلّ علی الاتحاد و عدم المغایرة،انتهی،و أُنظر مجمع البحرین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مفتاح الکرامة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التطرب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یراد من إیجاده فعل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الرقص</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یحسب</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مقابل المستهتر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الفائتة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من متعلقات الهموم،یعنی الهموم الناشئة من 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یجترئ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المعهود المتعارف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زمن بنی أُمیة و بنی العباس</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قسم من روایة أبی بصیر،الآتیة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بسماع التغنی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الرغبات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ذکرتک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الزمر،الآیة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المتصوفة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بین المعقوفتین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القرآن،الحدیث الأوّل،مع تفاوت یسیر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بالصوت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زیدت لاقتضاء السیاق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الإقران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،مع اختلاف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الشهیدی فی 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نقل عبارة کفایة الأحکام بعین ألفاظها کی تری أنّ المصنّف کیف غیّر فی النقل فحصل من جهته ما تراه من الإغلاق و الاضطراب،حتی لا تغترّ فی المنقول بعظم شأن الناقل،بل تراجع إلی الکتاب المنقول منه،کما أوصی بذلک کاشف اللثام فی وصایاه،و لعمری أنّه أجاد فیما أوصاه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 و السبزواری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تقدم عن الصحاح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لا أظنّ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هذه الروایات الکلینی قدّس سرّه فی الکافی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ترتیل القرآن بالصوت الحسن،و أورد بعضها فی الوسائل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القرآن؛لکن لم نقف علی خبر یدلّ علی استحباب الدعاء بالصوت الحسن،فراجع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بذلک فی کفایة الأحکام،فراجع،و یحتمل بعیداً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المجهول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النسخة التی بأیدینا من کفایة الأحکام أثر من الروایات التالیة، و لم نقف علیها فی الوافی أیضاً فی أبواب وجوه المکاسب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تُذکر هذه الروایة فی کفایة الأحکام،فضلاً عن الکلام فی سندها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یزمر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لم یزمر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أیضاً،و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علیه السلام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اللّه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یدخل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أنّه یُطلب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لا تخلو،کما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جماعة من الأعلام،فلا وجه لتخصیصه بالذکر،اللّهم إلّا بملاحظة التعلیل المذکور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الأعراس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التعلیل من فخر الدین بتفاوت فی العبارة،انظر إیضاح الفوائد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بالتعارض،لکن یستفاد من مضمون کلامه،انظر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النراقی فی المستند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لعمومات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کفایة الأحکام من الاستدلال به أثر فی کتابی التجارة و الشهادة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الفسوق،و صحّحناه علی ما ورد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القرآن،الحدیث الأوّل،مع تفاوتٍ یسیر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6:2193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 و دواء کلام العرب من الکلوم فی اللغة ثمانیة عشر جزءاً، کما فی کشف الظنون،و فی بغیة الوعاة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ثمانیة أجزاء،و هو لنشوان بن سعید ابن نشوان الیمنی الحمیری،المتوفّی سنة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یتعلّمون القرآن لغیر اللّه فیتّخذونه مزامیر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العبارة لا تخلو من إغلاق</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 و السبزواری و الأردبیلی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البیهقی فی سننه </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صلّی اللّه علیه و آله و سلم قال لعبد اللّه ابن رواحة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 بالنوق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فاندفع یرتجز،و کان عبد اللّه جیّد الحداء</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المناسب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قدّس سرّه بعدم صحة الروایات معلّلاً بأنّ فی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ما لا یخفی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المفید قدّس سرّه بذلک،بل هو ممن لم یذکر الاستثناء بعد التعمیم،انظر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فی المکروهات،انظر المهذب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الدروس،و نسبه إلیه السید العاملی فی مفتاح الکرامة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،مع اختلاف فی العبارة،و لعلّه قدّس سرّه أراد النقل بالمعنی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عند اللّه فی الخطیئة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نقل ذیله المحدّث النوری فی مستدرک الوسائل </w:t>
      </w:r>
      <w:r>
        <w:rPr>
          <w:rFonts w:eastAsia="IRNazanin" w:cs="IRNazanin"/>
          <w:b w:val="false"/>
          <w:bCs w:val="false"/>
          <w:i w:val="false"/>
          <w:iCs w:val="false"/>
          <w:color w:val="333333"/>
          <w:sz w:val="20"/>
          <w:szCs w:val="20"/>
        </w:rPr>
        <w:t>9:119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9:122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أربعین صباحاً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أربعین یوماً و لیلة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9:121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عیب أخیه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75:257</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،عن مصباح الشریعة،و رواه باختلاف فی اللفظ المحدّث النوری فی مستدرک الوسائل </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،عن لبّ اللباب،للقطب الراوندی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75:257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الحدیث مذکور بتمامه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9:121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کتبه الصادق علیه السلام إلی عبد اللّه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12:155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الروضة البهیّة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،و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نسبه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المقدس الأردبیلی أیضاً و استجوده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النبویّین المتقدّمین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اغتاب مسلماً أو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أربی الربا عرض الرجل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نحوهما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مناکحهم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فسادهم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أخو المسلم لا یظلمه و لا یخذله و لا یغتابه و لا یغشّه و لا یحرمه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من زعم أنّه ولد من حلال و هو یأکل لحوم الناس بالغیبة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یَغْتَبْ بَعْضُکُمْ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کاشف الغطاء قدّس سرّه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الموصولة فی التعاریف المتقدّمة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یکره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الغیبة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سمعه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قائله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8:602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8:604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نعلمه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سفلیه،و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سفلته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یعقل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الآیة من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روایات ابن سنان،و داود بن سرحان،و أبان،و عبد الرحمن،المتقدمات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عداها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تَنٰابَزُوا بِالْأَلْقٰابِ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أُنظر الوسائل </w:t>
      </w:r>
      <w:r>
        <w:rPr>
          <w:rFonts w:eastAsia="IRNazanin" w:cs="IRNazanin"/>
          <w:b w:val="false"/>
          <w:bCs w:val="false"/>
          <w:i w:val="false"/>
          <w:iCs w:val="false"/>
          <w:color w:val="333333"/>
          <w:sz w:val="20"/>
          <w:szCs w:val="20"/>
        </w:rPr>
        <w:t>15:132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8:596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ضمیر التثنیة الکلام المشعر بالذم و إن لم یُقصد به،و ما قُصد به الذم و إن لم یشعر الکلام به،و ما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سهو،و هکذا فیما یأتی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صلّی اللّه علیه و آله و سلم فی تعریف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ذکرک أخاک بما یکره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النبویین المتقدمین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سائر النسخ،ففی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لا تفید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بعضها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لا یفید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الثانی فی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فی الهامش بخط مغایر لخطّ النسخة ما مفاده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سقط،و المناسب للسیاق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 فرق فی حرمة ذکر الغیبة بین کون المقول فی بدنه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9:118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وجوه الغیبة تقع بذکر عیب فی الخَلق و الخُلق و العقل و الفعل و المعاملة و المذهب و الجهل و أشباهه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الشیخ ورّام بن أبی فراس فی مجموعته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الثانی فی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النسب فبأن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المیم و تشدید الراء من المراء،بمعنی المجادلة،لا بضم المیم و تخفیف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الریاء؛لأنّه من قبیل الأفعال و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الأوّل، فإنّه من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نؤوم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النوم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ما أورده الشهید الثانی قدّس سرّه فی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تعجیب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الأکثر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یُذکر الإنسان بکلام یسوؤه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فی الصفحة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ذکر کل واحد منهما علی وجه یحتمل السامع توجّه النقص علیه مما یکرهه کل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هذین الرجلین صدر منه القبیح الفلانی،کان ذلک مکروهاً لکلّ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أُشیر فی بعضها إلی کونها زائدة،و فی بعضها الآخر علیها 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کاشف الغطاء قدّس سرّه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تعلیق الذم بطائفةٍ أو أهل بلدةٍ أو قریةٍ مع قیام القرینة علی عدم 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الجواهر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ورد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 علی المؤمن سبعة حقوق واجبة من اللّه عزّ و جلّ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یحرم غیبته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8:546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ما ورد عن الإمام الرضا علیه الصلاة و السلام لمّا سُئل ما حقُّ المؤمن علی المؤمن،قال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حقِّ المؤمن علی المؤمن المودّة له فی صدره إلی أن قال و لا یغتابه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مستدرک الوسائل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خبر یصرّح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عرض المسلم کحرمة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حرام کلّه،عرضه و ماله و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مستدرک الوسائل </w:t>
      </w:r>
      <w:r>
        <w:rPr>
          <w:rFonts w:eastAsia="IRNazanin" w:cs="IRNazanin"/>
          <w:b w:val="false"/>
          <w:bCs w:val="false"/>
          <w:i w:val="false"/>
          <w:iCs w:val="false"/>
          <w:color w:val="333333"/>
          <w:sz w:val="20"/>
          <w:szCs w:val="20"/>
        </w:rPr>
        <w:t>9:136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الأوّل،و ورد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 المؤمن فسوق،و قتاله کفر،و أکل لحمه معصیة،و حرمة ماله کحرمة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الوسائل </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کلا الخبرین خصوصاً الثانی منهما لا یدلاّن علی المطلوب،کما لا یخفی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استدرک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سهو،و السند کما فی 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الحسین بن محمد بن علی الصیرفی،قال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بکر محمد بن علی الجعابی،قال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القاسم بن محمد بن جعفر العلوی،قال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أبی،عن أبیه،عن آبائه،عن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بهذا السند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یقضی له علیه،و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فیقضی له و علیه،و سوف یأتی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،و عنه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8:550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کشف الریبة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فتزید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،فیه قسم من صدر الحدیث،بلفظ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کانت عنده مظلمة من أخیه فلیستحلله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تمامه فی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9:122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علیه السلام فی الفقرة الرابعة من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 أیّما عبد من عبیدک أدرکه منّی درک أو مسّه من ناحیتی أذی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فأیّما عبد من عبیدک أو أمة من إمائک کانت له قِبلی مظلمة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غیبة اغتبته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فقصرت یدی و ضاق وسعی عن ردّها إلیه و التحلّل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هو سهو؛لأنّ راوی الخبر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الوسائل،و أمّا روایة السکونی فوردت فی باب الظلم،و سیذکرها المؤلّف قدّس سرّه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 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النبی صلّی اللّه علیه و آله و سلم ما کفّارة الاغتیاب؟قال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تستغفر اللّه لمن اغتبته کلّما ذکرته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النراقی الکبیر قدّس سرّه أرسله فی جامع السعادات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،و أورد العلّامة المجلسی قدّس سرّه هذا المرسل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مصباح الشریعة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11:343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الدعاء التاسع و الثلاثین من الصحیفة السجّادیة،المتقدم فی أدلّة وجوب الاستحلال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البدیهی أنّ الصحیفة وصلت إلینا بسند معتبر عن سیّد الساجدین زین العابدین صلوات اللّه و سلامه علیه و علی آبائه الطاهرین و أبنائه المعصومین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العبارة فی النسخ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المرخّص فی ذکر مساوئ الغیر غرض صحیح لا یمکن التوصّل إلیه إلّا بها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المعلن بالفسق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8:597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الشهادات،مع اختلاف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 أنّه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قد رواها فی الوسائل عنه،لا غیر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حرمة سبّ المؤمنین نقل ذلک عن الروضة البهیّة،فراجع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صرّح بذلک قبل الشهید الثانی المحقق الثانی فی رسالته فی العدالة،انظر رسائل المحقق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8:604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18:166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کاشف الغطاء قدّس سرّه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ذکر المتجاهرین بالفسق؛فإنّهم لا حرمة لهم و لو فی غیر ما تجاهروا به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الأجنبیات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لم یذکر وجه الجواز؛و لعلّه ترکه لوضوحه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إضافتهم،و ما أثبتناه من المصدر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یذکر سوء</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روایة أبی البختری،المتقدمة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الشهید الثانی فی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کاشف الغطاء قدّس سرّه فی شرحه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التظلّم مع ذکر معایب الظالم عند مَن یرجو أن یعینه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یقوی جوازه عند غیره لظاهر الکتاب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السبزواری فی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المستند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بما بعد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المؤیدات التی ذکرها،و التعبیر عنها بعنوان 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کونها بعد الأخبار،مبنیّ علی کون الأخبار واردة فی تفسیرها،فهی من توابع الآیة و لواحقها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المامقانی</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المصدرین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xml:space="preserve">،الحدیث الأوّل،التهذیب </w:t>
      </w:r>
      <w:r>
        <w:rPr>
          <w:rFonts w:eastAsia="IRNazanin" w:cs="IRNazanin"/>
          <w:b w:val="false"/>
          <w:bCs w:val="false"/>
          <w:i w:val="false"/>
          <w:iCs w:val="false"/>
          <w:color w:val="333333"/>
          <w:sz w:val="20"/>
          <w:szCs w:val="20"/>
        </w:rPr>
        <w:t>6:194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عنهما فی الوسائل </w:t>
      </w:r>
      <w:r>
        <w:rPr>
          <w:rFonts w:eastAsia="IRNazanin" w:cs="IRNazanin"/>
          <w:b w:val="false"/>
          <w:bCs w:val="false"/>
          <w:i w:val="false"/>
          <w:iCs w:val="false"/>
          <w:color w:val="333333"/>
          <w:sz w:val="20"/>
          <w:szCs w:val="20"/>
        </w:rPr>
        <w:t>13:100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القرض،الحدیث الأوّل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العلّامة المجلسی فی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بأخیک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کل الأخ التامّ فی الأُخوّة،أی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یحصل مثل ذلک إلّا نادراً،فتوقّع ذلک کتوقّع أمرٍ محال،فارض من الناس بالقلیل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أنّی لک بأخیک</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فی شعر النابغة،حیث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لم أترک لنفسی ریبةً و لیس وراء اللّه للمرء مذهب لئن کنتَ قد بلّغتَ عنّی خیانةً لمُبلغک الواشی أغشّ و أکذبُ فلست بمستبقٍ أخاً لا تلمّه علی شعثٍ،أی الرجال المهذّب؟ انظر مرآة العقول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8:458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لعله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المشقة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11:594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الزنا،الحدیث الأوّل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رأی منکم منکراً فلینکر بیده إن استطاع، فإن لم یستطع فبلسانه،فإن لم یستطع فبقلبه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بالمعروف و إن لم تعملوا به کلّه،و انهوا عن المنکر و إن لم تنتهوا عنه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مروا بالمعروف،و انهوا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11:399</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الأمر و النهی،الحدیث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غیر ذلک من الروایات الظاهرة فی العموم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یتعلمون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المعاصی،الحدیث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11:508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 ما یناسبهما،الحدیث الأوّل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حمدناه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تُعطب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،مع اختلافات کثیرة لم نتعرض لذکرها لکثرتها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تعرف إلّا به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اشتهاره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،عن المصباح،و قوله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ذکرک أخاک بما یکرهه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مصلحة احترام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8:606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العشرة،و مستدرک الوسائل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فی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النبی صلّی اللّه علیه و آله و سلم،بلفظ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المستمع أحد المغتابین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مع</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التنبیه 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أوّلاً مثل ما فی المصدر،ثم شطب علیه و أُثبت مثل ما فی سائر النسخ</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السامع للغیبة أحد المغتابین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بغیبته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8:608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،باب النوادر،الحدیث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8:607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الحدیث مذکور بتمامه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8:600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لسانان من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یسیر،و عنه الوسائل </w:t>
      </w:r>
      <w:r>
        <w:rPr>
          <w:rFonts w:eastAsia="IRNazanin" w:cs="IRNazanin"/>
          <w:b w:val="false"/>
          <w:bCs w:val="false"/>
          <w:i w:val="false"/>
          <w:iCs w:val="false"/>
          <w:color w:val="333333"/>
          <w:sz w:val="20"/>
          <w:szCs w:val="20"/>
        </w:rPr>
        <w:t>8:583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لمفسدتی</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یوالیه،و العبارة فی کشف الریبة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یوالیه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فی کنز الفوائد فهکذا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یوالی ولیّه و یعادی عدوّه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أصل النسخ،إلّا أنّها استدرکت فی هامش بعضها من المصدر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،و عنه 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8:550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فیقضی له و علیه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8:542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لذیها علی من علیها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مرسلة أحمد بن محمد بن عیسی،عن بعض أصحابه، عن أبی جعفر علیه السلام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تبسم فی وجهه و انبسط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 و الخصال،و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کتاب مصادقة الإخوان و الوسائل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،باب الاثنین،الحدیث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،الحدیث الأوّل،الکافی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أُنظر الوسائل </w:t>
      </w:r>
      <w:r>
        <w:rPr>
          <w:rFonts w:eastAsia="IRNazanin" w:cs="IRNazanin"/>
          <w:b w:val="false"/>
          <w:bCs w:val="false"/>
          <w:i w:val="false"/>
          <w:iCs w:val="false"/>
          <w:color w:val="333333"/>
          <w:sz w:val="20"/>
          <w:szCs w:val="20"/>
        </w:rPr>
        <w:t>8:404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بقدرته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8:413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،الحکمة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نکبته، و غیبته،و وفاته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قبلکم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ما ورد هو تمام الحدیث</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،الحدیث الأوّل،و عنه الوسائل </w:t>
      </w:r>
      <w:r>
        <w:rPr>
          <w:rFonts w:eastAsia="IRNazanin" w:cs="IRNazanin"/>
          <w:b w:val="false"/>
          <w:bCs w:val="false"/>
          <w:i w:val="false"/>
          <w:iCs w:val="false"/>
          <w:color w:val="333333"/>
          <w:sz w:val="20"/>
          <w:szCs w:val="20"/>
        </w:rPr>
        <w:t>8:414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فأغرب ثم أغرب،و 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 ثم اعزب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أبعد نفسک عن الأمر ثم أبعد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إِنَّمَا الْخَمْرُ وَ الْمَیْسِرُ وَ الْأَنْصٰابُ وَ الْأَزْلاٰمُ رِجْسٌ مِنْ عَمَلِ الشَّیْطٰانِ فَاجْتَنِبُوهُ لَعَلَّکُمْ تُفْلِحُونَ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،ففیه ما هو قریب من العبارة المذکورة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ظاهر الصحاح و المصباح المنیر و التکملة و الذیل،لکن راجعنا الصحاح و المصباح فلم نقف فیهما علی کلام ظاهر فی ذلک،و أمّا التکملة و الذیل فلم تکونا فی متناول أیدینا لنراجعهما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به،و راجع الأبواب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نصّ الروایة فی أوّل الکتاب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من اللّه محرّم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12:239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12:235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 کعِبَر لعبة للصبیان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السدر لعبة یقامر بها،و تکسر سینها و تُضمّ،و هی فارسیة معرّبة عن ثلاثة 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لعبة شیث</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لعبة الأحمر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السید الطباطبائی فی کتاب السبق و الرمایة من الریاض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علیه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وقفنا علیه منهم هو الشهید الثانی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 المحقّق النجفی فی الجواهر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،لکنّه فی کتاب التجارة استظهر اختصاص الحرمة بما کان بالآلات المعدّة للقِمار،کما سیأتی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السبق و الرمایة،الحدیث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13:347</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أحکام السبق و الرمایة،الحدیث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المحدّث العاملی هذه الروایة عن الصدوق عن الصادق علیه السلام، و لیس فی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 سیابة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،لکنّه موجود فی الفقیه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 و الثقل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تقومر به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الجواهر قدّس سرّه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الرهان و المغالبة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أفاده صاحب الجواهر نقلاً بالمعنی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22:109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دعواه عن العلّامة الطباطبائی قدّس سرّه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شیء فیه للمؤاکلة فی الطعام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کثر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غرامته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7:428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6:290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،و عنهما الوسائل </w:t>
      </w:r>
      <w:r>
        <w:rPr>
          <w:rFonts w:eastAsia="IRNazanin" w:cs="IRNazanin"/>
          <w:b w:val="false"/>
          <w:bCs w:val="false"/>
          <w:i w:val="false"/>
          <w:iCs w:val="false"/>
          <w:color w:val="333333"/>
          <w:sz w:val="20"/>
          <w:szCs w:val="20"/>
        </w:rPr>
        <w:t>16:114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الجعالة،الحدیث الأوّل و ذیله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العبارة علی فرض عدم وقوع السقط أو التصحیف فیها لا تخلو عن إجمال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إلی الأشهر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8:326</w:t>
      </w:r>
      <w:r>
        <w:rPr>
          <w:rFonts w:ascii="IRNazanin" w:hAnsi="IRNazanin" w:eastAsia="IRNazanin"/>
          <w:b w:val="false"/>
          <w:b w:val="false"/>
          <w:bCs w:val="false"/>
          <w:i w:val="false"/>
          <w:i w:val="false"/>
          <w:iCs w:val="false"/>
          <w:color w:val="333333"/>
          <w:sz w:val="20"/>
          <w:sz w:val="20"/>
          <w:szCs w:val="20"/>
          <w:rtl w:val="true"/>
        </w:rPr>
        <w:t>، و العلّامة فی التذکرة،کما یأتی</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المحکیة عن التذکرة هنا کلّها فی موضع واحد و صفحة واحدة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یطیر من الحیوانات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لا یجوز المسابقة بما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ینفع فی الحرب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المراد به هو المحدث البحرانی،انظر الحدائق </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روایة أبی الربیع الشامی أو روایة أبی الجارود،المتقدّمتان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 یحتمل أن یراد بها الجنس،فیکون المراد بها جمیع الروایات المذکورة فی المسألة الثانیة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العلاء بن سیابة،المتقدمة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منه فیما تقدم إلّا ما ذکره آنفاً من إطلاق الروایة بکون اللعب بالنرد و الشطرَنج بدون العوض قِماراً،و الکلام هنا فی المفهوم العرفی للقِمار؛و لعلّه إلی ذلک أشار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بکونها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تستحب،و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یستحبّ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لهو المؤمن باطل إلّا فی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تأدیبه الفرس،و رمیه عن قوسه، و ملاعبته 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مهذّب القاضی،و الاستدلال المذکور موجود فی المهذّب البارع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سعد الإسکاف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بلغنا أنّ رسول اللّه صلّی اللّه علیه و آله و سلم لعن الواصلة و المستوصلة،فقال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هناک،إنّما لعن رسول اللّه صلّی اللّه علیه و آله و سلم الواصلة التی تزنی فی شبابها فإذا کبرت قادت النساء إلی الرجال،فتلک الواصلة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و القیادة،الحدیث الأوّل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47636</Words>
  <Characters>210461</Characters>
  <CharactersWithSpaces>256116</CharactersWithSpaces>
  <Paragraphs>1982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2026-08-26T02:16:16Z</dcterms:created>
  <dc:creator>ghaemiyeh.com</dc:creator>
  <dc:description/>
  <dc:language>en-US</dc:language>
  <cp:lastModifiedBy/>
  <dcterms:modified xsi:type="dcterms:W3CDTF">2026-08-26T05:46:35Z</dcterms:modified>
  <cp:revision>1</cp:revision>
  <dc:subject/>
  <dc:title>المکاسب جلد 1</dc:title>
</cp:coreProperties>
</file>

<file path=docProps/custom.xml><?xml version="1.0" encoding="utf-8"?>
<Properties xmlns="http://schemas.openxmlformats.org/officeDocument/2006/custom-properties" xmlns:vt="http://schemas.openxmlformats.org/officeDocument/2006/docPropsVTypes"/>
</file>