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74.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تمهیدیه فی القواعد الفقهیه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4832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94834_231460929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94836_2314609296">
            <w:r>
              <w:rPr>
                <w:webHidden/>
                <w:rStyle w:val="IndexLink"/>
                <w:rtl w:val="true"/>
              </w:rPr>
              <w:t>قاعدة القرعة و الاستخارة</w:t>
            </w:r>
            <w:r>
              <w:rPr>
                <w:rStyle w:val="IndexLink"/>
                <w:rtl w:val="true"/>
              </w:rPr>
              <w:tab/>
            </w:r>
            <w:r>
              <w:rPr>
                <w:rStyle w:val="IndexLink"/>
              </w:rPr>
              <w:t>14</w:t>
            </w:r>
          </w:hyperlink>
        </w:p>
        <w:p>
          <w:pPr>
            <w:pStyle w:val="Contents3"/>
            <w:tabs>
              <w:tab w:val="clear" w:pos="8459"/>
              <w:tab w:val="right" w:pos="9026" w:leader="dot"/>
            </w:tabs>
            <w:rPr/>
          </w:pPr>
          <w:hyperlink w:anchor="__RefHeading___Toc3794838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794840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18</w:t>
            </w:r>
          </w:hyperlink>
        </w:p>
        <w:p>
          <w:pPr>
            <w:pStyle w:val="Contents3"/>
            <w:tabs>
              <w:tab w:val="clear" w:pos="8459"/>
              <w:tab w:val="right" w:pos="9026" w:leader="dot"/>
            </w:tabs>
            <w:rPr/>
          </w:pPr>
          <w:hyperlink w:anchor="__RefHeading___Toc3794842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18</w:t>
            </w:r>
          </w:hyperlink>
        </w:p>
        <w:p>
          <w:pPr>
            <w:pStyle w:val="Contents3"/>
            <w:tabs>
              <w:tab w:val="clear" w:pos="8459"/>
              <w:tab w:val="right" w:pos="9026" w:leader="dot"/>
            </w:tabs>
            <w:rPr/>
          </w:pPr>
          <w:hyperlink w:anchor="__RefHeading___Toc3794844_2314609296">
            <w:r>
              <w:rPr>
                <w:webHidden/>
                <w:rStyle w:val="IndexLink"/>
              </w:rPr>
              <w:t>3</w:t>
            </w:r>
            <w:r>
              <w:rPr>
                <w:rStyle w:val="IndexLink"/>
                <w:rtl w:val="true"/>
              </w:rPr>
              <w:t xml:space="preserve"> - </w:t>
            </w:r>
            <w:r>
              <w:rPr>
                <w:rStyle w:val="IndexLink"/>
                <w:rtl w:val="true"/>
              </w:rPr>
              <w:t>عموم القاعدة لما لا تعين له واقعا</w:t>
            </w:r>
            <w:r>
              <w:rPr>
                <w:rStyle w:val="IndexLink"/>
                <w:rtl w:val="true"/>
              </w:rPr>
              <w:tab/>
            </w:r>
            <w:r>
              <w:rPr>
                <w:rStyle w:val="IndexLink"/>
              </w:rPr>
              <w:t>23</w:t>
            </w:r>
          </w:hyperlink>
        </w:p>
        <w:p>
          <w:pPr>
            <w:pStyle w:val="Contents3"/>
            <w:tabs>
              <w:tab w:val="clear" w:pos="8459"/>
              <w:tab w:val="right" w:pos="9026" w:leader="dot"/>
            </w:tabs>
            <w:rPr/>
          </w:pPr>
          <w:hyperlink w:anchor="__RefHeading___Toc3794846_2314609296">
            <w:r>
              <w:rPr>
                <w:webHidden/>
                <w:rStyle w:val="IndexLink"/>
              </w:rPr>
              <w:t>4</w:t>
            </w:r>
            <w:r>
              <w:rPr>
                <w:rStyle w:val="IndexLink"/>
                <w:rtl w:val="true"/>
              </w:rPr>
              <w:t xml:space="preserve"> - </w:t>
            </w:r>
            <w:r>
              <w:rPr>
                <w:rStyle w:val="IndexLink"/>
                <w:rtl w:val="true"/>
              </w:rPr>
              <w:t>عموم القاعدة لغير باب التنازع و القضاء</w:t>
            </w:r>
            <w:r>
              <w:rPr>
                <w:rStyle w:val="IndexLink"/>
                <w:rtl w:val="true"/>
              </w:rPr>
              <w:tab/>
            </w:r>
            <w:r>
              <w:rPr>
                <w:rStyle w:val="IndexLink"/>
              </w:rPr>
              <w:t>25</w:t>
            </w:r>
          </w:hyperlink>
        </w:p>
        <w:p>
          <w:pPr>
            <w:pStyle w:val="Contents3"/>
            <w:tabs>
              <w:tab w:val="clear" w:pos="8459"/>
              <w:tab w:val="right" w:pos="9026" w:leader="dot"/>
            </w:tabs>
            <w:rPr/>
          </w:pPr>
          <w:hyperlink w:anchor="__RefHeading___Toc3794848_2314609296">
            <w:r>
              <w:rPr>
                <w:webHidden/>
                <w:rStyle w:val="IndexLink"/>
              </w:rPr>
              <w:t>5</w:t>
            </w:r>
            <w:r>
              <w:rPr>
                <w:rStyle w:val="IndexLink"/>
                <w:rtl w:val="true"/>
              </w:rPr>
              <w:t xml:space="preserve"> - </w:t>
            </w:r>
            <w:r>
              <w:rPr>
                <w:rStyle w:val="IndexLink"/>
                <w:rtl w:val="true"/>
              </w:rPr>
              <w:t>القرعة أصل أو أمارة</w:t>
            </w:r>
            <w:r>
              <w:rPr>
                <w:rStyle w:val="IndexLink"/>
                <w:rtl w:val="true"/>
              </w:rPr>
              <w:tab/>
            </w:r>
            <w:r>
              <w:rPr>
                <w:rStyle w:val="IndexLink"/>
              </w:rPr>
              <w:t>26</w:t>
            </w:r>
          </w:hyperlink>
        </w:p>
        <w:p>
          <w:pPr>
            <w:pStyle w:val="Contents3"/>
            <w:tabs>
              <w:tab w:val="clear" w:pos="8459"/>
              <w:tab w:val="right" w:pos="9026" w:leader="dot"/>
            </w:tabs>
            <w:rPr/>
          </w:pPr>
          <w:hyperlink w:anchor="__RefHeading___Toc3794850_2314609296">
            <w:r>
              <w:rPr>
                <w:webHidden/>
                <w:rStyle w:val="IndexLink"/>
              </w:rPr>
              <w:t>6</w:t>
            </w:r>
            <w:r>
              <w:rPr>
                <w:rStyle w:val="IndexLink"/>
                <w:rtl w:val="true"/>
              </w:rPr>
              <w:t xml:space="preserve"> - </w:t>
            </w:r>
            <w:r>
              <w:rPr>
                <w:rStyle w:val="IndexLink"/>
                <w:rtl w:val="true"/>
              </w:rPr>
              <w:t>اختصاص القرعة بالامام</w:t>
            </w:r>
            <w:r>
              <w:rPr>
                <w:rStyle w:val="IndexLink"/>
                <w:rtl w:val="true"/>
              </w:rPr>
              <w:tab/>
            </w:r>
            <w:r>
              <w:rPr>
                <w:rStyle w:val="IndexLink"/>
              </w:rPr>
              <w:t>27</w:t>
            </w:r>
          </w:hyperlink>
        </w:p>
        <w:p>
          <w:pPr>
            <w:pStyle w:val="Contents3"/>
            <w:tabs>
              <w:tab w:val="clear" w:pos="8459"/>
              <w:tab w:val="right" w:pos="9026" w:leader="dot"/>
            </w:tabs>
            <w:rPr/>
          </w:pPr>
          <w:hyperlink w:anchor="__RefHeading___Toc3794852_2314609296">
            <w:r>
              <w:rPr>
                <w:webHidden/>
                <w:rStyle w:val="IndexLink"/>
              </w:rPr>
              <w:t>7</w:t>
            </w:r>
            <w:r>
              <w:rPr>
                <w:rStyle w:val="IndexLink"/>
                <w:rtl w:val="true"/>
              </w:rPr>
              <w:t xml:space="preserve"> - </w:t>
            </w:r>
            <w:r>
              <w:rPr>
                <w:rStyle w:val="IndexLink"/>
                <w:rtl w:val="true"/>
              </w:rPr>
              <w:t>القرعة رخصة أو عزيمة</w:t>
            </w:r>
            <w:r>
              <w:rPr>
                <w:rStyle w:val="IndexLink"/>
                <w:rtl w:val="true"/>
              </w:rPr>
              <w:tab/>
            </w:r>
            <w:r>
              <w:rPr>
                <w:rStyle w:val="IndexLink"/>
              </w:rPr>
              <w:t>29</w:t>
            </w:r>
          </w:hyperlink>
        </w:p>
        <w:p>
          <w:pPr>
            <w:pStyle w:val="Contents3"/>
            <w:tabs>
              <w:tab w:val="clear" w:pos="8459"/>
              <w:tab w:val="right" w:pos="9026" w:leader="dot"/>
            </w:tabs>
            <w:rPr/>
          </w:pPr>
          <w:hyperlink w:anchor="__RefHeading___Toc3794854_2314609296">
            <w:r>
              <w:rPr>
                <w:webHidden/>
                <w:rStyle w:val="IndexLink"/>
              </w:rPr>
              <w:t>8</w:t>
            </w:r>
            <w:r>
              <w:rPr>
                <w:rStyle w:val="IndexLink"/>
                <w:rtl w:val="true"/>
              </w:rPr>
              <w:t xml:space="preserve"> - </w:t>
            </w:r>
            <w:r>
              <w:rPr>
                <w:rStyle w:val="IndexLink"/>
                <w:rtl w:val="true"/>
              </w:rPr>
              <w:t>مورد القرعة</w:t>
            </w:r>
            <w:r>
              <w:rPr>
                <w:rStyle w:val="IndexLink"/>
                <w:rtl w:val="true"/>
              </w:rPr>
              <w:tab/>
            </w:r>
            <w:r>
              <w:rPr>
                <w:rStyle w:val="IndexLink"/>
              </w:rPr>
              <w:t>30</w:t>
            </w:r>
          </w:hyperlink>
        </w:p>
        <w:p>
          <w:pPr>
            <w:pStyle w:val="Contents3"/>
            <w:tabs>
              <w:tab w:val="clear" w:pos="8459"/>
              <w:tab w:val="right" w:pos="9026" w:leader="dot"/>
            </w:tabs>
            <w:rPr/>
          </w:pPr>
          <w:hyperlink w:anchor="__RefHeading___Toc3794856_2314609296">
            <w:r>
              <w:rPr>
                <w:webHidden/>
                <w:rStyle w:val="IndexLink"/>
              </w:rPr>
              <w:t>9</w:t>
            </w:r>
            <w:r>
              <w:rPr>
                <w:rStyle w:val="IndexLink"/>
                <w:rtl w:val="true"/>
              </w:rPr>
              <w:t xml:space="preserve"> - </w:t>
            </w:r>
            <w:r>
              <w:rPr>
                <w:rStyle w:val="IndexLink"/>
                <w:rtl w:val="true"/>
              </w:rPr>
              <w:t>كيفية القرعة</w:t>
            </w:r>
            <w:r>
              <w:rPr>
                <w:rStyle w:val="IndexLink"/>
                <w:rtl w:val="true"/>
              </w:rPr>
              <w:tab/>
            </w:r>
            <w:r>
              <w:rPr>
                <w:rStyle w:val="IndexLink"/>
              </w:rPr>
              <w:t>33</w:t>
            </w:r>
          </w:hyperlink>
        </w:p>
        <w:p>
          <w:pPr>
            <w:pStyle w:val="Contents3"/>
            <w:tabs>
              <w:tab w:val="clear" w:pos="8459"/>
              <w:tab w:val="right" w:pos="9026" w:leader="dot"/>
            </w:tabs>
            <w:rPr/>
          </w:pPr>
          <w:hyperlink w:anchor="__RefHeading___Toc3794858_2314609296">
            <w:r>
              <w:rPr>
                <w:webHidden/>
                <w:rStyle w:val="IndexLink"/>
              </w:rPr>
              <w:t>10</w:t>
            </w:r>
            <w:r>
              <w:rPr>
                <w:rStyle w:val="IndexLink"/>
                <w:rtl w:val="true"/>
              </w:rPr>
              <w:t xml:space="preserve"> - </w:t>
            </w:r>
            <w:r>
              <w:rPr>
                <w:rStyle w:val="IndexLink"/>
                <w:rtl w:val="true"/>
              </w:rPr>
              <w:t>الاستخارة بين نصوص أهل البيت عليهم السّلام و المتشرّعة</w:t>
            </w:r>
            <w:r>
              <w:rPr>
                <w:rStyle w:val="IndexLink"/>
                <w:rtl w:val="true"/>
              </w:rPr>
              <w:tab/>
            </w:r>
            <w:r>
              <w:rPr>
                <w:rStyle w:val="IndexLink"/>
              </w:rPr>
              <w:t>33</w:t>
            </w:r>
          </w:hyperlink>
        </w:p>
        <w:p>
          <w:pPr>
            <w:pStyle w:val="Contents3"/>
            <w:tabs>
              <w:tab w:val="clear" w:pos="8459"/>
              <w:tab w:val="right" w:pos="9026" w:leader="dot"/>
            </w:tabs>
            <w:rPr/>
          </w:pPr>
          <w:hyperlink w:anchor="__RefHeading___Toc3794860_2314609296">
            <w:r>
              <w:rPr>
                <w:webHidden/>
                <w:rStyle w:val="IndexLink"/>
                <w:rtl w:val="true"/>
              </w:rPr>
              <w:t>التساؤل الأوّل</w:t>
            </w:r>
            <w:r>
              <w:rPr>
                <w:rStyle w:val="IndexLink"/>
                <w:rtl w:val="true"/>
              </w:rPr>
              <w:tab/>
            </w:r>
            <w:r>
              <w:rPr>
                <w:rStyle w:val="IndexLink"/>
              </w:rPr>
              <w:t>36</w:t>
            </w:r>
          </w:hyperlink>
        </w:p>
        <w:p>
          <w:pPr>
            <w:pStyle w:val="Contents3"/>
            <w:tabs>
              <w:tab w:val="clear" w:pos="8459"/>
              <w:tab w:val="right" w:pos="9026" w:leader="dot"/>
            </w:tabs>
            <w:rPr/>
          </w:pPr>
          <w:hyperlink w:anchor="__RefHeading___Toc3794862_2314609296">
            <w:r>
              <w:rPr>
                <w:webHidden/>
                <w:rStyle w:val="IndexLink"/>
                <w:rtl w:val="true"/>
              </w:rPr>
              <w:t>التساؤل الثاني</w:t>
            </w:r>
            <w:r>
              <w:rPr>
                <w:rStyle w:val="IndexLink"/>
                <w:rtl w:val="true"/>
              </w:rPr>
              <w:tab/>
            </w:r>
            <w:r>
              <w:rPr>
                <w:rStyle w:val="IndexLink"/>
              </w:rPr>
              <w:t>39</w:t>
            </w:r>
          </w:hyperlink>
        </w:p>
        <w:p>
          <w:pPr>
            <w:pStyle w:val="Contents3"/>
            <w:tabs>
              <w:tab w:val="clear" w:pos="8459"/>
              <w:tab w:val="right" w:pos="9026" w:leader="dot"/>
            </w:tabs>
            <w:rPr/>
          </w:pPr>
          <w:hyperlink w:anchor="__RefHeading___Toc3794864_2314609296">
            <w:r>
              <w:rPr>
                <w:webHidden/>
                <w:rStyle w:val="IndexLink"/>
                <w:rtl w:val="true"/>
              </w:rPr>
              <w:t>التساؤل الثالث</w:t>
            </w:r>
            <w:r>
              <w:rPr>
                <w:rStyle w:val="IndexLink"/>
                <w:rtl w:val="true"/>
              </w:rPr>
              <w:tab/>
            </w:r>
            <w:r>
              <w:rPr>
                <w:rStyle w:val="IndexLink"/>
              </w:rPr>
              <w:t>40</w:t>
            </w:r>
          </w:hyperlink>
        </w:p>
        <w:p>
          <w:pPr>
            <w:pStyle w:val="Contents3"/>
            <w:tabs>
              <w:tab w:val="clear" w:pos="8459"/>
              <w:tab w:val="right" w:pos="9026" w:leader="dot"/>
            </w:tabs>
            <w:rPr/>
          </w:pPr>
          <w:hyperlink w:anchor="__RefHeading___Toc3794866_2314609296">
            <w:r>
              <w:rPr>
                <w:webHidden/>
                <w:rStyle w:val="IndexLink"/>
                <w:rtl w:val="true"/>
              </w:rPr>
              <w:t>مناقشة ابن إدريس</w:t>
            </w:r>
            <w:r>
              <w:rPr>
                <w:rStyle w:val="IndexLink"/>
                <w:rtl w:val="true"/>
              </w:rPr>
              <w:tab/>
            </w:r>
            <w:r>
              <w:rPr>
                <w:rStyle w:val="IndexLink"/>
              </w:rPr>
              <w:t>43</w:t>
            </w:r>
          </w:hyperlink>
        </w:p>
        <w:p>
          <w:pPr>
            <w:pStyle w:val="Contents3"/>
            <w:tabs>
              <w:tab w:val="clear" w:pos="8459"/>
              <w:tab w:val="right" w:pos="9026" w:leader="dot"/>
            </w:tabs>
            <w:rPr/>
          </w:pPr>
          <w:hyperlink w:anchor="__RefHeading___Toc3794868_2314609296">
            <w:r>
              <w:rPr>
                <w:webHidden/>
                <w:rStyle w:val="IndexLink"/>
              </w:rPr>
              <w:t>11</w:t>
            </w:r>
            <w:r>
              <w:rPr>
                <w:rStyle w:val="IndexLink"/>
                <w:rtl w:val="true"/>
              </w:rPr>
              <w:t xml:space="preserve"> - </w:t>
            </w:r>
            <w:r>
              <w:rPr>
                <w:rStyle w:val="IndexLink"/>
                <w:rtl w:val="true"/>
              </w:rPr>
              <w:t>تطبيقات لقاعدة القرعة</w:t>
            </w:r>
            <w:r>
              <w:rPr>
                <w:rStyle w:val="IndexLink"/>
                <w:rtl w:val="true"/>
              </w:rPr>
              <w:tab/>
            </w:r>
            <w:r>
              <w:rPr>
                <w:rStyle w:val="IndexLink"/>
              </w:rPr>
              <w:t>43</w:t>
            </w:r>
          </w:hyperlink>
        </w:p>
        <w:p>
          <w:pPr>
            <w:pStyle w:val="Contents2"/>
            <w:tabs>
              <w:tab w:val="clear" w:pos="8743"/>
              <w:tab w:val="right" w:pos="9026" w:leader="dot"/>
            </w:tabs>
            <w:rPr/>
          </w:pPr>
          <w:hyperlink w:anchor="__RefHeading___Toc3794870_2314609296">
            <w:r>
              <w:rPr>
                <w:webHidden/>
                <w:rStyle w:val="IndexLink"/>
                <w:rtl w:val="true"/>
              </w:rPr>
              <w:t>قاعدة الطهارة</w:t>
            </w:r>
            <w:r>
              <w:rPr>
                <w:rStyle w:val="IndexLink"/>
                <w:rtl w:val="true"/>
              </w:rPr>
              <w:tab/>
            </w:r>
            <w:r>
              <w:rPr>
                <w:rStyle w:val="IndexLink"/>
              </w:rPr>
              <w:t>46</w:t>
            </w:r>
          </w:hyperlink>
        </w:p>
        <w:p>
          <w:pPr>
            <w:pStyle w:val="Contents3"/>
            <w:tabs>
              <w:tab w:val="clear" w:pos="8459"/>
              <w:tab w:val="right" w:pos="9026" w:leader="dot"/>
            </w:tabs>
            <w:rPr/>
          </w:pPr>
          <w:hyperlink w:anchor="__RefHeading___Toc3794872_2314609296">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794874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49</w:t>
            </w:r>
          </w:hyperlink>
        </w:p>
        <w:p>
          <w:pPr>
            <w:pStyle w:val="Contents3"/>
            <w:tabs>
              <w:tab w:val="clear" w:pos="8459"/>
              <w:tab w:val="right" w:pos="9026" w:leader="dot"/>
            </w:tabs>
            <w:rPr/>
          </w:pPr>
          <w:hyperlink w:anchor="__RefHeading___Toc3794876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49</w:t>
            </w:r>
          </w:hyperlink>
        </w:p>
        <w:p>
          <w:pPr>
            <w:pStyle w:val="Contents3"/>
            <w:tabs>
              <w:tab w:val="clear" w:pos="8459"/>
              <w:tab w:val="right" w:pos="9026" w:leader="dot"/>
            </w:tabs>
            <w:rPr/>
          </w:pPr>
          <w:hyperlink w:anchor="__RefHeading___Toc3794878_2314609296">
            <w:r>
              <w:rPr>
                <w:webHidden/>
                <w:rStyle w:val="IndexLink"/>
                <w:rtl w:val="true"/>
              </w:rPr>
              <w:t>الاشكال في سند موثقة عمّار</w:t>
            </w:r>
            <w:r>
              <w:rPr>
                <w:rStyle w:val="IndexLink"/>
                <w:rtl w:val="true"/>
              </w:rPr>
              <w:tab/>
            </w:r>
            <w:r>
              <w:rPr>
                <w:rStyle w:val="IndexLink"/>
              </w:rPr>
              <w:t>54</w:t>
            </w:r>
          </w:hyperlink>
        </w:p>
        <w:p>
          <w:pPr>
            <w:pStyle w:val="Contents3"/>
            <w:tabs>
              <w:tab w:val="clear" w:pos="8459"/>
              <w:tab w:val="right" w:pos="9026" w:leader="dot"/>
            </w:tabs>
            <w:rPr/>
          </w:pPr>
          <w:hyperlink w:anchor="__RefHeading___Toc3794880_2314609296">
            <w:r>
              <w:rPr>
                <w:webHidden/>
                <w:rStyle w:val="IndexLink"/>
              </w:rPr>
              <w:t>3</w:t>
            </w:r>
            <w:r>
              <w:rPr>
                <w:rStyle w:val="IndexLink"/>
                <w:rtl w:val="true"/>
              </w:rPr>
              <w:t xml:space="preserve"> - </w:t>
            </w:r>
            <w:r>
              <w:rPr>
                <w:rStyle w:val="IndexLink"/>
                <w:rtl w:val="true"/>
              </w:rPr>
              <w:t>عموم القاعدة للشك في النجاسة الذاتية</w:t>
            </w:r>
            <w:r>
              <w:rPr>
                <w:rStyle w:val="IndexLink"/>
                <w:rtl w:val="true"/>
              </w:rPr>
              <w:tab/>
            </w:r>
            <w:r>
              <w:rPr>
                <w:rStyle w:val="IndexLink"/>
              </w:rPr>
              <w:t>56</w:t>
            </w:r>
          </w:hyperlink>
        </w:p>
        <w:p>
          <w:pPr>
            <w:pStyle w:val="Contents3"/>
            <w:tabs>
              <w:tab w:val="clear" w:pos="8459"/>
              <w:tab w:val="right" w:pos="9026" w:leader="dot"/>
            </w:tabs>
            <w:rPr/>
          </w:pPr>
          <w:hyperlink w:anchor="__RefHeading___Toc3794882_2314609296">
            <w:r>
              <w:rPr>
                <w:webHidden/>
                <w:rStyle w:val="IndexLink"/>
              </w:rPr>
              <w:t>4</w:t>
            </w:r>
            <w:r>
              <w:rPr>
                <w:rStyle w:val="IndexLink"/>
                <w:rtl w:val="true"/>
              </w:rPr>
              <w:t xml:space="preserve"> - </w:t>
            </w:r>
            <w:r>
              <w:rPr>
                <w:rStyle w:val="IndexLink"/>
                <w:rtl w:val="true"/>
              </w:rPr>
              <w:t>عموم القاعدة لمورد استصحاب النجاسة</w:t>
            </w:r>
            <w:r>
              <w:rPr>
                <w:rStyle w:val="IndexLink"/>
                <w:rtl w:val="true"/>
              </w:rPr>
              <w:tab/>
            </w:r>
            <w:r>
              <w:rPr>
                <w:rStyle w:val="IndexLink"/>
              </w:rPr>
              <w:t>57</w:t>
            </w:r>
          </w:hyperlink>
        </w:p>
        <w:p>
          <w:pPr>
            <w:pStyle w:val="Contents3"/>
            <w:tabs>
              <w:tab w:val="clear" w:pos="8459"/>
              <w:tab w:val="right" w:pos="9026" w:leader="dot"/>
            </w:tabs>
            <w:rPr/>
          </w:pPr>
          <w:hyperlink w:anchor="__RefHeading___Toc3794884_2314609296">
            <w:r>
              <w:rPr>
                <w:webHidden/>
                <w:rStyle w:val="IndexLink"/>
              </w:rPr>
              <w:t>5</w:t>
            </w:r>
            <w:r>
              <w:rPr>
                <w:rStyle w:val="IndexLink"/>
                <w:rtl w:val="true"/>
              </w:rPr>
              <w:t xml:space="preserve"> - </w:t>
            </w:r>
            <w:r>
              <w:rPr>
                <w:rStyle w:val="IndexLink"/>
                <w:rtl w:val="true"/>
              </w:rPr>
              <w:t>شمول القاعدة لموارد الشبهة الحكمية</w:t>
            </w:r>
            <w:r>
              <w:rPr>
                <w:rStyle w:val="IndexLink"/>
                <w:rtl w:val="true"/>
              </w:rPr>
              <w:tab/>
            </w:r>
            <w:r>
              <w:rPr>
                <w:rStyle w:val="IndexLink"/>
              </w:rPr>
              <w:t>59</w:t>
            </w:r>
          </w:hyperlink>
        </w:p>
        <w:p>
          <w:pPr>
            <w:pStyle w:val="Contents3"/>
            <w:tabs>
              <w:tab w:val="clear" w:pos="8459"/>
              <w:tab w:val="right" w:pos="9026" w:leader="dot"/>
            </w:tabs>
            <w:rPr/>
          </w:pPr>
          <w:hyperlink w:anchor="__RefHeading___Toc3794886_2314609296">
            <w:r>
              <w:rPr>
                <w:webHidden/>
                <w:rStyle w:val="IndexLink"/>
              </w:rPr>
              <w:t>6</w:t>
            </w:r>
            <w:r>
              <w:rPr>
                <w:rStyle w:val="IndexLink"/>
                <w:rtl w:val="true"/>
              </w:rPr>
              <w:t xml:space="preserve"> - </w:t>
            </w:r>
            <w:r>
              <w:rPr>
                <w:rStyle w:val="IndexLink"/>
                <w:rtl w:val="true"/>
              </w:rPr>
              <w:t>قاعدة الطهارة حكم ظاهري أو واقعي</w:t>
            </w:r>
            <w:r>
              <w:rPr>
                <w:rStyle w:val="IndexLink"/>
                <w:rtl w:val="true"/>
              </w:rPr>
              <w:tab/>
            </w:r>
            <w:r>
              <w:rPr>
                <w:rStyle w:val="IndexLink"/>
              </w:rPr>
              <w:t>60</w:t>
            </w:r>
          </w:hyperlink>
        </w:p>
        <w:p>
          <w:pPr>
            <w:pStyle w:val="Contents3"/>
            <w:tabs>
              <w:tab w:val="clear" w:pos="8459"/>
              <w:tab w:val="right" w:pos="9026" w:leader="dot"/>
            </w:tabs>
            <w:rPr/>
          </w:pPr>
          <w:hyperlink w:anchor="__RefHeading___Toc3794888_2314609296">
            <w:r>
              <w:rPr>
                <w:webHidden/>
                <w:rStyle w:val="IndexLink"/>
              </w:rPr>
              <w:t>7</w:t>
            </w:r>
            <w:r>
              <w:rPr>
                <w:rStyle w:val="IndexLink"/>
                <w:rtl w:val="true"/>
              </w:rPr>
              <w:t xml:space="preserve"> - </w:t>
            </w:r>
            <w:r>
              <w:rPr>
                <w:rStyle w:val="IndexLink"/>
                <w:rtl w:val="true"/>
              </w:rPr>
              <w:t>شرطية الطهارة و مانعية النجاسة</w:t>
            </w:r>
            <w:r>
              <w:rPr>
                <w:rStyle w:val="IndexLink"/>
                <w:rtl w:val="true"/>
              </w:rPr>
              <w:tab/>
            </w:r>
            <w:r>
              <w:rPr>
                <w:rStyle w:val="IndexLink"/>
              </w:rPr>
              <w:t>62</w:t>
            </w:r>
          </w:hyperlink>
        </w:p>
        <w:p>
          <w:pPr>
            <w:pStyle w:val="Contents3"/>
            <w:tabs>
              <w:tab w:val="clear" w:pos="8459"/>
              <w:tab w:val="right" w:pos="9026" w:leader="dot"/>
            </w:tabs>
            <w:rPr/>
          </w:pPr>
          <w:hyperlink w:anchor="__RefHeading___Toc3794890_2314609296">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63</w:t>
            </w:r>
          </w:hyperlink>
        </w:p>
        <w:p>
          <w:pPr>
            <w:pStyle w:val="Contents2"/>
            <w:tabs>
              <w:tab w:val="clear" w:pos="8743"/>
              <w:tab w:val="right" w:pos="9026" w:leader="dot"/>
            </w:tabs>
            <w:rPr/>
          </w:pPr>
          <w:hyperlink w:anchor="__RefHeading___Toc3794892_2314609296">
            <w:r>
              <w:rPr>
                <w:webHidden/>
                <w:rStyle w:val="IndexLink"/>
                <w:rtl w:val="true"/>
              </w:rPr>
              <w:t>قاعدة الالزام</w:t>
            </w:r>
            <w:r>
              <w:rPr>
                <w:rStyle w:val="IndexLink"/>
                <w:rtl w:val="true"/>
              </w:rPr>
              <w:tab/>
            </w:r>
            <w:r>
              <w:rPr>
                <w:rStyle w:val="IndexLink"/>
              </w:rPr>
              <w:t>64</w:t>
            </w:r>
          </w:hyperlink>
        </w:p>
        <w:p>
          <w:pPr>
            <w:pStyle w:val="Contents3"/>
            <w:tabs>
              <w:tab w:val="clear" w:pos="8459"/>
              <w:tab w:val="right" w:pos="9026" w:leader="dot"/>
            </w:tabs>
            <w:rPr/>
          </w:pPr>
          <w:hyperlink w:anchor="__RefHeading___Toc3794894_231460929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794896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67</w:t>
            </w:r>
          </w:hyperlink>
        </w:p>
        <w:p>
          <w:pPr>
            <w:pStyle w:val="Contents3"/>
            <w:tabs>
              <w:tab w:val="clear" w:pos="8459"/>
              <w:tab w:val="right" w:pos="9026" w:leader="dot"/>
            </w:tabs>
            <w:rPr/>
          </w:pPr>
          <w:hyperlink w:anchor="__RefHeading___Toc3794898_2314609296">
            <w:r>
              <w:rPr>
                <w:webHidden/>
                <w:rStyle w:val="IndexLink"/>
              </w:rPr>
              <w:t>2</w:t>
            </w:r>
            <w:r>
              <w:rPr>
                <w:rStyle w:val="IndexLink"/>
                <w:rtl w:val="true"/>
              </w:rPr>
              <w:t xml:space="preserve"> - </w:t>
            </w:r>
            <w:r>
              <w:rPr>
                <w:rStyle w:val="IndexLink"/>
                <w:rtl w:val="true"/>
              </w:rPr>
              <w:t>قاعدتا الالزام و الامضاء</w:t>
            </w:r>
            <w:r>
              <w:rPr>
                <w:rStyle w:val="IndexLink"/>
                <w:rtl w:val="true"/>
              </w:rPr>
              <w:tab/>
            </w:r>
            <w:r>
              <w:rPr>
                <w:rStyle w:val="IndexLink"/>
              </w:rPr>
              <w:t>68</w:t>
            </w:r>
          </w:hyperlink>
        </w:p>
        <w:p>
          <w:pPr>
            <w:pStyle w:val="Contents3"/>
            <w:tabs>
              <w:tab w:val="clear" w:pos="8459"/>
              <w:tab w:val="right" w:pos="9026" w:leader="dot"/>
            </w:tabs>
            <w:rPr/>
          </w:pPr>
          <w:hyperlink w:anchor="__RefHeading___Toc3794900_2314609296">
            <w:r>
              <w:rPr>
                <w:webHidden/>
                <w:rStyle w:val="IndexLink"/>
              </w:rPr>
              <w:t>3</w:t>
            </w:r>
            <w:r>
              <w:rPr>
                <w:rStyle w:val="IndexLink"/>
                <w:rtl w:val="true"/>
              </w:rPr>
              <w:t xml:space="preserve"> - </w:t>
            </w:r>
            <w:r>
              <w:rPr>
                <w:rStyle w:val="IndexLink"/>
                <w:rtl w:val="true"/>
              </w:rPr>
              <w:t>مدرك القاعدة</w:t>
            </w:r>
            <w:r>
              <w:rPr>
                <w:rStyle w:val="IndexLink"/>
                <w:rtl w:val="true"/>
              </w:rPr>
              <w:tab/>
            </w:r>
            <w:r>
              <w:rPr>
                <w:rStyle w:val="IndexLink"/>
              </w:rPr>
              <w:t>69</w:t>
            </w:r>
          </w:hyperlink>
        </w:p>
        <w:p>
          <w:pPr>
            <w:pStyle w:val="Contents3"/>
            <w:tabs>
              <w:tab w:val="clear" w:pos="8459"/>
              <w:tab w:val="right" w:pos="9026" w:leader="dot"/>
            </w:tabs>
            <w:rPr/>
          </w:pPr>
          <w:hyperlink w:anchor="__RefHeading___Toc3794902_2314609296">
            <w:r>
              <w:rPr>
                <w:webHidden/>
                <w:rStyle w:val="IndexLink"/>
              </w:rPr>
              <w:t>4</w:t>
            </w:r>
            <w:r>
              <w:rPr>
                <w:rStyle w:val="IndexLink"/>
                <w:rtl w:val="true"/>
              </w:rPr>
              <w:t xml:space="preserve"> - </w:t>
            </w:r>
            <w:r>
              <w:rPr>
                <w:rStyle w:val="IndexLink"/>
                <w:rtl w:val="true"/>
              </w:rPr>
              <w:t>اباحة أو صحّة واقعية</w:t>
            </w:r>
            <w:r>
              <w:rPr>
                <w:rStyle w:val="IndexLink"/>
                <w:rtl w:val="true"/>
              </w:rPr>
              <w:tab/>
            </w:r>
            <w:r>
              <w:rPr>
                <w:rStyle w:val="IndexLink"/>
              </w:rPr>
              <w:t>72</w:t>
            </w:r>
          </w:hyperlink>
        </w:p>
        <w:p>
          <w:pPr>
            <w:pStyle w:val="Contents3"/>
            <w:tabs>
              <w:tab w:val="clear" w:pos="8459"/>
              <w:tab w:val="right" w:pos="9026" w:leader="dot"/>
            </w:tabs>
            <w:rPr/>
          </w:pPr>
          <w:hyperlink w:anchor="__RefHeading___Toc3794904_2314609296">
            <w:r>
              <w:rPr>
                <w:webHidden/>
                <w:rStyle w:val="IndexLink"/>
              </w:rPr>
              <w:t>5</w:t>
            </w:r>
            <w:r>
              <w:rPr>
                <w:rStyle w:val="IndexLink"/>
                <w:rtl w:val="true"/>
              </w:rPr>
              <w:t xml:space="preserve"> - </w:t>
            </w:r>
            <w:r>
              <w:rPr>
                <w:rStyle w:val="IndexLink"/>
                <w:rtl w:val="true"/>
              </w:rPr>
              <w:t>عموم القاعدة لسائر ذوي الأديان</w:t>
            </w:r>
            <w:r>
              <w:rPr>
                <w:rStyle w:val="IndexLink"/>
                <w:rtl w:val="true"/>
              </w:rPr>
              <w:tab/>
            </w:r>
            <w:r>
              <w:rPr>
                <w:rStyle w:val="IndexLink"/>
              </w:rPr>
              <w:t>75</w:t>
            </w:r>
          </w:hyperlink>
        </w:p>
        <w:p>
          <w:pPr>
            <w:pStyle w:val="Contents3"/>
            <w:tabs>
              <w:tab w:val="clear" w:pos="8459"/>
              <w:tab w:val="right" w:pos="9026" w:leader="dot"/>
            </w:tabs>
            <w:rPr/>
          </w:pPr>
          <w:hyperlink w:anchor="__RefHeading___Toc3794906_2314609296">
            <w:r>
              <w:rPr>
                <w:webHidden/>
                <w:rStyle w:val="IndexLink"/>
              </w:rPr>
              <w:t>6</w:t>
            </w:r>
            <w:r>
              <w:rPr>
                <w:rStyle w:val="IndexLink"/>
                <w:rtl w:val="true"/>
              </w:rPr>
              <w:t xml:space="preserve"> - </w:t>
            </w:r>
            <w:r>
              <w:rPr>
                <w:rStyle w:val="IndexLink"/>
                <w:rtl w:val="true"/>
              </w:rPr>
              <w:t>مصاديق لقاعدة الالزام</w:t>
            </w:r>
            <w:r>
              <w:rPr>
                <w:rStyle w:val="IndexLink"/>
                <w:rtl w:val="true"/>
              </w:rPr>
              <w:tab/>
            </w:r>
            <w:r>
              <w:rPr>
                <w:rStyle w:val="IndexLink"/>
              </w:rPr>
              <w:t>76</w:t>
            </w:r>
          </w:hyperlink>
        </w:p>
        <w:p>
          <w:pPr>
            <w:pStyle w:val="Contents3"/>
            <w:tabs>
              <w:tab w:val="clear" w:pos="8459"/>
              <w:tab w:val="right" w:pos="9026" w:leader="dot"/>
            </w:tabs>
            <w:rPr/>
          </w:pPr>
          <w:hyperlink w:anchor="__RefHeading___Toc3794908_2314609296">
            <w:r>
              <w:rPr>
                <w:webHidden/>
                <w:rStyle w:val="IndexLink"/>
              </w:rPr>
              <w:t>7</w:t>
            </w:r>
            <w:r>
              <w:rPr>
                <w:rStyle w:val="IndexLink"/>
                <w:rtl w:val="true"/>
              </w:rPr>
              <w:t xml:space="preserve"> - </w:t>
            </w:r>
            <w:r>
              <w:rPr>
                <w:rStyle w:val="IndexLink"/>
                <w:rtl w:val="true"/>
              </w:rPr>
              <w:t>تطبيقات</w:t>
            </w:r>
            <w:r>
              <w:rPr>
                <w:rStyle w:val="IndexLink"/>
                <w:rtl w:val="true"/>
              </w:rPr>
              <w:tab/>
            </w:r>
            <w:r>
              <w:rPr>
                <w:rStyle w:val="IndexLink"/>
              </w:rPr>
              <w:t>78</w:t>
            </w:r>
          </w:hyperlink>
        </w:p>
        <w:p>
          <w:pPr>
            <w:pStyle w:val="Contents2"/>
            <w:tabs>
              <w:tab w:val="clear" w:pos="8743"/>
              <w:tab w:val="right" w:pos="9026" w:leader="dot"/>
            </w:tabs>
            <w:rPr/>
          </w:pPr>
          <w:hyperlink w:anchor="__RefHeading___Toc3794910_2314609296">
            <w:r>
              <w:rPr>
                <w:webHidden/>
                <w:rStyle w:val="IndexLink"/>
                <w:rtl w:val="true"/>
              </w:rPr>
              <w:t>قاعدة سوق المسلمين</w:t>
            </w:r>
            <w:r>
              <w:rPr>
                <w:rStyle w:val="IndexLink"/>
                <w:rtl w:val="true"/>
              </w:rPr>
              <w:tab/>
            </w:r>
            <w:r>
              <w:rPr>
                <w:rStyle w:val="IndexLink"/>
              </w:rPr>
              <w:t>80</w:t>
            </w:r>
          </w:hyperlink>
        </w:p>
        <w:p>
          <w:pPr>
            <w:pStyle w:val="Contents3"/>
            <w:tabs>
              <w:tab w:val="clear" w:pos="8459"/>
              <w:tab w:val="right" w:pos="9026" w:leader="dot"/>
            </w:tabs>
            <w:rPr/>
          </w:pPr>
          <w:hyperlink w:anchor="__RefHeading___Toc3794912_2314609296">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794914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83</w:t>
            </w:r>
          </w:hyperlink>
        </w:p>
        <w:p>
          <w:pPr>
            <w:pStyle w:val="Contents3"/>
            <w:tabs>
              <w:tab w:val="clear" w:pos="8459"/>
              <w:tab w:val="right" w:pos="9026" w:leader="dot"/>
            </w:tabs>
            <w:rPr/>
          </w:pPr>
          <w:hyperlink w:anchor="__RefHeading___Toc3794916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84</w:t>
            </w:r>
          </w:hyperlink>
        </w:p>
        <w:p>
          <w:pPr>
            <w:pStyle w:val="Contents3"/>
            <w:tabs>
              <w:tab w:val="clear" w:pos="8459"/>
              <w:tab w:val="right" w:pos="9026" w:leader="dot"/>
            </w:tabs>
            <w:rPr/>
          </w:pPr>
          <w:hyperlink w:anchor="__RefHeading___Toc3794918_2314609296">
            <w:r>
              <w:rPr>
                <w:webHidden/>
                <w:rStyle w:val="IndexLink"/>
              </w:rPr>
              <w:t>3</w:t>
            </w:r>
            <w:r>
              <w:rPr>
                <w:rStyle w:val="IndexLink"/>
                <w:rtl w:val="true"/>
              </w:rPr>
              <w:t xml:space="preserve"> - </w:t>
            </w:r>
            <w:r>
              <w:rPr>
                <w:rStyle w:val="IndexLink"/>
                <w:rtl w:val="true"/>
              </w:rPr>
              <w:t>يد المسلم</w:t>
            </w:r>
            <w:r>
              <w:rPr>
                <w:rStyle w:val="IndexLink"/>
                <w:rtl w:val="true"/>
              </w:rPr>
              <w:tab/>
            </w:r>
            <w:r>
              <w:rPr>
                <w:rStyle w:val="IndexLink"/>
              </w:rPr>
              <w:t>86</w:t>
            </w:r>
          </w:hyperlink>
        </w:p>
        <w:p>
          <w:pPr>
            <w:pStyle w:val="Contents3"/>
            <w:tabs>
              <w:tab w:val="clear" w:pos="8459"/>
              <w:tab w:val="right" w:pos="9026" w:leader="dot"/>
            </w:tabs>
            <w:rPr/>
          </w:pPr>
          <w:hyperlink w:anchor="__RefHeading___Toc3794920_2314609296">
            <w:r>
              <w:rPr>
                <w:webHidden/>
                <w:rStyle w:val="IndexLink"/>
              </w:rPr>
              <w:t>4</w:t>
            </w:r>
            <w:r>
              <w:rPr>
                <w:rStyle w:val="IndexLink"/>
                <w:rtl w:val="true"/>
              </w:rPr>
              <w:t xml:space="preserve"> - </w:t>
            </w:r>
            <w:r>
              <w:rPr>
                <w:rStyle w:val="IndexLink"/>
                <w:rtl w:val="true"/>
              </w:rPr>
              <w:t>السوق امارة</w:t>
            </w:r>
            <w:r>
              <w:rPr>
                <w:rStyle w:val="IndexLink"/>
                <w:rtl w:val="true"/>
              </w:rPr>
              <w:tab/>
            </w:r>
            <w:r>
              <w:rPr>
                <w:rStyle w:val="IndexLink"/>
              </w:rPr>
              <w:t>87</w:t>
            </w:r>
          </w:hyperlink>
        </w:p>
        <w:p>
          <w:pPr>
            <w:pStyle w:val="Contents3"/>
            <w:tabs>
              <w:tab w:val="clear" w:pos="8459"/>
              <w:tab w:val="right" w:pos="9026" w:leader="dot"/>
            </w:tabs>
            <w:rPr/>
          </w:pPr>
          <w:hyperlink w:anchor="__RefHeading___Toc3794922_2314609296">
            <w:r>
              <w:rPr>
                <w:webHidden/>
                <w:rStyle w:val="IndexLink"/>
              </w:rPr>
              <w:t>5</w:t>
            </w:r>
            <w:r>
              <w:rPr>
                <w:rStyle w:val="IndexLink"/>
                <w:rtl w:val="true"/>
              </w:rPr>
              <w:t xml:space="preserve"> - </w:t>
            </w:r>
            <w:r>
              <w:rPr>
                <w:rStyle w:val="IndexLink"/>
                <w:rtl w:val="true"/>
              </w:rPr>
              <w:t>تحليل نكتة امارية السوق</w:t>
            </w:r>
            <w:r>
              <w:rPr>
                <w:rStyle w:val="IndexLink"/>
                <w:rtl w:val="true"/>
              </w:rPr>
              <w:tab/>
            </w:r>
            <w:r>
              <w:rPr>
                <w:rStyle w:val="IndexLink"/>
              </w:rPr>
              <w:t>89</w:t>
            </w:r>
          </w:hyperlink>
        </w:p>
        <w:p>
          <w:pPr>
            <w:pStyle w:val="Contents3"/>
            <w:tabs>
              <w:tab w:val="clear" w:pos="8459"/>
              <w:tab w:val="right" w:pos="9026" w:leader="dot"/>
            </w:tabs>
            <w:rPr/>
          </w:pPr>
          <w:hyperlink w:anchor="__RefHeading___Toc3794924_2314609296">
            <w:r>
              <w:rPr>
                <w:webHidden/>
                <w:rStyle w:val="IndexLink"/>
              </w:rPr>
              <w:t>6</w:t>
            </w:r>
            <w:r>
              <w:rPr>
                <w:rStyle w:val="IndexLink"/>
                <w:rtl w:val="true"/>
              </w:rPr>
              <w:t xml:space="preserve"> - </w:t>
            </w:r>
            <w:r>
              <w:rPr>
                <w:rStyle w:val="IndexLink"/>
                <w:rtl w:val="true"/>
              </w:rPr>
              <w:t>لا فرق بين فرق المسلمين</w:t>
            </w:r>
            <w:r>
              <w:rPr>
                <w:rStyle w:val="IndexLink"/>
                <w:rtl w:val="true"/>
              </w:rPr>
              <w:tab/>
            </w:r>
            <w:r>
              <w:rPr>
                <w:rStyle w:val="IndexLink"/>
              </w:rPr>
              <w:t>92</w:t>
            </w:r>
          </w:hyperlink>
        </w:p>
        <w:p>
          <w:pPr>
            <w:pStyle w:val="Contents3"/>
            <w:tabs>
              <w:tab w:val="clear" w:pos="8459"/>
              <w:tab w:val="right" w:pos="9026" w:leader="dot"/>
            </w:tabs>
            <w:rPr/>
          </w:pPr>
          <w:hyperlink w:anchor="__RefHeading___Toc3794926_2314609296">
            <w:r>
              <w:rPr>
                <w:webHidden/>
                <w:rStyle w:val="IndexLink"/>
              </w:rPr>
              <w:t>7</w:t>
            </w:r>
            <w:r>
              <w:rPr>
                <w:rStyle w:val="IndexLink"/>
                <w:rtl w:val="true"/>
              </w:rPr>
              <w:t xml:space="preserve"> - </w:t>
            </w:r>
            <w:r>
              <w:rPr>
                <w:rStyle w:val="IndexLink"/>
                <w:rtl w:val="true"/>
              </w:rPr>
              <w:t>مصنوع أرض الإسلام</w:t>
            </w:r>
            <w:r>
              <w:rPr>
                <w:rStyle w:val="IndexLink"/>
                <w:rtl w:val="true"/>
              </w:rPr>
              <w:tab/>
            </w:r>
            <w:r>
              <w:rPr>
                <w:rStyle w:val="IndexLink"/>
              </w:rPr>
              <w:t>94</w:t>
            </w:r>
          </w:hyperlink>
        </w:p>
        <w:p>
          <w:pPr>
            <w:pStyle w:val="Contents3"/>
            <w:tabs>
              <w:tab w:val="clear" w:pos="8459"/>
              <w:tab w:val="right" w:pos="9026" w:leader="dot"/>
            </w:tabs>
            <w:rPr/>
          </w:pPr>
          <w:hyperlink w:anchor="__RefHeading___Toc3794928_2314609296">
            <w:r>
              <w:rPr>
                <w:webHidden/>
                <w:rStyle w:val="IndexLink"/>
                <w:rtl w:val="true"/>
              </w:rPr>
              <w:t>الخلاصة</w:t>
            </w:r>
            <w:r>
              <w:rPr>
                <w:rStyle w:val="IndexLink"/>
                <w:rtl w:val="true"/>
              </w:rPr>
              <w:tab/>
            </w:r>
            <w:r>
              <w:rPr>
                <w:rStyle w:val="IndexLink"/>
              </w:rPr>
              <w:t>94</w:t>
            </w:r>
          </w:hyperlink>
        </w:p>
        <w:p>
          <w:pPr>
            <w:pStyle w:val="Contents3"/>
            <w:tabs>
              <w:tab w:val="clear" w:pos="8459"/>
              <w:tab w:val="right" w:pos="9026" w:leader="dot"/>
            </w:tabs>
            <w:rPr/>
          </w:pPr>
          <w:hyperlink w:anchor="__RefHeading___Toc3794930_2314609296">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95</w:t>
            </w:r>
          </w:hyperlink>
        </w:p>
        <w:p>
          <w:pPr>
            <w:pStyle w:val="Contents2"/>
            <w:tabs>
              <w:tab w:val="clear" w:pos="8743"/>
              <w:tab w:val="right" w:pos="9026" w:leader="dot"/>
            </w:tabs>
            <w:rPr/>
          </w:pPr>
          <w:hyperlink w:anchor="__RefHeading___Toc3794932_2314609296">
            <w:r>
              <w:rPr>
                <w:webHidden/>
                <w:rStyle w:val="IndexLink"/>
                <w:rtl w:val="true"/>
              </w:rPr>
              <w:t>قاعدة السلطنة</w:t>
            </w:r>
            <w:r>
              <w:rPr>
                <w:rStyle w:val="IndexLink"/>
                <w:rtl w:val="true"/>
              </w:rPr>
              <w:tab/>
            </w:r>
            <w:r>
              <w:rPr>
                <w:rStyle w:val="IndexLink"/>
              </w:rPr>
              <w:t>98</w:t>
            </w:r>
          </w:hyperlink>
        </w:p>
        <w:p>
          <w:pPr>
            <w:pStyle w:val="Contents3"/>
            <w:tabs>
              <w:tab w:val="clear" w:pos="8459"/>
              <w:tab w:val="right" w:pos="9026" w:leader="dot"/>
            </w:tabs>
            <w:rPr/>
          </w:pPr>
          <w:hyperlink w:anchor="__RefHeading___Toc3794934_2314609296">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3794936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101</w:t>
            </w:r>
          </w:hyperlink>
        </w:p>
        <w:p>
          <w:pPr>
            <w:pStyle w:val="Contents3"/>
            <w:tabs>
              <w:tab w:val="clear" w:pos="8459"/>
              <w:tab w:val="right" w:pos="9026" w:leader="dot"/>
            </w:tabs>
            <w:rPr/>
          </w:pPr>
          <w:hyperlink w:anchor="__RefHeading___Toc3794938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102</w:t>
            </w:r>
          </w:hyperlink>
        </w:p>
        <w:p>
          <w:pPr>
            <w:pStyle w:val="Contents3"/>
            <w:tabs>
              <w:tab w:val="clear" w:pos="8459"/>
              <w:tab w:val="right" w:pos="9026" w:leader="dot"/>
            </w:tabs>
            <w:rPr/>
          </w:pPr>
          <w:hyperlink w:anchor="__RefHeading___Toc3794940_2314609296">
            <w:r>
              <w:rPr>
                <w:webHidden/>
                <w:rStyle w:val="IndexLink"/>
              </w:rPr>
              <w:t>3</w:t>
            </w:r>
            <w:r>
              <w:rPr>
                <w:rStyle w:val="IndexLink"/>
                <w:rtl w:val="true"/>
              </w:rPr>
              <w:t xml:space="preserve"> - </w:t>
            </w:r>
            <w:r>
              <w:rPr>
                <w:rStyle w:val="IndexLink"/>
                <w:rtl w:val="true"/>
              </w:rPr>
              <w:t>المحتملات في قاعدة السلطنة</w:t>
            </w:r>
            <w:r>
              <w:rPr>
                <w:rStyle w:val="IndexLink"/>
                <w:rtl w:val="true"/>
              </w:rPr>
              <w:tab/>
            </w:r>
            <w:r>
              <w:rPr>
                <w:rStyle w:val="IndexLink"/>
              </w:rPr>
              <w:t>105</w:t>
            </w:r>
          </w:hyperlink>
        </w:p>
        <w:p>
          <w:pPr>
            <w:pStyle w:val="Contents3"/>
            <w:tabs>
              <w:tab w:val="clear" w:pos="8459"/>
              <w:tab w:val="right" w:pos="9026" w:leader="dot"/>
            </w:tabs>
            <w:rPr/>
          </w:pPr>
          <w:hyperlink w:anchor="__RefHeading___Toc3794942_2314609296">
            <w:r>
              <w:rPr>
                <w:webHidden/>
                <w:rStyle w:val="IndexLink"/>
              </w:rPr>
              <w:t>4</w:t>
            </w:r>
            <w:r>
              <w:rPr>
                <w:rStyle w:val="IndexLink"/>
                <w:rtl w:val="true"/>
              </w:rPr>
              <w:t xml:space="preserve"> - </w:t>
            </w:r>
            <w:r>
              <w:rPr>
                <w:rStyle w:val="IndexLink"/>
                <w:rtl w:val="true"/>
              </w:rPr>
              <w:t>حدود قاعدة السلطنة</w:t>
            </w:r>
            <w:r>
              <w:rPr>
                <w:rStyle w:val="IndexLink"/>
                <w:rtl w:val="true"/>
              </w:rPr>
              <w:tab/>
            </w:r>
            <w:r>
              <w:rPr>
                <w:rStyle w:val="IndexLink"/>
              </w:rPr>
              <w:t>109</w:t>
            </w:r>
          </w:hyperlink>
        </w:p>
        <w:p>
          <w:pPr>
            <w:pStyle w:val="Contents3"/>
            <w:tabs>
              <w:tab w:val="clear" w:pos="8459"/>
              <w:tab w:val="right" w:pos="9026" w:leader="dot"/>
            </w:tabs>
            <w:rPr/>
          </w:pPr>
          <w:hyperlink w:anchor="__RefHeading___Toc3794944_2314609296">
            <w:r>
              <w:rPr>
                <w:webHidden/>
                <w:rStyle w:val="IndexLink"/>
              </w:rPr>
              <w:t>5</w:t>
            </w:r>
            <w:r>
              <w:rPr>
                <w:rStyle w:val="IndexLink"/>
                <w:rtl w:val="true"/>
              </w:rPr>
              <w:t xml:space="preserve"> - </w:t>
            </w:r>
            <w:r>
              <w:rPr>
                <w:rStyle w:val="IndexLink"/>
                <w:rtl w:val="true"/>
              </w:rPr>
              <w:t>التسلّط على الحقوق</w:t>
            </w:r>
            <w:r>
              <w:rPr>
                <w:rStyle w:val="IndexLink"/>
                <w:rtl w:val="true"/>
              </w:rPr>
              <w:tab/>
            </w:r>
            <w:r>
              <w:rPr>
                <w:rStyle w:val="IndexLink"/>
              </w:rPr>
              <w:t>111</w:t>
            </w:r>
          </w:hyperlink>
        </w:p>
        <w:p>
          <w:pPr>
            <w:pStyle w:val="Contents3"/>
            <w:tabs>
              <w:tab w:val="clear" w:pos="8459"/>
              <w:tab w:val="right" w:pos="9026" w:leader="dot"/>
            </w:tabs>
            <w:rPr/>
          </w:pPr>
          <w:hyperlink w:anchor="__RefHeading___Toc3794946_2314609296">
            <w:r>
              <w:rPr>
                <w:webHidden/>
                <w:rStyle w:val="IndexLink"/>
              </w:rPr>
              <w:t>6</w:t>
            </w:r>
            <w:r>
              <w:rPr>
                <w:rStyle w:val="IndexLink"/>
                <w:rtl w:val="true"/>
              </w:rPr>
              <w:t xml:space="preserve"> - </w:t>
            </w:r>
            <w:r>
              <w:rPr>
                <w:rStyle w:val="IndexLink"/>
                <w:rtl w:val="true"/>
              </w:rPr>
              <w:t>التسلّط على النفس و الأعضاء</w:t>
            </w:r>
            <w:r>
              <w:rPr>
                <w:rStyle w:val="IndexLink"/>
                <w:rtl w:val="true"/>
              </w:rPr>
              <w:tab/>
            </w:r>
            <w:r>
              <w:rPr>
                <w:rStyle w:val="IndexLink"/>
              </w:rPr>
              <w:t>113</w:t>
            </w:r>
          </w:hyperlink>
        </w:p>
        <w:p>
          <w:pPr>
            <w:pStyle w:val="Contents3"/>
            <w:tabs>
              <w:tab w:val="clear" w:pos="8459"/>
              <w:tab w:val="right" w:pos="9026" w:leader="dot"/>
            </w:tabs>
            <w:rPr/>
          </w:pPr>
          <w:hyperlink w:anchor="__RefHeading___Toc3794948_2314609296">
            <w:r>
              <w:rPr>
                <w:webHidden/>
                <w:rStyle w:val="IndexLink"/>
              </w:rPr>
              <w:t>7</w:t>
            </w:r>
            <w:r>
              <w:rPr>
                <w:rStyle w:val="IndexLink"/>
                <w:rtl w:val="true"/>
              </w:rPr>
              <w:t xml:space="preserve"> - </w:t>
            </w:r>
            <w:r>
              <w:rPr>
                <w:rStyle w:val="IndexLink"/>
                <w:rtl w:val="true"/>
              </w:rPr>
              <w:t>السلطنة و الضرر</w:t>
            </w:r>
            <w:r>
              <w:rPr>
                <w:rStyle w:val="IndexLink"/>
                <w:rtl w:val="true"/>
              </w:rPr>
              <w:tab/>
            </w:r>
            <w:r>
              <w:rPr>
                <w:rStyle w:val="IndexLink"/>
              </w:rPr>
              <w:t>116</w:t>
            </w:r>
          </w:hyperlink>
        </w:p>
        <w:p>
          <w:pPr>
            <w:pStyle w:val="Contents3"/>
            <w:tabs>
              <w:tab w:val="clear" w:pos="8459"/>
              <w:tab w:val="right" w:pos="9026" w:leader="dot"/>
            </w:tabs>
            <w:rPr/>
          </w:pPr>
          <w:hyperlink w:anchor="__RefHeading___Toc3794950_2314609296">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117</w:t>
            </w:r>
          </w:hyperlink>
        </w:p>
        <w:p>
          <w:pPr>
            <w:pStyle w:val="Contents2"/>
            <w:tabs>
              <w:tab w:val="clear" w:pos="8743"/>
              <w:tab w:val="right" w:pos="9026" w:leader="dot"/>
            </w:tabs>
            <w:rPr/>
          </w:pPr>
          <w:hyperlink w:anchor="__RefHeading___Toc3794952_2314609296">
            <w:r>
              <w:rPr>
                <w:webHidden/>
                <w:rStyle w:val="IndexLink"/>
                <w:rtl w:val="true"/>
              </w:rPr>
              <w:t>قاعدة الميسور</w:t>
            </w:r>
            <w:r>
              <w:rPr>
                <w:rStyle w:val="IndexLink"/>
                <w:rtl w:val="true"/>
              </w:rPr>
              <w:tab/>
            </w:r>
            <w:r>
              <w:rPr>
                <w:rStyle w:val="IndexLink"/>
              </w:rPr>
              <w:t>120</w:t>
            </w:r>
          </w:hyperlink>
        </w:p>
        <w:p>
          <w:pPr>
            <w:pStyle w:val="Contents3"/>
            <w:tabs>
              <w:tab w:val="clear" w:pos="8459"/>
              <w:tab w:val="right" w:pos="9026" w:leader="dot"/>
            </w:tabs>
            <w:rPr/>
          </w:pPr>
          <w:hyperlink w:anchor="__RefHeading___Toc3794954_2314609296">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3794956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124</w:t>
            </w:r>
          </w:hyperlink>
        </w:p>
        <w:p>
          <w:pPr>
            <w:pStyle w:val="Contents3"/>
            <w:tabs>
              <w:tab w:val="clear" w:pos="8459"/>
              <w:tab w:val="right" w:pos="9026" w:leader="dot"/>
            </w:tabs>
            <w:rPr/>
          </w:pPr>
          <w:hyperlink w:anchor="__RefHeading___Toc3794958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125</w:t>
            </w:r>
          </w:hyperlink>
        </w:p>
        <w:p>
          <w:pPr>
            <w:pStyle w:val="Contents4"/>
            <w:tabs>
              <w:tab w:val="clear" w:pos="8176"/>
              <w:tab w:val="right" w:pos="9026" w:leader="dot"/>
            </w:tabs>
            <w:rPr/>
          </w:pPr>
          <w:hyperlink w:anchor="__RefHeading___Toc3794960_2314609296">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3794962_2314609296">
            <w:r>
              <w:rPr>
                <w:webHidden/>
                <w:rStyle w:val="IndexLink"/>
                <w:rtl w:val="true"/>
              </w:rPr>
              <w:t>الرواية الاولى</w:t>
            </w:r>
            <w:r>
              <w:rPr>
                <w:rStyle w:val="IndexLink"/>
                <w:rtl w:val="true"/>
              </w:rPr>
              <w:tab/>
            </w:r>
            <w:r>
              <w:rPr>
                <w:rStyle w:val="IndexLink"/>
              </w:rPr>
              <w:t>126</w:t>
            </w:r>
          </w:hyperlink>
        </w:p>
        <w:p>
          <w:pPr>
            <w:pStyle w:val="Contents4"/>
            <w:tabs>
              <w:tab w:val="clear" w:pos="8176"/>
              <w:tab w:val="right" w:pos="9026" w:leader="dot"/>
            </w:tabs>
            <w:rPr/>
          </w:pPr>
          <w:hyperlink w:anchor="__RefHeading___Toc3794964_2314609296">
            <w:r>
              <w:rPr>
                <w:webHidden/>
                <w:rStyle w:val="IndexLink"/>
                <w:rtl w:val="true"/>
              </w:rPr>
              <w:t>الرواية الثانية و الثالثة</w:t>
            </w:r>
            <w:r>
              <w:rPr>
                <w:rStyle w:val="IndexLink"/>
                <w:rtl w:val="true"/>
              </w:rPr>
              <w:tab/>
            </w:r>
            <w:r>
              <w:rPr>
                <w:rStyle w:val="IndexLink"/>
              </w:rPr>
              <w:t>129</w:t>
            </w:r>
          </w:hyperlink>
        </w:p>
        <w:p>
          <w:pPr>
            <w:pStyle w:val="Contents3"/>
            <w:tabs>
              <w:tab w:val="clear" w:pos="8459"/>
              <w:tab w:val="right" w:pos="9026" w:leader="dot"/>
            </w:tabs>
            <w:rPr/>
          </w:pPr>
          <w:hyperlink w:anchor="__RefHeading___Toc3794966_2314609296">
            <w:r>
              <w:rPr>
                <w:webHidden/>
                <w:rStyle w:val="IndexLink"/>
              </w:rPr>
              <w:t>3</w:t>
            </w:r>
            <w:r>
              <w:rPr>
                <w:rStyle w:val="IndexLink"/>
                <w:rtl w:val="true"/>
              </w:rPr>
              <w:t xml:space="preserve"> - </w:t>
            </w:r>
            <w:r>
              <w:rPr>
                <w:rStyle w:val="IndexLink"/>
                <w:rtl w:val="true"/>
              </w:rPr>
              <w:t>الاستصحاب و القاعدة</w:t>
            </w:r>
            <w:r>
              <w:rPr>
                <w:rStyle w:val="IndexLink"/>
                <w:rtl w:val="true"/>
              </w:rPr>
              <w:tab/>
            </w:r>
            <w:r>
              <w:rPr>
                <w:rStyle w:val="IndexLink"/>
              </w:rPr>
              <w:t>129</w:t>
            </w:r>
          </w:hyperlink>
        </w:p>
        <w:p>
          <w:pPr>
            <w:pStyle w:val="Contents3"/>
            <w:tabs>
              <w:tab w:val="clear" w:pos="8459"/>
              <w:tab w:val="right" w:pos="9026" w:leader="dot"/>
            </w:tabs>
            <w:rPr/>
          </w:pPr>
          <w:hyperlink w:anchor="__RefHeading___Toc3794968_2314609296">
            <w:r>
              <w:rPr>
                <w:webHidden/>
                <w:rStyle w:val="IndexLink"/>
                <w:rtl w:val="true"/>
              </w:rPr>
              <w:t>ملاحظة مشتركة</w:t>
            </w:r>
            <w:r>
              <w:rPr>
                <w:rStyle w:val="IndexLink"/>
                <w:rtl w:val="true"/>
              </w:rPr>
              <w:tab/>
            </w:r>
            <w:r>
              <w:rPr>
                <w:rStyle w:val="IndexLink"/>
              </w:rPr>
              <w:t>132</w:t>
            </w:r>
          </w:hyperlink>
        </w:p>
        <w:p>
          <w:pPr>
            <w:pStyle w:val="Contents3"/>
            <w:tabs>
              <w:tab w:val="clear" w:pos="8459"/>
              <w:tab w:val="right" w:pos="9026" w:leader="dot"/>
            </w:tabs>
            <w:rPr/>
          </w:pPr>
          <w:hyperlink w:anchor="__RefHeading___Toc3794970_2314609296">
            <w:r>
              <w:rPr>
                <w:webHidden/>
                <w:rStyle w:val="IndexLink"/>
              </w:rPr>
              <w:t>4</w:t>
            </w:r>
            <w:r>
              <w:rPr>
                <w:rStyle w:val="IndexLink"/>
                <w:rtl w:val="true"/>
              </w:rPr>
              <w:t xml:space="preserve"> - </w:t>
            </w:r>
            <w:r>
              <w:rPr>
                <w:rStyle w:val="IndexLink"/>
                <w:rtl w:val="true"/>
              </w:rPr>
              <w:t>اطلاق الأدلّة الأوّلية و القاعدة</w:t>
            </w:r>
            <w:r>
              <w:rPr>
                <w:rStyle w:val="IndexLink"/>
                <w:rtl w:val="true"/>
              </w:rPr>
              <w:tab/>
            </w:r>
            <w:r>
              <w:rPr>
                <w:rStyle w:val="IndexLink"/>
              </w:rPr>
              <w:t>132</w:t>
            </w:r>
          </w:hyperlink>
        </w:p>
        <w:p>
          <w:pPr>
            <w:pStyle w:val="Contents3"/>
            <w:tabs>
              <w:tab w:val="clear" w:pos="8459"/>
              <w:tab w:val="right" w:pos="9026" w:leader="dot"/>
            </w:tabs>
            <w:rPr/>
          </w:pPr>
          <w:hyperlink w:anchor="__RefHeading___Toc3794972_2314609296">
            <w:r>
              <w:rPr>
                <w:webHidden/>
                <w:rStyle w:val="IndexLink"/>
              </w:rPr>
              <w:t>5</w:t>
            </w:r>
            <w:r>
              <w:rPr>
                <w:rStyle w:val="IndexLink"/>
                <w:rtl w:val="true"/>
              </w:rPr>
              <w:t xml:space="preserve"> - </w:t>
            </w:r>
            <w:r>
              <w:rPr>
                <w:rStyle w:val="IndexLink"/>
                <w:rtl w:val="true"/>
              </w:rPr>
              <w:t>تطبيقات</w:t>
            </w:r>
            <w:r>
              <w:rPr>
                <w:rStyle w:val="IndexLink"/>
                <w:rtl w:val="true"/>
              </w:rPr>
              <w:tab/>
            </w:r>
            <w:r>
              <w:rPr>
                <w:rStyle w:val="IndexLink"/>
              </w:rPr>
              <w:t>133</w:t>
            </w:r>
          </w:hyperlink>
        </w:p>
        <w:p>
          <w:pPr>
            <w:pStyle w:val="Contents2"/>
            <w:tabs>
              <w:tab w:val="clear" w:pos="8743"/>
              <w:tab w:val="right" w:pos="9026" w:leader="dot"/>
            </w:tabs>
            <w:rPr/>
          </w:pPr>
          <w:hyperlink w:anchor="__RefHeading___Toc3794974_2314609296">
            <w:r>
              <w:rPr>
                <w:webHidden/>
                <w:rStyle w:val="IndexLink"/>
                <w:rtl w:val="true"/>
              </w:rPr>
              <w:t>قاعدة على اليد</w:t>
            </w:r>
            <w:r>
              <w:rPr>
                <w:rStyle w:val="IndexLink"/>
                <w:rtl w:val="true"/>
              </w:rPr>
              <w:tab/>
            </w:r>
            <w:r>
              <w:rPr>
                <w:rStyle w:val="IndexLink"/>
              </w:rPr>
              <w:t>136</w:t>
            </w:r>
          </w:hyperlink>
        </w:p>
        <w:p>
          <w:pPr>
            <w:pStyle w:val="Contents3"/>
            <w:tabs>
              <w:tab w:val="clear" w:pos="8459"/>
              <w:tab w:val="right" w:pos="9026" w:leader="dot"/>
            </w:tabs>
            <w:rPr/>
          </w:pPr>
          <w:hyperlink w:anchor="__RefHeading___Toc3794976_2314609296">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3794978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139</w:t>
            </w:r>
          </w:hyperlink>
        </w:p>
        <w:p>
          <w:pPr>
            <w:pStyle w:val="Contents3"/>
            <w:tabs>
              <w:tab w:val="clear" w:pos="8459"/>
              <w:tab w:val="right" w:pos="9026" w:leader="dot"/>
            </w:tabs>
            <w:rPr/>
          </w:pPr>
          <w:hyperlink w:anchor="__RefHeading___Toc3794980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141</w:t>
            </w:r>
          </w:hyperlink>
        </w:p>
        <w:p>
          <w:pPr>
            <w:pStyle w:val="Contents3"/>
            <w:tabs>
              <w:tab w:val="clear" w:pos="8459"/>
              <w:tab w:val="right" w:pos="9026" w:leader="dot"/>
            </w:tabs>
            <w:rPr/>
          </w:pPr>
          <w:hyperlink w:anchor="__RefHeading___Toc3794982_2314609296">
            <w:r>
              <w:rPr>
                <w:webHidden/>
                <w:rStyle w:val="IndexLink"/>
              </w:rPr>
              <w:t>3</w:t>
            </w:r>
            <w:r>
              <w:rPr>
                <w:rStyle w:val="IndexLink"/>
                <w:rtl w:val="true"/>
              </w:rPr>
              <w:t xml:space="preserve"> - </w:t>
            </w:r>
            <w:r>
              <w:rPr>
                <w:rStyle w:val="IndexLink"/>
                <w:rtl w:val="true"/>
              </w:rPr>
              <w:t>حكم وضعي أو تكليفي</w:t>
            </w:r>
            <w:r>
              <w:rPr>
                <w:rStyle w:val="IndexLink"/>
                <w:rtl w:val="true"/>
              </w:rPr>
              <w:tab/>
            </w:r>
            <w:r>
              <w:rPr>
                <w:rStyle w:val="IndexLink"/>
              </w:rPr>
              <w:t>145</w:t>
            </w:r>
          </w:hyperlink>
        </w:p>
        <w:p>
          <w:pPr>
            <w:pStyle w:val="Contents3"/>
            <w:tabs>
              <w:tab w:val="clear" w:pos="8459"/>
              <w:tab w:val="right" w:pos="9026" w:leader="dot"/>
            </w:tabs>
            <w:rPr/>
          </w:pPr>
          <w:hyperlink w:anchor="__RefHeading___Toc3794984_2314609296">
            <w:r>
              <w:rPr>
                <w:webHidden/>
                <w:rStyle w:val="IndexLink"/>
              </w:rPr>
              <w:t>4</w:t>
            </w:r>
            <w:r>
              <w:rPr>
                <w:rStyle w:val="IndexLink"/>
                <w:rtl w:val="true"/>
              </w:rPr>
              <w:t xml:space="preserve"> - </w:t>
            </w:r>
            <w:r>
              <w:rPr>
                <w:rStyle w:val="IndexLink"/>
                <w:rtl w:val="true"/>
              </w:rPr>
              <w:t>ضمان المنافع و الاعمال</w:t>
            </w:r>
            <w:r>
              <w:rPr>
                <w:rStyle w:val="IndexLink"/>
                <w:rtl w:val="true"/>
              </w:rPr>
              <w:tab/>
            </w:r>
            <w:r>
              <w:rPr>
                <w:rStyle w:val="IndexLink"/>
              </w:rPr>
              <w:t>147</w:t>
            </w:r>
          </w:hyperlink>
        </w:p>
        <w:p>
          <w:pPr>
            <w:pStyle w:val="Contents3"/>
            <w:tabs>
              <w:tab w:val="clear" w:pos="8459"/>
              <w:tab w:val="right" w:pos="9026" w:leader="dot"/>
            </w:tabs>
            <w:rPr/>
          </w:pPr>
          <w:hyperlink w:anchor="__RefHeading___Toc3794986_2314609296">
            <w:r>
              <w:rPr>
                <w:webHidden/>
                <w:rStyle w:val="IndexLink"/>
              </w:rPr>
              <w:t>5</w:t>
            </w:r>
            <w:r>
              <w:rPr>
                <w:rStyle w:val="IndexLink"/>
                <w:rtl w:val="true"/>
              </w:rPr>
              <w:t xml:space="preserve"> - </w:t>
            </w:r>
            <w:r>
              <w:rPr>
                <w:rStyle w:val="IndexLink"/>
                <w:rtl w:val="true"/>
              </w:rPr>
              <w:t>المثل أو القيمة و بدل الحيلولة و اجرة الرد</w:t>
            </w:r>
            <w:r>
              <w:rPr>
                <w:rStyle w:val="IndexLink"/>
                <w:rtl w:val="true"/>
              </w:rPr>
              <w:tab/>
            </w:r>
            <w:r>
              <w:rPr>
                <w:rStyle w:val="IndexLink"/>
              </w:rPr>
              <w:t>148</w:t>
            </w:r>
          </w:hyperlink>
        </w:p>
        <w:p>
          <w:pPr>
            <w:pStyle w:val="Contents3"/>
            <w:tabs>
              <w:tab w:val="clear" w:pos="8459"/>
              <w:tab w:val="right" w:pos="9026" w:leader="dot"/>
            </w:tabs>
            <w:rPr/>
          </w:pPr>
          <w:hyperlink w:anchor="__RefHeading___Toc3794988_2314609296">
            <w:r>
              <w:rPr>
                <w:webHidden/>
                <w:rStyle w:val="IndexLink"/>
              </w:rPr>
              <w:t>6</w:t>
            </w:r>
            <w:r>
              <w:rPr>
                <w:rStyle w:val="IndexLink"/>
                <w:rtl w:val="true"/>
              </w:rPr>
              <w:t xml:space="preserve"> - </w:t>
            </w:r>
            <w:r>
              <w:rPr>
                <w:rStyle w:val="IndexLink"/>
                <w:rtl w:val="true"/>
              </w:rPr>
              <w:t>عموم القاعدة للجاهل و الصغير</w:t>
            </w:r>
            <w:r>
              <w:rPr>
                <w:rStyle w:val="IndexLink"/>
                <w:rtl w:val="true"/>
              </w:rPr>
              <w:tab/>
            </w:r>
            <w:r>
              <w:rPr>
                <w:rStyle w:val="IndexLink"/>
              </w:rPr>
              <w:t>150</w:t>
            </w:r>
          </w:hyperlink>
        </w:p>
        <w:p>
          <w:pPr>
            <w:pStyle w:val="Contents3"/>
            <w:tabs>
              <w:tab w:val="clear" w:pos="8459"/>
              <w:tab w:val="right" w:pos="9026" w:leader="dot"/>
            </w:tabs>
            <w:rPr/>
          </w:pPr>
          <w:hyperlink w:anchor="__RefHeading___Toc3794990_2314609296">
            <w:r>
              <w:rPr>
                <w:webHidden/>
                <w:rStyle w:val="IndexLink"/>
              </w:rPr>
              <w:t>7</w:t>
            </w:r>
            <w:r>
              <w:rPr>
                <w:rStyle w:val="IndexLink"/>
                <w:rtl w:val="true"/>
              </w:rPr>
              <w:t xml:space="preserve"> - </w:t>
            </w:r>
            <w:r>
              <w:rPr>
                <w:rStyle w:val="IndexLink"/>
                <w:rtl w:val="true"/>
              </w:rPr>
              <w:t>استثناء يد الامانة و الاحسان</w:t>
            </w:r>
            <w:r>
              <w:rPr>
                <w:rStyle w:val="IndexLink"/>
                <w:rtl w:val="true"/>
              </w:rPr>
              <w:tab/>
            </w:r>
            <w:r>
              <w:rPr>
                <w:rStyle w:val="IndexLink"/>
              </w:rPr>
              <w:t>150</w:t>
            </w:r>
          </w:hyperlink>
        </w:p>
        <w:p>
          <w:pPr>
            <w:pStyle w:val="Contents3"/>
            <w:tabs>
              <w:tab w:val="clear" w:pos="8459"/>
              <w:tab w:val="right" w:pos="9026" w:leader="dot"/>
            </w:tabs>
            <w:rPr/>
          </w:pPr>
          <w:hyperlink w:anchor="__RefHeading___Toc3794992_2314609296">
            <w:r>
              <w:rPr>
                <w:webHidden/>
                <w:rStyle w:val="IndexLink"/>
              </w:rPr>
              <w:t>8</w:t>
            </w:r>
            <w:r>
              <w:rPr>
                <w:rStyle w:val="IndexLink"/>
                <w:rtl w:val="true"/>
              </w:rPr>
              <w:t xml:space="preserve"> - </w:t>
            </w:r>
            <w:r>
              <w:rPr>
                <w:rStyle w:val="IndexLink"/>
                <w:rtl w:val="true"/>
              </w:rPr>
              <w:t>أسباب اخرى للضمان</w:t>
            </w:r>
            <w:r>
              <w:rPr>
                <w:rStyle w:val="IndexLink"/>
                <w:rtl w:val="true"/>
              </w:rPr>
              <w:tab/>
            </w:r>
            <w:r>
              <w:rPr>
                <w:rStyle w:val="IndexLink"/>
              </w:rPr>
              <w:t>152</w:t>
            </w:r>
          </w:hyperlink>
        </w:p>
        <w:p>
          <w:pPr>
            <w:pStyle w:val="Contents3"/>
            <w:tabs>
              <w:tab w:val="clear" w:pos="8459"/>
              <w:tab w:val="right" w:pos="9026" w:leader="dot"/>
            </w:tabs>
            <w:rPr/>
          </w:pPr>
          <w:hyperlink w:anchor="__RefHeading___Toc3794994_2314609296">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154</w:t>
            </w:r>
          </w:hyperlink>
        </w:p>
        <w:p>
          <w:pPr>
            <w:pStyle w:val="Contents2"/>
            <w:tabs>
              <w:tab w:val="clear" w:pos="8743"/>
              <w:tab w:val="right" w:pos="9026" w:leader="dot"/>
            </w:tabs>
            <w:rPr/>
          </w:pPr>
          <w:hyperlink w:anchor="__RefHeading___Toc3794996_2314609296">
            <w:r>
              <w:rPr>
                <w:webHidden/>
                <w:rStyle w:val="IndexLink"/>
                <w:rtl w:val="true"/>
              </w:rPr>
              <w:t>قاعدة الغرور</w:t>
            </w:r>
            <w:r>
              <w:rPr>
                <w:rStyle w:val="IndexLink"/>
                <w:rtl w:val="true"/>
              </w:rPr>
              <w:tab/>
            </w:r>
            <w:r>
              <w:rPr>
                <w:rStyle w:val="IndexLink"/>
              </w:rPr>
              <w:t>156</w:t>
            </w:r>
          </w:hyperlink>
        </w:p>
        <w:p>
          <w:pPr>
            <w:pStyle w:val="Contents3"/>
            <w:tabs>
              <w:tab w:val="clear" w:pos="8459"/>
              <w:tab w:val="right" w:pos="9026" w:leader="dot"/>
            </w:tabs>
            <w:rPr/>
          </w:pPr>
          <w:hyperlink w:anchor="__RefHeading___Toc3794998_2314609296">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3795000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159</w:t>
            </w:r>
          </w:hyperlink>
        </w:p>
        <w:p>
          <w:pPr>
            <w:pStyle w:val="Contents3"/>
            <w:tabs>
              <w:tab w:val="clear" w:pos="8459"/>
              <w:tab w:val="right" w:pos="9026" w:leader="dot"/>
            </w:tabs>
            <w:rPr/>
          </w:pPr>
          <w:hyperlink w:anchor="__RefHeading___Toc3795002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161</w:t>
            </w:r>
          </w:hyperlink>
        </w:p>
        <w:p>
          <w:pPr>
            <w:pStyle w:val="Contents4"/>
            <w:tabs>
              <w:tab w:val="clear" w:pos="8176"/>
              <w:tab w:val="right" w:pos="9026" w:leader="dot"/>
            </w:tabs>
            <w:rPr/>
          </w:pPr>
          <w:hyperlink w:anchor="__RefHeading___Toc3795004_231460929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795006_2314609296">
            <w:r>
              <w:rPr>
                <w:webHidden/>
                <w:rStyle w:val="IndexLink"/>
                <w:rtl w:val="true"/>
              </w:rPr>
              <w:t>الوجه الأوّل</w:t>
            </w:r>
            <w:r>
              <w:rPr>
                <w:rStyle w:val="IndexLink"/>
                <w:rtl w:val="true"/>
              </w:rPr>
              <w:tab/>
            </w:r>
            <w:r>
              <w:rPr>
                <w:rStyle w:val="IndexLink"/>
              </w:rPr>
              <w:t>161</w:t>
            </w:r>
          </w:hyperlink>
        </w:p>
        <w:p>
          <w:pPr>
            <w:pStyle w:val="Contents4"/>
            <w:tabs>
              <w:tab w:val="clear" w:pos="8176"/>
              <w:tab w:val="right" w:pos="9026" w:leader="dot"/>
            </w:tabs>
            <w:rPr/>
          </w:pPr>
          <w:hyperlink w:anchor="__RefHeading___Toc3795008_2314609296">
            <w:r>
              <w:rPr>
                <w:webHidden/>
                <w:rStyle w:val="IndexLink"/>
                <w:rtl w:val="true"/>
              </w:rPr>
              <w:t>الوجه الثاني</w:t>
            </w:r>
            <w:r>
              <w:rPr>
                <w:rStyle w:val="IndexLink"/>
                <w:rtl w:val="true"/>
              </w:rPr>
              <w:tab/>
            </w:r>
            <w:r>
              <w:rPr>
                <w:rStyle w:val="IndexLink"/>
              </w:rPr>
              <w:t>162</w:t>
            </w:r>
          </w:hyperlink>
        </w:p>
        <w:p>
          <w:pPr>
            <w:pStyle w:val="Contents3"/>
            <w:tabs>
              <w:tab w:val="clear" w:pos="8459"/>
              <w:tab w:val="right" w:pos="9026" w:leader="dot"/>
            </w:tabs>
            <w:rPr/>
          </w:pPr>
          <w:hyperlink w:anchor="__RefHeading___Toc3795010_2314609296">
            <w:r>
              <w:rPr>
                <w:webHidden/>
                <w:rStyle w:val="IndexLink"/>
              </w:rPr>
              <w:t>3</w:t>
            </w:r>
            <w:r>
              <w:rPr>
                <w:rStyle w:val="IndexLink"/>
                <w:rtl w:val="true"/>
              </w:rPr>
              <w:t xml:space="preserve"> - </w:t>
            </w:r>
            <w:r>
              <w:rPr>
                <w:rStyle w:val="IndexLink"/>
                <w:rtl w:val="true"/>
              </w:rPr>
              <w:t>قاعدة التسبيب</w:t>
            </w:r>
            <w:r>
              <w:rPr>
                <w:rStyle w:val="IndexLink"/>
                <w:rtl w:val="true"/>
              </w:rPr>
              <w:tab/>
            </w:r>
            <w:r>
              <w:rPr>
                <w:rStyle w:val="IndexLink"/>
              </w:rPr>
              <w:t>165</w:t>
            </w:r>
          </w:hyperlink>
        </w:p>
        <w:p>
          <w:pPr>
            <w:pStyle w:val="Contents3"/>
            <w:tabs>
              <w:tab w:val="clear" w:pos="8459"/>
              <w:tab w:val="right" w:pos="9026" w:leader="dot"/>
            </w:tabs>
            <w:rPr/>
          </w:pPr>
          <w:hyperlink w:anchor="__RefHeading___Toc3795012_2314609296">
            <w:r>
              <w:rPr>
                <w:webHidden/>
                <w:rStyle w:val="IndexLink"/>
              </w:rPr>
              <w:t>4</w:t>
            </w:r>
            <w:r>
              <w:rPr>
                <w:rStyle w:val="IndexLink"/>
                <w:rtl w:val="true"/>
              </w:rPr>
              <w:t xml:space="preserve"> - </w:t>
            </w:r>
            <w:r>
              <w:rPr>
                <w:rStyle w:val="IndexLink"/>
                <w:rtl w:val="true"/>
              </w:rPr>
              <w:t>اعتبار الجهل في صحة التمسك بالقاعدة</w:t>
            </w:r>
            <w:r>
              <w:rPr>
                <w:rStyle w:val="IndexLink"/>
                <w:rtl w:val="true"/>
              </w:rPr>
              <w:tab/>
            </w:r>
            <w:r>
              <w:rPr>
                <w:rStyle w:val="IndexLink"/>
              </w:rPr>
              <w:t>169</w:t>
            </w:r>
          </w:hyperlink>
        </w:p>
        <w:p>
          <w:pPr>
            <w:pStyle w:val="Contents3"/>
            <w:tabs>
              <w:tab w:val="clear" w:pos="8459"/>
              <w:tab w:val="right" w:pos="9026" w:leader="dot"/>
            </w:tabs>
            <w:rPr/>
          </w:pPr>
          <w:hyperlink w:anchor="__RefHeading___Toc3795014_2314609296">
            <w:r>
              <w:rPr>
                <w:webHidden/>
                <w:rStyle w:val="IndexLink"/>
              </w:rPr>
              <w:t>5</w:t>
            </w:r>
            <w:r>
              <w:rPr>
                <w:rStyle w:val="IndexLink"/>
                <w:rtl w:val="true"/>
              </w:rPr>
              <w:t xml:space="preserve"> - </w:t>
            </w:r>
            <w:r>
              <w:rPr>
                <w:rStyle w:val="IndexLink"/>
                <w:rtl w:val="true"/>
              </w:rPr>
              <w:t>تطبيقات</w:t>
            </w:r>
            <w:r>
              <w:rPr>
                <w:rStyle w:val="IndexLink"/>
                <w:rtl w:val="true"/>
              </w:rPr>
              <w:tab/>
            </w:r>
            <w:r>
              <w:rPr>
                <w:rStyle w:val="IndexLink"/>
              </w:rPr>
              <w:t>170</w:t>
            </w:r>
          </w:hyperlink>
        </w:p>
        <w:p>
          <w:pPr>
            <w:pStyle w:val="Contents2"/>
            <w:tabs>
              <w:tab w:val="clear" w:pos="8743"/>
              <w:tab w:val="right" w:pos="9026" w:leader="dot"/>
            </w:tabs>
            <w:rPr/>
          </w:pPr>
          <w:hyperlink w:anchor="__RefHeading___Toc3795016_2314609296">
            <w:r>
              <w:rPr>
                <w:webHidden/>
                <w:rStyle w:val="IndexLink"/>
                <w:rtl w:val="true"/>
              </w:rPr>
              <w:t>قاعدتا الاقرار</w:t>
            </w:r>
            <w:r>
              <w:rPr>
                <w:rStyle w:val="IndexLink"/>
                <w:rtl w:val="true"/>
              </w:rPr>
              <w:tab/>
            </w:r>
            <w:r>
              <w:rPr>
                <w:rStyle w:val="IndexLink"/>
              </w:rPr>
              <w:t>172</w:t>
            </w:r>
          </w:hyperlink>
        </w:p>
        <w:p>
          <w:pPr>
            <w:pStyle w:val="Contents3"/>
            <w:tabs>
              <w:tab w:val="clear" w:pos="8459"/>
              <w:tab w:val="right" w:pos="9026" w:leader="dot"/>
            </w:tabs>
            <w:rPr/>
          </w:pPr>
          <w:hyperlink w:anchor="__RefHeading___Toc3795018_2314609296">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3795020_2314609296">
            <w:r>
              <w:rPr>
                <w:webHidden/>
                <w:rStyle w:val="IndexLink"/>
              </w:rPr>
              <w:t>1</w:t>
            </w:r>
            <w:r>
              <w:rPr>
                <w:rStyle w:val="IndexLink"/>
                <w:rtl w:val="true"/>
              </w:rPr>
              <w:t xml:space="preserve"> - </w:t>
            </w:r>
            <w:r>
              <w:rPr>
                <w:rStyle w:val="IndexLink"/>
                <w:rtl w:val="true"/>
              </w:rPr>
              <w:t>مضمون القاعدتين</w:t>
            </w:r>
            <w:r>
              <w:rPr>
                <w:rStyle w:val="IndexLink"/>
                <w:rtl w:val="true"/>
              </w:rPr>
              <w:tab/>
            </w:r>
            <w:r>
              <w:rPr>
                <w:rStyle w:val="IndexLink"/>
              </w:rPr>
              <w:t>176</w:t>
            </w:r>
          </w:hyperlink>
        </w:p>
        <w:p>
          <w:pPr>
            <w:pStyle w:val="Contents3"/>
            <w:tabs>
              <w:tab w:val="clear" w:pos="8459"/>
              <w:tab w:val="right" w:pos="9026" w:leader="dot"/>
            </w:tabs>
            <w:rPr/>
          </w:pPr>
          <w:hyperlink w:anchor="__RefHeading___Toc3795022_2314609296">
            <w:r>
              <w:rPr>
                <w:webHidden/>
                <w:rStyle w:val="IndexLink"/>
              </w:rPr>
              <w:t>2</w:t>
            </w:r>
            <w:r>
              <w:rPr>
                <w:rStyle w:val="IndexLink"/>
                <w:rtl w:val="true"/>
              </w:rPr>
              <w:t xml:space="preserve"> - </w:t>
            </w:r>
            <w:r>
              <w:rPr>
                <w:rStyle w:val="IndexLink"/>
                <w:rtl w:val="true"/>
              </w:rPr>
              <w:t>قاعدة واحدة أو قاعدتان</w:t>
            </w:r>
            <w:r>
              <w:rPr>
                <w:rStyle w:val="IndexLink"/>
                <w:rtl w:val="true"/>
              </w:rPr>
              <w:tab/>
            </w:r>
            <w:r>
              <w:rPr>
                <w:rStyle w:val="IndexLink"/>
              </w:rPr>
              <w:t>177</w:t>
            </w:r>
          </w:hyperlink>
        </w:p>
        <w:p>
          <w:pPr>
            <w:pStyle w:val="Contents3"/>
            <w:tabs>
              <w:tab w:val="clear" w:pos="8459"/>
              <w:tab w:val="right" w:pos="9026" w:leader="dot"/>
            </w:tabs>
            <w:rPr/>
          </w:pPr>
          <w:hyperlink w:anchor="__RefHeading___Toc3795024_2314609296">
            <w:r>
              <w:rPr>
                <w:webHidden/>
                <w:rStyle w:val="IndexLink"/>
              </w:rPr>
              <w:t>3</w:t>
            </w:r>
            <w:r>
              <w:rPr>
                <w:rStyle w:val="IndexLink"/>
                <w:rtl w:val="true"/>
              </w:rPr>
              <w:t xml:space="preserve"> - </w:t>
            </w:r>
            <w:r>
              <w:rPr>
                <w:rStyle w:val="IndexLink"/>
                <w:rtl w:val="true"/>
              </w:rPr>
              <w:t>مدرك القاعدة</w:t>
            </w:r>
            <w:r>
              <w:rPr>
                <w:rStyle w:val="IndexLink"/>
                <w:rtl w:val="true"/>
              </w:rPr>
              <w:tab/>
            </w:r>
            <w:r>
              <w:rPr>
                <w:rStyle w:val="IndexLink"/>
              </w:rPr>
              <w:t>179</w:t>
            </w:r>
          </w:hyperlink>
        </w:p>
        <w:p>
          <w:pPr>
            <w:pStyle w:val="Contents3"/>
            <w:tabs>
              <w:tab w:val="clear" w:pos="8459"/>
              <w:tab w:val="right" w:pos="9026" w:leader="dot"/>
            </w:tabs>
            <w:rPr/>
          </w:pPr>
          <w:hyperlink w:anchor="__RefHeading___Toc3795026_2314609296">
            <w:r>
              <w:rPr>
                <w:webHidden/>
                <w:rStyle w:val="IndexLink"/>
              </w:rPr>
              <w:t>4</w:t>
            </w:r>
            <w:r>
              <w:rPr>
                <w:rStyle w:val="IndexLink"/>
                <w:rtl w:val="true"/>
              </w:rPr>
              <w:t xml:space="preserve"> - </w:t>
            </w:r>
            <w:r>
              <w:rPr>
                <w:rStyle w:val="IndexLink"/>
                <w:rtl w:val="true"/>
              </w:rPr>
              <w:t>استثناءات من قاعدة قبول الاقرار</w:t>
            </w:r>
            <w:r>
              <w:rPr>
                <w:rStyle w:val="IndexLink"/>
                <w:rtl w:val="true"/>
              </w:rPr>
              <w:tab/>
            </w:r>
            <w:r>
              <w:rPr>
                <w:rStyle w:val="IndexLink"/>
              </w:rPr>
              <w:t>183</w:t>
            </w:r>
          </w:hyperlink>
        </w:p>
        <w:p>
          <w:pPr>
            <w:pStyle w:val="Contents3"/>
            <w:tabs>
              <w:tab w:val="clear" w:pos="8459"/>
              <w:tab w:val="right" w:pos="9026" w:leader="dot"/>
            </w:tabs>
            <w:rPr/>
          </w:pPr>
          <w:hyperlink w:anchor="__RefHeading___Toc3795028_2314609296">
            <w:r>
              <w:rPr>
                <w:webHidden/>
                <w:rStyle w:val="IndexLink"/>
              </w:rPr>
              <w:t>5</w:t>
            </w:r>
            <w:r>
              <w:rPr>
                <w:rStyle w:val="IndexLink"/>
                <w:rtl w:val="true"/>
              </w:rPr>
              <w:t xml:space="preserve"> - </w:t>
            </w:r>
            <w:r>
              <w:rPr>
                <w:rStyle w:val="IndexLink"/>
                <w:rtl w:val="true"/>
              </w:rPr>
              <w:t>الاقرار بالدلالة الالتزامية</w:t>
            </w:r>
            <w:r>
              <w:rPr>
                <w:rStyle w:val="IndexLink"/>
                <w:rtl w:val="true"/>
              </w:rPr>
              <w:tab/>
            </w:r>
            <w:r>
              <w:rPr>
                <w:rStyle w:val="IndexLink"/>
              </w:rPr>
              <w:t>184</w:t>
            </w:r>
          </w:hyperlink>
        </w:p>
        <w:p>
          <w:pPr>
            <w:pStyle w:val="Contents3"/>
            <w:tabs>
              <w:tab w:val="clear" w:pos="8459"/>
              <w:tab w:val="right" w:pos="9026" w:leader="dot"/>
            </w:tabs>
            <w:rPr/>
          </w:pPr>
          <w:hyperlink w:anchor="__RefHeading___Toc3795030_2314609296">
            <w:r>
              <w:rPr>
                <w:webHidden/>
                <w:rStyle w:val="IndexLink"/>
              </w:rPr>
              <w:t>6</w:t>
            </w:r>
            <w:r>
              <w:rPr>
                <w:rStyle w:val="IndexLink"/>
                <w:rtl w:val="true"/>
              </w:rPr>
              <w:t xml:space="preserve"> - </w:t>
            </w:r>
            <w:r>
              <w:rPr>
                <w:rStyle w:val="IndexLink"/>
                <w:rtl w:val="true"/>
              </w:rPr>
              <w:t>التفكيك في الاقرار الواحد</w:t>
            </w:r>
            <w:r>
              <w:rPr>
                <w:rStyle w:val="IndexLink"/>
                <w:rtl w:val="true"/>
              </w:rPr>
              <w:tab/>
            </w:r>
            <w:r>
              <w:rPr>
                <w:rStyle w:val="IndexLink"/>
              </w:rPr>
              <w:t>184</w:t>
            </w:r>
          </w:hyperlink>
        </w:p>
        <w:p>
          <w:pPr>
            <w:pStyle w:val="Contents3"/>
            <w:tabs>
              <w:tab w:val="clear" w:pos="8459"/>
              <w:tab w:val="right" w:pos="9026" w:leader="dot"/>
            </w:tabs>
            <w:rPr/>
          </w:pPr>
          <w:hyperlink w:anchor="__RefHeading___Toc3795032_2314609296">
            <w:r>
              <w:rPr>
                <w:webHidden/>
                <w:rStyle w:val="IndexLink"/>
              </w:rPr>
              <w:t>7</w:t>
            </w:r>
            <w:r>
              <w:rPr>
                <w:rStyle w:val="IndexLink"/>
                <w:rtl w:val="true"/>
              </w:rPr>
              <w:t xml:space="preserve"> - </w:t>
            </w:r>
            <w:r>
              <w:rPr>
                <w:rStyle w:val="IndexLink"/>
                <w:rtl w:val="true"/>
              </w:rPr>
              <w:t>اختصاص القبول بموارد السلطنة الفعلية</w:t>
            </w:r>
            <w:r>
              <w:rPr>
                <w:rStyle w:val="IndexLink"/>
                <w:rtl w:val="true"/>
              </w:rPr>
              <w:tab/>
            </w:r>
            <w:r>
              <w:rPr>
                <w:rStyle w:val="IndexLink"/>
              </w:rPr>
              <w:t>186</w:t>
            </w:r>
          </w:hyperlink>
        </w:p>
        <w:p>
          <w:pPr>
            <w:pStyle w:val="Contents3"/>
            <w:tabs>
              <w:tab w:val="clear" w:pos="8459"/>
              <w:tab w:val="right" w:pos="9026" w:leader="dot"/>
            </w:tabs>
            <w:rPr/>
          </w:pPr>
          <w:hyperlink w:anchor="__RefHeading___Toc3795034_2314609296">
            <w:r>
              <w:rPr>
                <w:webHidden/>
                <w:rStyle w:val="IndexLink"/>
              </w:rPr>
              <w:t>8</w:t>
            </w:r>
            <w:r>
              <w:rPr>
                <w:rStyle w:val="IndexLink"/>
                <w:rtl w:val="true"/>
              </w:rPr>
              <w:t xml:space="preserve"> - </w:t>
            </w:r>
            <w:r>
              <w:rPr>
                <w:rStyle w:val="IndexLink"/>
                <w:rtl w:val="true"/>
              </w:rPr>
              <w:t>تطبيقات</w:t>
            </w:r>
            <w:r>
              <w:rPr>
                <w:rStyle w:val="IndexLink"/>
                <w:rtl w:val="true"/>
              </w:rPr>
              <w:tab/>
            </w:r>
            <w:r>
              <w:rPr>
                <w:rStyle w:val="IndexLink"/>
              </w:rPr>
              <w:t>186</w:t>
            </w:r>
          </w:hyperlink>
        </w:p>
        <w:p>
          <w:pPr>
            <w:pStyle w:val="Contents2"/>
            <w:tabs>
              <w:tab w:val="clear" w:pos="8743"/>
              <w:tab w:val="right" w:pos="9026" w:leader="dot"/>
            </w:tabs>
            <w:rPr/>
          </w:pPr>
          <w:hyperlink w:anchor="__RefHeading___Toc3795036_2314609296">
            <w:r>
              <w:rPr>
                <w:webHidden/>
                <w:rStyle w:val="IndexLink"/>
                <w:rtl w:val="true"/>
              </w:rPr>
              <w:t>قاعدة الفراش</w:t>
            </w:r>
            <w:r>
              <w:rPr>
                <w:rStyle w:val="IndexLink"/>
                <w:rtl w:val="true"/>
              </w:rPr>
              <w:tab/>
            </w:r>
            <w:r>
              <w:rPr>
                <w:rStyle w:val="IndexLink"/>
              </w:rPr>
              <w:t>188</w:t>
            </w:r>
          </w:hyperlink>
        </w:p>
        <w:p>
          <w:pPr>
            <w:pStyle w:val="Contents3"/>
            <w:tabs>
              <w:tab w:val="clear" w:pos="8459"/>
              <w:tab w:val="right" w:pos="9026" w:leader="dot"/>
            </w:tabs>
            <w:rPr/>
          </w:pPr>
          <w:hyperlink w:anchor="__RefHeading___Toc3795038_2314609296">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3795040_2314609296">
            <w:r>
              <w:rPr>
                <w:webHidden/>
                <w:rStyle w:val="IndexLink"/>
              </w:rPr>
              <w:t>1</w:t>
            </w:r>
            <w:r>
              <w:rPr>
                <w:rStyle w:val="IndexLink"/>
                <w:rtl w:val="true"/>
              </w:rPr>
              <w:t xml:space="preserve"> - </w:t>
            </w:r>
            <w:r>
              <w:rPr>
                <w:rStyle w:val="IndexLink"/>
                <w:rtl w:val="true"/>
              </w:rPr>
              <w:t>مضمون القاعدة</w:t>
            </w:r>
            <w:r>
              <w:rPr>
                <w:rStyle w:val="IndexLink"/>
                <w:rtl w:val="true"/>
              </w:rPr>
              <w:tab/>
            </w:r>
            <w:r>
              <w:rPr>
                <w:rStyle w:val="IndexLink"/>
              </w:rPr>
              <w:t>192</w:t>
            </w:r>
          </w:hyperlink>
        </w:p>
        <w:p>
          <w:pPr>
            <w:pStyle w:val="Contents3"/>
            <w:tabs>
              <w:tab w:val="clear" w:pos="8459"/>
              <w:tab w:val="right" w:pos="9026" w:leader="dot"/>
            </w:tabs>
            <w:rPr/>
          </w:pPr>
          <w:hyperlink w:anchor="__RefHeading___Toc3795042_2314609296">
            <w:r>
              <w:rPr>
                <w:webHidden/>
                <w:rStyle w:val="IndexLink"/>
              </w:rPr>
              <w:t>2</w:t>
            </w:r>
            <w:r>
              <w:rPr>
                <w:rStyle w:val="IndexLink"/>
                <w:rtl w:val="true"/>
              </w:rPr>
              <w:t xml:space="preserve"> - </w:t>
            </w:r>
            <w:r>
              <w:rPr>
                <w:rStyle w:val="IndexLink"/>
                <w:rtl w:val="true"/>
              </w:rPr>
              <w:t>مدرك القاعدة</w:t>
            </w:r>
            <w:r>
              <w:rPr>
                <w:rStyle w:val="IndexLink"/>
                <w:rtl w:val="true"/>
              </w:rPr>
              <w:tab/>
            </w:r>
            <w:r>
              <w:rPr>
                <w:rStyle w:val="IndexLink"/>
              </w:rPr>
              <w:t>192</w:t>
            </w:r>
          </w:hyperlink>
        </w:p>
        <w:p>
          <w:pPr>
            <w:pStyle w:val="Contents3"/>
            <w:tabs>
              <w:tab w:val="clear" w:pos="8459"/>
              <w:tab w:val="right" w:pos="9026" w:leader="dot"/>
            </w:tabs>
            <w:rPr/>
          </w:pPr>
          <w:hyperlink w:anchor="__RefHeading___Toc3795044_2314609296">
            <w:r>
              <w:rPr>
                <w:webHidden/>
                <w:rStyle w:val="IndexLink"/>
              </w:rPr>
              <w:t>3</w:t>
            </w:r>
            <w:r>
              <w:rPr>
                <w:rStyle w:val="IndexLink"/>
                <w:rtl w:val="true"/>
              </w:rPr>
              <w:t xml:space="preserve"> - </w:t>
            </w:r>
            <w:r>
              <w:rPr>
                <w:rStyle w:val="IndexLink"/>
                <w:rtl w:val="true"/>
              </w:rPr>
              <w:t>ألفاظ حديث الفراش و معناه</w:t>
            </w:r>
            <w:r>
              <w:rPr>
                <w:rStyle w:val="IndexLink"/>
                <w:rtl w:val="true"/>
              </w:rPr>
              <w:tab/>
            </w:r>
            <w:r>
              <w:rPr>
                <w:rStyle w:val="IndexLink"/>
              </w:rPr>
              <w:t>195</w:t>
            </w:r>
          </w:hyperlink>
        </w:p>
        <w:p>
          <w:pPr>
            <w:pStyle w:val="Contents3"/>
            <w:tabs>
              <w:tab w:val="clear" w:pos="8459"/>
              <w:tab w:val="right" w:pos="9026" w:leader="dot"/>
            </w:tabs>
            <w:rPr/>
          </w:pPr>
          <w:hyperlink w:anchor="__RefHeading___Toc3795046_2314609296">
            <w:r>
              <w:rPr>
                <w:webHidden/>
                <w:rStyle w:val="IndexLink"/>
              </w:rPr>
              <w:t>4</w:t>
            </w:r>
            <w:r>
              <w:rPr>
                <w:rStyle w:val="IndexLink"/>
                <w:rtl w:val="true"/>
              </w:rPr>
              <w:t xml:space="preserve"> - </w:t>
            </w:r>
            <w:r>
              <w:rPr>
                <w:rStyle w:val="IndexLink"/>
                <w:rtl w:val="true"/>
              </w:rPr>
              <w:t>بم يتحقق الفراش</w:t>
            </w:r>
            <w:r>
              <w:rPr>
                <w:rStyle w:val="IndexLink"/>
                <w:rtl w:val="true"/>
              </w:rPr>
              <w:tab/>
            </w:r>
            <w:r>
              <w:rPr>
                <w:rStyle w:val="IndexLink"/>
              </w:rPr>
              <w:t>195</w:t>
            </w:r>
          </w:hyperlink>
        </w:p>
        <w:p>
          <w:pPr>
            <w:pStyle w:val="Contents3"/>
            <w:tabs>
              <w:tab w:val="clear" w:pos="8459"/>
              <w:tab w:val="right" w:pos="9026" w:leader="dot"/>
            </w:tabs>
            <w:rPr/>
          </w:pPr>
          <w:hyperlink w:anchor="__RefHeading___Toc3795048_2314609296">
            <w:r>
              <w:rPr>
                <w:webHidden/>
                <w:rStyle w:val="IndexLink"/>
              </w:rPr>
              <w:t>5</w:t>
            </w:r>
            <w:r>
              <w:rPr>
                <w:rStyle w:val="IndexLink"/>
                <w:rtl w:val="true"/>
              </w:rPr>
              <w:t xml:space="preserve"> - </w:t>
            </w:r>
            <w:r>
              <w:rPr>
                <w:rStyle w:val="IndexLink"/>
                <w:rtl w:val="true"/>
              </w:rPr>
              <w:t>مصاديق متعددة للفراش</w:t>
            </w:r>
            <w:r>
              <w:rPr>
                <w:rStyle w:val="IndexLink"/>
                <w:rtl w:val="true"/>
              </w:rPr>
              <w:tab/>
            </w:r>
            <w:r>
              <w:rPr>
                <w:rStyle w:val="IndexLink"/>
              </w:rPr>
              <w:t>197</w:t>
            </w:r>
          </w:hyperlink>
        </w:p>
        <w:p>
          <w:pPr>
            <w:pStyle w:val="Contents3"/>
            <w:tabs>
              <w:tab w:val="clear" w:pos="8459"/>
              <w:tab w:val="right" w:pos="9026" w:leader="dot"/>
            </w:tabs>
            <w:rPr/>
          </w:pPr>
          <w:hyperlink w:anchor="__RefHeading___Toc3795050_2314609296">
            <w:r>
              <w:rPr>
                <w:webHidden/>
                <w:rStyle w:val="IndexLink"/>
              </w:rPr>
              <w:t>6</w:t>
            </w:r>
            <w:r>
              <w:rPr>
                <w:rStyle w:val="IndexLink"/>
                <w:rtl w:val="true"/>
              </w:rPr>
              <w:t xml:space="preserve"> - </w:t>
            </w:r>
            <w:r>
              <w:rPr>
                <w:rStyle w:val="IndexLink"/>
                <w:rtl w:val="true"/>
              </w:rPr>
              <w:t>الدوران بين الفراشين</w:t>
            </w:r>
            <w:r>
              <w:rPr>
                <w:rStyle w:val="IndexLink"/>
                <w:rtl w:val="true"/>
              </w:rPr>
              <w:tab/>
            </w:r>
            <w:r>
              <w:rPr>
                <w:rStyle w:val="IndexLink"/>
              </w:rPr>
              <w:t>199</w:t>
            </w:r>
          </w:hyperlink>
        </w:p>
        <w:p>
          <w:pPr>
            <w:pStyle w:val="Contents3"/>
            <w:tabs>
              <w:tab w:val="clear" w:pos="8459"/>
              <w:tab w:val="right" w:pos="9026" w:leader="dot"/>
            </w:tabs>
            <w:rPr/>
          </w:pPr>
          <w:hyperlink w:anchor="__RefHeading___Toc3795052_2314609296">
            <w:r>
              <w:rPr>
                <w:webHidden/>
                <w:rStyle w:val="IndexLink"/>
              </w:rPr>
              <w:t>7</w:t>
            </w:r>
            <w:r>
              <w:rPr>
                <w:rStyle w:val="IndexLink"/>
                <w:rtl w:val="true"/>
              </w:rPr>
              <w:t xml:space="preserve"> - </w:t>
            </w:r>
            <w:r>
              <w:rPr>
                <w:rStyle w:val="IndexLink"/>
                <w:rtl w:val="true"/>
              </w:rPr>
              <w:t>القيافة و قاعدة الفراش</w:t>
            </w:r>
            <w:r>
              <w:rPr>
                <w:rStyle w:val="IndexLink"/>
                <w:rtl w:val="true"/>
              </w:rPr>
              <w:tab/>
            </w:r>
            <w:r>
              <w:rPr>
                <w:rStyle w:val="IndexLink"/>
              </w:rPr>
              <w:t>201</w:t>
            </w:r>
          </w:hyperlink>
        </w:p>
        <w:p>
          <w:pPr>
            <w:pStyle w:val="Contents3"/>
            <w:tabs>
              <w:tab w:val="clear" w:pos="8459"/>
              <w:tab w:val="right" w:pos="9026" w:leader="dot"/>
            </w:tabs>
            <w:rPr/>
          </w:pPr>
          <w:hyperlink w:anchor="__RefHeading___Toc3795054_2314609296">
            <w:r>
              <w:rPr>
                <w:webHidden/>
                <w:rStyle w:val="IndexLink"/>
              </w:rPr>
              <w:t>8</w:t>
            </w:r>
            <w:r>
              <w:rPr>
                <w:rStyle w:val="IndexLink"/>
                <w:rtl w:val="true"/>
              </w:rPr>
              <w:t xml:space="preserve"> - </w:t>
            </w:r>
            <w:r>
              <w:rPr>
                <w:rStyle w:val="IndexLink"/>
                <w:rtl w:val="true"/>
              </w:rPr>
              <w:t>أبو حنيفة و بعض آرائه</w:t>
            </w:r>
            <w:r>
              <w:rPr>
                <w:rStyle w:val="IndexLink"/>
                <w:rtl w:val="true"/>
              </w:rPr>
              <w:tab/>
            </w:r>
            <w:r>
              <w:rPr>
                <w:rStyle w:val="IndexLink"/>
              </w:rPr>
              <w:t>204</w:t>
            </w:r>
          </w:hyperlink>
        </w:p>
        <w:p>
          <w:pPr>
            <w:pStyle w:val="Contents3"/>
            <w:tabs>
              <w:tab w:val="clear" w:pos="8459"/>
              <w:tab w:val="right" w:pos="9026" w:leader="dot"/>
            </w:tabs>
            <w:rPr/>
          </w:pPr>
          <w:hyperlink w:anchor="__RefHeading___Toc3795056_2314609296">
            <w:r>
              <w:rPr>
                <w:webHidden/>
                <w:rStyle w:val="IndexLink"/>
              </w:rPr>
              <w:t>9</w:t>
            </w:r>
            <w:r>
              <w:rPr>
                <w:rStyle w:val="IndexLink"/>
                <w:rtl w:val="true"/>
              </w:rPr>
              <w:t xml:space="preserve"> - </w:t>
            </w:r>
            <w:r>
              <w:rPr>
                <w:rStyle w:val="IndexLink"/>
                <w:rtl w:val="true"/>
              </w:rPr>
              <w:t>تطبيقات</w:t>
            </w:r>
            <w:r>
              <w:rPr>
                <w:rStyle w:val="IndexLink"/>
                <w:rtl w:val="true"/>
              </w:rPr>
              <w:tab/>
            </w:r>
            <w:r>
              <w:rPr>
                <w:rStyle w:val="IndexLink"/>
              </w:rPr>
              <w:t>205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9_189070"/>
      <w:bookmarkStart w:id="1" w:name="pg19669_189070"/>
      <w:bookmarkEnd w:id="1"/>
    </w:p>
    <w:p>
      <w:pPr>
        <w:pStyle w:val="Heading2"/>
        <w:numPr>
          <w:ilvl w:val="1"/>
          <w:numId w:val="1"/>
        </w:numPr>
        <w:rPr/>
      </w:pPr>
      <w:bookmarkStart w:id="2" w:name="pg19669_189070"/>
      <w:bookmarkStart w:id="3" w:name="__RefHeading___Toc379483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تمهیدیه فی 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به‌قلم باقر الایروانی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الفقه، للطباعه و النشر،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بهای‌هرجلد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040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هر جلد</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BP169/5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18886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4834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اشرف الخلق محمد و على اهل بيته الطيبين الطاهرين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669_189078"/>
      <w:bookmarkStart w:id="8" w:name="pg19669_189078"/>
      <w:bookmarkEnd w:id="8"/>
    </w:p>
    <w:p>
      <w:pPr>
        <w:pStyle w:val="Heading2"/>
        <w:numPr>
          <w:ilvl w:val="1"/>
          <w:numId w:val="1"/>
        </w:numPr>
        <w:rPr/>
      </w:pPr>
      <w:bookmarkStart w:id="9" w:name="pg19669_189078"/>
      <w:bookmarkStart w:id="10" w:name="__RefHeading___Toc3794836_2314609296"/>
      <w:bookmarkStart w:id="11" w:name="_Toc3"/>
      <w:bookmarkEnd w:id="9"/>
      <w:bookmarkEnd w:id="10"/>
      <w:r>
        <w:rPr>
          <w:rtl w:val="true"/>
        </w:rPr>
        <w:t>قاعدة القرعة و الاستخارة</w:t>
      </w:r>
      <w:bookmarkEnd w:id="11"/>
    </w:p>
    <w:p>
      <w:pPr>
        <w:pStyle w:val="Heading3"/>
        <w:numPr>
          <w:ilvl w:val="2"/>
          <w:numId w:val="1"/>
        </w:numPr>
        <w:rPr/>
      </w:pPr>
      <w:bookmarkStart w:id="12" w:name="__RefHeading___Toc3794838_2314609296"/>
      <w:bookmarkStart w:id="13" w:name="_Toc4"/>
      <w:bookmarkEnd w:id="12"/>
      <w:r>
        <w:rPr>
          <w:rtl w:val="true"/>
        </w:rPr>
        <w:t>اشارة</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مضمون القاعدة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القاعدة لما لا تعين له واقعا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القاعدة لغير باب التنازع و القضاء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أصل أو أمارة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القرعة بالامام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رخصة أو عزيمة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 القرعة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القرعة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بين نصوص أهل البيت عليهم السّلام و المتشرّعة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لقاعدة القرعة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التي تعرّض لها الأعلام في الاصول تارة و الفقه اخرى قاعدة القرعة، فالشيخ النراقي في كتابه عوائد الأيّام</w:t>
      </w:r>
      <w:r>
        <w:rPr>
          <w:rStyle w:val="FootnoteAnchor"/>
          <w:rtl w:val="true"/>
        </w:rPr>
        <w:footnoteReference w:id="2"/>
      </w:r>
      <w:r>
        <w:rPr>
          <w:rFonts w:ascii="Amiri" w:hAnsi="Amiri" w:eastAsia="Amiri" w:cs="Amiri"/>
          <w:color w:val="111111"/>
          <w:sz w:val="28"/>
          <w:sz w:val="28"/>
          <w:szCs w:val="28"/>
          <w:rtl w:val="true"/>
          <w:lang w:bidi="ar-SA"/>
        </w:rPr>
        <w:t>تعرّض للقاعدة المذكورة ضمن نقاط و بحث 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بعده تلميذه الشيخ الأعظم في الرسائل</w:t>
      </w:r>
      <w:r>
        <w:rPr>
          <w:rStyle w:val="FootnoteAnchor"/>
          <w:rtl w:val="true"/>
        </w:rPr>
        <w:footnoteReference w:id="3"/>
      </w:r>
      <w:r>
        <w:rPr>
          <w:rFonts w:ascii="Amiri" w:hAnsi="Amiri" w:eastAsia="Amiri" w:cs="Amiri"/>
          <w:color w:val="111111"/>
          <w:sz w:val="28"/>
          <w:sz w:val="28"/>
          <w:szCs w:val="28"/>
          <w:rtl w:val="true"/>
          <w:lang w:bidi="ar-SA"/>
        </w:rPr>
        <w:t>فتعرّض لها في أواخر مبحث الاستصحاب بشكل مختصر و ضمن ثلاثة أسطر تحت عنوان ان الاستصحاب إذا اجتمع مع القرعة فأيّهما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بقية الاصوليين فتعرّضوا لها من الزاوية المذكورة و بشكل مختصر في الموضع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الاصول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الفقه فتعرّضوا لها في مناسبات مختلفة و بشكل عابر من قبيل ان العبد الذي يجوز له الزواج بأربع اماء بالعقد الدائم لو كانم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 أربع اماء و صار حرّا فعليه طلاق ثنتين اما بتعيين ذلك من خلال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خلال القرعة على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ابرز احتمال مرجعية القرعة أخذوا بالبحث العابر عنها و من الزاوية التي يهمهم التعرّض لها في المسألة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البحث بشكل متكامل أو شبه متكامل فلم نعثر عليه في الكتب الفقهية و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القرعة تذكر في كتب الحديث في أبواب متعدّدة و بمناسبات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حاول الحر العاملي ان يجمع شطرا كبيرا منها في كتاب القضاء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كيفية الحكم و أحكام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بالنسبة الى الاستخارة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من مصاديق القرعة أو قريبة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تعرض في الكتب الاصولية و انّما تذكر في الكتب الفقهية في كتاب الصلاة عند البحث عن أقسام الصلاة المستحبة التي منها صلاة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الحر العاملي الأحاديث المرتبطة بذلك في كتاب الصلاة في المورد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يقع البحث عن القاعدة المذكورة ضمن النقاط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لما لا تعين له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لغير باب التنازع و القضاء</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أصل أو أمارة</w:t>
      </w:r>
      <w:r>
        <w:rPr>
          <w:rFonts w:eastAsia="Amiri" w:cs="Amiri" w:ascii="Amiri" w:hAnsi="Amiri"/>
          <w:color w:val="111111"/>
          <w:sz w:val="28"/>
          <w:szCs w:val="28"/>
          <w:rtl w:val="true"/>
          <w:lang w:bidi="ar-SA"/>
        </w:rPr>
        <w:t xml:space="preserve">. </w:t>
      </w:r>
      <w:bookmarkStart w:id="14" w:name="pg19669_189082"/>
    </w:p>
    <w:p>
      <w:pPr>
        <w:pStyle w:val="BookText"/>
        <w:rPr/>
      </w:pPr>
      <w:bookmarkEnd w:id="1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القرعة بالامام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رخصة أو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مورد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الاستخارة بين نصوص أهل البيت عليهم السّلام و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 لقاعدة القرعة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794840_2314609296"/>
      <w:bookmarkStart w:id="16" w:name="_Toc5"/>
      <w:bookmarkEnd w:id="15"/>
      <w:r>
        <w:rPr/>
        <w:t>1</w:t>
      </w:r>
      <w:r>
        <w:rPr>
          <w:rtl w:val="true"/>
        </w:rPr>
        <w:t xml:space="preserve"> - </w:t>
      </w:r>
      <w:r>
        <w:rPr>
          <w:rtl w:val="true"/>
        </w:rPr>
        <w:t>مضمون القاعدة</w:t>
      </w:r>
      <w:bookmarkEnd w:id="16"/>
    </w:p>
    <w:p>
      <w:pPr>
        <w:pStyle w:val="BookText"/>
        <w:rPr/>
      </w:pPr>
      <w:r>
        <w:rPr>
          <w:rFonts w:ascii="Amiri" w:hAnsi="Amiri" w:eastAsia="Amiri" w:cs="Amiri"/>
          <w:color w:val="111111"/>
          <w:sz w:val="28"/>
          <w:sz w:val="28"/>
          <w:szCs w:val="28"/>
          <w:rtl w:val="true"/>
          <w:lang w:bidi="ar-SA"/>
        </w:rPr>
        <w:t>لعل مضمون القاعدة واضح، و هو ان الواقع إذا أشكل في مورد و لم يمكن تشخيصه من خلال أمارة أو أصل فيمكن المصير في تعيينه إلى الاقتراع و ذلك بكتابة قطع متعددة و سحب واحدة منها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3794842_2314609296"/>
      <w:bookmarkStart w:id="18" w:name="_Toc6"/>
      <w:bookmarkEnd w:id="17"/>
      <w:r>
        <w:rPr/>
        <w:t>2</w:t>
      </w:r>
      <w:r>
        <w:rPr>
          <w:rtl w:val="true"/>
        </w:rPr>
        <w:t xml:space="preserve"> - </w:t>
      </w:r>
      <w:r>
        <w:rPr>
          <w:rtl w:val="true"/>
        </w:rPr>
        <w:t>مدرك القاعدة</w:t>
      </w:r>
      <w:bookmarkEnd w:id="18"/>
    </w:p>
    <w:p>
      <w:pPr>
        <w:pStyle w:val="BookText"/>
        <w:rPr/>
      </w:pPr>
      <w:r>
        <w:rPr>
          <w:rFonts w:ascii="Amiri" w:hAnsi="Amiri" w:eastAsia="Amiri" w:cs="Amiri"/>
          <w:color w:val="111111"/>
          <w:sz w:val="28"/>
          <w:sz w:val="28"/>
          <w:szCs w:val="28"/>
          <w:rtl w:val="true"/>
          <w:lang w:bidi="ar-SA"/>
        </w:rPr>
        <w:t>قد يستدل على حجية القرعة بالكتاب العزيز تارة و بالسنّة الشريفة ثانية و بسيرة العقلاء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الاجماع فهو و ان ادعي إلاّ ان ثبوته بنحو يكشف عن موافقة المعصوم عليه السّلام قابل للتأمّل بعد احتمال الاستناد إلى المدارك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فالمهمّ هو المدارك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الكريم فقد استدل منه بآيتين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يُونُسَ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w:t>
      </w:r>
    </w:p>
    <w:p>
      <w:pPr>
        <w:pStyle w:val="BookText"/>
        <w:rPr/>
      </w:pPr>
      <w:r>
        <w:rPr>
          <w:rFonts w:ascii="Amiri" w:hAnsi="Amiri" w:eastAsia="Amiri" w:cs="Amiri"/>
          <w:color w:val="111111"/>
          <w:sz w:val="28"/>
          <w:sz w:val="28"/>
          <w:szCs w:val="28"/>
          <w:rtl w:val="true"/>
          <w:lang w:bidi="ar-SA"/>
        </w:rPr>
        <w:t xml:space="preserve">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ان يونس لما لم يجبه قومه إلاّ بالتكذيب و الرد دعا عليهم بالعذاب و أوعدهم بنزوله عليهم و خرج من بينهم الى ساحل البحر و إذا بسفينة مشحونة فركب فيها و لم تتمكن السفينة من مواصلة سيرها اما لاعتراض الحوت لها و عدم اندفاعه الا بالقاء واحد لها لتلتقمه أو لزيادة وزنها الذي تحتاج معه الى القاء أحد الركّاب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الاتفاق على الاقتراع و خرجت القرعة باسم يونس و كان بذلك من المدحضين، أي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يدلّل على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الاستدلال المذكور بالاعتراضين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الكريمة تنقل قصّة وقعت في زمن غابر اشتملت على الاقتراع، و ذلك لا يدلّ على امضاء ما وقع فيها من أحداث حتى في تلك الشريعة فضلا عن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الكريمة صريحة في اشتراك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نبي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المساهمة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السكوت عن تأنيب الفعل يستفاد منه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المذكور لعلّه خاص بالشريعة السابقة و لا دليل على امضائه في شريعتنا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دلالة السكوت المتقدّمة يمكن التمسّك باستصحاب حكم الشريعة السابقة و عدم نسخه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الاعتراضان المذكوران غير تامّين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لَدَيْهِمْ إِذْ يُلْقُونَ أَقْلامَهُمْ أَيُّهُمْ يَكْفُلُ مَرْيَمَ وَ ما كُنْتَ لَدَيْهِمْ إِذْ يَخْتَصِمُونَ </w:t>
      </w:r>
      <w:r>
        <w:rPr>
          <w:rStyle w:val="FootnoteAnchor"/>
          <w:rtl w:val="true"/>
        </w:rPr>
        <w:footnoteReference w:id="5"/>
      </w:r>
      <w:r>
        <w:rPr>
          <w:rFonts w:ascii="Amiri" w:hAnsi="Amiri" w:eastAsia="Amiri" w:cs="Amiri"/>
          <w:color w:val="111111"/>
          <w:sz w:val="28"/>
          <w:sz w:val="28"/>
          <w:szCs w:val="28"/>
          <w:rtl w:val="true"/>
          <w:lang w:bidi="ar-SA"/>
        </w:rPr>
        <w:t xml:space="preserve">فانّه ورد في الأخبار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اختين تزوجت الاولى بعمران أحد زعماء بني اسرائيل و لم تنجب أولادا فدعت اللّه سبحانه ان يرزقها مولودا فاستجاب دعاءها و أوحى سبحانه إلى عمران انّه سيهبه ولدا يشفي المرضى الذين لا يمكن علاجهم و يحيي الموتى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حملت حنة ظنّت انّه ذلك المولود فنذرته محرّرا لخدمة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وضعته انثى قالَتْ رَبِّ إِنِّي وَضَعْتُها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الذَّكَرُ كَالْأُنْثى وَ إِنِّي سَمَّيْتُها مَرْيَمَ </w:t>
      </w:r>
      <w:r>
        <w:rPr>
          <w:rStyle w:val="FootnoteAnchor"/>
          <w:rtl w:val="true"/>
        </w:rPr>
        <w:footnoteReference w:id="6"/>
      </w:r>
      <w:r>
        <w:rPr>
          <w:rFonts w:ascii="Amiri" w:hAnsi="Amiri" w:eastAsia="Amiri" w:cs="Amiri"/>
          <w:color w:val="111111"/>
          <w:sz w:val="28"/>
          <w:sz w:val="28"/>
          <w:szCs w:val="28"/>
          <w:rtl w:val="true"/>
          <w:lang w:bidi="ar-SA"/>
        </w:rPr>
        <w:t xml:space="preserve">و حينما حملتها إلى بيت المقدس أخذ علماء بني إسرائيل بالتنافس في الفوز بتربيتها لكونها من اسرة آل عمران المعروفة و اتفقوا على الاقتراع و ألقوا 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السهام أو الأقلام التي كانوا يكتبون بها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 و غطس جميعها الا قلم زكريا فإنّه طفا، و ذلك ممّا يدل على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الاعتراضان السابقان يردان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هو الجواب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في الاعتراض على الآيتين الكريمتين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تدلاّن على حجيّة القرعة بمعنى كونها المرجع المتعين من قبل الشرع المقدّس بحيث لا يمكن الحياد عنه إلى غيره عند تمشكل الأمر بل لعل ذلك من باب تسالم الخصوم على الرجوع لها و الأخذ بمضمونها نظير ما إذا تمّ الاتفاق على الأخذ بحكم شريف العشيرة أو ما يشبه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محتمل في الآيتين، و معه لا يمكن التمسّك بهما لإثبات حجية القرعة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كونها المرجع الشرعي المتعيّن عند تمشكل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ما أشرنا إليه من الاعتراض ان الآية الكريمة عبّرت بالادحاض حيث قالت فَكانَ مِنَ الْمُدْحَضِينَ ، و مثل هذا التعبير لا يتناسب و الأخذ بوظيفة شرعية عينت من قبل الشرع للسير على طبقها عند تمشكل الأمر بخلاف ما إذا فرضنا ان الأخذ بها كان من باب تباني الخصوم عليها فان مثله لا حزازة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انها حتى لو دلّت على حجّية القرعة و تعينها من قبل الشارع كمرجع عند تمشكل الأمر فهي خاصة بموردها و ليس لها اطلاق تدل بواسطته على مرجعية القرعة في غير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فالاستدلال بالآيتين الكريمتين على المطلوب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السنّة الشريفة فيمكن ان يدعى بلا مبالغة تواتر الأخبار الدالّة على حجيّة القرعة، بيد ان تواترها معنوي لا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تصنيفها إلى أخبار عامّة و أخبار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الأخبار العامّة فيمكن ان نمثّل لها بصحيحة محمّد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القرعة تخطئ و 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دلالتها على العموم واضحة فانه و ان لم يحدّد فيها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اختصاصه بمورد معين الا ان ذلك لا يمنع من استفادة العموم منها فان العبرة بعموم الجواب و لا يضر بذلك اختصاص السؤال بمورد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ما ورد على لسان الفقهاء من ان القرعة لكل أمر مشكل أو مشتبه فليس عليه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في دعائم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 أبي جعفر و أبي عبد اللّه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أوجبوا الحكم بالقرعة فيما اشكل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الرواية المذكورة ضعيفة السند و لا أقل من جهة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صحيحة محمّد بن حكيم فقد عبّر عنها في كلمات الاعلام بالرواية الذي هو مصطلح عادة للرواية الضعيفة، إلاّ انّه يمكن تصحيحها، فانّها بطريق الشيخ الطوسي و ان كانت ضعيفة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توثيق في حقّه إلاّ انّها بطريق الشيخ الصدوق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التأمّل في محمّد بن حكيم نفسه باعتبار ان الشيخ و النجاشي و ان ذكراه و لكنّهما لم يوثقاه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يمكن توثيقه من خلال ما نقله الكشي بطريق صحيح عن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عليه السّلام يأمر محمّد بن حكيم ان يجالس أهل المدينة في مسجد رسول اللّه صلّى اللّه عليه و آله و ان يكلّمهم و يخاصمهم حتى كلّمهم في صاحب القبر فكان إذا انصرف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و ما قالوا لك و يرضى بذلك منه</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فإنّه ليس من المناسب للإمام عليه السّلام ان يأمر شخصا بتمثيل المذهب الجعفري و التحدّث عن لسانه الا إذا كان له وثوق كامل به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الأخبار الخاصة فهي كثيرة تذكر كمثال لذلك صحيحة ابراهيم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 w:name="pg19669_189087"/>
    </w:p>
    <w:p>
      <w:pPr>
        <w:pStyle w:val="BookText"/>
        <w:rPr/>
      </w:pPr>
      <w:bookmarkEnd w:id="19"/>
      <w:r>
        <w:rPr>
          <w:rFonts w:ascii="Amiri" w:hAnsi="Amiri" w:eastAsia="Amiri" w:cs="Amiri"/>
          <w:color w:val="111111"/>
          <w:sz w:val="28"/>
          <w:sz w:val="28"/>
          <w:szCs w:val="28"/>
          <w:rtl w:val="true"/>
          <w:lang w:bidi="ar-SA"/>
        </w:rPr>
        <w:t xml:space="preserve">بن عمر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أصابه القرعة 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بالامكان عدّها من الاخبار العامة بقرينة التعبير في الذيل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السيرة العقلائية فلا اشكال في انعقادها على العمل بالقرعة في الامور المشكلة و الأمثلة في حياتنا الاجتماعية اليوم كثيرة فيقرع بين الطلاب في المدارس إذا زاد عددهم عن الحدّ المقرّر للقبول و بين من تقدّم بطلب الحج إذا زاد العدد، و هكذا في أمثلة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السيرة حيث لا نحتمل حدوثها جديدا و لم يرد عنها ردع بل ورد ما يدل على الامضاء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794844_2314609296"/>
      <w:bookmarkStart w:id="21" w:name="_Toc7"/>
      <w:bookmarkEnd w:id="20"/>
      <w:r>
        <w:rPr/>
        <w:t>3</w:t>
      </w:r>
      <w:r>
        <w:rPr>
          <w:rtl w:val="true"/>
        </w:rPr>
        <w:t xml:space="preserve"> - </w:t>
      </w:r>
      <w:r>
        <w:rPr>
          <w:rtl w:val="true"/>
        </w:rPr>
        <w:t>عموم القاعدة لما لا تعين له واقعا</w:t>
      </w:r>
      <w:bookmarkEnd w:id="21"/>
    </w:p>
    <w:p>
      <w:pPr>
        <w:pStyle w:val="BookText"/>
        <w:rPr/>
      </w:pPr>
      <w:r>
        <w:rPr>
          <w:rFonts w:ascii="Amiri" w:hAnsi="Amiri" w:eastAsia="Amiri" w:cs="Amiri"/>
          <w:color w:val="111111"/>
          <w:sz w:val="28"/>
          <w:sz w:val="28"/>
          <w:szCs w:val="28"/>
          <w:rtl w:val="true"/>
          <w:lang w:bidi="ar-SA"/>
        </w:rPr>
        <w:t>الشيء المجهول تارة يكون متعيّنا واقعا و مبهما ظاهرا، و اخرى لا يكون له تعين حتى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اعتق عبدا معيّنا من عبيده ثم اشتبه عليه بعد ذلك فهو من النحو الأول بينما لو اعتق من البداية عبدا غير معيّن من عبيده فهو من النحو الثاني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القدر المتيقن من أدلّة حجية القرعة ما إذا كان الشيء متعينا واقعا و طرأ عليه الابهام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إذا كان الشيء مبهما واقعا أيضا فقد وقع الخلاف بين الاعلام في شمول عموم أدلّة حجية القرعة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العراقي مثلا في نهاية الأفكار</w:t>
      </w:r>
      <w:r>
        <w:rPr>
          <w:rStyle w:val="FootnoteAnchor"/>
          <w:rtl w:val="true"/>
        </w:rPr>
        <w:footnoteReference w:id="11"/>
      </w:r>
      <w:r>
        <w:rPr>
          <w:rFonts w:ascii="Amiri" w:hAnsi="Amiri" w:eastAsia="Amiri" w:cs="Amiri"/>
          <w:color w:val="111111"/>
          <w:sz w:val="28"/>
          <w:sz w:val="28"/>
          <w:szCs w:val="28"/>
          <w:rtl w:val="true"/>
          <w:lang w:bidi="ar-SA"/>
        </w:rPr>
        <w:t xml:space="preserve">استدل على عدم الشمول بالقصور في المقتضي بتقريب 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أدلّة حجية القرعة لا يصدق عرفا إلاّ على ما هو متعيّن واقعا و اشتبه و خفي ظاهرا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المستمسك ان بعض الأحاديث الشريفة و ان ورد فيما لا تعين له واقعا الا انّه خاص بمورده و لا عموم له، فصحيحة ابراهيم السابقة مثلا و ان كان موردها ذلك الا انّها خاصة بموردها و هو حرية أول مملوك و لا يمكن استفادة التعميم منها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الغريب انّهم في الموارد الاخرى يستعينون بضم مقدّمة خارجية و هي عدم القول بالفصل بينما في المقام لم يجروا على سيرتهم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المناسب الحكم بالتعميم، فان السيرة العقلائية لها عموم من هذه الناحية، و الأمثلة المتقدّمة التي ذكرناها للسيرة العقلائية هي ذات واقع غير متعيّن في نفسه، بل ان في نصوص أهل البيت عليهم السّلام ما يدل على التعميم، فصحيحة ابراهيم المتقدّمة مثلا و ان كانت واردة في عتق أوّل مملوك و تختص بذلك الا ان ذيلها المعبر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التعميم و عدم الخصوصية لموردها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الملفت للنظر اختلاف رأي السيد الخوئي قدّس سرّه فبينما اختار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 w:name="pg19669_189089"/>
    </w:p>
    <w:p>
      <w:pPr>
        <w:pStyle w:val="BookText"/>
        <w:rPr/>
      </w:pPr>
      <w:bookmarkEnd w:id="22"/>
      <w:r>
        <w:rPr>
          <w:rFonts w:ascii="Amiri" w:hAnsi="Amiri" w:eastAsia="Amiri" w:cs="Amiri"/>
          <w:color w:val="111111"/>
          <w:sz w:val="28"/>
          <w:sz w:val="28"/>
          <w:szCs w:val="28"/>
          <w:rtl w:val="true"/>
          <w:lang w:bidi="ar-SA"/>
        </w:rPr>
        <w:t>مصباح الاصول الاختصاص اختار في مباني العروة الوثقى التعميم فلاحظ</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794846_2314609296"/>
      <w:bookmarkStart w:id="24" w:name="_Toc8"/>
      <w:bookmarkEnd w:id="23"/>
      <w:r>
        <w:rPr/>
        <w:t>4</w:t>
      </w:r>
      <w:r>
        <w:rPr>
          <w:rtl w:val="true"/>
        </w:rPr>
        <w:t xml:space="preserve"> - </w:t>
      </w:r>
      <w:r>
        <w:rPr>
          <w:rtl w:val="true"/>
        </w:rPr>
        <w:t>عموم القاعدة لغير باب التنازع و القضاء</w:t>
      </w:r>
      <w:bookmarkEnd w:id="24"/>
    </w:p>
    <w:p>
      <w:pPr>
        <w:pStyle w:val="BookText"/>
        <w:rPr/>
      </w:pPr>
      <w:r>
        <w:rPr>
          <w:rFonts w:ascii="Amiri" w:hAnsi="Amiri" w:eastAsia="Amiri" w:cs="Amiri"/>
          <w:color w:val="111111"/>
          <w:sz w:val="28"/>
          <w:sz w:val="28"/>
          <w:szCs w:val="28"/>
          <w:rtl w:val="true"/>
          <w:lang w:bidi="ar-SA"/>
        </w:rPr>
        <w:t>المورد المشكل الذي يراد فيه الرجوع الى القرعة تارة يكون مشتملا على التنازع و يحتاج في رفعه إلى القضاء الشرعي و اخرى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اختلف شخصان في طفل كلّ منهما يدّعي انّه ولده و أقام البيّنة على ذلك أو اختلفا في دار كل منهما يدّعيها و لا يدله عليها رجعنا إلى القرعة لرفع الخصومة و النزاع و كان ذلك مثالا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فرض في مثال الطفل ان كل واحد من الشخصين لا يقول هو ولدي بل يقول لا أدري هو ولدي أو لا مع علمهما بأنّه لا يعدوهما و هو ابن احدهما جزما كان ذلك مثالا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القدر المتقين من دليل حجية القرعة هو المورد الأوّل الذي فيه نزاع و خصومة و انما الكلام في عمومه للمورد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يفهم من تمسك الفقهاء في موارد مختلفة من باب القضاء بالقرعة اختصاصها بذلك و عدم حجيتها في غيره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الصحيح هو التعميم فان بناء العقلاء لا يختص بذلك و هكذا صحيح محمد بن حكيم المتقدّم الذي 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صحيح ابراهيم بن عمر المتقدّم </w:t>
      </w:r>
      <w:bookmarkStart w:id="25" w:name="pg19669_189090"/>
    </w:p>
    <w:p>
      <w:pPr>
        <w:pStyle w:val="BookText"/>
        <w:rPr/>
      </w:pPr>
      <w:bookmarkEnd w:id="25"/>
      <w:r>
        <w:rPr>
          <w:rFonts w:ascii="Amiri" w:hAnsi="Amiri" w:eastAsia="Amiri" w:cs="Amiri"/>
          <w:color w:val="111111"/>
          <w:sz w:val="28"/>
          <w:sz w:val="28"/>
          <w:szCs w:val="28"/>
          <w:rtl w:val="true"/>
          <w:lang w:bidi="ar-SA"/>
        </w:rPr>
        <w:t xml:space="preserve">الوارد في حرية أوّل مملوك يملكه يختص بحالة عدم النزاع و الخصومة و ناظر للمورد المذكور، و تعبير الامام عليه السّلام 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حجية القرعة فيما شابه المورد المذكور من الموارد التي ليس فيها نزاع و لا يختص به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794848_2314609296"/>
      <w:bookmarkStart w:id="27" w:name="_Toc9"/>
      <w:bookmarkEnd w:id="26"/>
      <w:r>
        <w:rPr/>
        <w:t>5</w:t>
      </w:r>
      <w:r>
        <w:rPr>
          <w:rtl w:val="true"/>
        </w:rPr>
        <w:t xml:space="preserve"> - </w:t>
      </w:r>
      <w:r>
        <w:rPr>
          <w:rtl w:val="true"/>
        </w:rPr>
        <w:t>القرعة أصل أو أمارة</w:t>
      </w:r>
      <w:bookmarkEnd w:id="27"/>
    </w:p>
    <w:p>
      <w:pPr>
        <w:pStyle w:val="BookText"/>
        <w:rPr/>
      </w:pPr>
      <w:r>
        <w:rPr>
          <w:rFonts w:ascii="Amiri" w:hAnsi="Amiri" w:eastAsia="Amiri" w:cs="Amiri"/>
          <w:color w:val="111111"/>
          <w:sz w:val="28"/>
          <w:sz w:val="28"/>
          <w:szCs w:val="28"/>
          <w:rtl w:val="true"/>
          <w:lang w:bidi="ar-SA"/>
        </w:rPr>
        <w:t>نحن نعرف الفارق بين الأمارة و الأصل فان ما جعله الشارع حجّة من جهة قوّة كاشفيته هو امارة و الا فهو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القرعة و انها أمارة أو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بعض الأخبار يوحي بكونها أمارة ففي صحيحة أبي بصير عن أبي جعفر عليه السّلام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تقارعوا ثمّ فوّضوا أمرهم الى اللّه إلاّ خرج سهم المحق</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فانّه قد يستفاد منها كاشفيتها الظنّية بل القطعية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لا نرى له ثمرة مهمّة فان القرعة حتى لو كانت امارة لا تتقدّم على غيرها امارة كان أو أصلا بل جميع القواعد الاخرى من امارات و اصول تتقدّم على القرعة باعتبار ان موضوع حجية القرعة هو الأمر المجهول و مع وجود قاعدة شرعية تحدّد الموقف الشرعي لا تبقى جهالة في المورد ليرجع الى القرعة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يمكن ظهور الثمرة بناء على حجيّة الامارة في لوازمها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المشهور من أعلام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القرعة لو كانت امارة و دلّت على شيء كانت حجّة في لوازمها غير الشرعية </w:t>
      </w:r>
      <w:bookmarkStart w:id="28" w:name="pg19669_189091"/>
    </w:p>
    <w:p>
      <w:pPr>
        <w:pStyle w:val="BookText"/>
        <w:rPr/>
      </w:pPr>
      <w:bookmarkEnd w:id="28"/>
      <w:r>
        <w:rPr>
          <w:rFonts w:ascii="Amiri" w:hAnsi="Amiri" w:eastAsia="Amiri" w:cs="Amiri"/>
          <w:color w:val="111111"/>
          <w:sz w:val="28"/>
          <w:sz w:val="28"/>
          <w:szCs w:val="28"/>
          <w:rtl w:val="true"/>
          <w:lang w:bidi="ar-SA"/>
        </w:rPr>
        <w:t>بخلاف ما لو كانت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كون القرعة أصلا فان السيرة لو لاحظناها وجدنا ان العقلاء يأخذون بالقرعة لا من باب كاشفيتها بل من باب انّها الموقف العملي الأخير لحلّ المشكلة حيث لا حلّ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الصحيحة السابقة فلا دلالة لها على الأمارية إذ هي لا تدلّ على ان جعل الشارع الحجية لها ناشئ من كاشفيتها بل لعل المقصود انّها أصل و لم تعتبر الحجية لها من جهة الكشف غايته ان المتقارعين إذا أجروا القرعة و توكلوا على اللّه سبحانه فهو من جهة انّهم أوكلوا أمرهم إليه يقرّر لها اصابة الواقع نظير من يدخل في عملية اصلاح بين طرفين طالبا بذلك رضا اللّه عزّ و جلّ فإنّه يسدّده و يجعل كلامه مؤثّرا و مواقفه مصيبة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نفسها تدلّ على ان تقدير اصابة الواقع لها مختص بحالة تفويض الأمر الى اللّه سبحانه، و هل يحتمل التفصيل و ان القرعة امارة في حالة تفويض الأمر الى اللّه عزّ و جلّ و أصل في غير الحالة المذكورة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794850_2314609296"/>
      <w:bookmarkStart w:id="30" w:name="_Toc10"/>
      <w:bookmarkEnd w:id="29"/>
      <w:r>
        <w:rPr/>
        <w:t>6</w:t>
      </w:r>
      <w:r>
        <w:rPr>
          <w:rtl w:val="true"/>
        </w:rPr>
        <w:t xml:space="preserve"> - </w:t>
      </w:r>
      <w:r>
        <w:rPr>
          <w:rtl w:val="true"/>
        </w:rPr>
        <w:t>اختصاص القرعة بالامام</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كلام في ان القرعة هل هي من الوظائف الخاصة بالامام عليه السّلام بحيث لا تحق لغيره أو تعمّ نوّابه المجتهدين أو تعمّ غيرهما أيضا؟ اختار الشيخ النراقي في عوائده</w:t>
      </w:r>
      <w:r>
        <w:rPr>
          <w:rStyle w:val="FootnoteAnchor"/>
          <w:rtl w:val="true"/>
        </w:rPr>
        <w:footnoteReference w:id="15"/>
      </w:r>
      <w:r>
        <w:rPr>
          <w:rFonts w:ascii="Amiri" w:hAnsi="Amiri" w:eastAsia="Amiri" w:cs="Amiri"/>
          <w:color w:val="111111"/>
          <w:sz w:val="28"/>
          <w:sz w:val="28"/>
          <w:szCs w:val="28"/>
          <w:rtl w:val="true"/>
          <w:lang w:bidi="ar-SA"/>
        </w:rPr>
        <w:t xml:space="preserve">كونها </w:t>
      </w:r>
    </w:p>
    <w:p>
      <w:pPr>
        <w:pStyle w:val="BookText"/>
        <w:rPr/>
      </w:pPr>
      <w:r>
        <w:rPr>
          <w:rFonts w:ascii="Amiri" w:hAnsi="Amiri" w:eastAsia="Amiri" w:cs="Amiri"/>
          <w:color w:val="111111"/>
          <w:sz w:val="28"/>
          <w:sz w:val="28"/>
          <w:szCs w:val="28"/>
          <w:rtl w:val="true"/>
          <w:lang w:bidi="ar-SA"/>
        </w:rPr>
        <w:t>وظيفة للإمام عليه السّلام و نوّابه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التفصيل بين ما اذا كان هناك نزاع يحتاج حلّه الى قضاء الحاكم الشرعي و بين ما اذا لم يكن ذلك، ففي الأوّل تكون وظيفة للحاكم كسائر ما يستعين به الحاكم في باب القضاء من البيّنة و القسم و في الثاني لا يكون وظيفة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الخصومة بما انّه مطلوب شرعا و لا يحتمل اختصاص مطلوبيته بزمان حضور الامام عليه السّلام فلا معنى معه لاحتمال كونها وظيفة خاصة بالامام عليه السّلام بل ينبغي ثبوت ذلك لحكام الشرع أيضا كسائر ما يستعان به لحلّ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لم يكن هناك نزاع فلا موجب للاختصاص بالامام عليه السّلام و لا بنوّابه و تكفينا عمومات حجية القرعة من بناء العقلاء و اطلاق القرعة سنة و انّها لكل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مرسلة حمّاد عمّن ذكره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لا تكون إلاّ للإمام</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 في رواية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فهو حرّ فعلّمه واحد منهم ثم مات المولى و لم يدر أيّهم الذي علّمه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يستخرجه إلاّ الامام لأنّ له على القرعة كلاما و دعاء لا يعلمه غيره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المرسلة مضافا الى ضعف سندها بالارسال يمكن ان تكون ناظرة الى باب النزاع و الخصومة و انّه مع وجوده تكون عملية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1" w:name="pg19669_189093"/>
    </w:p>
    <w:p>
      <w:pPr>
        <w:pStyle w:val="BookText"/>
        <w:rPr/>
      </w:pPr>
      <w:bookmarkEnd w:id="31"/>
      <w:r>
        <w:rPr>
          <w:rFonts w:ascii="Amiri" w:hAnsi="Amiri" w:eastAsia="Amiri" w:cs="Amiri"/>
          <w:color w:val="111111"/>
          <w:sz w:val="28"/>
          <w:sz w:val="28"/>
          <w:szCs w:val="28"/>
          <w:rtl w:val="true"/>
          <w:lang w:bidi="ar-SA"/>
        </w:rPr>
        <w:t>الاقتراع خاصة به، انّها ناظرة الى ذلك و الا فهل يحتمل عدم حجية القرعة في مثل زماننا و ابقاء الخصومة و النزاع على ما 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رواية يونس فمضافا الى ضعف سندها باسماعيل بن مرار الذي لم يرد في حقّه توثيق الا بناء على وثاقة جميع رجال كامل الزيارات، و مضافا الى كون الرواية مقطوعة بمعنى ان المسؤول هو يونس دون الامام عليه السّلام يمكن ان يقال بظهورها في الاستحباب بقرينة التعليل المذكور فيها فان الدعاء ليس لازما عند الاقتراع جزما، و لو كان لازما يلزم اختصاص القرعة بزمان حضور الامام عليه السّلام و هو أمر غير محتمل كما تقدّم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794852_2314609296"/>
      <w:bookmarkStart w:id="33" w:name="_Toc11"/>
      <w:bookmarkEnd w:id="32"/>
      <w:r>
        <w:rPr/>
        <w:t>7</w:t>
      </w:r>
      <w:r>
        <w:rPr>
          <w:rtl w:val="true"/>
        </w:rPr>
        <w:t xml:space="preserve"> - </w:t>
      </w:r>
      <w:r>
        <w:rPr>
          <w:rtl w:val="true"/>
        </w:rPr>
        <w:t>القرعة رخصة أو عزيمة</w:t>
      </w:r>
      <w:bookmarkEnd w:id="33"/>
    </w:p>
    <w:p>
      <w:pPr>
        <w:pStyle w:val="BookText"/>
        <w:rPr/>
      </w:pPr>
      <w:r>
        <w:rPr>
          <w:rFonts w:ascii="Amiri" w:hAnsi="Amiri" w:eastAsia="Amiri" w:cs="Amiri"/>
          <w:color w:val="111111"/>
          <w:sz w:val="28"/>
          <w:sz w:val="28"/>
          <w:szCs w:val="28"/>
          <w:rtl w:val="true"/>
          <w:lang w:bidi="ar-SA"/>
        </w:rPr>
        <w:t>وقع البحث في ان عملية الاقتراع في موارد تمشكل الأمر لازمة بحيث ليس للمكلف الحياد عنها أو جائزة يمكنه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عملية الاقتراع رخصة أو عزيمة؟</w:t>
      </w:r>
    </w:p>
    <w:p>
      <w:pPr>
        <w:pStyle w:val="BookText"/>
        <w:rPr/>
      </w:pPr>
      <w:r>
        <w:rPr>
          <w:rFonts w:ascii="Amiri" w:hAnsi="Amiri" w:eastAsia="Amiri" w:cs="Amiri"/>
          <w:color w:val="111111"/>
          <w:sz w:val="28"/>
          <w:sz w:val="28"/>
          <w:szCs w:val="28"/>
          <w:rtl w:val="true"/>
          <w:lang w:bidi="ar-SA"/>
        </w:rPr>
        <w:t>و لعل السبب الباعث على ذلك ان أدلّة مشروعية القرعة لا يفهم منها الالزام و الحتمية فقولهم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الى اللّه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 إلاّ الرجحان و المشروعية لا أكثر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التساؤل السابق يأتي نفسه في نتيجة القرعة، فلو تقارع الطرفان و عينت القرعة إحدى النتيجتين فهل يتحتم الأخذ بذلك؟ و المناسب في الجواب عن كلا التساؤلين ان يفصّل بين ما إذا كان اتخاذ القرار على طبق القرعة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تنازع شخصان في طفل </w:t>
      </w:r>
      <w:bookmarkStart w:id="34" w:name="pg19669_189094"/>
    </w:p>
    <w:p>
      <w:pPr>
        <w:pStyle w:val="BookText"/>
        <w:rPr/>
      </w:pPr>
      <w:bookmarkEnd w:id="34"/>
      <w:r>
        <w:rPr>
          <w:rFonts w:ascii="Amiri" w:hAnsi="Amiri" w:eastAsia="Amiri" w:cs="Amiri"/>
          <w:color w:val="111111"/>
          <w:sz w:val="28"/>
          <w:sz w:val="28"/>
          <w:szCs w:val="28"/>
          <w:rtl w:val="true"/>
          <w:lang w:bidi="ar-SA"/>
        </w:rPr>
        <w:t xml:space="preserve">كل منهما يدّعي أنّه ولده أو كالمولود الذي ليس له فرج الذكور و لا فرج الاناث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الأخذ بها و بنتيجتها لازما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 المناسب التفصيل بين وجود واقع مجهول يراد 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الطفل المتنازع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الأخذ بالقرعة و بنتيجتها لازما و بين ما إذا لم يكن واقع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قال أوّل عبد أملكه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وهن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قد يكون له تعين مجهول و بالرغم من ذلك لا يكون الأخذ بالقرعة لازما كالدار التي اختلف في ملكيتها شخصان و تصالحا على تقسيمها نصفين أو تنازل أحدهما للآخر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 يكون تعين للواقع و بالرغم من ذلك يلزم الأخذ بالقرعة، كما لو نذر المكلّف اكرام أوّل داخل عليه فدخل عليه ثلاثة و هو لا يستطيع اكرام أكثر من واحد فان الأخذ بالقرعة لازم عليه بالرغم من عدم تعين الواقع</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794854_2314609296"/>
      <w:bookmarkStart w:id="36" w:name="_Toc12"/>
      <w:bookmarkEnd w:id="35"/>
      <w:r>
        <w:rPr/>
        <w:t>8</w:t>
      </w:r>
      <w:r>
        <w:rPr>
          <w:rtl w:val="true"/>
        </w:rPr>
        <w:t xml:space="preserve"> - </w:t>
      </w:r>
      <w:r>
        <w:rPr>
          <w:rtl w:val="true"/>
        </w:rPr>
        <w:t>مورد القرعة</w:t>
      </w:r>
      <w:bookmarkEnd w:id="3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المورد الذي تجري فيه القرعة هو كل موضوع فقد القواعد الشرعية القابلة لتعيين الحال فيه، فانّا لو أخذنا سيرة العقلاء بنظر الاعتبار وجدنا ان العقلاء انّما يتمسكون بالقرعة في خصوص المورد المذكور، و لا أقل هي دليل لبي يقتصر فيه على القدر المتيقن و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أخذنا النصوص بنظر الاعتبار وجدناها تحدّد موضوع </w:t>
      </w:r>
    </w:p>
    <w:p>
      <w:pPr>
        <w:pStyle w:val="BookText"/>
        <w:rPr/>
      </w:pPr>
      <w:r>
        <w:rPr>
          <w:rFonts w:ascii="Amiri" w:hAnsi="Amiri" w:eastAsia="Amiri" w:cs="Amiri"/>
          <w:color w:val="111111"/>
          <w:sz w:val="28"/>
          <w:sz w:val="28"/>
          <w:szCs w:val="28"/>
          <w:rtl w:val="true"/>
          <w:lang w:bidi="ar-SA"/>
        </w:rPr>
        <w:t>القرعة بالمجهول و هو لا يصدق مع امكان تعيين الحال من خلال قاعدة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الشبهات الحكمية لا يمكن تطبيق القرعة فيها، فلو شككنا في حرمة التدخين أو نحو ذلك فلا يمكن الرجوع إليها لأنّه في مورد الشبهات الحكمية لا بدّ من وجود قاعدة تحدّد الموقف امّا بالبراءة فيما إذا كان الشك في أصل التكليف أو بالاحتياط فيما إذا كان الشك في المكلّف به أو بالتخيير فيما إذا كان الدوران بين المحذورين أو بالاستصحاب فيما إذا كان الشك في 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تجري القرعة في الشبهة الموضوعية التي يمكن تحديد الحال فيها من خلال قاعدة شرعية، كما لو شككنا في ان الدار المتنازع فيها هي لزيد أو لعمرو و كان أحدهما صاحب يد أو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فينحصر مورد القرعة بالشبهات الموضوعية الفاقدة للقاعدة التي يمكن تحديد الموقف من خلالها، كما لو اختلف شخصان في دار و لكل منهما بيّنة بلا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تتضح عدّة امور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صحّة ما ذكره الشيخ العراقي في نهاية الأفكار</w:t>
      </w:r>
      <w:r>
        <w:rPr>
          <w:rStyle w:val="FootnoteAnchor"/>
          <w:rtl w:val="true"/>
        </w:rPr>
        <w:footnoteReference w:id="18"/>
      </w:r>
      <w:r>
        <w:rPr>
          <w:rFonts w:ascii="Amiri" w:hAnsi="Amiri" w:eastAsia="Amiri" w:cs="Amiri"/>
          <w:color w:val="111111"/>
          <w:sz w:val="28"/>
          <w:sz w:val="28"/>
          <w:szCs w:val="28"/>
          <w:rtl w:val="true"/>
          <w:lang w:bidi="ar-SA"/>
        </w:rPr>
        <w:t>من ان القرعة انّما لا تجري في الشبهات الحكمية من جهة ظهور عنوان المجهول و المشتبه في كونه وصفا لذات الشيء المردّد بين الأشياء و ليس وصفا لحكمه، و من الواضح ان الاشتباه في موارد الشبهات الحكمية ليس في ذات الشيء بل في حكمه، فنحن نعلم مثلا ان هذا لحم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الأرنب و انّما نشك في حكمه و انّه يحرم أكله أو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الاشتباه بخصوص ما ذكر أوّل الكلام و عهدته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بامكانه التمسك لإخراج الشبهات الحكمية عن دليل القرعة بما ذكرناه من عدم صدق عنوان المجهول بعد امكان الاستعانة بقاعدة من 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و غيره من القواعد و الاصول متقدّم على القرعة بالورود، بمعنى انّها بجريانها ترفع عنوان المجهول الذي هو موضوع حجيّة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كلمات غير واحد من الاصوليين ان دليل القرعة لا يمكن التمسّك بعمومه في مورد إلاّ بعد الانجبار بعمل الأصحاب و ذلك من جهة كثرة التخصيصات الطارئة عليه، و حيث ان كثرة التخصيص أمر مستهجن فيكشف ذلك عن كون الموضوع لحجية القرعة معنى خاصا لا يلزم منه كثرة التخصيص، و بما ان ذلك المعنى الخاص مجهول لنا فنبقى غير قادرين على التمسّك بعموم دليل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في الرسائل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محله ان أدلّة القرعة لا يعمل بها بدون جبر عمومها بعمل الأصحاب أو جماعة منهم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محذور التخصيص الكثير غير وارد بعد اختصاص موضوع القرعة بالمجهول الذي لا يصدق مع امكان تطبيق أي قاعدة من القواعد الشرعية فان المورد المذكور نادر و قليل و لا يلزم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 w:name="pg19669_189097"/>
    </w:p>
    <w:p>
      <w:pPr>
        <w:pStyle w:val="BookText"/>
        <w:rPr/>
      </w:pPr>
      <w:bookmarkEnd w:id="37"/>
      <w:r>
        <w:rPr>
          <w:rFonts w:ascii="Amiri" w:hAnsi="Amiri" w:eastAsia="Amiri" w:cs="Amiri"/>
          <w:color w:val="111111"/>
          <w:sz w:val="28"/>
          <w:sz w:val="28"/>
          <w:szCs w:val="28"/>
          <w:rtl w:val="true"/>
          <w:lang w:bidi="ar-SA"/>
        </w:rPr>
        <w:t>من التزام القرعة فيه أي محذور</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3794856_2314609296"/>
      <w:bookmarkStart w:id="39" w:name="_Toc13"/>
      <w:bookmarkEnd w:id="38"/>
      <w:r>
        <w:rPr/>
        <w:t>9</w:t>
      </w:r>
      <w:r>
        <w:rPr>
          <w:rtl w:val="true"/>
        </w:rPr>
        <w:t xml:space="preserve"> - </w:t>
      </w:r>
      <w:r>
        <w:rPr>
          <w:rtl w:val="true"/>
        </w:rPr>
        <w:t>كيفية القرعة</w:t>
      </w:r>
      <w:bookmarkEnd w:id="39"/>
    </w:p>
    <w:p>
      <w:pPr>
        <w:pStyle w:val="BookText"/>
        <w:rPr/>
      </w:pPr>
      <w:r>
        <w:rPr>
          <w:rFonts w:ascii="Amiri" w:hAnsi="Amiri" w:eastAsia="Amiri" w:cs="Amiri"/>
          <w:color w:val="111111"/>
          <w:sz w:val="28"/>
          <w:sz w:val="28"/>
          <w:szCs w:val="28"/>
          <w:rtl w:val="true"/>
          <w:lang w:bidi="ar-SA"/>
        </w:rPr>
        <w:t>ورد في بعض الروايات كيفيات خاصّة للقرعة و قراءة دعاء خاص عندها، ففي صحيحة الفضيل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مولود ليس له ما للرجال و لا 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عليه الامام أو المقرع يكتب على سهم عبد اللّه و على سهم أمة اللّه ثم يقول الامام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 الشهادة أنت تحكم بين عبادك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أمر هذا المولود حتى يورث ما فرضت له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ثم تجال السهام على ما خرج ورث عليه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الذي يقرأ النصوص يفهم ان الغرض لا يتعلّق بكيفية خاصة كما و ان الدعاء ليس أمرا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الدعاء وسيلة مهمّة للتسديد و الوصول الى الهدف في حياة المؤمن خصوصا في هذا المجال و به يتحقق استمداد العاجز من القادر على كلّ شيء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تقارعوا ثم فوّضوا أمرهم إلى اللّه إلاّ خرج سهم المحق</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3794858_2314609296"/>
      <w:bookmarkStart w:id="41" w:name="_Toc14"/>
      <w:bookmarkEnd w:id="40"/>
      <w:r>
        <w:rPr/>
        <w:t>10</w:t>
      </w:r>
      <w:r>
        <w:rPr>
          <w:rtl w:val="true"/>
        </w:rPr>
        <w:t xml:space="preserve"> - </w:t>
      </w:r>
      <w:r>
        <w:rPr>
          <w:rtl w:val="true"/>
        </w:rPr>
        <w:t>الاستخارة بين نصوص أهل البيت عليهم السّلام و المتشرّعة</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في البداية تعرّف معنى الاستخارة في اللغة ثم في نصوص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الاستخارة لغة تعني طلب الخيرة</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استخير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اللّه الخير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النصوص فقد وردت الاستخارة فيها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 المتقدّم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دلّت على ذلك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بعضها دل على رجحان ان يكون ذلك بعد صلاة ركعتين، ففي صحيحة عمرو بن حريث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 استغفر اللّه فو اللّه ما استخار اللّه مسلم إلاّ خار له البتة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نكتة مهمة في باب الآداب الاسلامية، فالمؤمن متى ما أقدم على عمل كدرس أو تدريس أو زواج أو شراء دار أو ما شاكل ذلك طلب من اللّه سبحانه ان يقدّر له الخير و الصلاح فيه ليكون بذلك لائقا و معدا لمدّ يد المعونة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الصدوق باسناده عن هارون بن خارجة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أمرا فلا يشاور فيه أحدا من الناس حتى يبدأ فيشاور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مشاورة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فتستخير اللّه فيه أوّلا ثم تشاور فيه فانّه إذا بدأ باللّه أجرى له الخيرة على لسان من يشاء من الخلق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 سند الشيخ الصدوق الى هارون و ان كان ضعيفا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بالصيرفي و بأبي سمينة لكنها صحيحة بطريق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الراجح للمؤمن ان يكرّر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طلب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خصوصا في الامور المهمّة، ففي حديث ناجية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أراد شراء العبد أو الدابة أو الحاجة الخفيفة أو الشيء اليسير استخار اللّه فيه سبع مرّات فاذا كان أمرا جسيما استخار اللّه مائة مرّة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الرواية ضعيفة بناجية نفسه لعدم ثبوت وثاقته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بمعنى طلب المشورة من اللّه سبحانه، فالمؤمن إذا أقدم على عمل معين و هو لا يعرف ان فيه مصلحة أو لا يستشير اللّه عزّ و جلّ ليتعرّف من خلال ذلك وجود المصلحة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كيف تتحقق الاستشارة من اللّه سبحانه؟ ذلك اما من خلال الرقاع أو المصحف الشريف أو بالقبض على مقدار من خرز المسبحة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غالب الطرق المذكورة روايات تتسم بشكل عام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مراجعة تلك الروايات في كتاب وسائل الشيعة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قام صاحب الجواهر و الحدائق</w:t>
      </w:r>
      <w:r>
        <w:rPr>
          <w:rStyle w:val="FootnoteAnchor"/>
          <w:rtl w:val="true"/>
        </w:rPr>
        <w:footnoteReference w:id="27"/>
      </w:r>
      <w:r>
        <w:rPr>
          <w:rFonts w:ascii="Amiri" w:hAnsi="Amiri" w:eastAsia="Amiri" w:cs="Amiri"/>
          <w:color w:val="111111"/>
          <w:sz w:val="28"/>
          <w:sz w:val="28"/>
          <w:szCs w:val="28"/>
          <w:rtl w:val="true"/>
          <w:lang w:bidi="ar-SA"/>
        </w:rPr>
        <w:t>باستعراض مجموعة من تلك الطرق بل و ألّف السيّد رضي الدين بن طاوس رسالة خاصّة في هذا المجال سمّاها برسالة الاستخارات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نلفت النظر الى ان مسألة الاستخارة لم تختص بها معاجم الحديث الشيعية بل وردت في معاجم حديث العامة أيضا، ففي كنز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 w:name="pg19669_189100"/>
    </w:p>
    <w:p>
      <w:pPr>
        <w:pStyle w:val="BookText"/>
        <w:rPr/>
      </w:pPr>
      <w:bookmarkEnd w:id="42"/>
      <w:r>
        <w:rPr>
          <w:rFonts w:ascii="Amiri" w:hAnsi="Amiri" w:eastAsia="Amiri" w:cs="Amiri"/>
          <w:color w:val="111111"/>
          <w:sz w:val="28"/>
          <w:sz w:val="28"/>
          <w:szCs w:val="28"/>
          <w:rtl w:val="true"/>
          <w:lang w:bidi="ar-SA"/>
        </w:rPr>
        <w:t>العمّال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بأمر فاستخر ربّك فيه سبع مرّات ثم انظر الى الذي يسبق إلى قلبك فان الخير فيه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مستدرك الحاكم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ابن آدم استخارته الى اللّه، و من شقاوة ابن آدم تركه استخارة 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انها كما ترى ناظرة الى الاستخارة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اللمحة الموجزة عن الاستخارة نطرح تساؤلات ثلاثة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794860_2314609296"/>
      <w:bookmarkStart w:id="44" w:name="_Toc15"/>
      <w:bookmarkEnd w:id="43"/>
      <w:r>
        <w:rPr>
          <w:rtl w:val="true"/>
        </w:rPr>
        <w:t>التساؤل الأوّل</w:t>
      </w:r>
      <w:bookmarkEnd w:id="44"/>
    </w:p>
    <w:p>
      <w:pPr>
        <w:pStyle w:val="BookText"/>
        <w:rPr/>
      </w:pPr>
      <w:r>
        <w:rPr>
          <w:rFonts w:ascii="Amiri" w:hAnsi="Amiri" w:eastAsia="Amiri" w:cs="Amiri"/>
          <w:color w:val="111111"/>
          <w:sz w:val="28"/>
          <w:sz w:val="28"/>
          <w:szCs w:val="28"/>
          <w:rtl w:val="true"/>
          <w:lang w:bidi="ar-SA"/>
        </w:rPr>
        <w:t>كيف نثبت اعتبار الاستخارة بشكلها المتداول اليوم بين المؤمنين؟ يمكن الاستعانة بالطريقين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بروايات القرعة، ففي صحيحة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فانّها باطلاقها تشمل كل مجهول بما فيه المورد الذي يقدم عليه المؤمن و يشك في وجود المصلحة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ان القرعة لا تنحصر بكيفية معينة بل يمكن ان تتحقق من خلال المسبحة و غيرها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روايات القرعة الاخرى الناظرة الى حالة وجود التنازع من قبيل صحيحة أبي 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قوم تقارعوا ثم فوّضوا أمرهم الى اللّه إلاّ خرج سهم المحق</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يمكن التمسك بها بعد الغاء خصوصية </w:t>
      </w:r>
    </w:p>
    <w:p>
      <w:pPr>
        <w:pStyle w:val="BookText"/>
        <w:rPr/>
      </w:pPr>
      <w:r>
        <w:rPr>
          <w:rFonts w:ascii="Amiri" w:hAnsi="Amiri" w:eastAsia="Amiri" w:cs="Amiri"/>
          <w:color w:val="111111"/>
          <w:sz w:val="28"/>
          <w:sz w:val="28"/>
          <w:szCs w:val="28"/>
          <w:rtl w:val="true"/>
          <w:lang w:bidi="ar-SA"/>
        </w:rPr>
        <w:t xml:space="preserve">النزاع، فانّه يمكن ان يفهم منها ان تمام النكتة تمكن في وجود حق مجهول يراد تعرّفه، و بتفويض الأمر الى اللّه سبحانه يمكن الوصول الى ذلك الحق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وجود المصلحة و عدمها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الاقتراع الذي له أنحاء متعددة من جملتها الاستعانة بالمسبحة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لسنا بحاجة في اثبات مشروعية الاستخارة بأشكالها المتداولة اليوم إلى قيام دليل خاص بل تكفينا أدلّة الحث الشديد على الدعاء و التي تجعل منه عبادة بأسمى معانيها وَ قالَ رَبُّكُمُ ادْعُونِي أَسْتَجِبْ لَكُمْ إِنَّ الَّذِينَ يَسْتَكْبِرُونَ عَنْ عِبادَتِي سَيَدْخُلُونَ جَهَنَّمَ داخِرِينَ </w:t>
      </w:r>
      <w:r>
        <w:rPr>
          <w:rStyle w:val="FootnoteAnchor"/>
          <w:rtl w:val="true"/>
        </w:rPr>
        <w:footnoteReference w:id="32"/>
      </w:r>
      <w:r>
        <w:rPr>
          <w:rFonts w:ascii="Amiri" w:hAnsi="Amiri" w:eastAsia="Amiri" w:cs="Amiri"/>
          <w:color w:val="111111"/>
          <w:sz w:val="28"/>
          <w:sz w:val="28"/>
          <w:szCs w:val="28"/>
          <w:rtl w:val="true"/>
          <w:lang w:bidi="ar-SA"/>
        </w:rPr>
        <w:t>اذ من الواضح ان الذي يقبض المسبحة و نحوها من وسائل الاستخارة يأخذ بالدعاء و الالحاح على اللّه سبحانه في تشخيص واقع الأمر المجهول عليه، و أي محذور في ان يطلب المؤمن أثناء دعائه تشخيص الواقع المجهول له من خلال المسبحة و غيرها؟ ان المسألة ما دامت مسألة دعاء فهي لا تحتاج بعد ذلك الى دليل خاص يدل على المشروعية و تكفي أدلّة مشروعية الدعاء و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المسألة بعد هذا لا تبقى منحصرة بالمسبحة و بطريقة خاصة بل من حق المؤمن الاستعانة بأي وسيلة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هي المسبحة أو القرآن الكريم أو الرقاع الخاصة أو أي وسيلة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هو يدعو اللّه سبحانه و يطلب منه من خلال تلك الوسيلة الخاصة تشخيص الواقع المجهول 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ما دامت القضية ترجع الى كونها مصداقا من مصاديق</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 فمن الراجح اختيار الوقت المناسب و المكان المناسب و الالحاح عليه سبحانه في اراءة الطريق من خلال المسبحة أو غيرها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الأجدر بالمؤمن ان يجمع بين كلا معنيي الاستخارة، فاذا أراد الاقدام على قضية معينة و كان شاكّا في سلامة نتائجها استخار بالمعنى الثاني من خلال المسبحة أو غيرها فاذا تشخص له الموقف الذي يلزمه اتخاذه استخار اللّه سبحانه بالمعنى الأوّل بمعنى طلب تقدير الخير و الموفقية في الموقف الذي صمم على اتخاذه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الالتفات الى ان من أحسن وسائل الاستخارة بالمعنى الثاني و أقواها ان يدعو اللّه عزّ و جلّ أوّلا بتقدير الموفقية و الخير فيما سوف يتخذه من موقف و يدعو منضما الى ذلك بأن يلهم سبحانه قلبه بما هو سداد فيفكر و يهتدي في تفكيره الى ذلك أو يسترشد بعض اخوانه فيوفقون في ارشاده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الطريق كما هو عقلائي في نفسه و يدخل تحت مصداقية الدعاء قد دلّت عليه بعض الروايات، ففي رواية هارون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تبتدأ فتستخير اللّه فيه أوّلا ثم تشاور فيه فانه إذا بدأ باللّه أجرى له الخيرة على لسان من يشاء من الخلق</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الامام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عرضت لأحدكم حاجة فليستشر اللّه ربّه فان أشار عليه اتبع و ان لم يشر عليه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عقيب المكتوبة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 w:name="pg19669_189103"/>
    </w:p>
    <w:p>
      <w:pPr>
        <w:pStyle w:val="BookText"/>
        <w:rPr/>
      </w:pPr>
      <w:bookmarkEnd w:id="45"/>
      <w:r>
        <w:rPr>
          <w:rFonts w:ascii="Amiri" w:hAnsi="Amiri" w:eastAsia="Amiri" w:cs="Amiri"/>
          <w:color w:val="111111"/>
          <w:sz w:val="28"/>
          <w:sz w:val="28"/>
          <w:szCs w:val="28"/>
          <w:rtl w:val="true"/>
          <w:lang w:bidi="ar-SA"/>
        </w:rPr>
        <w:t>خر لي مائة مرّة ثم يتوسّل بنا و يصلّي علينا و يستشفع بنا ثم تنظر ما يلهمك تفعله فهو الذي أشار عليك به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ان لا يغيب علينا ان الاستخارة بالمعنى الثاني بعد دخولها في مصداقية الدعاء فمن المناسب الاقتصار فيها على الحدود العقلائية للدعاء، فكما لا يليق للعاقل ان يدعو بنزول مائدة عليه من السماء بل اللائق ان يدعو بالموفقية في سعيه و طلبه للرزق كذلك من المناسب اقتصاره في الاستخارة بالمعنى الثاني على مثل ذلك فيستخير عند تحيره و عدم معرفته بالمصلحة و عدم وجود من يمكنه الاستعانة به في مقام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ادخال الاستخارة بالمعنى الثاني في مصداقية الدعاء ينبغي الحكم باستحبابها كما يحكم باستحباب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من اللّه سبحانه بأن يرزق عبده أموالا و أولادا دعاء جزما فاذا حكم باستحباب مثله فليحكم باستحباب الاستخارة بالمعنى الثاني أيضا و اذا لم يحكم باستحباب مثل ذاك لم يحكم باستحباب الاستخارة أيضا</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794862_2314609296"/>
      <w:bookmarkStart w:id="47" w:name="_Toc16"/>
      <w:bookmarkEnd w:id="46"/>
      <w:r>
        <w:rPr>
          <w:rtl w:val="true"/>
        </w:rPr>
        <w:t>التساؤل الثاني</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من الصحيح ايكال أمر الاستخارة الى شخص ثان و عدم تصدي صاحب القضية نفسه لها كما هو المتداول بين المتشرعة من المؤمنين يومنا هذا؟ أجاب صاحب الجواهر عن ذلك بأولوية استخارة المؤمن نفسه لنفسه لخلو النصوص من الاشارة الى فكرة النيابة بل </w:t>
      </w:r>
      <w:bookmarkStart w:id="48" w:name="pg19669_189104"/>
    </w:p>
    <w:p>
      <w:pPr>
        <w:pStyle w:val="BookText"/>
        <w:rPr/>
      </w:pPr>
      <w:bookmarkEnd w:id="48"/>
      <w:r>
        <w:rPr>
          <w:rFonts w:ascii="Amiri" w:hAnsi="Amiri" w:eastAsia="Amiri" w:cs="Amiri"/>
          <w:color w:val="111111"/>
          <w:sz w:val="28"/>
          <w:sz w:val="28"/>
          <w:szCs w:val="28"/>
          <w:rtl w:val="true"/>
          <w:lang w:bidi="ar-SA"/>
        </w:rPr>
        <w:t>لعل الأصل يقتضي عدم مشروعية ذلك لأنّها من المستحبات المشتملة على التضرّع و الدعاء ممّا لا يجري الاستنابة فيه و ان تعارف في زماننا هذا بل و ما تقدّمه بين العلماء فضلا عن العوام الاستنابة في ذلك</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المناسب الجزم بجواز ذلك لأنّ القضية ما دامت ترجع الى مصداقية الدعاء فما أجدر ان يكون الدعاء للمؤمن بلسان لم يرتكب به ذنبا فيدعو المؤمن لأخيه المؤمن من خلال المسبحة أو غيرها بارشاده الى طريق الصواب و الموفقية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الأجدر من زاوية هو النيابة حيث توحي بأن الشخص لا يرى لنفسه اللياقة في التحدث و طلب الحاجة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العادة في ان طالب الحاجة من السلطان العظيم لا يتقدّم إليه بنفسه بل بواسطة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سبحانه و ان كان كما ورد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اناديه كلّما شئت لحاجتي و أخلو به حيث شئت لسري بغير شفيع فيقضي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تقديم الشفيع أكثر تأدّبا و 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البيان لإثبات جواز الاستنابة في الاستخارة لا نبقى بحاجة الى ما ذكره البعض من التمسك بأدلّة رجحان قضاء حاجة المؤمن بتقريب ان المؤمن إذا طلب من أخيه الاستخارة له فمن باب رجحان اجابة دعوته تشرع الاستخارة له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794864_2314609296"/>
      <w:bookmarkStart w:id="50" w:name="_Toc17"/>
      <w:bookmarkEnd w:id="49"/>
      <w:r>
        <w:rPr>
          <w:rtl w:val="true"/>
        </w:rPr>
        <w:t>التساؤل الثالث</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يعترض على مشروعية الاستخارة بالنهي عن الاستقسام </w:t>
      </w:r>
    </w:p>
    <w:p>
      <w:pPr>
        <w:pStyle w:val="BookText"/>
        <w:rPr/>
      </w:pPr>
      <w:r>
        <w:rPr>
          <w:rFonts w:ascii="Amiri" w:hAnsi="Amiri" w:eastAsia="Amiri" w:cs="Amiri"/>
          <w:color w:val="111111"/>
          <w:sz w:val="28"/>
          <w:sz w:val="28"/>
          <w:szCs w:val="28"/>
          <w:rtl w:val="true"/>
          <w:lang w:bidi="ar-SA"/>
        </w:rPr>
        <w:t>بالأزلام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حيث قيل ان المراد به النهي عمّا كان متداولا زمن الجاهلية من الضرب بالسهام لاستعلام الخير و الشر في الأفعال و تمييز النافع من الضار، فمن يريد سفرا أو زواجا أو ما شاكل ذلك يضرب بالسهام لتشخيص ما فيه الخير فيعمل به، و الاستخارة المتداولة يومنا هذا من خلال الرقاع أو غيرها لتمييز ما فيه المصلحة عمّا ليس فيه ليست إلاّ كالاستقسام بالأزلام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تسليم المحقّق الأردبيلي في كتابه زبدة البيان بهذا الاعتراض و حكمه بحرمة بعض أقسام الاستخارة المشابهة للاستقسام بالأزلام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قد يعترض على مشروعية الاستخارة بالنهي عن التفؤل بالقرآن الكريم الوارد في رواية الشيخ الكليني عن عدّة من أصحابنا عن سهل بن زياد عن محمّد بن عيسى عن بعض رجاله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تتفأل بالقرآن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قد يعترض على الاستخارة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مناقشة الاعتراض الأوّل بأن المقصود بالاستقسام بالأزلام هو الميسر الذي قيل عنه بأنّه عبارة عن شراء جزور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تقسيمها الى عشرة أقسام سبعة ذات نصيب و ثلاثة بلا نصيب و يكتب ذلك على سهام عشرة، و من خرج له أحد السهام السبعة دفعت له حصّة من الجزور بلا ثمن مقابل، و من خرج له أحد السهام الثلاثة تكفّل بدفع ثلث قيمة الجزور من دون ان يحصل على شيء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المقصود من الاستقسام بالأزلام هو ما ذكر دون التفسير المتقدّم بقرينة سياق الآية فان جميع ما ذكر فيها هو من أقسام اللحوم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انطباق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المعنى الثاني الذي ذكرناه واضح و ليس فيه أي عناية لأنّه تطلب قسمة الجزور من خلال الأزلام و بواسطتها، و هذا بخلافه على المعنى الأوّل فانه و ان كانت فيه استعانة بالأزلام و لكن ليس فيه استقسام و لا قسمة و لا طلب للأقسام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عن كلتا هاتين القرينتين فيكفينا الشك و احتمال ارادة المعنى الثاني لأننا أثبتنا فيما سبق مشروعية الاستخارة بواسطة أدلّة مشروعية القرعة و أدلّة مشروعية الدعاء، و بعد ثبوت المقتضي للمشروعية يشك في وجود المانع و المعارض، و حيث انّه مجمل و ذو احتمالين فلا يمكن التمسّك به و تبقى أدلّة المشروعية بلا معارض</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يمكن مناقشة الاعتراض الثاني بأن الرواية الناهية عن التفؤل بالقرآن الكريم مضافا الى ضعف سندها بالارسال لا بدّ من حملها على النهي عن التفؤل بمعنى محاولة تعرّف الحوادث المستقبلية من سرور و خيرات من دون تعميم للاستخارة بمعنى محاولة تعرّف </w:t>
      </w:r>
      <w:bookmarkStart w:id="51" w:name="pg19669_189107"/>
    </w:p>
    <w:p>
      <w:pPr>
        <w:pStyle w:val="BookText"/>
        <w:rPr/>
      </w:pPr>
      <w:bookmarkEnd w:id="51"/>
      <w:r>
        <w:rPr>
          <w:rFonts w:ascii="Amiri" w:hAnsi="Amiri" w:eastAsia="Amiri" w:cs="Amiri"/>
          <w:color w:val="111111"/>
          <w:sz w:val="28"/>
          <w:sz w:val="28"/>
          <w:szCs w:val="28"/>
          <w:rtl w:val="true"/>
          <w:lang w:bidi="ar-SA"/>
        </w:rPr>
        <w:t>وجود مصلحة أو مفسدة في ايقاع فعل معين بقرينة رواية اليسع القمي التي تحث على الاستخارة بالقرآن الكريم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افتتح المصحف فانظر الى أوّل ما ترى فيه فخذ به إن شاء اللّه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3794866_2314609296"/>
      <w:bookmarkStart w:id="53" w:name="_Toc18"/>
      <w:bookmarkEnd w:id="52"/>
      <w:r>
        <w:rPr>
          <w:rtl w:val="true"/>
        </w:rPr>
        <w:t>مناقشة ابن إدريس</w:t>
      </w:r>
      <w:bookmarkEnd w:id="53"/>
    </w:p>
    <w:p>
      <w:pPr>
        <w:pStyle w:val="BookText"/>
        <w:rPr/>
      </w:pPr>
      <w:r>
        <w:rPr>
          <w:rFonts w:ascii="Amiri" w:hAnsi="Amiri" w:eastAsia="Amiri" w:cs="Amiri"/>
          <w:color w:val="111111"/>
          <w:sz w:val="28"/>
          <w:sz w:val="28"/>
          <w:szCs w:val="28"/>
          <w:rtl w:val="true"/>
          <w:lang w:bidi="ar-SA"/>
        </w:rPr>
        <w:t>رفض ابن إدريس بعض أقسام الاستخارة و اقتصر على الاستخارة ذات الصلاة و الدعاء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 في ذلك الى ان رواة بقيّة الأقسام فطحية لا يعتمد على روايتهم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وافقه على ذلك المحقق الحلّي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الرقاع فيتضمن افعل و لا تفعل و في خبره الشذوذ فلا عبرة بها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اتضح لنا من خلال ما تقدّم اننا في غنى عن خبر صحيح لإثبات كل نوع من أنواع الاستخارة بعد كونها جميعا من مصاديق الدعاء و التوجه الى اللّه سبحانه في جعل الرقاع و نحوها وسيلة لتعرّف وجدان الفعل الذي يراد الاقدام عليه للمصلحة أو المفسدة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3794868_2314609296"/>
      <w:bookmarkStart w:id="55" w:name="_Toc19"/>
      <w:bookmarkEnd w:id="54"/>
      <w:r>
        <w:rPr/>
        <w:t>11</w:t>
      </w:r>
      <w:r>
        <w:rPr>
          <w:rtl w:val="true"/>
        </w:rPr>
        <w:t xml:space="preserve"> - </w:t>
      </w:r>
      <w:r>
        <w:rPr>
          <w:rtl w:val="true"/>
        </w:rPr>
        <w:t>تطبيقات لقاعدة القرعة</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اختلط مال شخص بمال آخر فما هو الحكم؟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عقد على امرأة معينة ثم حصل له التردّد فيها بين ثنتين فما هو الحكم؟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الامارة مقدّمة على الأصل إلاّ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ذا؟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قطيع من الغنم تحقق وط‌ء واحد منها من دون امكان تشخيصه فما هو حكمه؟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علم المكلف بأنّه نذر شيئا و لا يدري ما هو فما هو حكمه؟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بنجاسة أحد انائين فلما ذا لا يستعان بالقرعة لتشخيصه؟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وجد شخص مقتول و ادّعى اثنان ان كل واحد منهما هو القاتل و هكذا لو تحقّقت سرقة و ادّعاها اثنان فما هو الحكم؟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لدينا اناءان احدهما نجس و الآخر طاهر و علمنا بوقوع نجاسة في أحدهما فهل يمكن تطبيق قاعدة القرعة؟ و لما ذا؟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9669_189110"/>
      <w:bookmarkStart w:id="57" w:name="pg19669_189110"/>
      <w:bookmarkEnd w:id="57"/>
    </w:p>
    <w:p>
      <w:pPr>
        <w:pStyle w:val="Heading2"/>
        <w:numPr>
          <w:ilvl w:val="1"/>
          <w:numId w:val="1"/>
        </w:numPr>
        <w:rPr/>
      </w:pPr>
      <w:bookmarkStart w:id="58" w:name="pg19669_189110"/>
      <w:bookmarkStart w:id="59" w:name="__RefHeading___Toc3794870_2314609296"/>
      <w:bookmarkStart w:id="60" w:name="_Toc20"/>
      <w:bookmarkEnd w:id="58"/>
      <w:bookmarkEnd w:id="59"/>
      <w:r>
        <w:rPr>
          <w:rtl w:val="true"/>
        </w:rPr>
        <w:t>قاعدة الطهارة</w:t>
      </w:r>
      <w:bookmarkEnd w:id="60"/>
    </w:p>
    <w:p>
      <w:pPr>
        <w:pStyle w:val="Heading3"/>
        <w:numPr>
          <w:ilvl w:val="2"/>
          <w:numId w:val="1"/>
        </w:numPr>
        <w:rPr/>
      </w:pPr>
      <w:bookmarkStart w:id="61" w:name="__RefHeading___Toc3794872_2314609296"/>
      <w:bookmarkStart w:id="62" w:name="_Toc21"/>
      <w:bookmarkEnd w:id="61"/>
      <w:r>
        <w:rPr>
          <w:rtl w:val="true"/>
        </w:rPr>
        <w:t>اشارة</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مضمون القاعدة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 القاعدة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القاعدة للشك في النجاسة الذاتية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القاعدة لمورد استصحاب النجاسة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 القاعدة لموارد الشبهة الحكمية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الطهارة حكم ظاهري أو واقعي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الطهارة أو مانعية النجاسة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المسلمة التي لم يقع فيها خلاف في الجملة قاعدة الطهارة، و لئن كان هناك تشكيك فهو في سعتها و حدودها لا في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يبحثها الاعلام بشكل تفصيلي و مستقل بل يمرون عليها مرّ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السيد اليزدي في العروة الوثقى بعد ان أنهى استعراض النجاسات ذكر في المسألة الثانية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مشكوك طاهر سواء كانت الشبهة لاحتمال كونه من الأعيان النجسة أو لاحتمال تنجسه مع كونه من الأعيان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اكتفى الاعلام في مقام التعليق بأن قاعدة الطهارة مسلمة لموثقة عمّار و غيرها من دون فرق بين أقسام الشبهة، و الحال ان صاحب الحدائق في المقدّمة الحادية عشرة أشار الى وجود خلاف في الشبهة الحكمية كما سيأتي إن شاء اللّه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للفقه قواعد تدور عليها رحاه فمن تلك قاعدة الطهارة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عنها يقع ضمن النقاط التالية</w:t>
      </w:r>
      <w:r>
        <w:rPr>
          <w:rFonts w:eastAsia="Amiri" w:cs="Amiri" w:ascii="Amiri" w:hAnsi="Amiri"/>
          <w:color w:val="111111"/>
          <w:sz w:val="28"/>
          <w:szCs w:val="28"/>
          <w:rtl w:val="true"/>
          <w:lang w:bidi="ar-SA"/>
        </w:rPr>
        <w:t xml:space="preserve">: </w:t>
      </w:r>
      <w:bookmarkStart w:id="63" w:name="pg19669_189113"/>
    </w:p>
    <w:p>
      <w:pPr>
        <w:pStyle w:val="BookText"/>
        <w:rPr/>
      </w:pPr>
      <w:bookmarkEnd w:id="6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للشك في النجاسة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لمورد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القاعدة لموارد الشبهة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الطهارة حكم ظاهري أو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شرطية الطهارة أو مانعية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3794874_2314609296"/>
      <w:bookmarkStart w:id="65" w:name="_Toc22"/>
      <w:bookmarkEnd w:id="64"/>
      <w:r>
        <w:rPr/>
        <w:t>1</w:t>
      </w:r>
      <w:r>
        <w:rPr>
          <w:rtl w:val="true"/>
        </w:rPr>
        <w:t xml:space="preserve"> - </w:t>
      </w:r>
      <w:r>
        <w:rPr>
          <w:rtl w:val="true"/>
        </w:rPr>
        <w:t>مضمون القاعدة</w:t>
      </w:r>
      <w:bookmarkEnd w:id="65"/>
    </w:p>
    <w:p>
      <w:pPr>
        <w:pStyle w:val="BookText"/>
        <w:rPr/>
      </w:pPr>
      <w:r>
        <w:rPr>
          <w:rFonts w:ascii="Amiri" w:hAnsi="Amiri" w:eastAsia="Amiri" w:cs="Amiri"/>
          <w:color w:val="111111"/>
          <w:sz w:val="28"/>
          <w:sz w:val="28"/>
          <w:szCs w:val="28"/>
          <w:rtl w:val="true"/>
          <w:lang w:bidi="ar-SA"/>
        </w:rPr>
        <w:t>ان مضمون القاعدة واضح، و هو الحكم بطهارة كل شيء يشك في طهارته و تحتمل نجاسته بنحو الحكم الظاهري المغيى بالعلم بالنجاسة، فمتى ما تحقق العلم بالنجاسة ارتفع الحكم بالطهارة و متى لم يتحقق لم يرتفع و كان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المقصود الحكم على الأشياء بالطهارة في مرحلة الواقع بل الحكم عليها بذلك في مرحلة الظاهر، أي ما دام لا يعلم بالطهارة و النجاسة واقعا، و متى ما علم اما بالطهارة واقعا أو بالنجاسة واقعا كان المدار على ذلك العلم دون قاعدة الطهارة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794876_2314609296"/>
      <w:bookmarkStart w:id="67" w:name="_Toc23"/>
      <w:bookmarkEnd w:id="66"/>
      <w:r>
        <w:rPr/>
        <w:t>2</w:t>
      </w:r>
      <w:r>
        <w:rPr>
          <w:rtl w:val="true"/>
        </w:rPr>
        <w:t xml:space="preserve"> - </w:t>
      </w:r>
      <w:r>
        <w:rPr>
          <w:rtl w:val="true"/>
        </w:rPr>
        <w:t>مدرك القاعدة</w:t>
      </w:r>
      <w:bookmarkEnd w:id="67"/>
    </w:p>
    <w:p>
      <w:pPr>
        <w:pStyle w:val="BookText"/>
        <w:rPr/>
      </w:pPr>
      <w:r>
        <w:rPr>
          <w:rFonts w:ascii="Amiri" w:hAnsi="Amiri" w:eastAsia="Amiri" w:cs="Amiri"/>
          <w:color w:val="111111"/>
          <w:sz w:val="28"/>
          <w:sz w:val="28"/>
          <w:szCs w:val="28"/>
          <w:rtl w:val="true"/>
          <w:lang w:bidi="ar-SA"/>
        </w:rPr>
        <w:t>يمكن الاستدلال على القاعدة المذكورة بأمور أربعة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w:t>
      </w:r>
    </w:p>
    <w:p>
      <w:pPr>
        <w:pStyle w:val="BookText"/>
        <w:rPr/>
      </w:pPr>
      <w:r>
        <w:rPr>
          <w:rFonts w:ascii="Amiri" w:hAnsi="Amiri" w:eastAsia="Amiri" w:cs="Amiri"/>
          <w:color w:val="111111"/>
          <w:sz w:val="28"/>
          <w:sz w:val="28"/>
          <w:szCs w:val="28"/>
          <w:rtl w:val="true"/>
          <w:lang w:bidi="ar-SA"/>
        </w:rPr>
        <w:t>حتى تعلم انّه قذر، فاذا علمت فقد قذر، و ما لم تعلم فليس عليك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أهم ما يمكن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ببعض الروايات الخاصة التي قد يتصيد من مجموعها القاعدة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معتبرة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انّه قذر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حفص بن غياث عن جعفر عن أبيه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ابالي أبول أصابني أو ماء إذا لم أعلم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الشك و عدم العلم في الحكم بالطهارة، و هذا ليس الا عبارة اخرى عن مضمون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الفأرة و الدجاجة و الحمام و أشباهها تطأ العذرة ثم تطأ الثوب أ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استبان من أثره شيء فاغلسه و إلاّ فلا بأس</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فان الحكم بعدم وجوب الغسل عند عدم الاستبانة لا وجه له إلاّ الاستناد الى قاعدة الطهارة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موثقة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يجد في انائه فأرة و قد توضأ من ذلك الاناء مرارا أو اغتسل منه أو غسل ثيابه و قد كانت الفأرة متسلخة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رآها في الاناء قبل ان يغتسل أو يتوضأ أو يغسل ثيابه ثم يفعل ذلك بعد ما رآها في الاناء فعليه ان يغسل ثيابه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يغسل كلّ ما أصابه ذلك الماء و يعيد الوضوء و الصلاة، و ان كان انّما رآها بعد ما فرغ من ذلك و فعله فلا يمس من ذلك الماء شيئا و ليس عليه شيء لأنّه لا يعلم 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ان يكون انّما سقطت فيه تلك الساعة التي رآها</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فان ابراز احتمال السقوط تلك الساعة انّما ينفع بناء على تمامية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بالروايات الخاصّة المذكورة على قاعدة الطهارة يتم بشرطين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الغاء خصوصية المورد بتنقيح المناط و إلاّ بقيت خاصة بموردها، و انحصار المستند في الحكم بالطهارة بقاعدة الطهارة و عدم وجود مدرك آخر كاستصحاب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تم الشرط الأوّل فالثاني غير تام لاحتمال أن يكون حكم الامام عليه السّلام بالطهارة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كلّه طاهر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الى استصحاب طهارة الماء الثابتة في بداية تولده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عدم مبالاة أمير المؤمنين عليه السّلام في الرواية الثانية مستندا الى استصحاب الطهارة الثابتة قبل احتمال اصابة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عدم لزوم الغسل عند عدم استبانة شيء من الأثر في الثوب مستندا الى استصحاب طهارة الثوب أو عدم اصابة النجاسة له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الوجه في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استصحاب بقاء النجاسة في رجل الحيوان ان كان مجرّد إثبات بقاء النجاسة في رجل الحيوان و لو لم تكن مصيبة للثوب فذلك لغو و بلا فائدة، و ان كان الغرض من ذلك إثبات تحقّق اصابة النجاسة للثوب فذلك لا يتمّ إلاّ بناء على حجيّة الأصل المثبت، إذ لا دليل شرعي يدلّ على أنّ النجاسة إذا كانت باقية في رجل الحيوان فهي مصيبة للثوب و انّما ذلك ثابت بالملازمة العادية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عدم غسل الثياب في موثقة</w:t>
      </w:r>
    </w:p>
    <w:p>
      <w:pPr>
        <w:pStyle w:val="BookText"/>
        <w:rPr/>
      </w:pPr>
      <w:r>
        <w:rPr>
          <w:rFonts w:ascii="Amiri" w:hAnsi="Amiri" w:eastAsia="Amiri" w:cs="Amiri"/>
          <w:color w:val="111111"/>
          <w:sz w:val="28"/>
          <w:sz w:val="28"/>
          <w:szCs w:val="28"/>
          <w:rtl w:val="true"/>
          <w:lang w:bidi="ar-SA"/>
        </w:rPr>
        <w:t>عمّار مستندا الى استصحاب طهارة الماء ما دام لم يتيقّن بوقوع الفأرة فيه من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و سلّمنا بتمامية الشرطين المتقدّمين و من ثمّ تسليم امكان اقتناص قاعدة الطهارة من الموارد المذكورة فيمكن أن يقال ان المستفاد من الموارد المذكورة ثبوت قاعدة الطهارة في الجملة و لا يمكن استفادة التعميم لموارد الشك في الطهارة بنحو الشبهة الحكمية أو لموارد الشك في النجاسة الذاتية، و هذا بخلافه على المستند الأوّل فانّه يمكن التمسك باطلاقه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بدعوى ان عادة الشارع قد جرت على بيان النجاسات و لم تجر على بيان الامور الطاهرة،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نجس أو ذاك نجس،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أو ذاك طاهر فان بيان الامور الطاهرة غير ممكن لعدم انحصارها بخلاف الامور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ما قيل في باب اصالة البراءة من ان عادة الشارع قد جرت على بيان المحرمات دون المباحات، فمن عدم بيانه لحرمة شيء يفهم كونه مباحا، و هكذا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الشك في النجاسة يرجع أحيانا إلى الشك في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اريد أكل شيء مشكوك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أصل البراءة بلا حاجة الى اجراء أصل الطهارة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اريد الصلاة أو الطواف في الشيء المشكوك أمكن اجراء البراءة عن تقيد الصلاة الواجبة و الطواف الواجب بعدم لبس المشكوك،ة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الحال في لبس ما يشك في كونه من أجزاء ما لا يؤكل لحمه، فكما تجري البراءة عن تقيد الصلاة أو الطواف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المانعية انحلالية بعدد افراد المانع، و الصلاة مقيّدة بعدم كل واحد من الموانع، و الشك في نجاسة المشكوك شك في حدوث مانع جديد و من ثمّ شك في حدوث تقييد جديد، و أصل البراءة يقتضي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المدرك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ان كان وجيها و لكنّه خاص بما إذا كان الشك في الطهارة بنحو الشبهة الحكمية بأن شك في ان العصير العنبي إذا غلى هل حكم الشارع عليه بالنجاسة أو لا، و الأرنب هل حكم الشارع عليه بالنجاسة أو لا، و هكذا، و لا يتم في الشبهات الموضوعية، كما لو شك في ان هذا الثوب طاهر أو نجس و ذاك الماء طاهر أو نجس،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بالاستصحاب بأن يقال ان النجاسة نشك في جعلها للشيء المشكوك، و مقتضى الأصل عدم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ينفع في الموارد التي تكون النجاسة فيها مانعا دون الموارد التي تكون فيها الطهارة شرطا فانّه بالأصل يمكن نفي مانعية النجاسة و لا يمكن اثبات شرطية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مدارك أربعة لإثبات قاعدة الطهارة، و المهم منها كما عرفنا هو الأوّل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التسالم فلا يمكن الاستناد إليه لاحتمال مدركيته بل يجزم بذلك</w:t>
      </w:r>
      <w:r>
        <w:rPr>
          <w:rFonts w:eastAsia="Amiri" w:cs="Amiri" w:ascii="Amiri" w:hAnsi="Amiri"/>
          <w:color w:val="111111"/>
          <w:sz w:val="28"/>
          <w:szCs w:val="28"/>
          <w:rtl w:val="true"/>
          <w:lang w:bidi="ar-SA"/>
        </w:rPr>
        <w:t xml:space="preserve">. </w:t>
      </w:r>
      <w:bookmarkStart w:id="68" w:name="pg19669_189118"/>
    </w:p>
    <w:p>
      <w:pPr>
        <w:pStyle w:val="Heading3"/>
        <w:numPr>
          <w:ilvl w:val="2"/>
          <w:numId w:val="1"/>
        </w:numPr>
        <w:rPr/>
      </w:pPr>
      <w:bookmarkStart w:id="69" w:name="__RefHeading___Toc3794878_2314609296"/>
      <w:bookmarkStart w:id="70" w:name="_Toc24"/>
      <w:bookmarkEnd w:id="68"/>
      <w:bookmarkEnd w:id="69"/>
      <w:r>
        <w:rPr>
          <w:rtl w:val="true"/>
        </w:rPr>
        <w:t>الاشكال في سند موثقة عمّار</w:t>
      </w:r>
      <w:bookmarkEnd w:id="70"/>
    </w:p>
    <w:p>
      <w:pPr>
        <w:pStyle w:val="BookText"/>
        <w:rPr/>
      </w:pPr>
      <w:r>
        <w:rPr>
          <w:rFonts w:ascii="Amiri" w:hAnsi="Amiri" w:eastAsia="Amiri" w:cs="Amiri"/>
          <w:color w:val="111111"/>
          <w:sz w:val="28"/>
          <w:sz w:val="28"/>
          <w:szCs w:val="28"/>
          <w:rtl w:val="true"/>
          <w:lang w:bidi="ar-SA"/>
        </w:rPr>
        <w:t>عرفنا ان المدرك المهم لقاعدة الطهارة هو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الموثقة المذكورة طويلة و لم تذكر في الوسائل مجموعة بل ذكرت مقطّعة في أبواب مختلفة و انما ذكرت مجموعة في التهذيب</w:t>
      </w:r>
      <w:r>
        <w:rPr>
          <w:rStyle w:val="FootnoteAnchor"/>
          <w:rtl w:val="true"/>
        </w:rPr>
        <w:footnoteReference w:id="48"/>
      </w:r>
      <w:r>
        <w:rPr>
          <w:rFonts w:ascii="Amiri" w:hAnsi="Amiri" w:eastAsia="Amiri" w:cs="Amiri"/>
          <w:color w:val="111111"/>
          <w:sz w:val="28"/>
          <w:sz w:val="28"/>
          <w:szCs w:val="28"/>
          <w:rtl w:val="true"/>
          <w:lang w:bidi="ar-SA"/>
        </w:rPr>
        <w:t>و ذكر في آخرها الجملة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قطعة منها في الاستبصار</w:t>
      </w:r>
      <w:r>
        <w:rPr>
          <w:rStyle w:val="FootnoteAnchor"/>
          <w:rtl w:val="true"/>
        </w:rPr>
        <w:footnoteReference w:id="49"/>
      </w:r>
      <w:r>
        <w:rPr>
          <w:rFonts w:ascii="Amiri" w:hAnsi="Amiri" w:eastAsia="Amiri" w:cs="Amiri"/>
          <w:color w:val="111111"/>
          <w:sz w:val="28"/>
          <w:sz w:val="28"/>
          <w:szCs w:val="28"/>
          <w:rtl w:val="true"/>
          <w:lang w:bidi="ar-SA"/>
        </w:rPr>
        <w:t>من دون أن تشتمل على الجملة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ذكرت قطعة منها في الكافي</w:t>
      </w:r>
      <w:r>
        <w:rPr>
          <w:rStyle w:val="FootnoteAnchor"/>
          <w:rtl w:val="true"/>
        </w:rPr>
        <w:footnoteReference w:id="50"/>
      </w:r>
      <w:r>
        <w:rPr>
          <w:rFonts w:ascii="Amiri" w:hAnsi="Amiri" w:eastAsia="Amiri" w:cs="Amiri"/>
          <w:color w:val="111111"/>
          <w:sz w:val="28"/>
          <w:sz w:val="28"/>
          <w:szCs w:val="28"/>
          <w:rtl w:val="true"/>
          <w:lang w:bidi="ar-SA"/>
        </w:rPr>
        <w:t>من دون أن تشتمل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بشكل مرسل في الفقيه</w:t>
      </w:r>
      <w:r>
        <w:rPr>
          <w:rStyle w:val="FootnoteAnchor"/>
          <w:rtl w:val="true"/>
        </w:rPr>
        <w:footnoteReference w:id="51"/>
      </w:r>
      <w:r>
        <w:rPr>
          <w:rFonts w:ascii="Amiri" w:hAnsi="Amiri" w:eastAsia="Amiri" w:cs="Amiri"/>
          <w:color w:val="111111"/>
          <w:sz w:val="28"/>
          <w:sz w:val="28"/>
          <w:szCs w:val="28"/>
          <w:rtl w:val="true"/>
          <w:lang w:bidi="ar-SA"/>
        </w:rPr>
        <w:t>من دون أن تشتمل على ما ذكر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ما يشتمل على الجملة المذكورة ليس إلاّ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لا حظنا سند الرواية فيه وجدناه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يحيى عن أحمد بن الحسن بن علي بن فضال عن عمرو بن سعيد عن مصدق بن صدقة عن عمّار الساباطي عن أبي عبد اللّه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مشكلة في رجال السند بل كلّهم ثقات ما خلا أحمد بن يحيى المتوسط بين محمد بن أحمد بن يحيى و أحمد بن الحسن فانه لم </w:t>
      </w:r>
    </w:p>
    <w:p>
      <w:pPr>
        <w:pStyle w:val="BookText"/>
        <w:rPr/>
      </w:pPr>
      <w:r>
        <w:rPr>
          <w:rFonts w:ascii="Amiri" w:hAnsi="Amiri" w:eastAsia="Amiri" w:cs="Amiri"/>
          <w:color w:val="111111"/>
          <w:sz w:val="28"/>
          <w:sz w:val="28"/>
          <w:szCs w:val="28"/>
          <w:rtl w:val="true"/>
          <w:lang w:bidi="ar-SA"/>
        </w:rPr>
        <w:t>يعرف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بهذا الاسم أشخاص بعضهم ثقة و بعضهم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سند التهذيب فقط و لا يوجد في سند الاستبصار 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غير مجد بعد عدم وجود الجملة المطلوبة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التغلب على المشكلة المذكورة بأن السند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عن عمرو بن سعيد عن مصدق بن صدقة عن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من الشيخ في التهذيب و الاستبصار عشرات المرّات</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يدعم ذلك أيضا ان سند الاستبصار و الكافي لا يشتمل على الشخص المتوسط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الكل ذكر من دون توسط أحمد بن يحيى بين محمد بن أحمد بن يحيى و أحمد بن الحسن و انّما ذكر متوسطا فقط في هذا المورد لا غير، و هذا ممّا يحصّل الاطمئنان بأن ذكره قد حصل اشتباها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البيان نفسه يمكن التغلب على المشكلة لو قيل بأن جامع أحاديث الشيعة قد أشار الى ان بعض نسخ التهذيب قد ذكر فيها الشخص المتوسط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يحيى هو المعاذي شيخ محمد بن أحمد بن يحيى، و هو ممّن لم يوثق بل قد استثني من رجال 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71" w:name="pg19669_189120"/>
    </w:p>
    <w:p>
      <w:pPr>
        <w:pStyle w:val="BookText"/>
        <w:rPr/>
      </w:pPr>
      <w:bookmarkEnd w:id="71"/>
      <w:r>
        <w:rPr>
          <w:rFonts w:ascii="Amiri" w:hAnsi="Amiri" w:eastAsia="Amiri" w:cs="Amiri"/>
          <w:color w:val="111111"/>
          <w:sz w:val="28"/>
          <w:sz w:val="28"/>
          <w:szCs w:val="28"/>
          <w:rtl w:val="true"/>
          <w:lang w:bidi="ar-SA"/>
        </w:rPr>
        <w:t>ان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يحيى و ان كان شيخا لمحمد بن أحمد و يروي عنه إلاّ انّه يمكن حصول الاطمئنان بأن ذكره هنا قد حصل اشتباها لنفس ما ذكر سابقا خصوصا و انا لو رجعنا الى الموارد التي يروي فيها محمد بن أحمد عن محمد بن يحيى لوجدنا ان محمد بن يحيى لا يروي عن أحمد بن الحسن بل كل مورد ذكر فيه أحمد بن الحسن فهو متصل بمحمد بن أحمد بن يحيى من دون توسط شخص بينهما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794880_2314609296"/>
      <w:bookmarkStart w:id="73" w:name="_Toc25"/>
      <w:bookmarkEnd w:id="72"/>
      <w:r>
        <w:rPr/>
        <w:t>3</w:t>
      </w:r>
      <w:r>
        <w:rPr>
          <w:rtl w:val="true"/>
        </w:rPr>
        <w:t xml:space="preserve"> - </w:t>
      </w:r>
      <w:r>
        <w:rPr>
          <w:rtl w:val="true"/>
        </w:rPr>
        <w:t>عموم القاعدة للشك في النجاسة الذاتية</w:t>
      </w:r>
      <w:bookmarkEnd w:id="73"/>
    </w:p>
    <w:p>
      <w:pPr>
        <w:pStyle w:val="BookText"/>
        <w:rPr/>
      </w:pPr>
      <w:r>
        <w:rPr>
          <w:rFonts w:ascii="Amiri" w:hAnsi="Amiri" w:eastAsia="Amiri" w:cs="Amiri"/>
          <w:color w:val="111111"/>
          <w:sz w:val="28"/>
          <w:sz w:val="28"/>
          <w:szCs w:val="28"/>
          <w:rtl w:val="true"/>
          <w:lang w:bidi="ar-SA"/>
        </w:rPr>
        <w:t>النجاسة المشكوكة تكون عارضة تارة و ذاتية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شككنا في تنجس الماء أو الثوب أو البدن و ما شاكل ذلك بملاقاة البول و نحوه كان ذلك شكّا في النجاسة العارضة، اما إذا شككنا في نجاسة الحديد أو الخمر أو الكافر و ما شاكل ذلك كان ذلك شكّا في النجاسة الذاتية إذ شكنا في النجاسة لم يحصل من جهة احتمال طرو نجاسة عارضة بل لاحتمال كون الشيء نجسا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يطرح في الكلمات تشكيك في عموم القاعدة لكلا النحوين إلاّ انّه قد يشكك في شمولها للشك في النجاسة الذاتية و يبرز احتمال اختصاصها بالشك في النجاسة العارضة بتقريب ان من المحتمل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ماضيا،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نظيف حتى تعلم انّه تقذر، و بناء عليه تختص القاعدة بالأشياء التي يحتمل طرو القذارة عليها بعد ان لم تكن قذرة في نفسها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مجرد ابراز هذا الاحتمال لصيرورة الرواية مجملة </w:t>
      </w:r>
      <w:bookmarkStart w:id="74" w:name="pg19669_189121"/>
    </w:p>
    <w:p>
      <w:pPr>
        <w:pStyle w:val="BookText"/>
        <w:rPr/>
      </w:pPr>
      <w:bookmarkEnd w:id="74"/>
      <w:r>
        <w:rPr>
          <w:rFonts w:ascii="Amiri" w:hAnsi="Amiri" w:eastAsia="Amiri" w:cs="Amiri"/>
          <w:color w:val="111111"/>
          <w:sz w:val="28"/>
          <w:sz w:val="28"/>
          <w:szCs w:val="28"/>
          <w:rtl w:val="true"/>
          <w:lang w:bidi="ar-SA"/>
        </w:rPr>
        <w:t>و سقوطها عن قابلية الاستدلال بها في موارد الشك في النجاسة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المقابلة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تستدعي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لا فعلا، بمعنى ان المتكلم لو كان يقصد الفعلية احتاج ذلك الى تحريك للحروف بشكل ملفت للسامع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كان ذلك ثابتا حقّا لنقله الراوي لنا تحفّظا منه على نقل كل ما هو ملفت للسامع</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794882_2314609296"/>
      <w:bookmarkStart w:id="76" w:name="_Toc26"/>
      <w:bookmarkEnd w:id="75"/>
      <w:r>
        <w:rPr/>
        <w:t>4</w:t>
      </w:r>
      <w:r>
        <w:rPr>
          <w:rtl w:val="true"/>
        </w:rPr>
        <w:t xml:space="preserve"> - </w:t>
      </w:r>
      <w:r>
        <w:rPr>
          <w:rtl w:val="true"/>
        </w:rPr>
        <w:t>عموم القاعدة لمورد استصحاب النجاسة</w:t>
      </w:r>
      <w:bookmarkEnd w:id="76"/>
    </w:p>
    <w:p>
      <w:pPr>
        <w:pStyle w:val="BookText"/>
        <w:rPr/>
      </w:pPr>
      <w:r>
        <w:rPr>
          <w:rFonts w:ascii="Amiri" w:hAnsi="Amiri" w:eastAsia="Amiri" w:cs="Amiri"/>
          <w:color w:val="111111"/>
          <w:sz w:val="28"/>
          <w:sz w:val="28"/>
          <w:szCs w:val="28"/>
          <w:rtl w:val="true"/>
          <w:lang w:bidi="ar-SA"/>
        </w:rPr>
        <w:t>حالة المشكوك سابقا تارة يفرض هي الطهارة و يشك في عروض النجاسة عليه بعد ذلك، و اخرى يفرض العكس، بأن تكون حالته السابقة هي النجاسة ثم يشك في عروض الطهارة عليه، و ثالثة يفترض الجهل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الحالة الاولى و الثالثة فهما القدر المتيقن من مورد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هي مورد لاستصحاب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 في شمول القاعدة لها، كما لو فرض ان الماء المتغيّر بالنجاسة زال تغيّره من قبل نفسه، أو فرض ان ثوبنا المتنجس شككنا قد غسل و طهّر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التشكيك ما أشرنا اليه في البحث السابق، فان من المحتمل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أي كل شيء طاهر حتى تعلم انه قد تقذر، و واضح انه في مقامنا حيث يعلم ان الشيء قد تقذر سابقا فيلزم أن لا يكون محكوما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الثمرة لهذا البحث بعد عدم امكان التمسّك </w:t>
      </w:r>
    </w:p>
    <w:p>
      <w:pPr>
        <w:pStyle w:val="BookText"/>
        <w:rPr/>
      </w:pPr>
      <w:r>
        <w:rPr>
          <w:rFonts w:ascii="Amiri" w:hAnsi="Amiri" w:eastAsia="Amiri" w:cs="Amiri"/>
          <w:color w:val="111111"/>
          <w:sz w:val="28"/>
          <w:sz w:val="28"/>
          <w:szCs w:val="28"/>
          <w:rtl w:val="true"/>
          <w:lang w:bidi="ar-SA"/>
        </w:rPr>
        <w:t>بقاعدة الطهارة عند كون الحالة السابقة هي النجاسة باعتبار ان استصحاب النجاسة مانع بالاتفاق من التمسك بقاعدة الطهارة؟</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تظهر فيما اذا لم يمكن جريان الاستصحاب من جهة المعارضة، كما لو فرض ان الشيء قد طرأت عليه سابقا حالتان الطهارة و النجاسة و لا يميّز المتقدّم عن المتأخّر فان الاستصحاب حيث لا يمكن جريانه للمعارضة فيبقى المجال مفتوحا لقاعدة الطهارة فتجري بناء على شمولها لموارد النجاسة المعلومة سابقا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بأن قاعدة الطهارة لو كانت تشمل موارد اليقين بالنجاسة سابقا فلما ذا علل الامام عليه السّلام في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فيمن أعار ثوبه الذمي و هو يشرب الخمر و يأكل 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تطهير الثوب عند استرجاعه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أعرته إيّاه و هو طاهر و لم تستيقن انّه نجسه</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ان التعليل بكون الحالة السابقة هي الطهارة لا داعي له بعد جريان قاعدة الطهارة في موارد النجاسة السابقة بل المناسب التعليل بأنك ما دمت تشك في نجاسته بالفعل فاحكم بطهارته بلا حاجة الى ملاحظة حالته السابقة لأن في ملاحظتها اعمالا لعناية زائدة لا حاجة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الكلام يأتي في صحيحة زرارة الثانية المذكورة في باب الاستصحاب حيث ان الامام عليه السّلام علل عدم وجوب اعادة الصلاة في حق من ظن اصابة النجاسة لثوبه قبل الصلاة ثم رآها بعد الصلاة بقوله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كنت على يقين من طهارتك فشككت و ليس ينبغي لك أن تنقض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7" w:name="pg19669_189123"/>
    </w:p>
    <w:p>
      <w:pPr>
        <w:pStyle w:val="BookText"/>
        <w:rPr/>
      </w:pPr>
      <w:bookmarkEnd w:id="77"/>
      <w:r>
        <w:rPr>
          <w:rFonts w:ascii="Amiri" w:hAnsi="Amiri" w:eastAsia="Amiri" w:cs="Amiri"/>
          <w:color w:val="111111"/>
          <w:sz w:val="28"/>
          <w:sz w:val="28"/>
          <w:szCs w:val="28"/>
          <w:rtl w:val="true"/>
          <w:lang w:bidi="ar-SA"/>
        </w:rPr>
        <w:t>اليقين بالشك أبدا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فان اصالة الطهارة لو كانت تجري مع كون الحالة السابقة هي النجاسة فلا وجه لأخذ اليقين بالطهارة السابقة بعين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أقصى ما يدل عليه العدول الى الاستصحاب انّه مع وجود حالة سابقة معلومة لا تصل النوبة الى قاعدة الطهارة، و لعل ذلك ليس من جهة عدم وجود المقتضي لها بل من جهة وجود الحاكم و هو الاستصحاب</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3794884_2314609296"/>
      <w:bookmarkStart w:id="79" w:name="_Toc27"/>
      <w:bookmarkEnd w:id="78"/>
      <w:r>
        <w:rPr/>
        <w:t>5</w:t>
      </w:r>
      <w:r>
        <w:rPr>
          <w:rtl w:val="true"/>
        </w:rPr>
        <w:t xml:space="preserve"> - </w:t>
      </w:r>
      <w:r>
        <w:rPr>
          <w:rtl w:val="true"/>
        </w:rPr>
        <w:t>شمول القاعدة لموارد الشبهة الحكمية</w:t>
      </w:r>
      <w:bookmarkEnd w:id="79"/>
    </w:p>
    <w:p>
      <w:pPr>
        <w:pStyle w:val="BookText"/>
        <w:rPr/>
      </w:pPr>
      <w:r>
        <w:rPr>
          <w:rFonts w:ascii="Amiri" w:hAnsi="Amiri" w:eastAsia="Amiri" w:cs="Amiri"/>
          <w:color w:val="111111"/>
          <w:sz w:val="28"/>
          <w:sz w:val="28"/>
          <w:szCs w:val="28"/>
          <w:rtl w:val="true"/>
          <w:lang w:bidi="ar-SA"/>
        </w:rPr>
        <w:t xml:space="preserve">الشك في الطهارة و النجاسة تارة يكون بنحو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 الشك متعلقا بالحكم الشرعي الكلي كما اذا شك في تنجس الماء المضاف البالغ كرا أو اكرارا بملاقاة النجاسة له بمقدار رأس الابرة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بنحو الشبهة الموضوعية، بمعنى كون الشك متعلّقا بالموضوع و الحكم الجزئي، كما لو حكمنا بتنجس المضاف بملاقاة النجاسة القليلة له و لكن شككنا في تحقق الملاقاة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في المقدّمة الحادية عشرة من المقدّمات المذكورة في بداية الحدائق ان الأمين الأسترآبادي في فوائده المدنية قد اختار عدم جريان القاعدة إذا كان الشك بنحو الشبهة الحكمية و مال الشيخ يوسف نفسه الى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له بان المتيقن من الموثقة ان احتمال اصابة النجاسة </w:t>
      </w:r>
      <w:bookmarkStart w:id="80" w:name="pg19669_189124"/>
    </w:p>
    <w:p>
      <w:pPr>
        <w:pStyle w:val="BookText"/>
        <w:rPr/>
      </w:pPr>
      <w:bookmarkEnd w:id="80"/>
      <w:r>
        <w:rPr>
          <w:rFonts w:ascii="Amiri" w:hAnsi="Amiri" w:eastAsia="Amiri" w:cs="Amiri"/>
          <w:color w:val="111111"/>
          <w:sz w:val="28"/>
          <w:sz w:val="28"/>
          <w:szCs w:val="28"/>
          <w:rtl w:val="true"/>
          <w:lang w:bidi="ar-SA"/>
        </w:rPr>
        <w:t>للشيء الطاهر لا يعتنى له دفعا للوساوس الشيطانية و الشكوك النفسانية، و امّا تطبيقها في حالات الجهل بالحكم الشرعي فلا يخلو من الاشكال و الجرأة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الموثقة حجة تنتفي معه الجرأة و الاشكال</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3794886_2314609296"/>
      <w:bookmarkStart w:id="82" w:name="_Toc28"/>
      <w:bookmarkEnd w:id="81"/>
      <w:r>
        <w:rPr/>
        <w:t>6</w:t>
      </w:r>
      <w:r>
        <w:rPr>
          <w:rtl w:val="true"/>
        </w:rPr>
        <w:t xml:space="preserve"> - </w:t>
      </w:r>
      <w:r>
        <w:rPr>
          <w:rtl w:val="true"/>
        </w:rPr>
        <w:t>قاعدة الطهارة حكم ظاهري أو واقعي</w:t>
      </w:r>
      <w:bookmarkEnd w:id="82"/>
    </w:p>
    <w:p>
      <w:pPr>
        <w:pStyle w:val="BookText"/>
        <w:rPr/>
      </w:pPr>
      <w:r>
        <w:rPr>
          <w:rFonts w:ascii="Amiri" w:hAnsi="Amiri" w:eastAsia="Amiri" w:cs="Amiri"/>
          <w:color w:val="111111"/>
          <w:sz w:val="28"/>
          <w:sz w:val="28"/>
          <w:szCs w:val="28"/>
          <w:rtl w:val="true"/>
          <w:lang w:bidi="ar-SA"/>
        </w:rPr>
        <w:t>المعروف لدى الأصحاب ان قاعدة الطهارة تثبت طهارة ظاهرية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صاحب الحدائق اختار كون الطهارة واقعية لا ظاهرية</w:t>
      </w:r>
      <w:r>
        <w:rPr>
          <w:rStyle w:val="FootnoteAnchor"/>
          <w:rtl w:val="true"/>
        </w:rPr>
        <w:footnoteReference w:id="56"/>
      </w:r>
      <w:r>
        <w:rPr>
          <w:rFonts w:ascii="Amiri" w:hAnsi="Amiri" w:eastAsia="Amiri" w:cs="Amiri"/>
          <w:color w:val="111111"/>
          <w:sz w:val="28"/>
          <w:sz w:val="28"/>
          <w:szCs w:val="28"/>
          <w:rtl w:val="true"/>
          <w:lang w:bidi="ar-SA"/>
        </w:rPr>
        <w:t>، بمعنى ان من لا يعلم بكون الشيء نجسا واقعا فهو طاهر في حقّه واقعا لا ظاهرا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ان من تناول النجس و هو لا يعلم بنجاسته ثم اطلع على ذلك فلا يلزمه تطهير فمه و ملابسه و بدنه لأن ذلك النجس محكوم بالطهارة واقعا فترة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قدّس سرّه على ذلك بلزوم العسر و الحرج و مخالفة ظواهر الأخبار لو كان المجهول نجسا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التمسك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ان القذارة تثبت عند العلم بها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المناسب ان يتمسّك بظاهر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وصف اخذ في القضية يحمل على إرادة الواقع منه دون الظاهر، خصوصا ان المقابلة في المقام تستدعي ذلك أيضا فان وصف </w:t>
      </w:r>
    </w:p>
    <w:p>
      <w:pPr>
        <w:pStyle w:val="BookText"/>
        <w:rPr/>
      </w:pPr>
      <w:r>
        <w:rPr>
          <w:rFonts w:ascii="Amiri" w:hAnsi="Amiri" w:eastAsia="Amiri" w:cs="Amiri"/>
          <w:color w:val="111111"/>
          <w:sz w:val="28"/>
          <w:sz w:val="28"/>
          <w:szCs w:val="28"/>
          <w:rtl w:val="true"/>
          <w:lang w:bidi="ar-SA"/>
        </w:rPr>
        <w:t>القذر حيث يراد به القذر واقعا فالمناسب ان يراد من وصف النظيف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الموثقة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انّه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يدل على ان الشيء قذر واقعا و العلم يتعلّق بما هو قذر واقعا، و اذا كان الشيء قذرا واقعا فكيف يحكم عليه بكونه نظيفا واقعا، انه تناقض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لو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ملحوظة بنحو المرآتية الى 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المقصود منها الاشارة الى البول و المني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يتحقّق بذلك تناقض و لكن حمل الوصف المذكور على ذلك خلاف الظاهر، خصوصا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منها المرآتية فمن المناسب ان لا يقصد ذلك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كون الحكم بالطهارة واقعيا ان الدم مثلا طاهر واقعا في حق شخص و هو الشاك و نجس واقعا في حق آخر و هو العالم، و التفكيك الواقعي المذكور خلاف ما هو المرتكز لدى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الموثقة قالت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لم تعلم فليس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تعلم فليس بقذر، و هذا ممّا يدل على ان القذارة قد تكون ثابتة واقعا و لكنّها ليست منجزة على المكلف ما دام لا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للرأي المذكور لازما لا يمكن الالتزام به، و هو ان قطرة بول لو أصابت ماء قليلا مثلا و لم نعلم بالاصابة حين تحققها بل بعد فترة فلا يحكم عليه بالتنجس لا قبل الالتفات الى الاصابة و لا بعد ذلك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عدم التنجس قبل الالتفات فلأجل ان قطرة البول آنذاك طاهرة واقعا فلا تكون موجبة للتنجس</w:t>
      </w:r>
      <w:r>
        <w:rPr>
          <w:rFonts w:eastAsia="Amiri" w:cs="Amiri" w:ascii="Amiri" w:hAnsi="Amiri"/>
          <w:color w:val="111111"/>
          <w:sz w:val="28"/>
          <w:szCs w:val="28"/>
          <w:rtl w:val="true"/>
          <w:lang w:bidi="ar-SA"/>
        </w:rPr>
        <w:t xml:space="preserve">. </w:t>
      </w:r>
      <w:bookmarkStart w:id="83" w:name="pg19669_189126"/>
    </w:p>
    <w:p>
      <w:pPr>
        <w:pStyle w:val="BookText"/>
        <w:rPr/>
      </w:pPr>
      <w:bookmarkEnd w:id="83"/>
      <w:r>
        <w:rPr>
          <w:rFonts w:ascii="Amiri" w:hAnsi="Amiri" w:eastAsia="Amiri" w:cs="Amiri"/>
          <w:color w:val="111111"/>
          <w:sz w:val="28"/>
          <w:sz w:val="28"/>
          <w:szCs w:val="28"/>
          <w:rtl w:val="true"/>
          <w:lang w:bidi="ar-SA"/>
        </w:rPr>
        <w:t>و اما عدم التنجس بعد ذلك فلأنّه بعد الالتفات لا تتحقق اصابة جديدة للبول، بل ان الاصابة قبل ذلك كانت اصابة للطاهر الواقعي و بعد ذلك لا اصابة جديدة لتوجب التنجس، و من ثمّ يلزم جواز شرب ذلك الماء و غسل الثياب المتنجسة به حتى بعد الالتفات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794888_2314609296"/>
      <w:bookmarkStart w:id="85" w:name="_Toc29"/>
      <w:bookmarkEnd w:id="84"/>
      <w:r>
        <w:rPr/>
        <w:t>7</w:t>
      </w:r>
      <w:r>
        <w:rPr>
          <w:rtl w:val="true"/>
        </w:rPr>
        <w:t xml:space="preserve"> - </w:t>
      </w:r>
      <w:r>
        <w:rPr>
          <w:rtl w:val="true"/>
        </w:rPr>
        <w:t>شرطية الطهارة و مانعية النجاسة</w:t>
      </w:r>
      <w:bookmarkEnd w:id="85"/>
    </w:p>
    <w:p>
      <w:pPr>
        <w:pStyle w:val="BookText"/>
        <w:rPr/>
      </w:pPr>
      <w:r>
        <w:rPr>
          <w:rFonts w:ascii="Amiri" w:hAnsi="Amiri" w:eastAsia="Amiri" w:cs="Amiri"/>
          <w:color w:val="111111"/>
          <w:sz w:val="28"/>
          <w:sz w:val="28"/>
          <w:szCs w:val="28"/>
          <w:rtl w:val="true"/>
          <w:lang w:bidi="ar-SA"/>
        </w:rPr>
        <w:t>هناك كلام في ان الامور المشروطة بالطهارة كالصلاة و غيرها هل تكون الطهارة فيها شرطا أو ان النجاسة مانع؟</w:t>
      </w:r>
    </w:p>
    <w:p>
      <w:pPr>
        <w:pStyle w:val="BookText"/>
        <w:rPr/>
      </w:pPr>
      <w:r>
        <w:rPr>
          <w:rFonts w:ascii="Amiri" w:hAnsi="Amiri" w:eastAsia="Amiri" w:cs="Amiri"/>
          <w:color w:val="111111"/>
          <w:sz w:val="28"/>
          <w:sz w:val="28"/>
          <w:szCs w:val="28"/>
          <w:rtl w:val="true"/>
          <w:lang w:bidi="ar-SA"/>
        </w:rPr>
        <w:t>ربما يظهر من السيّد الخوئي في مصباح الاصول</w:t>
      </w:r>
      <w:r>
        <w:rPr>
          <w:rStyle w:val="FootnoteAnchor"/>
          <w:rtl w:val="true"/>
        </w:rPr>
        <w:footnoteReference w:id="57"/>
      </w:r>
      <w:r>
        <w:rPr>
          <w:rFonts w:ascii="Amiri" w:hAnsi="Amiri" w:eastAsia="Amiri" w:cs="Amiri"/>
          <w:color w:val="111111"/>
          <w:sz w:val="28"/>
          <w:sz w:val="28"/>
          <w:szCs w:val="28"/>
          <w:rtl w:val="true"/>
          <w:lang w:bidi="ar-SA"/>
        </w:rPr>
        <w:t>عند بحثه عن دلالة الصحيحة الثانية لزرارة على حجية الاستصحاب عدم الثمرة في النزاع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ذلك بأن اصالة الطهارة بناء على تماميتها تثبت الطهارة إذا كانت شرطا و تنفي النجاسة إذا كانت مانعا، و معه فلا ثمرة من هذه الناحية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بالامكان تصور الثمرة في موارد تقدّمت الاشارة الى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في موارد الشك في النجاسة الذاتية إذا قلنا بعدم شمول قاعدة الطهارة لمثلها فباستصحاب عدم تشريع النجاسة يمكن نفي المانع و هو النجاسة و من ثمّ تجوز الصلاة مع الشيء المشكوك و يجوز تناوله، بينما بناء على شرطية الطهارة لا يمكن احراز الشرط بالاستصحاب و من ثمّ لا تجوز الصلاة معه و لا تناوله فان استصحاب </w:t>
      </w:r>
      <w:bookmarkStart w:id="86" w:name="pg19669_189127"/>
    </w:p>
    <w:p>
      <w:pPr>
        <w:pStyle w:val="BookText"/>
        <w:rPr/>
      </w:pPr>
      <w:bookmarkEnd w:id="86"/>
      <w:r>
        <w:rPr>
          <w:rFonts w:ascii="Amiri" w:hAnsi="Amiri" w:eastAsia="Amiri" w:cs="Amiri"/>
          <w:color w:val="111111"/>
          <w:sz w:val="28"/>
          <w:sz w:val="28"/>
          <w:szCs w:val="28"/>
          <w:rtl w:val="true"/>
          <w:lang w:bidi="ar-SA"/>
        </w:rPr>
        <w:t>العدم ينفي تشريع الطهارة و لا يثبتها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من الاحتمالين هو الصحيح فهل الطهارة شرط أو النجاسة مانعة؟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تحقيق ذلك يقع على ذمّة الفقه عند البحث عن شرطية الطهارة في الصلاة أو جواز التناول</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794890_2314609296"/>
      <w:bookmarkStart w:id="88" w:name="_Toc30"/>
      <w:bookmarkEnd w:id="87"/>
      <w:r>
        <w:rPr/>
        <w:t>8</w:t>
      </w:r>
      <w:r>
        <w:rPr>
          <w:rtl w:val="true"/>
        </w:rPr>
        <w:t xml:space="preserve"> - </w:t>
      </w:r>
      <w:r>
        <w:rPr>
          <w:rtl w:val="true"/>
        </w:rPr>
        <w:t>تطبيقات</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توجيه جواز تناول الأدوية المستوردة من بلاد الكفّار؟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تناول الحليب و مشتقاته إذا استورد من بلاد الكفار؟ و ما الفرق بينه و بين اللحوم التي لا يجوز تناولها؟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 بعض من يذهب الى البلاد الكافرة عن ان مقاعد السيارات أيّام الشتاء تكون مبللة فهل يحكم بتنجسها؟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يذهب الشخص الى المرافق لقضاء الحاجة و يجد الماء واقفا على الأرض فما حكم ذلك الماء؟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في اعتبار تعدد الغسل في الثوب المتنجس أو شك في اعتبار العصر فعند غسله مرّة أو بدون عصر سوف يشك في حصول الطهارة له فهل يمكن التمسك آنذاك بقاعدة الطهارة؟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عندنا اناءان علمنا بوقوع النجاسة في احدهما فتارة يفترض ان الحالة السابقة في كليهما مجهولة و اخرى يفرض كونها معلومة و ثالثة يفترض كونها معلومة في احدهما مجهولة في الآخر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السؤال هل يمكن التمسّك بقاعدة الطهارة في الحالات المذكورة؟ </w:t>
      </w:r>
      <w:bookmarkStart w:id="89" w:name="pg19669_189128"/>
    </w:p>
    <w:p>
      <w:pPr>
        <w:pStyle w:val="Heading2"/>
        <w:numPr>
          <w:ilvl w:val="1"/>
          <w:numId w:val="1"/>
        </w:numPr>
        <w:rPr/>
      </w:pPr>
      <w:bookmarkStart w:id="90" w:name="__RefHeading___Toc3794892_2314609296"/>
      <w:bookmarkStart w:id="91" w:name="_Toc31"/>
      <w:bookmarkEnd w:id="89"/>
      <w:bookmarkEnd w:id="90"/>
      <w:r>
        <w:rPr>
          <w:rtl w:val="true"/>
        </w:rPr>
        <w:t>قاعدة الالزام</w:t>
      </w:r>
      <w:bookmarkEnd w:id="91"/>
    </w:p>
    <w:p>
      <w:pPr>
        <w:pStyle w:val="Heading3"/>
        <w:numPr>
          <w:ilvl w:val="2"/>
          <w:numId w:val="1"/>
        </w:numPr>
        <w:rPr/>
      </w:pPr>
      <w:bookmarkStart w:id="92" w:name="__RefHeading___Toc3794894_2314609296"/>
      <w:bookmarkStart w:id="93" w:name="_Toc32"/>
      <w:bookmarkEnd w:id="92"/>
      <w:r>
        <w:rPr>
          <w:rtl w:val="true"/>
        </w:rPr>
        <w:t>اشارة</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الالزام و الامضاء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اباحة أو صحة واقعية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لسائر ذوي الأديان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لقاعدة الالزام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الالزام هي من القواعد التي لم يتعرّض لها في الفقه و لا في الاصول ببحث مستقل، بل و لا توجد اشارة لها سوى في بعض التفريعات المذكورة في مسائل الطلاق و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قد نقرأ في تراجم بعض الاعلام كتابة بحث خاص عنها، و لكنّه مع الأسف لم يخرج الى عالم الطبع و بقي حبرا على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هناك إشارة مستقلة لها قد برزت إلى عالم الطبع فهي في الكتب المعدّة لبحث القواعد الفقهية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المذكورة و ان لم تكن من القواعد المهمّة التي يحتاج إليها الفقيه في مواطن متعدّدة بل في مواطن نادرة و معدودة كما سوف نلاحظ و لكن الاطلاع عليها و بحثها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عنها يقع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قاعدتا الالزام و الامضاء</w:t>
      </w:r>
      <w:r>
        <w:rPr>
          <w:rFonts w:eastAsia="IRNazanin" w:cs="IRNazanin"/>
          <w:color w:val="111111"/>
          <w:sz w:val="28"/>
          <w:szCs w:val="28"/>
          <w:rtl w:val="true"/>
          <w:lang w:bidi="fa-IR"/>
        </w:rPr>
        <w:t xml:space="preserve">. </w:t>
      </w:r>
      <w:bookmarkStart w:id="94" w:name="pg19669_189131"/>
    </w:p>
    <w:p>
      <w:pPr>
        <w:pStyle w:val="BookText"/>
        <w:rPr/>
      </w:pPr>
      <w:bookmarkEnd w:id="9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اباحة أو صحة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لسائر ذوي الأديان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لقاعدة الالزام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3794896_2314609296"/>
      <w:bookmarkStart w:id="96" w:name="_Toc33"/>
      <w:bookmarkEnd w:id="95"/>
      <w:r>
        <w:rPr/>
        <w:t>1</w:t>
      </w:r>
      <w:r>
        <w:rPr>
          <w:rtl w:val="true"/>
        </w:rPr>
        <w:t xml:space="preserve"> - </w:t>
      </w:r>
      <w:r>
        <w:rPr>
          <w:rtl w:val="true"/>
        </w:rPr>
        <w:t>مضمون القاعدة</w:t>
      </w:r>
      <w:bookmarkEnd w:id="96"/>
    </w:p>
    <w:p>
      <w:pPr>
        <w:pStyle w:val="BookText"/>
        <w:rPr/>
      </w:pPr>
      <w:r>
        <w:rPr>
          <w:rFonts w:ascii="Amiri" w:hAnsi="Amiri" w:eastAsia="Amiri" w:cs="Amiri"/>
          <w:color w:val="111111"/>
          <w:sz w:val="28"/>
          <w:sz w:val="28"/>
          <w:szCs w:val="28"/>
          <w:rtl w:val="true"/>
          <w:lang w:bidi="ar-SA"/>
        </w:rPr>
        <w:t xml:space="preserve">يقصد بالقاعدة المذكورة ان غير الشيعي إذا قام بفعل معين يعتقد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له معتقد لا يرتبط بالفعل كما ستأتي أمثلة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الشيعي لا يعتقد بصحته فله الحق في ترتيب الآثار التي هي في صالحه بالرغم من عدم اعتقاده بصحته الزاما للطرف المقابل بما يقتضيه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فالزواج مثلا بلا اشهاد عادلين صحيح عندنا و باطل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يشترطون الاشهاد في الزواج و لا يشترطونه في الطلاق على العكس منّا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عاميّا تزوج بلا اشهاد فهو باطل في معتقده و صحيح في معتقدنا، و ما دام باطلا في معتقده فلنا الزامه بذلك و ترتيب آثار البطلان عليه التي منها جواز التزوج بتلك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الطلاق بلا اشهاد صحيح عندهم و باطل عندنا، فلو طلّق غير الامامي زوجته فالطلاق و ان كان باطلا بنظرنا و هي بعد باقية زوجة له إلاّ انّه من باب الزامه بمعتقده يصح لنا الزواج بتلك التي طلقها بلا اشهاد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الطلاق ثلاثا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عندنا و صحيح </w:t>
      </w:r>
      <w:bookmarkStart w:id="97" w:name="pg19669_189132"/>
    </w:p>
    <w:p>
      <w:pPr>
        <w:pStyle w:val="BookText"/>
        <w:rPr/>
      </w:pPr>
      <w:bookmarkEnd w:id="97"/>
      <w:r>
        <w:rPr>
          <w:rFonts w:ascii="Amiri" w:hAnsi="Amiri" w:eastAsia="Amiri" w:cs="Amiri"/>
          <w:color w:val="111111"/>
          <w:sz w:val="28"/>
          <w:sz w:val="28"/>
          <w:szCs w:val="28"/>
          <w:rtl w:val="true"/>
          <w:lang w:bidi="ar-SA"/>
        </w:rPr>
        <w:t>عندهم، فلو طلّق العامي زوجته كذلك صحّ منّا الزواج بها الزاما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أمثلة اخرى تأتي الإشارة إليها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794898_2314609296"/>
      <w:bookmarkStart w:id="99" w:name="_Toc34"/>
      <w:bookmarkEnd w:id="98"/>
      <w:r>
        <w:rPr/>
        <w:t>2</w:t>
      </w:r>
      <w:r>
        <w:rPr>
          <w:rtl w:val="true"/>
        </w:rPr>
        <w:t xml:space="preserve"> - </w:t>
      </w:r>
      <w:r>
        <w:rPr>
          <w:rtl w:val="true"/>
        </w:rPr>
        <w:t>قاعدتا الالزام و الامضاء</w:t>
      </w:r>
      <w:bookmarkEnd w:id="99"/>
    </w:p>
    <w:p>
      <w:pPr>
        <w:pStyle w:val="BookText"/>
        <w:rPr/>
      </w:pPr>
      <w:r>
        <w:rPr>
          <w:rFonts w:ascii="Amiri" w:hAnsi="Amiri" w:eastAsia="Amiri" w:cs="Amiri"/>
          <w:color w:val="111111"/>
          <w:sz w:val="28"/>
          <w:sz w:val="28"/>
          <w:szCs w:val="28"/>
          <w:rtl w:val="true"/>
          <w:lang w:bidi="ar-SA"/>
        </w:rPr>
        <w:t>و نلفت النظر الى ان قاعدة الالزام هذه تغاير قاعدة امضاء ما لدى كل ذوي دين من احكام و قوانين، و تلك القاعدة غير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فالكتابي إذا تزوج على طبق ما لديهم من قوانين حكم بصحّة ذلك الزواج و لم يحق لنا التزوّج بزوجته و تعاملنا معها معاملة 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لقاعدة الالزام بل لقاعدة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طلّق الكتابي زوجته على طبق ما لديهم من قوانين امضي الطلاق و حكمنا بجواز زواجها من كتابي آخر لو تحاكموا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القاعدتين هو انّه في قاعدة الالزام يفترض ان الامامي يطبق القاعدة لينتفع من تطبيقها و ليكون ذلك في صالحه بخلاف ذلك في قاعدة الامضاء فان نتيجة تطبيقها ليست في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الامامي إذا تزوج بغير الامامية بزواج هو باطل عندنا و صحيح عندهم فليس بالامكان تطبيق قاعدة الالزام بل لا بدّ من تطبيق قاعدة الامضاء، و يلزم من ذلك الحكم بصحّة الزواج و من ثمّ لا يجوز للإمامي 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نتيجة في غير صالحه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لو فرض في المثال المذكور نفسه ان الزواج المجرى كان باطلا عندهم و صحيحا عندنا فبالامكان تطبيق قاعدة الالزام و تزوج </w:t>
      </w:r>
      <w:bookmarkStart w:id="100" w:name="pg19669_189133"/>
    </w:p>
    <w:p>
      <w:pPr>
        <w:pStyle w:val="BookText"/>
        <w:rPr/>
      </w:pPr>
      <w:bookmarkEnd w:id="100"/>
      <w:r>
        <w:rPr>
          <w:rFonts w:ascii="Amiri" w:hAnsi="Amiri" w:eastAsia="Amiri" w:cs="Amiri"/>
          <w:color w:val="111111"/>
          <w:sz w:val="28"/>
          <w:sz w:val="28"/>
          <w:szCs w:val="28"/>
          <w:rtl w:val="true"/>
          <w:lang w:bidi="ar-SA"/>
        </w:rPr>
        <w:t>الامامي بتلك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نتيجة في صالحه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3794900_2314609296"/>
      <w:bookmarkStart w:id="102" w:name="_Toc35"/>
      <w:bookmarkEnd w:id="101"/>
      <w:r>
        <w:rPr/>
        <w:t>3</w:t>
      </w:r>
      <w:r>
        <w:rPr>
          <w:rtl w:val="true"/>
        </w:rPr>
        <w:t xml:space="preserve"> - </w:t>
      </w:r>
      <w:r>
        <w:rPr>
          <w:rtl w:val="true"/>
        </w:rPr>
        <w:t>مدرك القاعدة</w:t>
      </w:r>
      <w:bookmarkEnd w:id="102"/>
    </w:p>
    <w:p>
      <w:pPr>
        <w:pStyle w:val="BookText"/>
        <w:rPr/>
      </w:pPr>
      <w:r>
        <w:rPr>
          <w:rFonts w:ascii="Amiri" w:hAnsi="Amiri" w:eastAsia="Amiri" w:cs="Amiri"/>
          <w:color w:val="111111"/>
          <w:sz w:val="28"/>
          <w:sz w:val="28"/>
          <w:szCs w:val="28"/>
          <w:rtl w:val="true"/>
          <w:lang w:bidi="ar-SA"/>
        </w:rPr>
        <w:t>ذكر الحرّ العاملي مجموعتين من الروايات التي تصلح أن تشكّل مدركا للقاعدة 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الطلاق، 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ان كانت متعددة إلاّ ان ما يدل منها على القاعدة الكليّة هو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الطوسي بسنده الى الحسن بن محمد بن سماعة عن عبد اللّه بن جبلة عن غير واحد عن علي بن أبي حمزة انّه سأل أبا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على غير السنّة</w:t>
      </w:r>
      <w:r>
        <w:rPr>
          <w:rStyle w:val="FootnoteAnchor"/>
          <w:rtl w:val="true"/>
        </w:rPr>
        <w:footnoteReference w:id="58"/>
      </w:r>
      <w:r>
        <w:rPr>
          <w:rFonts w:ascii="Amiri" w:hAnsi="Amiri" w:eastAsia="Amiri" w:cs="Amiri"/>
          <w:color w:val="111111"/>
          <w:sz w:val="28"/>
          <w:sz w:val="28"/>
          <w:szCs w:val="28"/>
          <w:rtl w:val="true"/>
          <w:lang w:bidi="ar-SA"/>
        </w:rPr>
        <w:t>أ يتزوّجها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من ذلك ما ألزموه أنفسهم و تزوجوهنّ فلا بأس بذلك</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محمّد بن علي ماجيلويه عن محمّد بن يحيى عن أحمد بن محمد بن عيسى عن جعفر بن محمّد الأشعري عن أبيه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يدين بدين قوم لزمته أحكامهم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يفهم من هذه الرواية النظر الى القاعدة الثانية، أي امضاء ما لدى كل ذوي دين من 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يعقوب عن علي بن إبراهيم عن أبيه عن ابن أبي عمير عن عمر بن اذينة عن عبد اللّه بن محرز قلت لأبي عبد اللّه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ترك ابنته و اخته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لابنته و ليس للأخت </w:t>
      </w:r>
    </w:p>
    <w:p>
      <w:pPr>
        <w:pStyle w:val="BookText"/>
        <w:rPr/>
      </w:pPr>
      <w:r>
        <w:rPr>
          <w:rFonts w:ascii="Amiri" w:hAnsi="Amiri" w:eastAsia="Amiri" w:cs="Amiri"/>
          <w:color w:val="111111"/>
          <w:sz w:val="28"/>
          <w:sz w:val="28"/>
          <w:szCs w:val="28"/>
          <w:rtl w:val="true"/>
          <w:lang w:bidi="ar-SA"/>
        </w:rPr>
        <w:t>من الأب و الامّ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احتجنا الى هذا و الميت رجل من هؤلاء الناس و اخته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 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ما جاء به ابن محرز لنورا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تدل على ثبوت حق المقاصة النوعية و انه ما دام هم يأخذون منكم فأنتم خذوا منهم بالمقابل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الشيخ عن علي بن الحسن بن فضال عن السندي بن محمد البزاز عن العلاء بن رزين القلاء عن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كل ما يرونه حلالا و صحيحا يكون ممضيا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الوقفة القصيرة عند اسناد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الرواية الاولى ففيها مشكلتان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عن غير واحد، و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المشكلة الاولى فيمكن التغلّب عليها بناء على ان التعبير المذكور يدل على ثلاثة فما زاد و اجتماع العدد المذكور على الكذب في نقل مثل الحكم المذكور بعيد جدّا و يحصل الاطمئنان بعدمه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البطائني فهو الرجل المشهور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الشيخ و النجاشي بدون توثيق بل روى الكشي عن ابن فضال انّه كذّاب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متهم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الامام الرضا عليه السّلام ان البطائني بعد موته أقعد في قبره فسئل عن الأئمة عليهم السّلام فاخبر بأسمائهم حتى انتهى إليّ فسئل فوقف فضرب على رأسه ضربة امتلأ قبره نارا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 ان بالامكان توثيقه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البطائني كان وكيلا للإمام الكاظم عليه السّلام في حفظ أمواله و أمينا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العاقل لا يقدم على جعل شخص أمينا على أمواله إلاّ إذا كان لديه في أعلى درجات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غير ثقة في مجال الأحاديث فقط فليس من المناسب للإمام عليه السّلام الركون الى مثله و جعله أمينا على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الانحراف الذي حصل يلزم أن يكون قد تجدد بعد الوثاقة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أن تكون الروايات المنقولة عنه قد نقلت عنه قبل انحرافه إذ مثل هذا الانحراف العظيم يحقّق سببا لنفرة الخط المعتدل عنه، فنقل الثقات عنه كاشف عن حصول ذلك قبل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وثاقته الثقات عنه ممّن قيل عنه انّه لا يروي الاّ عن ثقة كابن أبي عمير و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الشيخ في العدة عمل الطائفة برواياته إذا لم يكن لها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كذّاب متهم أو ملعون فيمكن حمله على فكرة الوقف التي حصلت منه و خيانته في الأموال المودعة لديه من قبل الامام الكاظم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الرواية الثانية فتصحيح سندها صعب فان ماجيلويه و انه</w:t>
      </w:r>
      <w:r>
        <w:rPr>
          <w:rFonts w:eastAsia="Amiri" w:cs="Amiri" w:ascii="Amiri" w:hAnsi="Amiri"/>
          <w:color w:val="111111"/>
          <w:sz w:val="28"/>
          <w:szCs w:val="28"/>
          <w:rtl w:val="true"/>
          <w:lang w:bidi="ar-SA"/>
        </w:rPr>
        <w:t xml:space="preserve">. </w:t>
      </w:r>
      <w:bookmarkStart w:id="103" w:name="pg19669_189136"/>
    </w:p>
    <w:p>
      <w:pPr>
        <w:pStyle w:val="BookText"/>
        <w:rPr/>
      </w:pPr>
      <w:bookmarkEnd w:id="103"/>
      <w:r>
        <w:rPr>
          <w:rFonts w:ascii="Amiri" w:hAnsi="Amiri" w:eastAsia="Amiri" w:cs="Amiri"/>
          <w:color w:val="111111"/>
          <w:sz w:val="28"/>
          <w:sz w:val="28"/>
          <w:szCs w:val="28"/>
          <w:rtl w:val="true"/>
          <w:lang w:bidi="ar-SA"/>
        </w:rPr>
        <w:t>أمكن توثيقه من خلال شيخوخة الاجازة الا ان جعفر بن محمد الأشعري و والده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الثالثة فقد يشكل في سندها من ناحية عبد اللّه بن محرز فانه لم يوثق الا ان تعبير زرارة بان على رواية عبد اللّه بن محرز نورا يمكن أن يسهّل الأمر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الرابعة فهي صحيحة السند</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794902_2314609296"/>
      <w:bookmarkStart w:id="105" w:name="_Toc36"/>
      <w:bookmarkEnd w:id="104"/>
      <w:r>
        <w:rPr/>
        <w:t>4</w:t>
      </w:r>
      <w:r>
        <w:rPr>
          <w:rtl w:val="true"/>
        </w:rPr>
        <w:t xml:space="preserve"> - </w:t>
      </w:r>
      <w:r>
        <w:rPr>
          <w:rtl w:val="true"/>
        </w:rPr>
        <w:t>اباحة أو صحّة واقعية</w:t>
      </w:r>
      <w:bookmarkEnd w:id="105"/>
    </w:p>
    <w:p>
      <w:pPr>
        <w:pStyle w:val="BookText"/>
        <w:rPr/>
      </w:pPr>
      <w:r>
        <w:rPr>
          <w:rFonts w:ascii="Amiri" w:hAnsi="Amiri" w:eastAsia="Amiri" w:cs="Amiri"/>
          <w:color w:val="111111"/>
          <w:sz w:val="28"/>
          <w:sz w:val="28"/>
          <w:szCs w:val="28"/>
          <w:rtl w:val="true"/>
          <w:lang w:bidi="ar-SA"/>
        </w:rPr>
        <w:t>اذا طلّق غير الشيعي زوجته بدون اشهاد فطلاقه صحيح في نظره و يجوز للشيعي ترتيب آثار الطلاق الصحيح عليه و ذلك بالتزوج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غير الشيعي استبصر فهل تعود بذلك زوجيته السابقة أو لا؟</w:t>
      </w:r>
    </w:p>
    <w:p>
      <w:pPr>
        <w:pStyle w:val="BookText"/>
        <w:rPr/>
      </w:pPr>
      <w:r>
        <w:rPr>
          <w:rFonts w:ascii="Amiri" w:hAnsi="Amiri" w:eastAsia="Amiri" w:cs="Amiri"/>
          <w:color w:val="111111"/>
          <w:sz w:val="28"/>
          <w:sz w:val="28"/>
          <w:szCs w:val="28"/>
          <w:rtl w:val="true"/>
          <w:lang w:bidi="ar-SA"/>
        </w:rPr>
        <w:t>و من الطبيعي يختص السؤال بحالة ما اذا لم تتزوج المطلقة، و اما لو تزوجت فلا يحتمل عود الزوجية باستبصاره إذ المفروض ان الزواج الثاني صحيح، و لازم صحته زوال الزوجيّة الاولى، و مع زوالها فعودها يحتاج الى عقد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الكلام فيما اذا لم تتزوج المطلقة حتى استبصر زوجها فاذا استبصر فهل يحق له الرجوع اليها بدون عقد جديد؟ و أوضح من ذلك ما إذا فرضنا ان الزوجة استبصرت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طرح هذا كسؤال على السيد الحكيم قدّس سرّه أيّام حياته فأجاب </w:t>
      </w:r>
    </w:p>
    <w:p>
      <w:pPr>
        <w:pStyle w:val="BookText"/>
        <w:rPr/>
      </w:pPr>
      <w:r>
        <w:rPr>
          <w:rFonts w:ascii="Amiri" w:hAnsi="Amiri" w:eastAsia="Amiri" w:cs="Amiri"/>
          <w:color w:val="111111"/>
          <w:sz w:val="28"/>
          <w:sz w:val="28"/>
          <w:szCs w:val="28"/>
          <w:rtl w:val="true"/>
          <w:lang w:bidi="ar-SA"/>
        </w:rPr>
        <w:t>بأنّها باقية زوجة له</w:t>
      </w:r>
      <w:r>
        <w:rPr>
          <w:rStyle w:val="FootnoteAnchor"/>
          <w:rtl w:val="true"/>
        </w:rPr>
        <w:footnoteReference w:id="65"/>
      </w:r>
      <w:r>
        <w:rPr>
          <w:rFonts w:ascii="Amiri" w:hAnsi="Amiri" w:eastAsia="Amiri" w:cs="Amiri"/>
          <w:color w:val="111111"/>
          <w:sz w:val="28"/>
          <w:sz w:val="28"/>
          <w:szCs w:val="28"/>
          <w:rtl w:val="true"/>
          <w:lang w:bidi="ar-SA"/>
        </w:rPr>
        <w:t>بينما أجاب الشيخ حسين الحلي بالنفي</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الأوّل الى الشيخ حسن صاحب أنوار الفقاهة أيضا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الاختلاف في الجواب يرجع الى الاختلاف فيما هو المستفاد من الروايات فهل المستفاد منها ان الطلاق الفاقد للشرائط باطل غايته ان الشيعي يباح له ترتيب آثار الصحة أو ان المستفاد منها صحة الطلاق واقعا ما دام صاحبه يعتقد بصحته فكأن الاعتقاد بالصحة يقلب الواقع من البطلان الى الصحة كالاضطرار الذي يقلب الحرام الى مباح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هو الأوّل فان مقتضى أدلّة شرطية الاشهاد في الطلاق ان الطلاق بلا اشهاد باطل، و هذا من دون فرق بين كون الطلاق صادرا من امامي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مقتضى القاعدة الأولية بطلان الطلاق بلا اشهاد حتى في حقّ غير الامامي، و الخروج عن مقتضى القاعدة المذكورة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ذلك الدليل مجملا و يحتمل أن يكون المراد منه صحة الطلاق بلا اشهاد من غير الامامي واقعا و ان يكون المراد منه مجرّد ترتيب آثار الصحة من دون أن يكون صحيحا واقعا فلا بدّ من التمسك بمقتضى القاعدة المذكورة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باتضاح هذا نرجع الى روايات قاعدة الالزام لنلاحظ هل تدل على الصحة الواقعية أو على مجرّد ترتيب آثار 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الرواية الاولى فأقصى ما تدل عليه هو حق الالزام و ترتيب آثار الصحة إذ كلمة الالزام يفهم منها عرفا ان الطلاق باطل واقعا و لكنّه يجوز ترتيب آثار الصحة عليه الزاما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عن هذا الظهور فلا أقل من اجمال الرواية و كونها ذات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واقعا و مجرّد ترتيب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اجمال الرواية يلزم الرجوع الى مقتضى القاعدة القاضي بالبطلان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الرواية الثالثة إذ الوارد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منهم كما يأخذون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يرادف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بينهما فيأتي فيه ما ذكرناه في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الرواية الثانية فقد توحي بالصحة الواقعية حيث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الأحكام غير الالزام بها و لذلك قلنا يحتمل كون المقصود منها قاعدة الامضاء دون قاعدة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لكنها مضافا الى ضعف سندها يحتمل كون المقصود من اللزوم الالزام فانّه لا حزازة عرفا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لزمته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الزموهم بأحكامهم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وجود كلا الاحتمالين في الرواية تعود مجملة، و بذلك يلزم الرجوع الى مقتضى القاعدة القاضي ببطلان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الرواية الرابعة فقد توحي بالصحة الواقعية أيضا لأنّها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 ما يرونه حلالا يمضي عليهم، و ظاهر المضي المضي واقعا و كون الطلاق ماضيا و صحيحا واقعا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المحتمل كون المقصود الحلية للغير عليه لا له على الغير، أي ان الطلاق ماض عليه و ملزم به لا انه ماض له واقعا، و مع كون الرواية ذات احتمالين يتعين التمسك بمقتضى القاعدة</w:t>
      </w:r>
      <w:r>
        <w:rPr>
          <w:rFonts w:eastAsia="Amiri" w:cs="Amiri" w:ascii="Amiri" w:hAnsi="Amiri"/>
          <w:color w:val="111111"/>
          <w:sz w:val="28"/>
          <w:szCs w:val="28"/>
          <w:rtl w:val="true"/>
          <w:lang w:bidi="ar-SA"/>
        </w:rPr>
        <w:t xml:space="preserve">. </w:t>
      </w:r>
      <w:bookmarkStart w:id="106" w:name="pg19669_189139"/>
    </w:p>
    <w:p>
      <w:pPr>
        <w:pStyle w:val="BookText"/>
        <w:rPr/>
      </w:pPr>
      <w:bookmarkEnd w:id="106"/>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الطلاق صحيحا واقعا فكيف يجوز للشيعي الزواج بالمرأة التي لم يتحقق طلاق الزوج لها؟ و هل يجوز الزواج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المحتمل ان الشيعي متى ما تزوج تحقق الطلاق من حين وقوعه و كان التزوج كاشفا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عدم جواز التزوج بذات البعل ليس من الأحكام العقلية حتى لا تقبل التخصيص بل هو حكم شرعي قابل للاختصاص بغير موارد الالزام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بنفس هذا نجيب عن مثل موثق عبد الرحمن البصري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هذه المرأة، لا تترك بغير زوج</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بتزوج المرأة قد يوحي بصحة الطلاق الواقع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الجواب عنه ما تقدّم من التمسك بفكرة الانكشاف أو التخصيص</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3794904_2314609296"/>
      <w:bookmarkStart w:id="108" w:name="_Toc37"/>
      <w:bookmarkEnd w:id="107"/>
      <w:r>
        <w:rPr/>
        <w:t>5</w:t>
      </w:r>
      <w:r>
        <w:rPr>
          <w:rtl w:val="true"/>
        </w:rPr>
        <w:t xml:space="preserve"> - </w:t>
      </w:r>
      <w:r>
        <w:rPr>
          <w:rtl w:val="true"/>
        </w:rPr>
        <w:t>عموم القاعدة لسائر ذوي الأديان</w:t>
      </w:r>
      <w:bookmarkEnd w:id="108"/>
    </w:p>
    <w:p>
      <w:pPr>
        <w:pStyle w:val="BookText"/>
        <w:rPr/>
      </w:pPr>
      <w:r>
        <w:rPr>
          <w:rFonts w:ascii="Amiri" w:hAnsi="Amiri" w:eastAsia="Amiri" w:cs="Amiri"/>
          <w:color w:val="111111"/>
          <w:sz w:val="28"/>
          <w:sz w:val="28"/>
          <w:szCs w:val="28"/>
          <w:rtl w:val="true"/>
          <w:lang w:bidi="ar-SA"/>
        </w:rPr>
        <w:t>و هل تعم القاعدة سائر ذوي الأديان؟ فلو فرض ان الكتابي طلّق زوجته طلاقا فاقدا للشروط عندنا فهل يجوز لنا الزواج بها؟ نعم لوجهين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المسلم من غير الشيعة إذا كان يلزم بذلك فبالاولى الزام غير المسلم</w:t>
      </w:r>
      <w:r>
        <w:rPr>
          <w:rFonts w:eastAsia="Amiri" w:cs="Amiri" w:ascii="Amiri" w:hAnsi="Amiri"/>
          <w:color w:val="111111"/>
          <w:sz w:val="28"/>
          <w:szCs w:val="28"/>
          <w:rtl w:val="true"/>
          <w:lang w:bidi="ar-SA"/>
        </w:rPr>
        <w:t xml:space="preserve">. </w:t>
      </w:r>
      <w:bookmarkStart w:id="109" w:name="pg19669_189140"/>
    </w:p>
    <w:p>
      <w:pPr>
        <w:pStyle w:val="BookText"/>
        <w:rPr/>
      </w:pPr>
      <w:bookmarkEnd w:id="10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صحيحة محمّد بن مسلم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ذوي دين ما يستحلون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يعمّ الجميع</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3794906_2314609296"/>
      <w:bookmarkStart w:id="111" w:name="_Toc38"/>
      <w:bookmarkEnd w:id="110"/>
      <w:r>
        <w:rPr/>
        <w:t>6</w:t>
      </w:r>
      <w:r>
        <w:rPr>
          <w:rtl w:val="true"/>
        </w:rPr>
        <w:t xml:space="preserve"> - </w:t>
      </w:r>
      <w:r>
        <w:rPr>
          <w:rtl w:val="true"/>
        </w:rPr>
        <w:t>مصاديق لقاعدة الالزام</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الامامية اعتبار الاشهاد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العامة وافق الامامية في ذلك، و كثير منهم ذهب الى فساده، و بعض منهم ذهب الى فساده على تقدير عدم الاعلان عنه، فالمدار عنده على الاعلان و عدمه لا على الاشهاد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تزوّج رجل من العامة الذين يعتقدون بفساد العقد بدون اشهاد بامرأة من دون اشهاد فمن السائغ للإمامي الزواج بها تطبيقا لقاعدة الالزام حيث يرى الزوج فساد العقد بدون اشهاد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يرى العامة جواز الجمع بين العمة و ابنة أخيها و هكذا بين الخالة و ابنة اختها بل متى ما تقارن العقدان فسدا معا و متى ما تقدّم أحدهما بطل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الامامية فترى ان ادخال العمة و الخالة عليهما لا محذور فيه و يصح العقدان، و اما ادخال بنت الاخ و الاخت على العمة و الخالة فلا يصح إلاّ برضا العمة و 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فلو تزوج العامي بالعمة أو الخالة على بنت الأخ أو الاخت أو بالعكس أو تقارنا جاز للإمامي الزواج بالعمة و الخالة بدون شرط و هكذا جاز له الزواج ببنت الأخ أو الاخت بشرط اذن العمة و الخالة لو كان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العمة و 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كل ذلك لقاعدة الالزام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إذا كانت يائسة أو صغيرة لا تجب عليها العدّة مع </w:t>
      </w:r>
    </w:p>
    <w:p>
      <w:pPr>
        <w:pStyle w:val="BookText"/>
        <w:rPr/>
      </w:pPr>
      <w:r>
        <w:rPr>
          <w:rFonts w:ascii="Amiri" w:hAnsi="Amiri" w:eastAsia="Amiri" w:cs="Amiri"/>
          <w:color w:val="111111"/>
          <w:sz w:val="28"/>
          <w:sz w:val="28"/>
          <w:szCs w:val="28"/>
          <w:rtl w:val="true"/>
          <w:lang w:bidi="ar-SA"/>
        </w:rPr>
        <w:t>الدخول بها لدى الامامية بينما تجب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كانت الزوجة شيعية أو تشيّعت</w:t>
      </w:r>
      <w:r>
        <w:rPr>
          <w:rStyle w:val="FootnoteAnchor"/>
          <w:rtl w:val="true"/>
        </w:rPr>
        <w:footnoteReference w:id="69"/>
      </w:r>
      <w:r>
        <w:rPr>
          <w:rFonts w:ascii="Amiri" w:hAnsi="Amiri" w:eastAsia="Amiri" w:cs="Amiri"/>
          <w:color w:val="111111"/>
          <w:sz w:val="28"/>
          <w:sz w:val="28"/>
          <w:szCs w:val="28"/>
          <w:rtl w:val="true"/>
          <w:lang w:bidi="ar-SA"/>
        </w:rPr>
        <w:t>فلها حق المطالبة بالنفقة أيّام العدّة باعتقادهم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الزوج شيعيا و الزوجة المطلقة من غير الشيعة فله الحق في الرجوع إليها الزاما لها بالعدّة و بأحكامها التي منها جواز الرجوع إليها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يرى الامامية ان التركة اذا فضل منها شيء عن السهام المقررة المفروضة ردّ الفاضل على ذوي السهام بينما العامة ترى رده على عصبة الميت</w:t>
      </w:r>
      <w:r>
        <w:rPr>
          <w:rStyle w:val="FootnoteAnchor"/>
          <w:rtl w:val="true"/>
        </w:rPr>
        <w:footnoteReference w:id="70"/>
      </w:r>
      <w:r>
        <w:rPr>
          <w:rFonts w:ascii="Amiri" w:hAnsi="Amiri" w:eastAsia="Amiri" w:cs="Amiri"/>
          <w:color w:val="111111"/>
          <w:sz w:val="28"/>
          <w:sz w:val="28"/>
          <w:szCs w:val="28"/>
          <w:rtl w:val="true"/>
          <w:lang w:bidi="ar-SA"/>
        </w:rPr>
        <w:t>كالأخ أو الاخت أو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بطلان التعصيب لدى الامامية، أي يرد الفاضل على ذوي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خلّف الميت أخا و بنتا فعلى رأي الامامية يدفع النصف الى البنت بالفريضة و الباقي يرد عليها، و اما على رأي العامة فيدفع النصف الباقي الى الاخ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هذا ان الأخ إذا كان من الامامية و البنت من غيرهم أخذ الأخ الباقي بمقتضى قاعدة الالزام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لو ترك الميت بنتا و عمّا فانّه لو كان العم إماميّا و البنت ليست كذلك جاز له أخذ النصف بالتعصيب طبقا لقاعدة الالزام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12" w:name="pg19669_189142"/>
    </w:p>
    <w:p>
      <w:pPr>
        <w:pStyle w:val="BookText"/>
        <w:rPr/>
      </w:pPr>
      <w:bookmarkEnd w:id="11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ارث الزوجة يرى الامامية انها ترث من الأموال المنقولة، و اما الأموال غير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الأرض و ما ثبت عليها من بناء و 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ترث من الأرض شيئا و ترث ممّا ثبتت عليها من قيمته دون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العامة فيرون انها ترث من جميع التركة بدون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كانت الزوجة من الشيعة بينما بقية الورثة من غيرهم فلها أخذ الربع أو الثمن من جميع التركة بقاعدة الالزام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3794908_2314609296"/>
      <w:bookmarkStart w:id="114" w:name="_Toc39"/>
      <w:bookmarkEnd w:id="113"/>
      <w:r>
        <w:rPr/>
        <w:t>7</w:t>
      </w:r>
      <w:r>
        <w:rPr>
          <w:rtl w:val="true"/>
        </w:rPr>
        <w:t xml:space="preserve"> - </w:t>
      </w:r>
      <w:r>
        <w:rPr>
          <w:rtl w:val="true"/>
        </w:rPr>
        <w:t>تطبيقات</w:t>
      </w:r>
      <w:bookmarkEnd w:id="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تزوج الامامي بامرأة من العامة بدون اشهاد أثناء العقد فما هو الحكم اتجاه نفقتها و ارثها لو مات زوجها أو أحد أولادها؟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فرض العكس بأن تزوجت الامامية بغير الامامي بدون اشهاد فما هي الأحكام المترتبة بمقتضى قاعدة الالزام؟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اماميا و له زوجة من العامة و طلّقها ثلاثا في مجلس واحد الذي هو باطل عندنا فهناك أحكام تثبت بمقتضى قاعدة الالزام و أحكام تثبت بقطع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كلا القسمين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الامامي إذا تزوج بامرأة عامية بدون اشهاد فهل يجوز له الزواج باختها تطبيقا لقاعدة الالزام؟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طلّق غير الامامي زوجته التي ليست هي بامامية أيضا فتارة نفترض ان شخصا ثالثا غير امامي أراد الزواج بها و اخرى نفترض ان الثالث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الحالة الاولى يجوز زواج الثالث طبقا لأي قاعدة؟ و هكذا في الحالة الثانية يجوز زواج الثالث طبقا لأي قاعدة؟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غير الامامي بغير الامامية بعقد نفترضه تارة صحيحا عندهم و اخرى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الحالة الاولى لا يجوز للإمامي الزواج بتلك المرأة بينما في الحالة الثانية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اوضح وجه الفرق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أشياء لا يجوز بيعها لحرمة أكلها كالسمك الجري مثلا، و لكن حيث يستحلها غير الامامي فهل يمكن الحكم بجواز بيعها عليه تطبيقا لقاعدة الالزام؟ </w:t>
      </w:r>
      <w:bookmarkStart w:id="115" w:name="pg19669_189144"/>
    </w:p>
    <w:p>
      <w:pPr>
        <w:pStyle w:val="Heading2"/>
        <w:numPr>
          <w:ilvl w:val="1"/>
          <w:numId w:val="1"/>
        </w:numPr>
        <w:rPr/>
      </w:pPr>
      <w:bookmarkStart w:id="116" w:name="__RefHeading___Toc3794910_2314609296"/>
      <w:bookmarkStart w:id="117" w:name="_Toc40"/>
      <w:bookmarkEnd w:id="115"/>
      <w:bookmarkEnd w:id="116"/>
      <w:r>
        <w:rPr>
          <w:rtl w:val="true"/>
        </w:rPr>
        <w:t>قاعدة سوق المسلمين</w:t>
      </w:r>
      <w:bookmarkEnd w:id="117"/>
    </w:p>
    <w:p>
      <w:pPr>
        <w:pStyle w:val="Heading3"/>
        <w:numPr>
          <w:ilvl w:val="2"/>
          <w:numId w:val="1"/>
        </w:numPr>
        <w:rPr/>
      </w:pPr>
      <w:bookmarkStart w:id="118" w:name="__RefHeading___Toc3794912_2314609296"/>
      <w:bookmarkStart w:id="119" w:name="_Toc41"/>
      <w:bookmarkEnd w:id="118"/>
      <w:r>
        <w:rPr>
          <w:rtl w:val="true"/>
        </w:rPr>
        <w:t>اشارة</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المسلم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امارة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نكتة امارية السوق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فرق المسلمين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أرض الإسلام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قاعدة سوق المسلمين من القواعد المهمّة التي ينتفع بها كثيرا في مجال تعايش المسلمين بعضهم مع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 حجية القاعدة المذكورة لا يمكن شراء اللحم من الأسواق و الأكل منها لاحتمال عدم تذكيتها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الفقهاء عادة إلى هذه القاعدة عند بحثهم عن النجاسات فان احدها هو الميتة التي يراد بها كل حيوان زهقت روحه بدون تذكية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يذكرون مسألة اخرى و هي ان الحيوان الذي يشك في تذكيته محكوم بحرمة تناول لحمه إلاّ إذا اخذ من سوق المسلمين فإنّه محكوم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أيضا يأخذون بالبحث عن القاعدة المذكورة بشكل مختصر و من بعض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البحث عنها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 xml:space="preserve">. </w:t>
      </w:r>
      <w:bookmarkStart w:id="120" w:name="pg19669_189147"/>
    </w:p>
    <w:p>
      <w:pPr>
        <w:pStyle w:val="BookText"/>
        <w:rPr/>
      </w:pPr>
      <w:bookmarkEnd w:id="12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السوق امارة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نكتة امارية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بين فرق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مصنوع أرض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794914_2314609296"/>
      <w:bookmarkStart w:id="122" w:name="_Toc42"/>
      <w:bookmarkEnd w:id="121"/>
      <w:r>
        <w:rPr/>
        <w:t>1</w:t>
      </w:r>
      <w:r>
        <w:rPr>
          <w:rtl w:val="true"/>
        </w:rPr>
        <w:t xml:space="preserve"> - </w:t>
      </w:r>
      <w:r>
        <w:rPr>
          <w:rtl w:val="true"/>
        </w:rPr>
        <w:t>مضمون القاعدة</w:t>
      </w:r>
      <w:bookmarkEnd w:id="122"/>
    </w:p>
    <w:p>
      <w:pPr>
        <w:pStyle w:val="BookText"/>
        <w:rPr/>
      </w:pPr>
      <w:r>
        <w:rPr>
          <w:rFonts w:ascii="Amiri" w:hAnsi="Amiri" w:eastAsia="Amiri" w:cs="Amiri"/>
          <w:color w:val="111111"/>
          <w:sz w:val="28"/>
          <w:sz w:val="28"/>
          <w:szCs w:val="28"/>
          <w:rtl w:val="true"/>
          <w:lang w:bidi="ar-SA"/>
        </w:rPr>
        <w:t>يقصد من القاعدة المذكورة الحكم بامارية السوق على التذكية، فان الحيوان إذا لم يذك لم يجز تناول لحمه و لا الصلاة مع جلده، و اذا شك في تذكيته حكم عليه بعدمها تمسّكا باستصحاب عدمها فان الحيوان حالة حياته لم يكن مذكى فاذا شك في حصولها له عند زهاق روحه استصحب ذلك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الاستصحاب حجّة و يحكم على الحيوان بعدم التذكية و من ثمّ بعدم جواز تناول لحمه و لا الصلاة في جلده بل و في رأي المشهور يحكم بنجاسته و تنجس اليد و الملابس باصابتها له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الاستصحاب محكّم و لا يجوز تجاوزه إلاّ إذا كان ذلك مأخوذا من سوق المسلمين فانه محكوم بالتذكية و من ثمّ بحلية تناول اللحم و جواز الصلاة مع الجلد و الطهارة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امارية سوق المسلمين تختص بهذا المجال و هو اثبات التذكية، و اما اثبات الملكية و الطهارة فذلك أجنبي عن امارية السوق، فلو فرض ان شخصا أراد شراء شيء من سوق المسلمين و هو لا يدري </w:t>
      </w:r>
      <w:bookmarkStart w:id="123" w:name="pg19669_189148"/>
    </w:p>
    <w:p>
      <w:pPr>
        <w:pStyle w:val="BookText"/>
        <w:rPr/>
      </w:pPr>
      <w:bookmarkEnd w:id="123"/>
      <w:r>
        <w:rPr>
          <w:rFonts w:ascii="Amiri" w:hAnsi="Amiri" w:eastAsia="Amiri" w:cs="Amiri"/>
          <w:color w:val="111111"/>
          <w:sz w:val="28"/>
          <w:sz w:val="28"/>
          <w:szCs w:val="28"/>
          <w:rtl w:val="true"/>
          <w:lang w:bidi="ar-SA"/>
        </w:rPr>
        <w:t>ان ذلك الشيء ملك للبائع أو لا، أو شك في طهارته و عدمها فليس له جعل السوق امارة على الملكية أو الطهارة بل الملكية تثبت بقاعدة اليد و لو لم تكن يد مسلمة، و الطهارة تثبت بقاعدة الطهارة و لو لم تكن اليد مسلمة أيضا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794916_2314609296"/>
      <w:bookmarkStart w:id="125" w:name="_Toc43"/>
      <w:bookmarkEnd w:id="124"/>
      <w:r>
        <w:rPr/>
        <w:t>2</w:t>
      </w:r>
      <w:r>
        <w:rPr>
          <w:rtl w:val="true"/>
        </w:rPr>
        <w:t xml:space="preserve"> - </w:t>
      </w:r>
      <w:r>
        <w:rPr>
          <w:rtl w:val="true"/>
        </w:rPr>
        <w:t>مدرك القاعدة</w:t>
      </w:r>
      <w:bookmarkEnd w:id="125"/>
    </w:p>
    <w:p>
      <w:pPr>
        <w:pStyle w:val="BookText"/>
        <w:rPr/>
      </w:pPr>
      <w:r>
        <w:rPr>
          <w:rFonts w:ascii="Amiri" w:hAnsi="Amiri" w:eastAsia="Amiri" w:cs="Amiri"/>
          <w:color w:val="111111"/>
          <w:sz w:val="28"/>
          <w:sz w:val="28"/>
          <w:szCs w:val="28"/>
          <w:rtl w:val="true"/>
          <w:lang w:bidi="ar-SA"/>
        </w:rPr>
        <w:t>يمكن الاستدلال على القاعدة المذكورة بالوجوه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بسيرة المتشرّعة، فاننا نذهب الى السوق و نشتري اللحم و نتعامل معه معاملة المذكى بالرغم من ان القصاب الذي نشتري منه ذلك لا نجزم بتذكيته للحيوان بل نحتمل اما انّه لم يذكه رأسا أو ذكّاه لا على الوجه الشرعي المضبوط، و من تحرّج عن الشراء و الأكل عدّ منحرفا عن الاتجاه العام الذي يسير عليه المسلمون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السيرة لا نحتمل كونها متجددة و حاصلة في العصر المتأخّر، كيف و هل يحتمل ان المسلمين في عصر الأئمة عليهم السّلام لم يكونوا ليشتروا اللحم من السوق، أو هل يحتمل انهم كانوا يجزمون بأن جميع القصابين في ذلك العهد يجرون التذكية على وجهها الشرعي المضبوط من دون احتمال تخلّف أحدهم عن 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سلمنا بانعقاد هذه السيرة فلا نحتاج الى اثبات حجيتها بفكرة الامضاء من خلال 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نكون بحاجة الى ذلك في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حجة بدون ذلك لأن افتراض كونها سيرة متشرّعة نفسه يستبطن افتراض كونها متلقاة من الشرع المقدّس و إلاّ لم تكن سيرة متشرعة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عدم حجية سوق المسلمين اختلال النظام إذ يلزم ان يذبح كل فرد مسلم الحيوان لنفسه و لا يجوز له شراء اللحم من السوق و الأكل منه لأن احتمال عدم التذكية ما دام موجودا فبالاستصحاب يثبت عدم تذكية الحيوان المشكوك و من ثمّ عدم جواز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هذا المجال عدّة روايات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فضيل و زرارة و محمد بن مسلم حيث سألوا أبا جعفر عليه السّلام عن شراء اللّحوم من الأسواق و لا يدرى ما صنع القصّابون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إذا كان ذلك في سوق المسلمين و لا تسأل عنه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واضحة الدلالة و صحيحة السند حيث يرويها الكليني عن علي بن إبراهيم عن أبيه عن ابن أبي عمير عن عمر بن اذينة عن فضيل و زرارة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عن العبد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و السند جيّدان فان الشيخ الطوسي يرويها بسنده الى سعد عن ايوب بن نوح عن عبد اللّه بن المغيرة عن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الشيخ الى سعد صحيح أيضا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يأتي السوق فيشتري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6" w:name="pg19669_189150"/>
    </w:p>
    <w:p>
      <w:pPr>
        <w:pStyle w:val="BookText"/>
        <w:rPr/>
      </w:pPr>
      <w:bookmarkEnd w:id="126"/>
      <w:r>
        <w:rPr>
          <w:rFonts w:ascii="Amiri" w:hAnsi="Amiri" w:eastAsia="Amiri" w:cs="Amiri"/>
          <w:color w:val="111111"/>
          <w:sz w:val="28"/>
          <w:sz w:val="28"/>
          <w:szCs w:val="28"/>
          <w:rtl w:val="true"/>
          <w:lang w:bidi="ar-SA"/>
        </w:rPr>
        <w:t>جبّة فراء لا يدري أذكية هي أم غير ذكية أ يصلّي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عليكم المسألة، 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الخوارج ضيّقوا على أنفسهم بجهالتهم، ان الدين أوسع من ذلك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تدل على ذم السؤال و الفحص حذرا من ايقاع المؤمن نفسه في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السند أيضا لأن الشيخ يرويها بسنده الصحيح إلى ابن محبوب عن أحمد بن محمد</w:t>
      </w:r>
      <w:r>
        <w:rPr>
          <w:rStyle w:val="FootnoteAnchor"/>
          <w:rtl w:val="true"/>
        </w:rPr>
        <w:footnoteReference w:id="74"/>
      </w:r>
      <w:r>
        <w:rPr>
          <w:rFonts w:ascii="Amiri" w:hAnsi="Amiri" w:eastAsia="Amiri" w:cs="Amiri"/>
          <w:color w:val="111111"/>
          <w:sz w:val="28"/>
          <w:sz w:val="28"/>
          <w:szCs w:val="28"/>
          <w:rtl w:val="true"/>
          <w:lang w:bidi="ar-SA"/>
        </w:rPr>
        <w:t>عن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مضمرة و لعل المسؤول ليس هو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البزنطي حيث انّه من أجلّة الأصحاب الذين لا يليق بهم الرواية عن غير الامام عليه السّلام فيتعيّن أن يكون المسؤول هو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امكان تطبيق البيان العام الذي ذكرناه سابقا لحجية جميع المضمرات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روايات اخرى في هذا المجال يمكن ملاحظتها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 في كتاب وسائل الشيعة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3794918_2314609296"/>
      <w:bookmarkStart w:id="128" w:name="_Toc44"/>
      <w:bookmarkEnd w:id="127"/>
      <w:r>
        <w:rPr/>
        <w:t>3</w:t>
      </w:r>
      <w:r>
        <w:rPr>
          <w:rtl w:val="true"/>
        </w:rPr>
        <w:t xml:space="preserve"> - </w:t>
      </w:r>
      <w:r>
        <w:rPr>
          <w:rtl w:val="true"/>
        </w:rPr>
        <w:t>يد المسلم</w:t>
      </w:r>
      <w:bookmarkEnd w:id="1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اللحم تارة نأخذه من سوق المسلمين، و هذا كما عرفنا محكوم بالتذكية، و اخرى نأخذه من يد شخص مسلم بهدية أو شراء من دون أن يمرّ ذلك الأخذ بسوق المسلمين، كما لو أخذناه </w:t>
      </w:r>
      <w:bookmarkStart w:id="129" w:name="pg19669_189151"/>
    </w:p>
    <w:p>
      <w:pPr>
        <w:pStyle w:val="BookText"/>
        <w:rPr/>
      </w:pPr>
      <w:bookmarkEnd w:id="129"/>
      <w:r>
        <w:rPr>
          <w:rFonts w:ascii="Amiri" w:hAnsi="Amiri" w:eastAsia="Amiri" w:cs="Amiri"/>
          <w:color w:val="111111"/>
          <w:sz w:val="28"/>
          <w:sz w:val="28"/>
          <w:szCs w:val="28"/>
          <w:rtl w:val="true"/>
          <w:lang w:bidi="ar-SA"/>
        </w:rPr>
        <w:t>منه في البلاد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يد المسلم كسوق المسلمين امارة على التذكية؟</w:t>
      </w:r>
    </w:p>
    <w:p>
      <w:pPr>
        <w:pStyle w:val="BookText"/>
        <w:rPr/>
      </w:pPr>
      <w:r>
        <w:rPr>
          <w:rFonts w:ascii="Amiri" w:hAnsi="Amiri" w:eastAsia="Amiri" w:cs="Amiri"/>
          <w:color w:val="111111"/>
          <w:sz w:val="28"/>
          <w:sz w:val="28"/>
          <w:szCs w:val="28"/>
          <w:rtl w:val="true"/>
          <w:lang w:bidi="ar-SA"/>
        </w:rPr>
        <w:t>اننا لو رجعنا الى الروايات نجدها تعبّر بكلمة السوق إلاّ انّه بالرغم من ذلك يمكن الحكم بالايجاب باعتبار ان الامارية التي ثبتت لسوق المسلمين لا نحتمل اعتبارها له بما هو بناء خاص يشتمل على محلات معدودة و انما اعتبرت له من جهة كونه المحل الذي يضم المسلمين و الكاشف عن كون اليد المأخوذ منها يدا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الامارة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يد المسلم دون السوق نفسها و انما السوق امارة على الامارة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794920_2314609296"/>
      <w:bookmarkStart w:id="131" w:name="_Toc45"/>
      <w:bookmarkEnd w:id="130"/>
      <w:r>
        <w:rPr/>
        <w:t>4</w:t>
      </w:r>
      <w:r>
        <w:rPr>
          <w:rtl w:val="true"/>
        </w:rPr>
        <w:t xml:space="preserve"> - </w:t>
      </w:r>
      <w:r>
        <w:rPr>
          <w:rtl w:val="true"/>
        </w:rPr>
        <w:t>السوق امارة</w:t>
      </w:r>
      <w:bookmarkEnd w:id="131"/>
    </w:p>
    <w:p>
      <w:pPr>
        <w:pStyle w:val="BookText"/>
        <w:rPr/>
      </w:pPr>
      <w:r>
        <w:rPr>
          <w:rFonts w:ascii="Amiri" w:hAnsi="Amiri" w:eastAsia="Amiri" w:cs="Amiri"/>
          <w:color w:val="111111"/>
          <w:sz w:val="28"/>
          <w:sz w:val="28"/>
          <w:szCs w:val="28"/>
          <w:rtl w:val="true"/>
          <w:lang w:bidi="ar-SA"/>
        </w:rPr>
        <w:t>من يقرأ الروايات السابقة يفهم منها بوضوح ان السوق ليس امارة تعبدا و لا لنكتة عقلائية بل هو امارة لنكتة عقلائية و هي كاشفيته عن كون البائع مسلما، و كاشفية يده عن كونها تطبق الشرائط الشرعية للتذكية بدقة و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الكاشفتين تستند الى نكتة الغلبة، فانّه لما كان الغالب في السوق تواجد المسلمين فيه فوجود المحل في السوق يكشف عن كون صاحبه مسلما، و لما كان الغالب على المسلمين التحفّظ على الشروط الشرعية للتذكية فالأخذ من اليد المحكوم بإسلامها يكشف عن تحقق الشروط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السوق يكشف عن كون اليد المأخوذ منها يدا مسلمة لأجل الغلبة، و الأخذ من اليد المسلمة يكشف عن تحقّق الشروط الشرعية </w:t>
      </w:r>
    </w:p>
    <w:p>
      <w:pPr>
        <w:pStyle w:val="BookText"/>
        <w:rPr/>
      </w:pPr>
      <w:r>
        <w:rPr>
          <w:rFonts w:ascii="Amiri" w:hAnsi="Amiri" w:eastAsia="Amiri" w:cs="Amiri"/>
          <w:color w:val="111111"/>
          <w:sz w:val="28"/>
          <w:sz w:val="28"/>
          <w:szCs w:val="28"/>
          <w:rtl w:val="true"/>
          <w:lang w:bidi="ar-SA"/>
        </w:rPr>
        <w:t>لأجل الغلبة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كون حجية السوق من الناحية المذكورة و ليس لنكتة تعبدية الامور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السوق لا يكون امارة على التذكية إلاّ إذا كان الطابع العام على أصحاب السوق الإسلام بحيث كان الكل أو الأغلب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الكل أو الأغلب من غير المسلمين فلا يكون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في 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اطلاق كلمة السوق في 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السوق بما هو سوق و بقطع النظر عن كونه سوق المسلمين لا يحتمل اماريته على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بقطع النظر عن ذلك يمكن أن نستفيد اعتبار غلبة المسلمين من خلال التصريح بالتقييد المذكور في الرواية الاولى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أيضا ان السوق الإسلامي إذا كان يستورد بعض الأحزمة و الأحذية المصنوعة من جلود الحيوانات من بعض الدول الكافرة مع الجزم بعدم مبالاة المسلم المستورد بقضية التذكية بل تمام همّه تحصيل الأرباح لا غير فلا يجوز شراؤها استنادا إلى امارية السوق لأنّ السوق لا امارية له بعد ضعف المبالاة بتعاليم الإسلام أو انعدامها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أيضا ان السوق الاسلامي لو كنّا نجزم باشتمال بعض المحلاّت فيه على لحوم غير مذكاة و ليس بامكاننا تشخيص ذلك المحل عن غيره فلا بدّ من هجر الشراء من تلك المحلات لسقوط السوق عن الامارية بعد العلم باشتماله على غير المذكى فان السوق امارة عند الشك في التذكية لا عند الجزم بعدمها</w:t>
      </w:r>
      <w:r>
        <w:rPr>
          <w:rFonts w:eastAsia="Amiri" w:cs="Amiri" w:ascii="Amiri" w:hAnsi="Amiri"/>
          <w:color w:val="111111"/>
          <w:sz w:val="28"/>
          <w:szCs w:val="28"/>
          <w:rtl w:val="true"/>
          <w:lang w:bidi="ar-SA"/>
        </w:rPr>
        <w:t xml:space="preserve">. </w:t>
      </w:r>
      <w:bookmarkStart w:id="132" w:name="pg19669_189153"/>
    </w:p>
    <w:p>
      <w:pPr>
        <w:pStyle w:val="BookText"/>
        <w:rPr/>
      </w:pPr>
      <w:bookmarkEnd w:id="132"/>
      <w:r>
        <w:rPr>
          <w:rFonts w:ascii="Amiri" w:hAnsi="Amiri" w:eastAsia="Amiri" w:cs="Amiri"/>
          <w:color w:val="111111"/>
          <w:sz w:val="28"/>
          <w:sz w:val="28"/>
          <w:szCs w:val="28"/>
          <w:rtl w:val="true"/>
          <w:lang w:bidi="ar-SA"/>
        </w:rPr>
        <w:t>و بتسليم سقوط السوق عن الامارية فيما يجزم بعدم تذكيته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السوق على الحجية و الامارية بلحاظ جميع المحلات باطل للعلم بسقوطه عن الحجية بلحاظ بعضها و هو ما يجزم باشتماله على غير المذكى، و بقاؤه على الامارية بلحاظ بعض دون آخر ترجيح بلا مرجح فيلزم سقوطه عن الاعتبار بلحاظ أي فرد من المحلات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 قد يستفاد من موثقة إسحاق بن عمار المتقدّمة كفاية غلبة المسلمين في الحكم بالحلية إذ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ذلك أيضا ان يد المسلم انّما تكون امارة على التذكية فيما لو كان يتعامل مع ما هو تحت يده التعامل الخاص بالمذكى كعرض الجلود للبيع أو لبسها في الصلاة أو مسّها برطوبة و ما شاكل ذلك، اما إذا لم يكن له هذا التعامل، كما إذا احتمل ان احتفاظه باللحم لأجل الالقاء في المزبلة أو الاحراق فلا تكون يده حجّة لفقدان الامارية في مثل الحالة المذكورة</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3794922_2314609296"/>
      <w:bookmarkStart w:id="134" w:name="_Toc46"/>
      <w:bookmarkEnd w:id="133"/>
      <w:r>
        <w:rPr/>
        <w:t>5</w:t>
      </w:r>
      <w:r>
        <w:rPr>
          <w:rtl w:val="true"/>
        </w:rPr>
        <w:t xml:space="preserve"> - </w:t>
      </w:r>
      <w:r>
        <w:rPr>
          <w:rtl w:val="true"/>
        </w:rPr>
        <w:t>تحليل نكتة امارية السوق</w:t>
      </w:r>
      <w:bookmarkEnd w:id="134"/>
    </w:p>
    <w:p>
      <w:pPr>
        <w:pStyle w:val="BookText"/>
        <w:rPr/>
      </w:pPr>
      <w:r>
        <w:rPr>
          <w:rFonts w:ascii="Amiri" w:hAnsi="Amiri" w:eastAsia="Amiri" w:cs="Amiri"/>
          <w:color w:val="111111"/>
          <w:sz w:val="28"/>
          <w:sz w:val="28"/>
          <w:szCs w:val="28"/>
          <w:rtl w:val="true"/>
          <w:lang w:bidi="ar-SA"/>
        </w:rPr>
        <w:t>من الواضح ان سوق المسلمين بما هو سوق المسلمين و بقطع النظر عن ضم نكتة اخرى لا عبرة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نحتمل ان حجية سوق المسلمين قضية تعبدية بشكل بحت و إلاّ يلزم ان اللحم المشكوك تذكيته إذا كان بيد الكافر فهو </w:t>
      </w:r>
    </w:p>
    <w:p>
      <w:pPr>
        <w:pStyle w:val="BookText"/>
        <w:rPr/>
      </w:pPr>
      <w:r>
        <w:rPr>
          <w:rFonts w:ascii="Amiri" w:hAnsi="Amiri" w:eastAsia="Amiri" w:cs="Amiri"/>
          <w:color w:val="111111"/>
          <w:sz w:val="28"/>
          <w:sz w:val="28"/>
          <w:szCs w:val="28"/>
          <w:rtl w:val="true"/>
          <w:lang w:bidi="ar-SA"/>
        </w:rPr>
        <w:t xml:space="preserve">محرم و لكن بمجرّد أن يدفعه الكافر الى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المبالي بتعاليم الشريعة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حلالا، فعملية النقل من هذه اليد إلى تلك توجب الحلية بالرغم من الجزم بعدم تحقيق اليد الثانية المسلمة عن قضية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لا بدّ من وجود نكتة عقلائية على أساسها تثبت الحجية لسوق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النكتة العقلائية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لما أشرنا إليه سابقا من ان تواجد المسلمين في السوق لما كان هو الطابع العام كان ذلك كاشفا عن كون يد البائع يدا مسلمة، و اليد المسلمة بدورها و لأجل الغلبة تكشف عن تحقق شروط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السوق على هذا الأساس يكون امارة على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السوق كاشفا ابتداء عن تذكية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توسط الكاشفية عن اليد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الغالب فيما يتداول في سوق المسلمين كونه مذبوحا على الطريقة الاسلامية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الثمرة بين هاتين النكتتين تظهر فيما لو كان صاحب أحد المحلات في سوق المسلمين كافرا، فانه على النكتة الاولى لا يمكن الحكم بتذكية اللحم المشترى منه لأنّ السوق امارة على اسلام الذابح حالة الشك في كونه مسلما و المفروض الجزم بكفره بينما على النكتة الثانية يمكن الحكم بالتذكية لأنّ السوق بحكم غلبة تواجد المذكى فيه يكشف عن تذكية اللحم المشكوك الموجود فيه حتى و لو كان بيد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السوق كاشفا عن مرور مشكوك التذكية بيد المسلم من خلال البيع و نحوه، و الانتقال إلى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من خلال المرور باليد المسلمة لأن الكافر ما دام أحد الأفراد في السوق المسلمة فلا بدّ ان يكون وصول الدجاج و نحوه إلى يده قد تمّ من خلال الانتقال إليه من المذابح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فالسوق المسلمة على هذا كاشفة بنحو الاجمال عن وجود يد مسلمة قد مرّ الحيوان بها، و تلك اليد المسلمة المعلومة بنحو الاجمال هي الامارة على 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السوق على هذه النكتة امارة على الامارة كما هو الحال على النكتة الاولى و لا فرق بينهما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الثمرة بينهما تظهر فيما لو كان البائع في السوق المسلمة كافرا و لكن كنّا نحتمل ان اللحم الموجود عنده قد مرّ باليد المسلمة فإنّه على النكتة الاولى لا يحكم بالتذكية لأنّ حجية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كاشفيته عن اسلام البائع و المفروض في المقام الجزم بعدم اسلامه، بينما على النكتة الثالثة يحكم بالتذكية لكاشفية السوق عن مرور الحيوان باليد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بعد هذا الفرق بين النكتتين الأخيرتين واضحا إذ في مثال البائع الكافر يحكم بكون اللحم المأخوذ منه مذكى على النكتة الثانية حتى و لو علم بعدم سبق يد المسلم عليه بينما على النكتة الثالثة لا يحكم بذلك إلاّ مع احتمال سبق 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هذا الاستعراض لنكتة امارية سوق المسلمين يمكن الحكم بترجيح النكتة الاولى اما لأنّها هي المفهومة عرفا من خلال قراءة </w:t>
      </w:r>
      <w:bookmarkStart w:id="135" w:name="pg19669_189156"/>
    </w:p>
    <w:p>
      <w:pPr>
        <w:pStyle w:val="BookText"/>
        <w:rPr/>
      </w:pPr>
      <w:bookmarkEnd w:id="135"/>
      <w:r>
        <w:rPr>
          <w:rFonts w:ascii="Amiri" w:hAnsi="Amiri" w:eastAsia="Amiri" w:cs="Amiri"/>
          <w:color w:val="111111"/>
          <w:sz w:val="28"/>
          <w:sz w:val="28"/>
          <w:szCs w:val="28"/>
          <w:rtl w:val="true"/>
          <w:lang w:bidi="ar-SA"/>
        </w:rPr>
        <w:t>النصوص أو لأنّه بعد اجمالها و عدم تعين الاولى ينبغي الاقتصار على القدر المتيقن و هو الاولى لأنّه بناء عليها يلزم اعتبار كون البائع مسلما و لا يكون السوق حجّة في صورة العلم بعدم إسلام البائع بخلافه على الأخيرتين، و مقتضى الاقتصار في مخالفة استصحاب عدم التذكية على المقدار المتيقن هو عدم الحكم بالتذكية إلاّ مع اسلام البائع</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3794924_2314609296"/>
      <w:bookmarkStart w:id="137" w:name="_Toc47"/>
      <w:bookmarkEnd w:id="136"/>
      <w:r>
        <w:rPr/>
        <w:t>6</w:t>
      </w:r>
      <w:r>
        <w:rPr>
          <w:rtl w:val="true"/>
        </w:rPr>
        <w:t xml:space="preserve"> - </w:t>
      </w:r>
      <w:r>
        <w:rPr>
          <w:rtl w:val="true"/>
        </w:rPr>
        <w:t>لا فرق بين فرق المسلمين</w:t>
      </w:r>
      <w:bookmarkEnd w:id="137"/>
    </w:p>
    <w:p>
      <w:pPr>
        <w:pStyle w:val="BookText"/>
        <w:rPr/>
      </w:pPr>
      <w:r>
        <w:rPr>
          <w:rFonts w:ascii="Amiri" w:hAnsi="Amiri" w:eastAsia="Amiri" w:cs="Amiri"/>
          <w:color w:val="111111"/>
          <w:sz w:val="28"/>
          <w:sz w:val="28"/>
          <w:szCs w:val="28"/>
          <w:rtl w:val="true"/>
          <w:lang w:bidi="ar-SA"/>
        </w:rPr>
        <w:t xml:space="preserve">و هل الحكم بامارية سوق المسلمين على التذكية يختص بما إذا كان مسلمو السوق من الامامية؟ كلا، بل يعمّ ما إذا كانوا من الفرق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ذهاب كلّهم أو جلّهم إلى القول بطهارة جلد الميتة بالدبغ و حلية 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النصوص و عدم تقييد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بفرقة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الطابع العام على سوق المسلمين عصر صدور النصوص احتواؤها على الطوائف الاخرى غير الامامية، و تخصيصها بهم دون غيرهم يلزم منه تخصيص الأكثر الذي هو مستهجن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ذهاب الفرق الاخرى من غير الامامية الى القول بطهارة جلد الميتة بالدبغ أو بحلية ذبائح أهل الكتاب لا يمنع من امارية سوق المسلمين للوجهين المتقدّمين خلافا لما ينسب الى العلاّمة الحلّي من عدم الحكم بالامارية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يستشهد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الصلاة في الفراء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w:t>
      </w:r>
    </w:p>
    <w:p>
      <w:pPr>
        <w:pStyle w:val="BookText"/>
        <w:rPr/>
      </w:pPr>
      <w:r>
        <w:rPr>
          <w:rFonts w:ascii="IRNazanin" w:hAnsi="IRNazanin" w:eastAsia="IRNazanin"/>
          <w:color w:val="111111"/>
          <w:sz w:val="28"/>
          <w:sz w:val="28"/>
          <w:szCs w:val="28"/>
          <w:rtl w:val="true"/>
          <w:lang w:bidi="fa-IR"/>
        </w:rPr>
        <w:t>رجلا صردا</w:t>
      </w:r>
      <w:r>
        <w:rPr>
          <w:rStyle w:val="FootnoteAnchor"/>
          <w:rtl w:val="true"/>
        </w:rPr>
        <w:footnoteReference w:id="76"/>
      </w:r>
      <w:r>
        <w:rPr>
          <w:rFonts w:ascii="Amiri" w:hAnsi="Amiri" w:eastAsia="Amiri" w:cs="Amiri"/>
          <w:color w:val="111111"/>
          <w:sz w:val="28"/>
          <w:sz w:val="28"/>
          <w:szCs w:val="28"/>
          <w:rtl w:val="true"/>
          <w:lang w:bidi="ar-SA"/>
        </w:rPr>
        <w:t>لا يدفئه فراء الحجاز لأنّ دباغها بالقرظ</w:t>
      </w:r>
      <w:r>
        <w:rPr>
          <w:rStyle w:val="FootnoteAnchor"/>
          <w:rtl w:val="true"/>
        </w:rPr>
        <w:footnoteReference w:id="77"/>
      </w:r>
      <w:r>
        <w:rPr>
          <w:rFonts w:ascii="Amiri" w:hAnsi="Amiri" w:eastAsia="Amiri" w:cs="Amiri"/>
          <w:color w:val="111111"/>
          <w:sz w:val="28"/>
          <w:sz w:val="28"/>
          <w:szCs w:val="28"/>
          <w:rtl w:val="true"/>
          <w:lang w:bidi="ar-SA"/>
        </w:rPr>
        <w:t>فكان يبعث الى العراق فيؤتى ممّا قبلكم بالفرو فيلبسه فاذا حضرت الصلاة ألقاه و ألقى القميص الذي يليه فكان يسأل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العراق يستحلون لباس الجلود الميتة و يزعمون ان دباغه ذكاته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عبد الرحمن بن الحجاج 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أدخل سوق المسلمين أعني هذا الخلق الذين يدعون الإسلام فاشتري منهم الفراء للتجارة فأقول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هي ذكية؟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فهل يصلح لي أن أبيعها على انّها ذكية؟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بأس أن تبيعها و تقول قد شرط لي الذي اشتريتها منه انّها 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أفسد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استحلال أهل العراق للميتة و زعموا ان دباغ جلد الميتة ذكاته ثم لم يرضوا ان يكذبوا في ذلك إلاّ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يرد الاولى ضعفها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القاء الامام عليه السّلام للفرو فعل و هو مجمل إذ لعل ذلك صدر منه من باب الرجحان دون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السندي لاشتمال الطريق على جملة من المجاهيل كما يتضح من خلال المراجعة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الثانية ضعفها الدلالي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أقصى ما تدل عليه عدمر</w:t>
      </w:r>
      <w:r>
        <w:rPr>
          <w:rFonts w:eastAsia="Amiri" w:cs="Amiri" w:ascii="Amiri" w:hAnsi="Amiri"/>
          <w:color w:val="111111"/>
          <w:sz w:val="28"/>
          <w:szCs w:val="28"/>
          <w:rtl w:val="true"/>
          <w:lang w:bidi="ar-SA"/>
        </w:rPr>
        <w:t xml:space="preserve">. </w:t>
      </w:r>
      <w:bookmarkStart w:id="138" w:name="pg19669_189158"/>
    </w:p>
    <w:p>
      <w:pPr>
        <w:pStyle w:val="BookText"/>
        <w:rPr/>
      </w:pPr>
      <w:bookmarkEnd w:id="138"/>
      <w:r>
        <w:rPr>
          <w:rFonts w:ascii="Amiri" w:hAnsi="Amiri" w:eastAsia="Amiri" w:cs="Amiri"/>
          <w:color w:val="111111"/>
          <w:sz w:val="28"/>
          <w:sz w:val="28"/>
          <w:szCs w:val="28"/>
          <w:rtl w:val="true"/>
          <w:lang w:bidi="ar-SA"/>
        </w:rPr>
        <w:t xml:space="preserve">جواز الشهادة و التعهد بكون المشكوك مذكى و لا تدل على الحكم عليه بعدم كونه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السندي</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794926_2314609296"/>
      <w:bookmarkStart w:id="140" w:name="_Toc48"/>
      <w:bookmarkEnd w:id="139"/>
      <w:r>
        <w:rPr/>
        <w:t>7</w:t>
      </w:r>
      <w:r>
        <w:rPr>
          <w:rtl w:val="true"/>
        </w:rPr>
        <w:t xml:space="preserve"> - </w:t>
      </w:r>
      <w:r>
        <w:rPr>
          <w:rtl w:val="true"/>
        </w:rPr>
        <w:t>مصنوع أرض الإسلام</w:t>
      </w:r>
      <w:bookmarkEnd w:id="140"/>
    </w:p>
    <w:p>
      <w:pPr>
        <w:pStyle w:val="BookText"/>
        <w:rPr/>
      </w:pPr>
      <w:r>
        <w:rPr>
          <w:rFonts w:ascii="Amiri" w:hAnsi="Amiri" w:eastAsia="Amiri" w:cs="Amiri"/>
          <w:color w:val="111111"/>
          <w:sz w:val="28"/>
          <w:sz w:val="28"/>
          <w:szCs w:val="28"/>
          <w:rtl w:val="true"/>
          <w:lang w:bidi="ar-SA"/>
        </w:rPr>
        <w:t xml:space="preserve">قد يعيش المسلم أحيانا في بلاد كافرة و يجد الأحزمة أو الأحذية المصنوعة من الجلود في أسواقها، ان أمثال تلك محكوم عليها بمقتضى استصحاب عدم التذكية بكونها غير مذكاة و من ثمّ بنجاستها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تنجس الرجل عند ملاقاتها لها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 نستثني من ذلك ما إذا كان قد كتب على الجلد بأنّه قد صنع في تركيا مثلا التي هي من البلدان الاسلامية، انّه في مثل هذه الحالة إذا لم يحصل الاطمئنان الكامل بصدق الكتابة و حقانيتها فلا يجوز الاتكال عليها، و اما إذا حصل ذلك جاز الاتكال عليها و الحكم بالتذكية و من ثمّ الطهارة إذ يثبت بذلك كونه مصنوعا في أرض الإسلام، و هو كاف في الحكم بالتذكية و لا يتوقف الحكم بها على الأخذ من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 موثقة إسحاق بن عمار المتقدّمة عند بيان مدرك القاعدة إذ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الفراء اليماني و فيما صنع في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المدعى بوضوح</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794928_2314609296"/>
      <w:bookmarkStart w:id="142" w:name="_Toc49"/>
      <w:bookmarkEnd w:id="141"/>
      <w:r>
        <w:rPr>
          <w:rtl w:val="true"/>
        </w:rPr>
        <w:t>الخلاصة</w:t>
      </w:r>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مجموع كل هذا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الجلد أو اللحم الذي </w:t>
      </w:r>
      <w:bookmarkStart w:id="143" w:name="pg19669_189159"/>
    </w:p>
    <w:p>
      <w:pPr>
        <w:pStyle w:val="BookText"/>
        <w:rPr/>
      </w:pPr>
      <w:bookmarkEnd w:id="143"/>
      <w:r>
        <w:rPr>
          <w:rFonts w:ascii="Amiri" w:hAnsi="Amiri" w:eastAsia="Amiri" w:cs="Amiri"/>
          <w:color w:val="111111"/>
          <w:sz w:val="28"/>
          <w:sz w:val="28"/>
          <w:szCs w:val="28"/>
          <w:rtl w:val="true"/>
          <w:lang w:bidi="ar-SA"/>
        </w:rPr>
        <w:t>يشك في تذكيته محكوم بعدم التذكية استنادا الى استصحاب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الاستصحاب لا يجوز تجاوزه إلاّ إذا قامت امارة شرعية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الامارة ذات أفراد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و يد المسلم، و الصنع في أرض الإسلام</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794930_2314609296"/>
      <w:bookmarkStart w:id="145" w:name="_Toc50"/>
      <w:bookmarkEnd w:id="144"/>
      <w:r>
        <w:rPr/>
        <w:t>8</w:t>
      </w:r>
      <w:r>
        <w:rPr>
          <w:rtl w:val="true"/>
        </w:rPr>
        <w:t xml:space="preserve"> - </w:t>
      </w:r>
      <w:r>
        <w:rPr>
          <w:rtl w:val="true"/>
        </w:rPr>
        <w:t>تطبيقات</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تباع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كالأحزمة و الأحذية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محلات البلدان الكافرة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تارة نطمئن بسبق يد المسلم عليها و اخرى نظن بذلك و ثالثة نحتمل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في الحالات الثلاث المذكورة؟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حكم الأسماك التي تباع في أسواق البلاد الكافرة أو معلبات السمك التي تجلب منها و تباع في أسواق البلاد الاسلامية؟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في لندن كثيرون في هذه الفترة فهل يجوز الاستناد بعد هذا إلى أسواقها و الحكم بالتذكية؟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بلد يشتمل على سوقين أحدهما مسلم و الآخر ليس كذلك و لم نميّز هذا عن ذاك فهل يجوز الشراء من أحدهما؟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اشترينا أحزمة من بلاد اسلامية و لكن لا ندري هي مصنوعة فيها أو مستوردة من بلاد كافرة فما هو الحكم في مثل ذلك؟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البلاد المسلمة يباع في مطاعمها الدجاج المستورد من البلاد الكافرة هل يجوز لنا التناول منه؟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بلاد كافرة فيها سوق كبير صاحب أحد المحلات فيه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المحل الوحيد الذي صاحبه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يبيع اللحوم فهل يجوز لنا الشراء منه؟ و ما هي القاعدة التي نستند إليها في الجواز ان حكمنا به؟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له محل في شارع معين و ليس في السوق و لا ندري هو مسلم أو لا، و الطابع العام على البلاد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شراء اللحوم منه و لأي قاعدة؟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الاجبان أو الزبدة أو الحليب التي تباع في سوق البلاد الكافرة هل يجوز شراؤها و تناولها؟ و لما ذا؟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تباع معلبات الباذنجان و غيرها في أسواق البلاد الكافرة هل يجوز تناولها؟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اشترينا طعاما من البلاد الكافرة و هو يشتمل على مادة لا ندري هي من قسم اللحوم أو لا هل يجوز تناوله؟ و لما ذا؟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في بعض الدول الكافرة سوق للمسلمين و لكن المسيطر عليه و صاحب القوّة و النفوذ هم أشخاص من اليهود فهل يحكم بالتذكية على المشترى من ذلك السوق؟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9669_189162"/>
      <w:bookmarkStart w:id="147" w:name="pg19669_189162"/>
      <w:bookmarkEnd w:id="147"/>
    </w:p>
    <w:p>
      <w:pPr>
        <w:pStyle w:val="Heading2"/>
        <w:numPr>
          <w:ilvl w:val="1"/>
          <w:numId w:val="1"/>
        </w:numPr>
        <w:rPr/>
      </w:pPr>
      <w:bookmarkStart w:id="148" w:name="pg19669_189162"/>
      <w:bookmarkStart w:id="149" w:name="__RefHeading___Toc3794932_2314609296"/>
      <w:bookmarkStart w:id="150" w:name="_Toc51"/>
      <w:bookmarkEnd w:id="148"/>
      <w:bookmarkEnd w:id="149"/>
      <w:r>
        <w:rPr>
          <w:rtl w:val="true"/>
        </w:rPr>
        <w:t>قاعدة السلطنة</w:t>
      </w:r>
      <w:bookmarkEnd w:id="150"/>
    </w:p>
    <w:p>
      <w:pPr>
        <w:pStyle w:val="Heading3"/>
        <w:numPr>
          <w:ilvl w:val="2"/>
          <w:numId w:val="1"/>
        </w:numPr>
        <w:rPr/>
      </w:pPr>
      <w:bookmarkStart w:id="151" w:name="__RefHeading___Toc3794934_2314609296"/>
      <w:bookmarkStart w:id="152" w:name="_Toc52"/>
      <w:bookmarkEnd w:id="151"/>
      <w:r>
        <w:rPr>
          <w:rtl w:val="true"/>
        </w:rPr>
        <w:t>اشارة</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المحتملات في قاعدة السلطنة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قاعدة السلطنة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الحقوق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النفس و الأعضاء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 الضرر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المسلمة لدى الفقهاء و التي يذكرونها عادة في باب المعاملات قاعدة السلطنة و لكنّهم كعادتهم في بقية القواعد يكتفون بمجرّد الإشارة إليها و المرور عليها بلا بحث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مسألة ان المعاطاة تفيد الملك دون الاباحة ذكر الشيخ الأعظم في المكاسب ان من الوجوه التي قد يستدل بها على ذلك قاعدة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أشار الى امكان الاستدلال بها في مسألة ان الأصل في الملك عند الشك في كونه جائزا أو لازما هو اللزوم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موضع آخر يشار فيه الى القاعدة المذكورة و هو مسألة لا ضرر عند بحثهم عن حدودها و تفاصيلها، فان أحد الأبحاث هناك مسألة تعارض قاعدة لا ضرر مع قاعدة السلطنة، كما لو أراد شخص أن يحدث حماما في داره و لكنّه كان موجبا لتضرّر جاره، فان قاعدة لا ضرر تنفي جواز الاضرار بالجار بينما قاعدة السلطنة تقضي بجواز </w:t>
      </w:r>
      <w:bookmarkStart w:id="153" w:name="pg19669_189165"/>
    </w:p>
    <w:p>
      <w:pPr>
        <w:pStyle w:val="BookText"/>
        <w:rPr/>
      </w:pPr>
      <w:bookmarkEnd w:id="153"/>
      <w:r>
        <w:rPr>
          <w:rFonts w:ascii="Amiri" w:hAnsi="Amiri" w:eastAsia="Amiri" w:cs="Amiri"/>
          <w:color w:val="111111"/>
          <w:sz w:val="28"/>
          <w:sz w:val="28"/>
          <w:szCs w:val="28"/>
          <w:rtl w:val="true"/>
          <w:lang w:bidi="ar-SA"/>
        </w:rPr>
        <w:t>ذلك و ان لزم تضرّر الجار لأنّ ذلك مقتضى سلطنة المالك على ملكه، و عند التعارض المذكور ما ذا يكون الموقف؟ و لكنهم في هذا الموضع و سابقه يكتفون بالاشارة الى قاعدة السلطنة من دون بيان مدركها و حدودها و ما يرتبط بها من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حديثنا عن القاعدة المذكورة يقع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المحتملات في 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قاعدة السلطنة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التسلّط على النفس و 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السلطنة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3794936_2314609296"/>
      <w:bookmarkStart w:id="155" w:name="_Toc53"/>
      <w:bookmarkEnd w:id="154"/>
      <w:r>
        <w:rPr/>
        <w:t>1</w:t>
      </w:r>
      <w:r>
        <w:rPr>
          <w:rtl w:val="true"/>
        </w:rPr>
        <w:t xml:space="preserve"> - </w:t>
      </w:r>
      <w:r>
        <w:rPr>
          <w:rtl w:val="true"/>
        </w:rPr>
        <w:t>مضمون القاعدة</w:t>
      </w:r>
      <w:bookmarkEnd w:id="155"/>
    </w:p>
    <w:p>
      <w:pPr>
        <w:pStyle w:val="BookText"/>
        <w:rPr/>
      </w:pPr>
      <w:r>
        <w:rPr>
          <w:rFonts w:ascii="Amiri" w:hAnsi="Amiri" w:eastAsia="Amiri" w:cs="Amiri"/>
          <w:color w:val="111111"/>
          <w:sz w:val="28"/>
          <w:sz w:val="28"/>
          <w:szCs w:val="28"/>
          <w:rtl w:val="true"/>
          <w:lang w:bidi="ar-SA"/>
        </w:rPr>
        <w:t>يقصد بقاعدة السلطنة ان كل مالك لشيء هو مسلّط على التصرّف فيه بما يشاء ضمن الحدود الشرعية، فله الحق في بيعه و اهدائه و ايجاره و أكله إلى غير ذلك من التصرّفات التي لم يثبت من الشريعة صدور منع عنها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المقصود من 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المقصود منها ان المالك لشيء لا يحق لغيره التصرّف فيه بدون رضاه و طيب نفسه فان ذلك ليس تمام المقصود من قاعدة السلطنة بل المقصود منها أوسع </w:t>
      </w:r>
      <w:bookmarkStart w:id="156" w:name="pg19669_189166"/>
    </w:p>
    <w:p>
      <w:pPr>
        <w:pStyle w:val="BookText"/>
        <w:rPr/>
      </w:pPr>
      <w:bookmarkEnd w:id="156"/>
      <w:r>
        <w:rPr>
          <w:rFonts w:ascii="Amiri" w:hAnsi="Amiri" w:eastAsia="Amiri" w:cs="Amiri"/>
          <w:color w:val="111111"/>
          <w:sz w:val="28"/>
          <w:sz w:val="28"/>
          <w:szCs w:val="28"/>
          <w:rtl w:val="true"/>
          <w:lang w:bidi="ar-SA"/>
        </w:rPr>
        <w:t>من ذلك و هو ان المالك لشيء له حق التصرّف فيه بأي شكل شاء، و لازم ذلك ان الغير لا يحق له التصرف فيه بدون رضاه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3794938_2314609296"/>
      <w:bookmarkStart w:id="158" w:name="_Toc54"/>
      <w:bookmarkEnd w:id="157"/>
      <w:r>
        <w:rPr/>
        <w:t>2</w:t>
      </w:r>
      <w:r>
        <w:rPr>
          <w:rtl w:val="true"/>
        </w:rPr>
        <w:t xml:space="preserve"> - </w:t>
      </w:r>
      <w:r>
        <w:rPr>
          <w:rtl w:val="true"/>
        </w:rPr>
        <w:t>مدرك القاعدة</w:t>
      </w:r>
      <w:bookmarkEnd w:id="158"/>
    </w:p>
    <w:p>
      <w:pPr>
        <w:pStyle w:val="BookText"/>
        <w:rPr/>
      </w:pPr>
      <w:r>
        <w:rPr>
          <w:rFonts w:ascii="Amiri" w:hAnsi="Amiri" w:eastAsia="Amiri" w:cs="Amiri"/>
          <w:color w:val="111111"/>
          <w:sz w:val="28"/>
          <w:sz w:val="28"/>
          <w:szCs w:val="28"/>
          <w:rtl w:val="true"/>
          <w:lang w:bidi="ar-SA"/>
        </w:rPr>
        <w:t>المدرك المهم للقاعدة المذكورة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بكلا 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و 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سيرة العقلاء فمن الواضح انعقادها على ذلك بحيث لو منع أحدهم من التصرف في ماله لهبّ العقلاء منددين بالمنع و رافضين لذلك التضييق للسلطنة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حكمهم بسلطنة كل انسان على ما يملكه يكاد يكون من البديهيات الأولية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السيرة المذكورة لا نحتمل حدوثها بعد عصر المعصوم عليه السّلام، كما و لا نحتمل الردع عنها فيثبت بذلك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سيرة المتشرعة فانعقادها بينهم و بشكل متصل بزمن المعصوم عليه السّلام أمر لا يقبل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انها سيرة متشرعة بما هم متشرعة فيكفي نفس افتراض ذلك لحجيتها بلا حاجة إلى افتراض فكرة الامضاء المستكشفة بعدم الردع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سيرة العقلاء حيث تحتاج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افتراض كونها سيرة متشرعة يستبطن تلقيها يدا بيد من المعصوم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ان الانسان ما دام حيّا فله الحق في أن يصنع بماله ما شاء من قبيل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عطية الوالد لولده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صحيحا فهو ماله يصنع به ما شاء، </w:t>
      </w:r>
    </w:p>
    <w:p>
      <w:pPr>
        <w:pStyle w:val="BookText"/>
        <w:rPr/>
      </w:pPr>
      <w:r>
        <w:rPr>
          <w:rFonts w:ascii="Amiri" w:hAnsi="Amiri" w:eastAsia="Amiri" w:cs="Amiri"/>
          <w:color w:val="111111"/>
          <w:sz w:val="28"/>
          <w:sz w:val="28"/>
          <w:szCs w:val="28"/>
          <w:rtl w:val="true"/>
          <w:lang w:bidi="ar-SA"/>
        </w:rPr>
        <w:t>و اما في مرضه فلا يصلح</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الحق في كلّ تصرّف شاء بلا اختصاص لذلك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على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ذلك أيضا بالإجماع أو بالحديث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بالنصوص الدالّة على عدم جواز التصرّف في أموال الآخرين بدون 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w:t>
      </w:r>
      <w:r>
        <w:rPr>
          <w:rStyle w:val="FootnoteAnchor"/>
          <w:rtl w:val="true"/>
        </w:rPr>
        <w:footnoteReference w:id="83"/>
      </w:r>
      <w:r>
        <w:rPr>
          <w:rFonts w:ascii="Amiri" w:hAnsi="Amiri" w:eastAsia="Amiri" w:cs="Amiri"/>
          <w:color w:val="111111"/>
          <w:sz w:val="28"/>
          <w:sz w:val="28"/>
          <w:szCs w:val="28"/>
          <w:rtl w:val="true"/>
          <w:lang w:bidi="ar-SA"/>
        </w:rPr>
        <w:t>، فانّه يدل على اعتبار التراضي في صحّة التجارة فلا تصح التجارة بأموال شخص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Style w:val="FootnoteAnchor"/>
          <w:rtl w:val="true"/>
        </w:rPr>
        <w:footnoteReference w:id="84"/>
      </w:r>
      <w:r>
        <w:rPr>
          <w:rFonts w:ascii="Amiri" w:hAnsi="Amiri" w:eastAsia="Amiri" w:cs="Amiri"/>
          <w:color w:val="111111"/>
          <w:sz w:val="28"/>
          <w:sz w:val="28"/>
          <w:szCs w:val="28"/>
          <w:rtl w:val="true"/>
          <w:lang w:bidi="ar-SA"/>
        </w:rPr>
        <w:t>، فانّه يدل على عدم جواز أكل مهور النساء بلا طيب أنفسهن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مسلم إلاّ عن طيب نفسه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الكل قابل للتأمّل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الاجماع فلأنّه بعد انعقاد السيرة العقلائية فمن المحتمل قريبا استناد المجمعين الى السيرة المذكورة و ليس ذلك لوصول الحكم لهم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الامام عليه السّلام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الحديث المشهور فهو ضعيف السند لأنّه لم يروه إلاّ الشيخ المجلسي في بحاره</w:t>
      </w:r>
      <w:r>
        <w:rPr>
          <w:rStyle w:val="FootnoteAnchor"/>
          <w:rtl w:val="true"/>
        </w:rPr>
        <w:footnoteReference w:id="86"/>
      </w:r>
      <w:r>
        <w:rPr>
          <w:rFonts w:ascii="Amiri" w:hAnsi="Amiri" w:eastAsia="Amiri" w:cs="Amiri"/>
          <w:color w:val="111111"/>
          <w:sz w:val="28"/>
          <w:sz w:val="28"/>
          <w:szCs w:val="28"/>
          <w:rtl w:val="true"/>
          <w:lang w:bidi="ar-SA"/>
        </w:rPr>
        <w:t>عن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رجعنا الى المصدر الأصلي وجدنا ابن أبي جمهور الاحسائي صاحب العوالي يروي الحديث في مواضع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عن بعض كتب الأصحاب و اخرى عن بعض كتب الشهيد و ثالثة عن الفاضل المقداد و رابعة عن ابن فهد الحلي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الواسطة بين المنقول عنه و الامام عليه السّلام حيث انّها مجهولة فتسقط الرواية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الحديث في كتبنا الفقهية الاستدلالية و لكن بشكل مرسل أيضا فقد رواه العلاّمة الحلّي في المختلف</w:t>
      </w:r>
      <w:r>
        <w:rPr>
          <w:rStyle w:val="FootnoteAnchor"/>
          <w:rtl w:val="true"/>
        </w:rPr>
        <w:footnoteReference w:id="88"/>
      </w:r>
      <w:r>
        <w:rPr>
          <w:rFonts w:ascii="Amiri" w:hAnsi="Amiri" w:eastAsia="Amiri" w:cs="Amiri"/>
          <w:color w:val="111111"/>
          <w:sz w:val="28"/>
          <w:sz w:val="28"/>
          <w:szCs w:val="28"/>
          <w:rtl w:val="true"/>
          <w:lang w:bidi="ar-SA"/>
        </w:rPr>
        <w:t>و التذكرة</w:t>
      </w:r>
      <w:r>
        <w:rPr>
          <w:rStyle w:val="FootnoteAnchor"/>
          <w:rtl w:val="true"/>
        </w:rPr>
        <w:footnoteReference w:id="89"/>
      </w:r>
      <w:r>
        <w:rPr>
          <w:rFonts w:ascii="Amiri" w:hAnsi="Amiri" w:eastAsia="Amiri" w:cs="Amiri"/>
          <w:color w:val="111111"/>
          <w:sz w:val="28"/>
          <w:sz w:val="28"/>
          <w:szCs w:val="28"/>
          <w:rtl w:val="true"/>
          <w:lang w:bidi="ar-SA"/>
        </w:rPr>
        <w:t>و الأردبيلي في مجمع الفائدة و البرهان</w:t>
      </w:r>
      <w:r>
        <w:rPr>
          <w:rStyle w:val="FootnoteAnchor"/>
          <w:rtl w:val="true"/>
        </w:rPr>
        <w:footnoteReference w:id="90"/>
      </w:r>
      <w:r>
        <w:rPr>
          <w:rFonts w:ascii="Amiri" w:hAnsi="Amiri" w:eastAsia="Amiri" w:cs="Amiri"/>
          <w:color w:val="111111"/>
          <w:sz w:val="28"/>
          <w:sz w:val="28"/>
          <w:szCs w:val="28"/>
          <w:rtl w:val="true"/>
          <w:lang w:bidi="ar-SA"/>
        </w:rPr>
        <w:t>و الشهيد الثاني في مسالك الافهام</w:t>
      </w:r>
      <w:r>
        <w:rPr>
          <w:rStyle w:val="FootnoteAnchor"/>
          <w:rtl w:val="true"/>
        </w:rPr>
        <w:footnoteReference w:id="91"/>
      </w:r>
      <w:r>
        <w:rPr>
          <w:rFonts w:ascii="Amiri" w:hAnsi="Amiri" w:eastAsia="Amiri" w:cs="Amiri"/>
          <w:color w:val="111111"/>
          <w:sz w:val="28"/>
          <w:sz w:val="28"/>
          <w:szCs w:val="28"/>
          <w:rtl w:val="true"/>
          <w:lang w:bidi="ar-SA"/>
        </w:rPr>
        <w:t>و فخر المحققين في إيضاح الفوائد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جميع الموارد المذكورة روي بشكل مرسل عن النبي صلّى اللّه عليه و آله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فالحديث ضعيف السند لإرساله، و لا طريق لتصحيحه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9" w:name="pg19669_189169"/>
    </w:p>
    <w:p>
      <w:pPr>
        <w:pStyle w:val="BookText"/>
        <w:rPr/>
      </w:pPr>
      <w:bookmarkEnd w:id="159"/>
      <w:r>
        <w:rPr>
          <w:rFonts w:ascii="Amiri" w:hAnsi="Amiri" w:eastAsia="Amiri" w:cs="Amiri"/>
          <w:color w:val="111111"/>
          <w:sz w:val="28"/>
          <w:sz w:val="28"/>
          <w:szCs w:val="28"/>
          <w:rtl w:val="true"/>
          <w:lang w:bidi="ar-SA"/>
        </w:rPr>
        <w:t>سوى دعوى انجباره اما بالشهرة الروائية أو بالشهرة الفتوائية، و لكن ذلك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انجباره بالشهرة الروائية فباعتبار عدم تحقّق الشهرة المذكورة لأنّها انّما تتحقق بشهرة نقل الرواية في كتب الحديث و ذلك لم يتحقق لأنّها لم تنقل في شيء من كتب الحديث سوى عوالي اللآلي الذي هو معروف بالضعف لنقل الأحاديث فيه بشكل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انجباره بالشهرة الفتوائية فباعتبار ان ذلك موقوف على عمل الطبقة المتقدّمة من اعلامنا به و لا يكفي اشتهار العمل به بين الطبقة المتأخرة كالعلاّمة الحلي و من بعده فان الكاشف عن حقانية الرواية و صدورها هو عمل الطبقة المتقدّمة المقاربة لعصر صدور النص و لا يكفي عمل الطبقة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النصوص الدالّة على اعتبار الرضا في جواز التصرف في أموال الآخرين فهي أجنبية عن المقام أو غير وافية بالمطلوب إذ أقصى ما تدل عليه ان غير المالك لا يجوز له التصرف في املاك غيره إلاّ برضاه و لا تدل على ان المالك يحق له التصرّف في ملكه بأي نحو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مهم المستند على قاعدة السلطنة هو السيرة و النصوص الدالّة على ان الإنسان ما دام حيّا له الحق أن يصنع بماله ما شاء</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3794940_2314609296"/>
      <w:bookmarkStart w:id="161" w:name="_Toc55"/>
      <w:bookmarkEnd w:id="160"/>
      <w:r>
        <w:rPr/>
        <w:t>3</w:t>
      </w:r>
      <w:r>
        <w:rPr>
          <w:rtl w:val="true"/>
        </w:rPr>
        <w:t xml:space="preserve"> - </w:t>
      </w:r>
      <w:r>
        <w:rPr>
          <w:rtl w:val="true"/>
        </w:rPr>
        <w:t>المحتملات في قاعدة السلطنة</w:t>
      </w:r>
      <w:bookmarkEnd w:id="16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اثبات السلطنة للمالك بشكل مطلق بما في ذلك السلطنة على أسباب النقل و الانتقال كالبيع و الاجارة و الهبة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في ذلك تفاصيل أسباب النقل، فكل مالك مسلّط مثلا على بيع ماله بالعربية و بغيرها و بالقول و بالمعاطاة و بالماضوية و بغيرها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بالنسبة الى الهبة و الاجارة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أساس هذا الاحتمال يمكن التمسّك بالقاعدة المذكورة لإثبات صحة البيع بالمعاطاة و بغير العربية و بغير الماضوية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يظهر هذا الاحتمال من صاحب الجواهر حيث استدل على شرعية المعاطاة المقصود بها الاباحة بعموم سلطنة الناس على أموالهم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اثبات السلطنة على أسباب النقل و الانتقال من دون نظر إلى تفاصيلها، فالمالك له حق بيع ماله و اجارته و هبته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لها نظر إلى تفاصيل الأسباب، فهي لا تدل على السلطنة على البيع بالمعاطاة أو بغير العربية أو بغير الماضوية و انّما تدل على السلطنة على أصل البيع و على أصل الاجارة و على أصل الهبة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المختار للشيخ الأعظم حيث ذكر في مبحث المعاطاة عند الاستدلال على شرعيتها و افادتها الملك ما نصّه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مسلّطون على أموالهم فلا دلالة فيه على المدعى لأنّ عمومه باعتبار أنواع السلطنة فهو انّما يجدي فيما إذا شك في ان هذا النوع من السلطنة ثابتة للمالك و ماضية شرعا في حقّه أم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إذا قطعنا بأن سلطنة خاصة كتمليك ماله للغير نافذة في حقّه و ماضية شرعا لكن شك في ان هذا التمليك الخاص هل يحصل بمجرّد التعاطي مع القصد أم لا بدّ من القول الدال عليه فلا يجوز الاستدلال على سببية المعاطاة في الشريعة للتمليك بعموم تسلّط الناس على أموالهم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نفي الحجر عن كل تصرف مشروع، فالحديث لا يدل على شرعية البيع و السلطنة عليها و لا على شرعية الاجارة و السلطنة عليها و 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يدل على ان البيع مثلا إذا كان مشروعا بقطع النظر عن حديث السلطنة فصدوره من المالك لا يتوقف على كسب الاجازة من الغير، فالزوجة إذا أرادت هبة بعض أموالها أو بيعها فلا يتوقف ذلك على موافقة الزوج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بالنسبة الى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على هذا يدلّ على ان كل سبب ثبتت مشروعيته في نفسه فالمالك غير محجور عليه و لا يتوقف صحته على موافقة الآخرين، اما ما هي الأسباب المشروعة فذلك ساكت عنه و لا يمكن من خلاله اثبات مشروعية هذا السبب و ذاك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ظاهر الآخوند الخراساني في حاشيته على المكاسب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المقصود اثبات السلطنة بلحاظ التصرّفات غير الناقلة فيجوز للمالك ان يخيط ثوبه المملوك له و يجوز له أيضا 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يضعه في هذا المكان أو ذاك و غير ذلك من التصرّفات غير الناقلة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بيعه و هبته و نحو ذلك من الأسباب الناقلة فلا يدل على شرعيتها، فان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الاضافة الخاصة المذكورة لا بدّ من انحفاظها بعد ذلك، فمثل البيع و الهبة لا يدل الحديث على شرعيتهما لأنه بذلك يزول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لا ينظر إلى حيثية ازالة المال عن الملك بل إلى كل تصرّف بعد انحفاظ الاضافة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ظاهر الشيخ الايرواني في حاشية المكاسب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احتمالات أربعة في مفاد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للنظر الى لفظ القاعدة و ان الظاهر منه أي واحد من الاحتمالات المذكورة فان ذلك وجيه لو كان سند القاعدة باللفظ المذكور تامّا و صادرا من المعصوم عليه السّلام، اما بعد عدم تمامية السند و كون المدرك السيرة العقلائية و الروايات الدالّة على ان الإنسان ما دام صحيحا له الحق ان يصنع بماله ما شاء فلا بدّ من ملاحظة ذلك دون لفظ حديث السلطنة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السيرة فالقدر المتيقن انعقادها على الاحتمال الثالث و ان المالك ليس بمحجور عليه في التصرف في ملكه و لا تتوقف صحة تصرّفه على كسب موافقة الآخرين بعد ان كان السبب قد ثبتت شرعيته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يجزم بانعقاد السيرة عليه بخلاف الاحتمالين الأولين فإنّه لا جزم بانعقادها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الاقتصار على القدر المتيقن و هو الاحتمال الثالث عند الدوران بينه و بين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2" w:name="pg19669_189173"/>
    </w:p>
    <w:p>
      <w:pPr>
        <w:pStyle w:val="BookText"/>
        <w:rPr/>
      </w:pPr>
      <w:bookmarkEnd w:id="162"/>
      <w:r>
        <w:rPr>
          <w:rFonts w:ascii="Amiri" w:hAnsi="Amiri" w:eastAsia="Amiri" w:cs="Amiri"/>
          <w:color w:val="111111"/>
          <w:sz w:val="28"/>
          <w:sz w:val="28"/>
          <w:szCs w:val="28"/>
          <w:rtl w:val="true"/>
          <w:lang w:bidi="ar-SA"/>
        </w:rPr>
        <w:t>و اما الاحتمال الرابع فيجزم بعدم تقيد السيرة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يحتمل عدم انعقاد السيرة على جواز بيع المالك ملكه أو اهدائه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المدرك الثاني فلا يبعد نظره إلى الاحتمال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أقل هو القدر المتيقن عند اجمال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ان كل مالك لشيء له الحق ان يصنع به ما شاء ما دام صحيحا بلا حاجة إلى كسب الاجازة من غيره كأولاده و غيرهم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3794942_2314609296"/>
      <w:bookmarkStart w:id="164" w:name="_Toc56"/>
      <w:bookmarkEnd w:id="163"/>
      <w:r>
        <w:rPr/>
        <w:t>4</w:t>
      </w:r>
      <w:r>
        <w:rPr>
          <w:rtl w:val="true"/>
        </w:rPr>
        <w:t xml:space="preserve"> - </w:t>
      </w:r>
      <w:r>
        <w:rPr>
          <w:rtl w:val="true"/>
        </w:rPr>
        <w:t>حدود قاعدة السلطنة</w:t>
      </w:r>
      <w:bookmarkEnd w:id="164"/>
    </w:p>
    <w:p>
      <w:pPr>
        <w:pStyle w:val="BookText"/>
        <w:rPr/>
      </w:pPr>
      <w:r>
        <w:rPr>
          <w:rFonts w:ascii="Amiri" w:hAnsi="Amiri" w:eastAsia="Amiri" w:cs="Amiri"/>
          <w:color w:val="111111"/>
          <w:sz w:val="28"/>
          <w:sz w:val="28"/>
          <w:szCs w:val="28"/>
          <w:rtl w:val="true"/>
          <w:lang w:bidi="ar-SA"/>
        </w:rPr>
        <w:t>لم تمض الشريعة الاسلامية قاعدة السلطنة على اطلاقها بل أجرت عليها بعض التعديلات بنحو التخصيص أو التخصص، و نذكر لذلك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التبذير و الاسراف، فمن حق كل انسان أن يتصرّف في أمواله ما دام لم يصل تصرّفه حدّ الاسراف و التبذير و إلاّ منع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فليس من حق المالك لشيء اتلافه بإلقائه في البحر أو احراقه بالنار و ما شاكل ذلك من التصرّفات التي يصدق عليها عنوان السرف و التبذير، و مثل المورد المذكور خارج عن قاعدة السلطنة بالتخصيص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الضرائب المالية، فليس من حق المالك لأموال تتعلّق بها ضريبة الزكاة أو الخمس التصرّف فيها قبل اخراج </w:t>
      </w:r>
    </w:p>
    <w:p>
      <w:pPr>
        <w:pStyle w:val="BookText"/>
        <w:rPr/>
      </w:pPr>
      <w:r>
        <w:rPr>
          <w:rFonts w:ascii="Amiri" w:hAnsi="Amiri" w:eastAsia="Amiri" w:cs="Amiri"/>
          <w:color w:val="111111"/>
          <w:sz w:val="28"/>
          <w:sz w:val="28"/>
          <w:szCs w:val="28"/>
          <w:rtl w:val="true"/>
          <w:lang w:bidi="ar-SA"/>
        </w:rPr>
        <w:t>الضريبة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يرجع اما الى تخصيص قانون السلطنة، بمعنى ان المالك للأموال المتعلق بها الضريبة هو مالك لها جميعا و لكنه ممنوع من التصرّف فيها قبل اخراج الضريبة، أو إلى التخصص، بمعنى ان المالك للأموال المتعلق بها الضريبة ليس هو مالكا لمجموعها بل هو مالك لما عدا مقدار الضريبة، فمقدار الضريبة ليس مملوكا له بل هو مملوك لأربابها، و ذلك المقدار حيث انّه مشاع فيكون المالك ممنوعا من التصرّف باعتبار ان المال المشترك لا يجوز التصرف فيه إلاّ بموافقة جميع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صرف المال في المجال المحرم، فليس من حق المالك أن يشتري بأمواله خمرا أو بعض آلات اللهو و الفساد أو بعض كتب الضلال أو اقراضه و بيعه بشكل ربوي و ما شاكل ذلك، فان قانون السلطنة قد طرأ عليه التخصيص في المجالات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بعد الموت بالمقدار الزائد على الثلث، فان من حق كل إنسان ما دام حيّا أن يهب جميع أمواله أو يوقفها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بعد موته فله الحق في أمواله بمقدار الثلث دون ما زاد، فله الحق أن يوصي باهداء مقدار من أمواله بعد وفاته لبعض أصدقائه أو الفقراء ما دام ذلك لا يتجاوز مقدار الثلث و إلاّ توقف مضي الوصية على اجازة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في روحه لا يرجع إلى التخصيص بل الى التخصيص، بمعنى ان الشخص بعد وفاته لا يكون مالكا إلاّ بمقدار الثلث لا انّه مالك للمجموع و يمنع من التصرّف في المقدار الزائد على الثلث</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مرض الموت، فان المشهور اختار ان المالك إذا تمرّض </w:t>
      </w:r>
      <w:bookmarkStart w:id="165" w:name="pg19669_189175"/>
    </w:p>
    <w:p>
      <w:pPr>
        <w:pStyle w:val="BookText"/>
        <w:rPr/>
      </w:pPr>
      <w:bookmarkEnd w:id="165"/>
      <w:r>
        <w:rPr>
          <w:rFonts w:ascii="Amiri" w:hAnsi="Amiri" w:eastAsia="Amiri" w:cs="Amiri"/>
          <w:color w:val="111111"/>
          <w:sz w:val="28"/>
          <w:sz w:val="28"/>
          <w:szCs w:val="28"/>
          <w:rtl w:val="true"/>
          <w:lang w:bidi="ar-SA"/>
        </w:rPr>
        <w:t>بمرض الموت فليس من حقّه اهداء أمواله أو بيعها بأقل من ثمن المثل إلاّ إذا كان ذلك التصرّف في حدود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الشفعة، فان لكل مالك لدار مشتركة بينه و بين غيره بيع حصّته متى ما أحب، و لكن متى ما أراد بيعها لإنسان آخر غير الشريك فمن حق الشريك أن يعمل حق الشفعة، بمعنى الزام المالك ببيعها عليه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فالمالك إذا باع حصّته بثمن معيّن فمن حق الشريك متى ما اطّلع على البيع أن يقول أعملت حق الشفعة فيأخذ بذلك الحصة التي بيعت بعد دفع الثمن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المالك احداث حمّام مثلا في ملكه و كان ذلك موجبا للإضرار بجاره فإنّه ليس من حقّه ذلك ما دام الجار يتضرّر بذلك و هو لا يتضرّر بترك احداث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سابقاه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روحه إلى التخصيص كما هو واضح</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794944_2314609296"/>
      <w:bookmarkStart w:id="167" w:name="_Toc57"/>
      <w:bookmarkEnd w:id="166"/>
      <w:r>
        <w:rPr/>
        <w:t>5</w:t>
      </w:r>
      <w:r>
        <w:rPr>
          <w:rtl w:val="true"/>
        </w:rPr>
        <w:t xml:space="preserve"> - </w:t>
      </w:r>
      <w:r>
        <w:rPr>
          <w:rtl w:val="true"/>
        </w:rPr>
        <w:t>التسلّط على الحقوق</w:t>
      </w:r>
      <w:bookmarkEnd w:id="1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ثبوت السلطنة للمالك على 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هناك سلطنة على الحقوق أيضا؟ فلو كان لشخص خيار المجلس فهل له سلطنة على اسقاطه؟ و لو ثبت له حق في مكان معيّن بسبب 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من المباحات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 السبق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له سلطنة على اسقاطه؟ و الزوجة لها حق النفقة و المبيت عندها هل لها سلطنة على اسقاطه؟ و العمّة و الخالة لهما الحق في أن لا </w:t>
      </w:r>
    </w:p>
    <w:p>
      <w:pPr>
        <w:pStyle w:val="BookText"/>
        <w:rPr/>
      </w:pPr>
      <w:r>
        <w:rPr>
          <w:rFonts w:ascii="Amiri" w:hAnsi="Amiri" w:eastAsia="Amiri" w:cs="Amiri"/>
          <w:color w:val="111111"/>
          <w:sz w:val="28"/>
          <w:sz w:val="28"/>
          <w:szCs w:val="28"/>
          <w:rtl w:val="true"/>
          <w:lang w:bidi="ar-SA"/>
        </w:rPr>
        <w:t>يجيزا عقد بنت الأخ و الاخت هل لهما سلطنة على اسقاطه؟ و الزوج له حق الزواج بالثانية و الثالثة و الرابعة هل له سلطنة على اسقاطه؟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الحقوق قابل لذلك، كما في الخيار و حق النفقة و المبيت و بعضها لا يقبل ذلك كالزواج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يصطلح على الثاني الذي لا يقبل الاسقاط بالحكم، فجواز الزواج بالثانية حكم شرعي و ليس حقّا ليقبل الاسقاط، و هذا كما هو الحال في شرب الماء و الحليب و اشباه ذلك فان لكل انسان الحق في ذلك و لكنه لا يقبل الاسقاط، و هو لأجل ذلك يكون في الحقيقة حكما شرعيّا و ليس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فنخرج بهذه النتيجة، و هي ان كل ما يقبل الاسقاط يكون حقّا و ما لا يقبله يكون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نعود إلى التساؤل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صارت الحقوق قابلة للإسقاط و ما هي النكتة في ذلك؟ فهل ذلك لقاعدة السلطنة و ان كل إنسان كما هو مسلّط على أمواله مسلّط على حقوقه؟</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استظهرنا من النص الشرعي ان هذا أو ذاك حق شرعي فهذا بنفسه يستبطن افتراض قابليته للإسقاط و إلاّ لم يكن حقّا بل حكما شرعيا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فالدليل على قابلية الحقوق للإسقاط هو نفس الدليل على تشريع الحقوق المذكورة بلا حاجة الى التماس دليل آخر من قاعدة السلطنة أو غيرها</w:t>
      </w:r>
      <w:r>
        <w:rPr>
          <w:rFonts w:eastAsia="Amiri" w:cs="Amiri" w:ascii="Amiri" w:hAnsi="Amiri"/>
          <w:color w:val="111111"/>
          <w:sz w:val="28"/>
          <w:szCs w:val="28"/>
          <w:rtl w:val="true"/>
          <w:lang w:bidi="ar-SA"/>
        </w:rPr>
        <w:t xml:space="preserve">. </w:t>
      </w:r>
      <w:bookmarkStart w:id="168" w:name="pg19669_189177"/>
    </w:p>
    <w:p>
      <w:pPr>
        <w:pStyle w:val="Heading3"/>
        <w:numPr>
          <w:ilvl w:val="2"/>
          <w:numId w:val="1"/>
        </w:numPr>
        <w:rPr/>
      </w:pPr>
      <w:bookmarkStart w:id="169" w:name="__RefHeading___Toc3794946_2314609296"/>
      <w:bookmarkStart w:id="170" w:name="_Toc58"/>
      <w:bookmarkEnd w:id="168"/>
      <w:bookmarkEnd w:id="169"/>
      <w:r>
        <w:rPr/>
        <w:t>6</w:t>
      </w:r>
      <w:r>
        <w:rPr>
          <w:rtl w:val="true"/>
        </w:rPr>
        <w:t xml:space="preserve"> - </w:t>
      </w:r>
      <w:r>
        <w:rPr>
          <w:rtl w:val="true"/>
        </w:rPr>
        <w:t>التسلّط على النفس و الأعضاء</w:t>
      </w:r>
      <w:bookmarkEnd w:id="170"/>
    </w:p>
    <w:p>
      <w:pPr>
        <w:pStyle w:val="BookText"/>
        <w:rPr/>
      </w:pPr>
      <w:r>
        <w:rPr>
          <w:rFonts w:ascii="Amiri" w:hAnsi="Amiri" w:eastAsia="Amiri" w:cs="Amiri"/>
          <w:color w:val="111111"/>
          <w:sz w:val="28"/>
          <w:sz w:val="28"/>
          <w:szCs w:val="28"/>
          <w:rtl w:val="true"/>
          <w:lang w:bidi="ar-SA"/>
        </w:rPr>
        <w:t>هل الانسان مسلّط على نفسه و أعضائه كما هو مسلّط على أمواله؟ كلا ليس مسلّطا على ذلك، فان السلطنة المذكورة لا دليل عليها، و يكفي عدم الدليل للحكم بانتفائها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بدلالة الدليل على نفي السلطنة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الى النفس دلّ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98"/>
      </w:r>
      <w:r>
        <w:rPr>
          <w:rFonts w:ascii="Amiri" w:hAnsi="Amiri" w:eastAsia="Amiri" w:cs="Amiri"/>
          <w:color w:val="111111"/>
          <w:sz w:val="28"/>
          <w:sz w:val="28"/>
          <w:szCs w:val="28"/>
          <w:rtl w:val="true"/>
          <w:lang w:bidi="ar-SA"/>
        </w:rPr>
        <w:t>على نفي السلطنة عليها و ان الإنسان ليس له سلطنة على نفسه بإلقائها في التهلكة من خلال الانتحار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بالنسبة إلى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كالتبرّع بالكلية أو العين أو اليد أو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يستدل على حرمة ذلك بأحد الوجوه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بالسيرة العقلائية الجارية على التجنب عن كل ما يوجب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انه لم يردع عنها شرعا فتكون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سيرة العقلاء و ان جرت على ما ذكر إلاّ انّها ليست بنحو الالزام بل قد يقدمون عليه إذا كان لداع عقلائي، كالتبرع بالكلية لمن كان بحاجة ماسة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يقال بلزوم التجنب عمّا يوجب الضرر و الحال ان لازم ذلك حرمة الأكل الزائد أو الجماع الكثير أو الخروج من المكان الدافئ إلى البارد و ما شاكل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بحديث نفي الضرار حيث ورد في الحديث الشريف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 xml:space="preserve">، و حيث ان إرادة النهي عن الاضرار من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قريب جدّا فيلزم الحكم بحرمة الاضرار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إليه النهي المذكور تحريم الاضرار بالآخرين دون الاضرار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دلّ على حرمة الجناية على النفس و ظلمها بتقريب ان قطع مثل اليد أو الرجل نحو ظلم لها فيحرم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أَنْفُسَهُمْ يَظْلِمُونَ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عنوان ظلم النفس فرع حرمة مثل قطع اليد في المرحلة السابقة، و المفروض فقدان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 صدق عنوان الظلم أوضح لو فرض ان الداعي للقطع كان عقلائيا كالتبرّع بالكلية للحفاظ على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بما دلّ على ان علّة تحريم الخمر اضرارها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الْخَمْرِ وَ الْمَيْسِرِ قُلْ فِيهِما إِثْمٌ كَبِيرٌ وَ مَنافِعُ لِلنّاسِ وَ إِثْمُهُما أَكْبَرُ مِنْ نَفْعِهِما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ضمّ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حرّم الخمر بعينها فقليلها و كثيرها حرام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الى ذلك يثبت ان كل ما كان مضرّا فلا فرق بين كثيره و قليله في التحريم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حكم خاص بالخمر و لا يمكن التعدّي منه إلى غيره لاحتمال وجود خصوصية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ببعض الروايات الدالة على ان علّة تحريم بعض المحرمات اضرارها ببدن الإنسان، من قبيل رواية المفضل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و الميتة و الدم و لحم الخنزير؟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يضرّهم فنهاهم عنه و حرّمه عليهم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بتقريب ان علّة تحريم المحرّمات إذا كان هو الاضرار بالنفس فيلزم حرمة كل ما يوجب الضرر كقطع اليد أو الرجل و إلاّ لما صلح ان يكون علّة لتحريم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 ان دلّ على حرمة الاضرار بالنفس و لكن لم يبين ان الضرر بأي درجة يكون محرّما، و ليس له اطلاق من هذه الناحية ليتمسك به، و لعل المحرم حصّة خاصّة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بعض الأحاديث يستفاد منها عدم حرمة الاضرار بالنفس كالأحاديث التي ترشد الى رجحان عدم تناول بعض الأطعمة لكونها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كلّه يتضح عدم تمامية دليل على حرمة مطلق الاضرار بالنفس ليثبت من خلاله حرمة قطع الانسان بعض أعضائه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الاضرار بالنفس إذا كان بحدّ يعلم بمبغوضية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الانسان يديه و رجليه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محرّم، و إذا لم يكن بالحدّ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كإخراج الدم من بعض الأعضاء أو التسبيب الى طرو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جائزا لا من باب التمسك بقاعدة السلطنة بل لأصل البراءة عن حرمة مثل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1" w:name="pg19669_189180"/>
    </w:p>
    <w:p>
      <w:pPr>
        <w:pStyle w:val="BookText"/>
        <w:rPr/>
      </w:pPr>
      <w:bookmarkEnd w:id="171"/>
      <w:r>
        <w:rPr>
          <w:rFonts w:ascii="Amiri" w:hAnsi="Amiri" w:eastAsia="Amiri" w:cs="Amiri"/>
          <w:color w:val="111111"/>
          <w:sz w:val="28"/>
          <w:sz w:val="28"/>
          <w:szCs w:val="28"/>
          <w:rtl w:val="true"/>
          <w:lang w:bidi="ar-SA"/>
        </w:rPr>
        <w:t>اذن الاضرار بالنفس إذا لم يكن بالدرجة التي يعلم بمبغوضيتها شرعا فارتكابه جائز لا من باب سلطنة الانسان على نفسه و أعضائه، فان السلطنة المذكورة لم تثبت، بل لأننا ما دمنا نشك في حرمة مثل ذلك فمقتضى أصل البراءة الجواز</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3794948_2314609296"/>
      <w:bookmarkStart w:id="173" w:name="_Toc59"/>
      <w:bookmarkEnd w:id="172"/>
      <w:r>
        <w:rPr/>
        <w:t>7</w:t>
      </w:r>
      <w:r>
        <w:rPr>
          <w:rtl w:val="true"/>
        </w:rPr>
        <w:t xml:space="preserve"> - </w:t>
      </w:r>
      <w:r>
        <w:rPr>
          <w:rtl w:val="true"/>
        </w:rPr>
        <w:t>السلطنة و الضرر</w:t>
      </w:r>
      <w:bookmarkEnd w:id="173"/>
    </w:p>
    <w:p>
      <w:pPr>
        <w:pStyle w:val="BookText"/>
        <w:rPr/>
      </w:pPr>
      <w:r>
        <w:rPr>
          <w:rFonts w:ascii="Amiri" w:hAnsi="Amiri" w:eastAsia="Amiri" w:cs="Amiri"/>
          <w:color w:val="111111"/>
          <w:sz w:val="28"/>
          <w:sz w:val="28"/>
          <w:szCs w:val="28"/>
          <w:rtl w:val="true"/>
          <w:lang w:bidi="ar-SA"/>
        </w:rPr>
        <w:t>قد تتعارض أحيانا قاعدة السلطنة مع قاعدة نفي الضرر فما هو الموقف في مثل ذلك؟</w:t>
      </w:r>
    </w:p>
    <w:p>
      <w:pPr>
        <w:pStyle w:val="BookText"/>
        <w:rPr/>
      </w:pPr>
      <w:r>
        <w:rPr>
          <w:rFonts w:ascii="Amiri" w:hAnsi="Amiri" w:eastAsia="Amiri" w:cs="Amiri"/>
          <w:color w:val="111111"/>
          <w:sz w:val="28"/>
          <w:sz w:val="28"/>
          <w:szCs w:val="28"/>
          <w:rtl w:val="true"/>
          <w:lang w:bidi="ar-SA"/>
        </w:rPr>
        <w:t>فمثلا إذا أراد المالك أن يحدث في ملكه حمّاما أو بالوعة و كان ذلك موجبا للإضرار بالجار فسوف تتعارض قاعدة حرمة الاضرار بالجار مع قاعدة تسلّط المالك على ملكه، فان مقتضى قاعدة السلطنة جواز احداث المالك للحمام أو البالوعة في ملكه بينما مقتضى قاعدة نفي الضرر عدم جواز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فأي من القاعدتين هو المقدّم؟</w:t>
      </w:r>
    </w:p>
    <w:p>
      <w:pPr>
        <w:pStyle w:val="BookText"/>
        <w:rPr/>
      </w:pPr>
      <w:r>
        <w:rPr>
          <w:rFonts w:ascii="Amiri" w:hAnsi="Amiri" w:eastAsia="Amiri" w:cs="Amiri"/>
          <w:color w:val="111111"/>
          <w:sz w:val="28"/>
          <w:sz w:val="28"/>
          <w:szCs w:val="28"/>
          <w:rtl w:val="true"/>
          <w:lang w:bidi="ar-SA"/>
        </w:rPr>
        <w:t>و المناسب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يفترض ان المالك لا يتضرّر من عدم احداث الحمام و البالوعة و اخرى يتضرّر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المناسب عدم جواز احداث ذلك لحرمة الاضرار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بقاعدة السلطنة لقصورها عن شمول مثل الحالة المذكورة فان السلطنة الثابتة للمالك بالسيرة العقلائية قاصرة عن الشمول لما إذا كان اعمال السلطنة مستلزما للإضرار بالآخرين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موثقة سماعة الدالة على ان المالك ما دام حيّا صحيحا فله </w:t>
      </w:r>
      <w:bookmarkStart w:id="174" w:name="pg19669_189181"/>
    </w:p>
    <w:p>
      <w:pPr>
        <w:pStyle w:val="BookText"/>
        <w:rPr/>
      </w:pPr>
      <w:bookmarkEnd w:id="174"/>
      <w:r>
        <w:rPr>
          <w:rFonts w:ascii="Amiri" w:hAnsi="Amiri" w:eastAsia="Amiri" w:cs="Amiri"/>
          <w:color w:val="111111"/>
          <w:sz w:val="28"/>
          <w:sz w:val="28"/>
          <w:szCs w:val="28"/>
          <w:rtl w:val="true"/>
          <w:lang w:bidi="ar-SA"/>
        </w:rPr>
        <w:t>أن يصنع بماله ما شاء</w:t>
      </w:r>
      <w:r>
        <w:rPr>
          <w:rStyle w:val="FootnoteAnchor"/>
          <w:rtl w:val="true"/>
        </w:rPr>
        <w:footnoteReference w:id="104"/>
      </w:r>
      <w:r>
        <w:rPr>
          <w:rFonts w:ascii="Amiri" w:hAnsi="Amiri" w:eastAsia="Amiri" w:cs="Amiri"/>
          <w:color w:val="111111"/>
          <w:sz w:val="28"/>
          <w:sz w:val="28"/>
          <w:szCs w:val="28"/>
          <w:rtl w:val="true"/>
          <w:lang w:bidi="ar-SA"/>
        </w:rPr>
        <w:t>قاصرة عن الشمول لمثل هذه الحالة فانّها ليست في مقام البيان من الجهة المذكورة، فلا تريد أن تقول ان له حقا في ان يصنع بماله ما شاء و ان استلزم ذلك الاضرار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فرض تضرّر المالك من عدم احداثه للحمام و البالوعة فالمورد يدخل في 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المالك و ضرر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حيث لا دليل على حرمة احداث المالك لما ذكر في ملكه فلا يعود محذور في التمسّك بأصل البراءة لإثبات جواز ذلك</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3794950_2314609296"/>
      <w:bookmarkStart w:id="176" w:name="_Toc60"/>
      <w:bookmarkEnd w:id="175"/>
      <w:r>
        <w:rPr/>
        <w:t>8</w:t>
      </w:r>
      <w:r>
        <w:rPr>
          <w:rtl w:val="true"/>
        </w:rPr>
        <w:t xml:space="preserve"> - </w:t>
      </w:r>
      <w:r>
        <w:rPr>
          <w:rtl w:val="true"/>
        </w:rPr>
        <w:t>تطبيقات</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حلية لحم الأرنب و كان لإنسان أرنب فهل يمكن التمسّك بقاعدة السلطنة لإثبات جواز أكله؟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شرطية معلومية العوضين في باب البيع فهل يمكن التمسك بقاعدة السلطنة لإثبات جواز البيع في حالة عدم معلومية العوضين؟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التمسك بقاعدة السلطنة لإثبات ان البيع المعاطاتي مفيد للتمليك دون مجرّد الاباحة؟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لزوم البيع المعاطاتي فهل يمكن التمسّك بقاعدة السلطنة لإثبات اللزوم؟ و بأي بيان؟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 الإنسان أن يتناول الأطعمة المباحة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بامكانه اسقاط الحق المذكور بقاعدة السلطنة؟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 الرجل الزواج بالثانية، هل بامكانه اسقاط الحق المذكور؟ و إذا لم يمكنه ذلك فما هو الطريق لتوصل الزوجة الاولى إلى عدم تزوج زوجها بزوجة ثانية؟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التمسك بقاعدة السلطنة لإثبات جواز طلاق الزوجة نفسها إذا اشترط لها الزوج ذلك في العقد؟ و ما هي الطريقة الشرعية للتوصل إلى ذلك إذا لم يمكن التمسّك بقاعدة السلطنة؟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نوجّه اخراج الدم من الرأس في عزاء سيّد الشهداء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الضرب على الظهر بالسلاسل الحديدية؟ و هل الجواز موقوف على اثبات سلطنة الإنسان على جوارحه؟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9669_189184"/>
      <w:bookmarkStart w:id="178" w:name="pg19669_189184"/>
      <w:bookmarkEnd w:id="178"/>
    </w:p>
    <w:p>
      <w:pPr>
        <w:pStyle w:val="Heading2"/>
        <w:numPr>
          <w:ilvl w:val="1"/>
          <w:numId w:val="1"/>
        </w:numPr>
        <w:rPr/>
      </w:pPr>
      <w:bookmarkStart w:id="179" w:name="pg19669_189184"/>
      <w:bookmarkStart w:id="180" w:name="__RefHeading___Toc3794952_2314609296"/>
      <w:bookmarkStart w:id="181" w:name="_Toc61"/>
      <w:bookmarkEnd w:id="179"/>
      <w:bookmarkEnd w:id="180"/>
      <w:r>
        <w:rPr>
          <w:rtl w:val="true"/>
        </w:rPr>
        <w:t>قاعدة الميسور</w:t>
      </w:r>
      <w:bookmarkEnd w:id="181"/>
    </w:p>
    <w:p>
      <w:pPr>
        <w:pStyle w:val="Heading3"/>
        <w:numPr>
          <w:ilvl w:val="2"/>
          <w:numId w:val="1"/>
        </w:numPr>
        <w:rPr/>
      </w:pPr>
      <w:bookmarkStart w:id="182" w:name="__RefHeading___Toc3794954_2314609296"/>
      <w:bookmarkStart w:id="183" w:name="_Toc62"/>
      <w:bookmarkEnd w:id="182"/>
      <w:r>
        <w:rPr>
          <w:rtl w:val="true"/>
        </w:rPr>
        <w:t>اشارة</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و القاعدة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الأدلّة الأولية و القاعدة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القواعد المهمّة التي يستفيد منها الفقيه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تعذّر غسل الوجه في الوضوء تعيّن الاكتفاء بالباقي من دون انتقال الى التيمم، و اذا تعذّر غسل بعض المواضع في الغسل تعيّن الاكتفاء بالباقي من دون انتقال إلى التيمم أيضا، و إذا تعذّر الامساك في تمام يوم الصوم تعيّن الاكتفاء بالباقي، و هكذا في بقية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بحث الشيخ الأعظم في الرسائل القاعدة المذكورة في مبحث الأقل و 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الشك في جزئية جزء أو شرطية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انجر كلام الاصوليين إلى ما لو تعذّر جزء معين من أجزاء الواجب لسبب و آخر</w:t>
      </w:r>
      <w:r>
        <w:rPr>
          <w:rStyle w:val="FootnoteAnchor"/>
          <w:rtl w:val="true"/>
        </w:rPr>
        <w:footnoteReference w:id="105"/>
      </w:r>
      <w:r>
        <w:rPr>
          <w:rFonts w:ascii="Amiri" w:hAnsi="Amiri" w:eastAsia="Amiri" w:cs="Amiri"/>
          <w:color w:val="111111"/>
          <w:sz w:val="28"/>
          <w:sz w:val="28"/>
          <w:szCs w:val="28"/>
          <w:rtl w:val="true"/>
          <w:lang w:bidi="ar-SA"/>
        </w:rPr>
        <w:t>فهل يلزم الاتيان ببقية الأجزاء أو لا؟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وجوب باقي الأجزاء و عدمه يرتبط بملاحظة ان جزئية الجزءا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المتعذّر هل هي مختصة بحالة امكان الاتيان بالجزء أو هي مطلقة؟ فعلى تقدير اختصاصها بحالة الامكان يلزم الاتيان بالباقي لأنّه يعد كاملا و لم ينقص منه شيء على التقدير المذكور، بينما على تقدير عدم الاختصاص لا يلزم الاتيان بالباقي لأنّه ناقص، و الناقص لم يتعلّق به الوجوب و انّما تعلّق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انجر البحث إلى انّه هل يوجد أمر بالناقص بناء على كون جزئية الجزء المتعذّر مطلقة و غير خاصة بحالة التمكّن؟</w:t>
      </w:r>
    </w:p>
    <w:p>
      <w:pPr>
        <w:pStyle w:val="BookText"/>
        <w:rPr/>
      </w:pPr>
      <w:r>
        <w:rPr>
          <w:rFonts w:ascii="Amiri" w:hAnsi="Amiri" w:eastAsia="Amiri" w:cs="Amiri"/>
          <w:color w:val="111111"/>
          <w:sz w:val="28"/>
          <w:sz w:val="28"/>
          <w:szCs w:val="28"/>
          <w:rtl w:val="true"/>
          <w:lang w:bidi="ar-SA"/>
        </w:rPr>
        <w:t>و أحد الطرق التي طرحت ليثبت من خلالها الأمر بالناقص هي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المناسبة انجر البحث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الأعظم تعرّض لقاعدة الميسور في مبحث الأقل و الأكثر الارتباطيين للمناسبة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بقية الاصوليين يبحثون القاعدة المذكورة في المورد المذكور بالرغم من كونها أجنبية بتمام معنى الكلمة عن علم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 القاعدة المذكورة قبل الشيخ الأعظم استاذه الشيخ النراقي في كتابه المعروف بعوائد الأيّام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منشأ البحث عن قاعدة الميسور في علم الاصول و التسلسل التاريخي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الحديث عن القاعدة المذكورة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4" w:name="pg19669_189188"/>
    </w:p>
    <w:p>
      <w:pPr>
        <w:pStyle w:val="BookText"/>
        <w:rPr/>
      </w:pPr>
      <w:bookmarkEnd w:id="18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الأدلّة الأولية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3794956_2314609296"/>
      <w:bookmarkStart w:id="186" w:name="_Toc63"/>
      <w:bookmarkEnd w:id="185"/>
      <w:r>
        <w:rPr/>
        <w:t>1</w:t>
      </w:r>
      <w:r>
        <w:rPr>
          <w:rtl w:val="true"/>
        </w:rPr>
        <w:t xml:space="preserve"> - </w:t>
      </w:r>
      <w:r>
        <w:rPr>
          <w:rtl w:val="true"/>
        </w:rPr>
        <w:t>مضمون القاعدة</w:t>
      </w:r>
      <w:bookmarkEnd w:id="186"/>
    </w:p>
    <w:p>
      <w:pPr>
        <w:pStyle w:val="BookText"/>
        <w:rPr/>
      </w:pPr>
      <w:r>
        <w:rPr>
          <w:rFonts w:ascii="Amiri" w:hAnsi="Amiri" w:eastAsia="Amiri" w:cs="Amiri"/>
          <w:color w:val="111111"/>
          <w:sz w:val="28"/>
          <w:sz w:val="28"/>
          <w:szCs w:val="28"/>
          <w:rtl w:val="true"/>
          <w:lang w:bidi="ar-SA"/>
        </w:rPr>
        <w:t>يراد بالقاعدة المذكورة انّه لو كان لدينا واجب مركب من مجموعة أجزاء و تعذّر الاتيان ببعض تلك الأجزاء فمن اللازم الاتيان بالباقي فان الأجزاء الميسورة لا يسقط وجوبها بتعذّر الأجزاء التي تعسر الاتيان بها بالرغم من اقتضاء القاعدة الأولية لعدم وجوب الباقي لأن الأمر كان متعلّقا بالمركب الكامل التام و لم يتعلّق بالناقص، فوجوب الناقص على هذا يحتاج إلى دليل خاص لأنّه مخالف للقاعدة الأولية، و ذلك الدليل الخاص هو قاعدة الميسور فانّها تثبت الأمر بالناقص و عدم سقوطه بسقوط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ان هذا البحث لا نحتاجه في مثل الصلاة لأنّه بتعذّر بعض أجزائها لا يسقط وجوب الباقي لقاعدة لا تسقط الصلاة بحال المستفادة من ضرورة الفقه و من بعض الروايات الخاصّة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نحتاج إلى هذا البحث في غير الصلاة من الواجبات الاخرى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الالتفات الى ان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ذو الأجزاء، اما ما وجب بنحو العموم الافرادي فلا شك في عدم سقوط </w:t>
      </w:r>
      <w:bookmarkStart w:id="187" w:name="pg19669_189189"/>
    </w:p>
    <w:p>
      <w:pPr>
        <w:pStyle w:val="BookText"/>
        <w:rPr/>
      </w:pPr>
      <w:bookmarkEnd w:id="187"/>
      <w:r>
        <w:rPr>
          <w:rFonts w:ascii="Amiri" w:hAnsi="Amiri" w:eastAsia="Amiri" w:cs="Amiri"/>
          <w:color w:val="111111"/>
          <w:sz w:val="28"/>
          <w:sz w:val="28"/>
          <w:szCs w:val="28"/>
          <w:rtl w:val="true"/>
          <w:lang w:bidi="ar-SA"/>
        </w:rPr>
        <w:t>وجوب الباقي بتعذر البعض، فاذا تعذّر صوم بعض الأيّام في شهر رمضان لم يسقط وجوب صوم الباقي لأنّ صوم كل يوم من أيّام الشهر واجب بوجوب مستقل، و لا مجال لتوهم سقوط الوجوب في مثله بتعذّر صوم بعض الأيّام و إلاّ كان ذلك خلف فرض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وجب اكرام كل فرد من أفراد العلماء و تعذّر اكرام بعض فانّه لا يسقط وجوب اكرام الباقي لنفس النكتة المتقدّمة و بلا حاجة الى الاستعانة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مورد القاعدة الاجزاء الواجبة بوجوب واحد دون الافراد الواجب كل واحد منها بوجوب استقلالي</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3794958_2314609296"/>
      <w:bookmarkStart w:id="189" w:name="_Toc64"/>
      <w:bookmarkEnd w:id="188"/>
      <w:r>
        <w:rPr/>
        <w:t>2</w:t>
      </w:r>
      <w:r>
        <w:rPr>
          <w:rtl w:val="true"/>
        </w:rPr>
        <w:t xml:space="preserve"> - </w:t>
      </w:r>
      <w:r>
        <w:rPr>
          <w:rtl w:val="true"/>
        </w:rPr>
        <w:t>مدرك القاعدة</w:t>
      </w:r>
      <w:bookmarkEnd w:id="189"/>
    </w:p>
    <w:p>
      <w:pPr>
        <w:pStyle w:val="Heading4"/>
        <w:numPr>
          <w:ilvl w:val="3"/>
          <w:numId w:val="1"/>
        </w:numPr>
        <w:rPr/>
      </w:pPr>
      <w:bookmarkStart w:id="190" w:name="__RefHeading___Toc3794960_2314609296"/>
      <w:bookmarkStart w:id="191" w:name="_Toc65"/>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قد يتصوّر ان القاعدة المذكورة بديهية لا تحتاج إلى دليل إذ من الواضح ان من تعذّر عليه قضاء قسم من دينه و تمكن من قضاء قسمه الآخر فلا يسقط وجوب قضاء الثاني بتعذّر الأوّل، و هل يحتمل احتياج اثبات مثل ذلك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 التصور المذكور خاطئ لأن ما ذكر وجيه في الافراد الواجبة بوجوبات مستقلة، و قد أشرنا الى عدم نظر القاعدة إلى ذلك بل للمركب الذي يتألف من أجزاء متعددة وجب مجموعها بوجوب واحد من دون استقلالية، و من الجلي ان ثبوت الوجوب للناقص بعد ما لم يكن هو المتعلّق له يحتاج إلى دليل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الاستدلال لها بروايات ثلاث</w:t>
      </w:r>
      <w:r>
        <w:rPr>
          <w:rFonts w:eastAsia="Amiri" w:cs="Amiri" w:ascii="Amiri" w:hAnsi="Amiri"/>
          <w:color w:val="111111"/>
          <w:sz w:val="28"/>
          <w:szCs w:val="28"/>
          <w:rtl w:val="true"/>
          <w:lang w:bidi="ar-SA"/>
        </w:rPr>
        <w:t xml:space="preserve">: </w:t>
      </w:r>
      <w:bookmarkStart w:id="192" w:name="pg19669_189190"/>
    </w:p>
    <w:p>
      <w:pPr>
        <w:pStyle w:val="Heading4"/>
        <w:numPr>
          <w:ilvl w:val="3"/>
          <w:numId w:val="1"/>
        </w:numPr>
        <w:rPr/>
      </w:pPr>
      <w:bookmarkStart w:id="193" w:name="__RefHeading___Toc3794962_2314609296"/>
      <w:bookmarkStart w:id="194" w:name="_Toc66"/>
      <w:bookmarkEnd w:id="192"/>
      <w:bookmarkEnd w:id="193"/>
      <w:r>
        <w:rPr>
          <w:rtl w:val="true"/>
        </w:rPr>
        <w:t>الرواية الاولى</w:t>
      </w:r>
      <w:bookmarkEnd w:id="194"/>
    </w:p>
    <w:p>
      <w:pPr>
        <w:pStyle w:val="BookText"/>
        <w:rPr/>
      </w:pPr>
      <w:r>
        <w:rPr>
          <w:rFonts w:ascii="Amiri" w:hAnsi="Amiri" w:eastAsia="Amiri" w:cs="Amiri"/>
          <w:color w:val="111111"/>
          <w:sz w:val="28"/>
          <w:sz w:val="28"/>
          <w:szCs w:val="28"/>
          <w:rtl w:val="true"/>
          <w:lang w:bidi="ar-SA"/>
        </w:rPr>
        <w:t xml:space="preserve">ما روي عن أمير المؤمنين عليه السّلام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المشهور على الألسن إلاّ ان الوارد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دلالة الرواية واضحة إذ هي تدل باطلاقها على ان كل ميسور بما في ذلك اجزاء المركب الواحد لا تسقط بالمعسور و لا تختص بالواجبات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اشكل عليه بعدّة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ناظرة إلى الافراد المتعددة الواجب كل واحد منها بوجوب مستقل لا للمركب من أجزاء متعددة التي وجبت بوجوب واحد، و المهم اثبات نظرها الى الثاني و انه بتعذّر بعض الأجزاء لا يسقط وجوب الباقي دون الأوّل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الوجه في كونها ناظرة الى الأوّل التعبير الوارد فيها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السقوط فرع الثبوت السابق، فمن وجب عليه صوم شهر و تعذّر عليه صوم عشرة أيّام فالعشرون الباقية يصح أن يقال عنها لا يسقط وجوبها الثابت لها سابقا، فان كلّ يوم قد ثبت له وجوب مستقل، و ذلك الوجوب المستقل لا يسقط بتعذر صوم العشرة، اما الأجزاء الواجبة بوجوب واحد فلا يصح مثل التعبير المذكور فيها لأن الأجزاء الباقية لم يثبت لها الوجوب سابقا كي يقال هو لا يسقط عنها بتعذّر بعض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أجل كانت هي واجبة سابقا بوجوب ضمني و في داخل وجوب المركب التام إلاّ ان ذلك قد سقط جزما عند سقوط الأمر بالكل لأنّه تابع له و في ضمنه، و المدعى ليس هو اثبات بقاء ذلك الوجوب الضمني فانه قد سقط و لا يحتمل بقاؤه و انما المدعى ثبوت وجوب نفسي استقلالي له، و هذا الوجوب لم يكن ثابتا سابقا كي يحكم عليه بعدم السقوط، و ما كان ثابتا قد سقط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قد تبنّاه السيّد الخوئي</w:t>
      </w:r>
      <w:r>
        <w:rPr>
          <w:rStyle w:val="FootnoteAnchor"/>
          <w:rtl w:val="true"/>
        </w:rPr>
        <w:footnoteReference w:id="109"/>
      </w:r>
      <w:r>
        <w:rPr>
          <w:rFonts w:ascii="Amiri" w:hAnsi="Amiri" w:eastAsia="Amiri" w:cs="Amiri"/>
          <w:color w:val="111111"/>
          <w:sz w:val="28"/>
          <w:sz w:val="28"/>
          <w:szCs w:val="28"/>
          <w:rtl w:val="true"/>
          <w:lang w:bidi="ar-SA"/>
        </w:rPr>
        <w:t>و على أساسه ناقش 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ناقش الشيخ النراقي بذلك</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الأعظم في الرسائل</w:t>
      </w:r>
      <w:r>
        <w:rPr>
          <w:rStyle w:val="FootnoteAnchor"/>
          <w:rtl w:val="true"/>
        </w:rPr>
        <w:footnoteReference w:id="111"/>
      </w:r>
      <w:r>
        <w:rPr>
          <w:rFonts w:ascii="Amiri" w:hAnsi="Amiri" w:eastAsia="Amiri" w:cs="Amiri"/>
          <w:color w:val="111111"/>
          <w:sz w:val="28"/>
          <w:sz w:val="28"/>
          <w:szCs w:val="28"/>
          <w:rtl w:val="true"/>
          <w:lang w:bidi="ar-SA"/>
        </w:rPr>
        <w:t>قد تعرّض لهذا الاشكال و أجاب عنه بجوابين كلاهما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لم تقل لا يسقط حكم الميسور بسقوط حكم المعسور ليقال ان حكم الميسور الذي يراد ابقاؤه لم يكن ثابتا سابقا و ما كان ثابتا قد سقط بل قالت نفس الميسور يبقى ثابتا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الذي يراد اثباته و ان لم يكن ثابتا سابقا و ما كان ثابتا سابقا قد سقط جزما إلاّ ان التفرقة بين الوجوبين و ان احدهما ضمني سقط جزما و الآخر استقلالي لم يكن ثابتا سابقا مبتنية على الدقة و إلاّ فالنظرة العرفية ترى الوجوب واحدا و ترى ان الوجوب إذا لم يثبت للباقي فالتعبير عنه بأنّه قد سقط وجيه بالرغم من انّه بحسب الدقة لم يكن ثابتا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هاتان مناقشتان للشيخ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نضيف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ورودها في الرواية و انّما ذلك متداول على الألسن بلا مستند بل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أشرنا إلى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تبناه الآخوند في كفاية الاصول من احتمال نظر الرواية الى الافراد المتعددة التي وجب كل واحد منها بوجوب مستقل و ليس الى المركب من أجزاء التي وجبت بوجوب واحد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الاحتمال لا يعتنى له بعد ثبوت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الكفاية أيضا من ان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الرجحان دون اللزوم لأنّ الرواية شاملة للمستحبات أيضا و لا اختصاص لها بالواجبات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عدم سقوط الميسور بما له من الحكم فان كان مستحبا فيبقى الاستحباب و ان كان وجوبا يبقى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هذا اتضح ان دلالة الرواية على المطلوب تامة إلاّ ان المشكلة تبقى في سندها فانّها لم ترو إلاّ في كتاب عوالي اللئالي عن أمير المؤمنين عليه السّلام بشكل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المذكور معروف بالضعف فكيف إذا اجتمع معه الارسال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التخلّص من الضعف السندي المذكور إلاّ بما ذكره الشيخ الأعظم في الرسائل و بعض من تأخّر عنه من الانجبار باشتهار التمسّك بها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95" w:name="pg19669_189193"/>
    </w:p>
    <w:p>
      <w:pPr>
        <w:pStyle w:val="BookText"/>
        <w:rPr/>
      </w:pPr>
      <w:bookmarkEnd w:id="195"/>
      <w:r>
        <w:rPr>
          <w:rFonts w:ascii="Amiri" w:hAnsi="Amiri" w:eastAsia="Amiri" w:cs="Amiri"/>
          <w:color w:val="111111"/>
          <w:sz w:val="28"/>
          <w:sz w:val="28"/>
          <w:szCs w:val="28"/>
          <w:rtl w:val="true"/>
          <w:lang w:bidi="ar-SA"/>
        </w:rPr>
        <w:t>و تمكن المناقشة بأن الشهرة انّما تكون جابرة لو كانت ثابتة بين المتقدّمين دون ما لو كانت خاصة بالمتأخرين، فان ما يمكن أن يورث الاطمئنان بحقانية الرواية هو الشهرة بين المتقدّمين دون الشهرة بين المتأخرين، و في المقام لم يشتهر التمسك بالرواية بين المتقدّمين كالشيخ الكليني و الصدوق و الطوسي فان أول من ذكرها هو ابن أبي جمهور الاحسائي في كتاب عوالي اللآلي الذي هو من أعلام القرن التاسع و متأخر عن العلاّمة الحلّي</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794964_2314609296"/>
      <w:bookmarkStart w:id="197" w:name="_Toc67"/>
      <w:bookmarkEnd w:id="196"/>
      <w:r>
        <w:rPr>
          <w:rtl w:val="true"/>
        </w:rPr>
        <w:t>الرواية الثانية و الثالثة</w:t>
      </w:r>
      <w:bookmarkEnd w:id="197"/>
    </w:p>
    <w:p>
      <w:pPr>
        <w:pStyle w:val="BookText"/>
        <w:rPr/>
      </w:pPr>
      <w:r>
        <w:rPr>
          <w:rFonts w:ascii="Amiri" w:hAnsi="Amiri" w:eastAsia="Amiri" w:cs="Amiri"/>
          <w:color w:val="111111"/>
          <w:sz w:val="28"/>
          <w:sz w:val="28"/>
          <w:szCs w:val="28"/>
          <w:rtl w:val="true"/>
          <w:lang w:bidi="ar-SA"/>
        </w:rPr>
        <w:t>و استدل أيضا بالحديث الوارد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بالحديث الوارد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ضعيف السند إذ لم يرويا إلاّ في كتاب عوالي اللآلي</w:t>
      </w:r>
      <w:r>
        <w:rPr>
          <w:rStyle w:val="FootnoteAnchor"/>
          <w:rtl w:val="true"/>
        </w:rPr>
        <w:footnoteReference w:id="114"/>
      </w:r>
      <w:r>
        <w:rPr>
          <w:rFonts w:ascii="Amiri" w:hAnsi="Amiri" w:eastAsia="Amiri" w:cs="Amiri"/>
          <w:color w:val="111111"/>
          <w:sz w:val="28"/>
          <w:sz w:val="28"/>
          <w:szCs w:val="28"/>
          <w:rtl w:val="true"/>
          <w:lang w:bidi="ar-SA"/>
        </w:rPr>
        <w:t>بشكل مرسل لا مجال لدعوى الانجبار فيه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ضعف السند لا تبقى حاجة إلى البحث عن تمامية الدلالة و عدمها</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3794966_2314609296"/>
      <w:bookmarkStart w:id="199" w:name="_Toc68"/>
      <w:bookmarkEnd w:id="198"/>
      <w:r>
        <w:rPr/>
        <w:t>3</w:t>
      </w:r>
      <w:r>
        <w:rPr>
          <w:rtl w:val="true"/>
        </w:rPr>
        <w:t xml:space="preserve"> - </w:t>
      </w:r>
      <w:r>
        <w:rPr>
          <w:rtl w:val="true"/>
        </w:rPr>
        <w:t>الاستصحاب و القاعدة</w:t>
      </w:r>
      <w:bookmarkEnd w:id="199"/>
    </w:p>
    <w:p>
      <w:pPr>
        <w:pStyle w:val="BookText"/>
        <w:rPr/>
      </w:pPr>
      <w:r>
        <w:rPr>
          <w:rFonts w:ascii="Amiri" w:hAnsi="Amiri" w:eastAsia="Amiri" w:cs="Amiri"/>
          <w:color w:val="111111"/>
          <w:sz w:val="28"/>
          <w:sz w:val="28"/>
          <w:szCs w:val="28"/>
          <w:rtl w:val="true"/>
          <w:lang w:bidi="ar-SA"/>
        </w:rPr>
        <w:t>قد يحاول اثبات وجوب الاجزاء الميسورة من خلال الاستصحاب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يبدو ان التمسّك بالاستصحاب أمر غريب لأن الوجوب السابق الذي كان ثابتا للأجزاء الميسورة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وجوبها الضمني </w:t>
      </w:r>
    </w:p>
    <w:p>
      <w:pPr>
        <w:pStyle w:val="BookText"/>
        <w:rPr/>
      </w:pPr>
      <w:r>
        <w:rPr>
          <w:rFonts w:ascii="Amiri" w:hAnsi="Amiri" w:eastAsia="Amiri" w:cs="Amiri"/>
          <w:color w:val="111111"/>
          <w:sz w:val="28"/>
          <w:sz w:val="28"/>
          <w:szCs w:val="28"/>
          <w:rtl w:val="true"/>
          <w:lang w:bidi="ar-SA"/>
        </w:rPr>
        <w:t xml:space="preserve">الثابت ضمن وجوب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جزما لأنّه ثابت ضمن وجوب الكل فاذا سقط سقط ما في ضمنه، و الوجوب الذي يراد اثباته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الوجوب النفسي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ثبوت له سابقا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فما كان سابقا لا يمكن استصحابه و ما يراد استصحابه لم يكن ثابتا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اجراء الاستصحاب بحاجة الى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في هذا المجال ذكر عدّة 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الاستصحاب في كلي الوجوب الجامع بين الضمني و الاستقلالي، ببيان ان الوجوب الضمني للاجزاء الميسورة كان ثابتا لها سابقا و هو و ان سقط جزما إلاّ انّا نحتمل حلول الوجوب النفسي الاستقلالي محله فنستصحب الوجوب الكلي الجامع بين الوجوبين و لا نستصحب أحدهما بالخصوص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الضمني سقط جزما و الوجوب الاستقلالي لم يكن ثابتا سابقا ليستصحب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الاستصحاب هو استصحاب الكلي من القسم الثالث و هو 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من القسم الثالث فلأن الفرض الجزم بارتفاع الفرد الأول من الوجوب الذي يتيقن بوجود الكلي ضمنه غايته يحتمل حدوث فرد ثان مقارنا لارتفاعه، و ذلك هو ملاك القسم الثالث من استصحاب الكلي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انّه لا يجري فباعتبار ان وجود الكلي في الخارج ليس وجودا مستقلاّ و انّما هو بوجود افراده و ضمنها، و هو ما يعبر عنه بكونه موجودا بالحصص فهناك حصص من الكلي بعدد الافراد و ليس </w:t>
      </w:r>
    </w:p>
    <w:p>
      <w:pPr>
        <w:pStyle w:val="BookText"/>
        <w:rPr/>
      </w:pPr>
      <w:r>
        <w:rPr>
          <w:rFonts w:ascii="Amiri" w:hAnsi="Amiri" w:eastAsia="Amiri" w:cs="Amiri"/>
          <w:color w:val="111111"/>
          <w:sz w:val="28"/>
          <w:sz w:val="28"/>
          <w:szCs w:val="28"/>
          <w:rtl w:val="true"/>
          <w:lang w:bidi="ar-SA"/>
        </w:rPr>
        <w:t>وجوده واحدا ضمن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فالحصة من كلي الوجوب الثابتة ضمن الوجوب الضمني قد ارتفعت جزما و الحصة الثانية من كلي الوجوب الثابتة ضمن الوجوب الاستقلالي لم تكن ثابتة سابقا لتستصحب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فلا يجري استصحاب الكلي لعدم تمامية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انّما تتم الأركان لو فرض ان وجوده كان واحدا ضمن جميع الافراد فانّه آنذاك يقال ان ذلك الوجود الواحد للكلي كان ثابتا سابقا جزما 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تعسّر بعض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بقائه فيستصحب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المبنى المذكور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هو المنسوب للرجل الهمداني الذي التقى به الشيخ الرئيس في مدينة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لازمه اتصاف الشيء الواحد بالصفات المتقابلة كالموت و الحياة و البياض و السواد و العلم و الجهل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النفسي الاستقلالي فانه كان ثابتا قبلا جزما و يشك في ارتفاعه بتعذّر بعض الأجزاء فيستصحب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يكون الاستصحاب للجزئي دون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النفسي الاستقلالي الذي كان ثابتا للمجموع قد ارتفع جزما، و الذي هو ثابت للميسور يشك في أصل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اريد ملاحظة الجامع بينهما صار الاستصحاب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القسم الثالث الذي تقدّم عدم جريانه فيه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الوجوب الاستقلالي الثابت للصلاة فيشار الى الصلاة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كانت واجبة و هي الآن يشك في وجوبها، فانه </w:t>
      </w:r>
      <w:bookmarkStart w:id="200" w:name="pg19669_189196"/>
    </w:p>
    <w:p>
      <w:pPr>
        <w:pStyle w:val="BookText"/>
        <w:rPr/>
      </w:pPr>
      <w:bookmarkEnd w:id="200"/>
      <w:r>
        <w:rPr>
          <w:rFonts w:ascii="Amiri" w:hAnsi="Amiri" w:eastAsia="Amiri" w:cs="Amiri"/>
          <w:color w:val="111111"/>
          <w:sz w:val="28"/>
          <w:sz w:val="28"/>
          <w:szCs w:val="28"/>
          <w:rtl w:val="true"/>
          <w:lang w:bidi="ar-SA"/>
        </w:rPr>
        <w:t xml:space="preserve">بنقصان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المتعذّر قليلا و غير مقوم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الصلاة هي تلك الصلاة و يصح ان يشار إليها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سابقا واجبة و 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للاستصحاب جيّد شريطة كون المتعذّر قليلا و غير مقوم لمفهوم الصلاة، فانه بناء على هذا يكون موضوع الصلاة باقيا عرفا و تصح الاشارة إليه و انه كان متّصفا بالوجوب الاستقلالي سابقا و الآن كذلك</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794968_2314609296"/>
      <w:bookmarkStart w:id="202" w:name="_Toc69"/>
      <w:bookmarkEnd w:id="201"/>
      <w:r>
        <w:rPr>
          <w:rtl w:val="true"/>
        </w:rPr>
        <w:t>ملاحظة مشتركة</w:t>
      </w:r>
      <w:bookmarkEnd w:id="202"/>
    </w:p>
    <w:p>
      <w:pPr>
        <w:pStyle w:val="BookText"/>
        <w:rPr/>
      </w:pPr>
      <w:r>
        <w:rPr>
          <w:rFonts w:ascii="Amiri" w:hAnsi="Amiri" w:eastAsia="Amiri" w:cs="Amiri"/>
          <w:color w:val="111111"/>
          <w:sz w:val="28"/>
          <w:sz w:val="28"/>
          <w:szCs w:val="28"/>
          <w:rtl w:val="true"/>
          <w:lang w:bidi="ar-SA"/>
        </w:rPr>
        <w:t>هناك قضية لا بدّ من الالتفات إليها و هي ان الاستصحاب في هذه الوجوه الثلاثة لا يجري إلاّ إذا كان التعذّر قد طرأ بعد دخول وقت الواجب، إذ بعد دخول الوقت يمكن أن يشار الى الصلاة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 قليل واجبة و الآن كذلك، اما إذا كان التعذر قد طرأ قبل دخول الوقت فلا يجري إذ لا تمكن الاشارة الى الصلاة و الحكم عليها بانها كانت واجبة قبلا، بل حينما يدخل الوقت يشك في أصل حدوث الوجوب فيستصحب عدمه لا وجوده و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الملاحظة مشتركة و لا تختص بالوجه الثالث بل تعمّ جميع الوجوه الثلاثة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3794970_2314609296"/>
      <w:bookmarkStart w:id="204" w:name="_Toc70"/>
      <w:bookmarkEnd w:id="203"/>
      <w:r>
        <w:rPr/>
        <w:t>4</w:t>
      </w:r>
      <w:r>
        <w:rPr>
          <w:rtl w:val="true"/>
        </w:rPr>
        <w:t xml:space="preserve"> - </w:t>
      </w:r>
      <w:r>
        <w:rPr>
          <w:rtl w:val="true"/>
        </w:rPr>
        <w:t>اطلاق الأدلّة الأوّلية و القاعدة</w:t>
      </w:r>
      <w:bookmarkEnd w:id="20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قاعدة الميسور لو تمّت فلا يصح التمسّك بها إلاّ بعد فقدان الاطلاق في الأدلة الأولية، فمثلا إذا دلّ دليل وجوب الحج على ان الحج واجب مطلق، بمعنى انه ثابت حتى في حالة تعذّر بعض الاجزاء فيلزم </w:t>
      </w:r>
      <w:bookmarkStart w:id="205" w:name="pg19669_189197"/>
    </w:p>
    <w:p>
      <w:pPr>
        <w:pStyle w:val="BookText"/>
        <w:rPr/>
      </w:pPr>
      <w:bookmarkEnd w:id="205"/>
      <w:r>
        <w:rPr>
          <w:rFonts w:ascii="Amiri" w:hAnsi="Amiri" w:eastAsia="Amiri" w:cs="Amiri"/>
          <w:color w:val="111111"/>
          <w:sz w:val="28"/>
          <w:sz w:val="28"/>
          <w:szCs w:val="28"/>
          <w:rtl w:val="true"/>
          <w:lang w:bidi="ar-SA"/>
        </w:rPr>
        <w:t>الأخذ باطلاق دليل الواجب المذكور و يثبت بذلك وجوب الحج في حالة تعذر بعض الاجزاء بدون أن تصل النوبة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إذا كان لدليل جزئية الجزء المتعذر اطلاق يثبت من خلاله ان الجزئية مطلقة و ثابتة حتى في حالة التعذر فالمناسب الأخذ بالاطلاق المذكور و يثبت بذلك سقوط وجوب الواجب و عدم لزوم الاتيان بالميسور بدون أن تصل النوبة الى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الاطلاق ثابتا في كل من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الواجب و دليل الجزء فالمناسب الأخذ باطلاق دليل الجزء و الحكم بعدم وجوب الميسور فان دليل الجزء بمثابة المقيّد لدليل الواجب الذي هو بمثابة المطلق، و كما ان أصل المقيّد مقدّم على المطلق بقانون الجمع بالتقييد كذلك اطلاق الدليل المقيّد مقدّم على اطلاق الدليل المطلق بنفس الملاك و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وصول النوبة إلى قاعدة الميسور يختص بحالة فقدان الاطلاق في دليل الواجب و دليل الجزء</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3794972_2314609296"/>
      <w:bookmarkStart w:id="207" w:name="_Toc71"/>
      <w:bookmarkEnd w:id="206"/>
      <w:r>
        <w:rPr/>
        <w:t>5</w:t>
      </w:r>
      <w:r>
        <w:rPr>
          <w:rtl w:val="true"/>
        </w:rPr>
        <w:t xml:space="preserve"> - </w:t>
      </w:r>
      <w:r>
        <w:rPr>
          <w:rtl w:val="true"/>
        </w:rPr>
        <w:t>تطبيقات</w:t>
      </w:r>
      <w:bookmarkEnd w:id="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الغسل يضرّ المكلف فهل بالامكان تطبيق قاعدة الميسور بناء على تماميتها لإثبات وجوب اراقة الماء على الملابس بدلا من اراقته على البدن؟ و بناء على عدم تماميتها هل يمكن اجراء الاستصحاب لإثبات ذلك؟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تخريج وضوء الجبيرة على طبق قاعدة الميسور بحيث تكفينا القاعدة المذكورة لإثبات مشروعيته بلا حاجة إلى دليل </w:t>
      </w:r>
    </w:p>
    <w:p>
      <w:pPr>
        <w:pStyle w:val="BookText"/>
        <w:rPr/>
      </w:pPr>
      <w:r>
        <w:rPr>
          <w:rFonts w:ascii="Amiri" w:hAnsi="Amiri" w:eastAsia="Amiri" w:cs="Amiri"/>
          <w:color w:val="111111"/>
          <w:sz w:val="28"/>
          <w:sz w:val="28"/>
          <w:szCs w:val="28"/>
          <w:rtl w:val="true"/>
          <w:lang w:bidi="ar-SA"/>
        </w:rPr>
        <w:t>خاص يدل على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بعض بدنه قطعة قير لا يمكنه إزالتها فما هي الوظيفة بلحاظ غسله و وضوئه؟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 يجب تغسيله بماء السدر أوّلا ثم بماء الكافور ثم بالماء القراح فإذا تعذّر السدر أو الكافور فما هي الوظيفة؟ و إذا كان الماء المطلق مفقودا فهل تصل النوبة الى التغسيل بالماء المضاف؟</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لم يصم عصيانا فترة طويلة من عمره ثم رجع و تاب و لم يمكنه قضاء تلك الفترة الطويلة أو التكفير عنها فما هو حكمه؟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9669_189200"/>
      <w:bookmarkStart w:id="209" w:name="pg19669_189200"/>
      <w:bookmarkEnd w:id="209"/>
    </w:p>
    <w:p>
      <w:pPr>
        <w:pStyle w:val="Heading2"/>
        <w:numPr>
          <w:ilvl w:val="1"/>
          <w:numId w:val="1"/>
        </w:numPr>
        <w:rPr/>
      </w:pPr>
      <w:bookmarkStart w:id="210" w:name="pg19669_189200"/>
      <w:bookmarkStart w:id="211" w:name="__RefHeading___Toc3794974_2314609296"/>
      <w:bookmarkStart w:id="212" w:name="_Toc72"/>
      <w:bookmarkEnd w:id="210"/>
      <w:bookmarkEnd w:id="211"/>
      <w:r>
        <w:rPr>
          <w:rtl w:val="true"/>
        </w:rPr>
        <w:t>قاعدة على اليد</w:t>
      </w:r>
      <w:bookmarkEnd w:id="212"/>
    </w:p>
    <w:p>
      <w:pPr>
        <w:pStyle w:val="Heading3"/>
        <w:numPr>
          <w:ilvl w:val="2"/>
          <w:numId w:val="1"/>
        </w:numPr>
        <w:rPr/>
      </w:pPr>
      <w:bookmarkStart w:id="213" w:name="__RefHeading___Toc3794976_2314609296"/>
      <w:bookmarkStart w:id="214" w:name="_Toc73"/>
      <w:bookmarkEnd w:id="213"/>
      <w:r>
        <w:rPr>
          <w:rtl w:val="true"/>
        </w:rPr>
        <w:t>اشارة</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 أو تكليفي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المنافع و الاعمال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أو القيمة و بدل الحيلولة و اجرة الرد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للجاهل و الصغير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يد الامانة و الاحسان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اخرى للضمان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هناك قواعد تداولها الفقهاء في باب الضمان بصفتها مستندات لإثباته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قاعدة الغرور، و قاعدة الاقدام على الضمان، و قاعدة الأمر بالاتلاف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تلك القواعد بل من أهمّها قاعدة على اليد التي هي من القواعد المشهورة و يتداول ذكرها في مبحث الغصب و مبحث المقبوض بالعقد الفاسد و مبحث تعاقب الأيدي و عند التعرض لقاعدة ما يضمن بصحيحه يضمن بفاسده و ما لا يضمن بصحيحه لا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مبحث الغصب يتعرّض الى ان الغاصب و كل من تعاقبت يده على المغصوب ضامن له لقاعدة على اليد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المنوال المذكور يتعرض لها في مبحث المقبوض بالعقد الفاسد باعتبار انّه باق على ملك مالكه السابق فكل من تعاقبت يده عليه يكون ضامنا له لقاعدة على اليد</w:t>
      </w:r>
      <w:r>
        <w:rPr>
          <w:rFonts w:eastAsia="Amiri" w:cs="Amiri" w:ascii="Amiri" w:hAnsi="Amiri"/>
          <w:color w:val="111111"/>
          <w:sz w:val="28"/>
          <w:szCs w:val="28"/>
          <w:rtl w:val="true"/>
          <w:lang w:bidi="ar-SA"/>
        </w:rPr>
        <w:t xml:space="preserve">. </w:t>
      </w:r>
      <w:bookmarkStart w:id="215" w:name="pg19669_189203"/>
    </w:p>
    <w:p>
      <w:pPr>
        <w:pStyle w:val="BookText"/>
        <w:rPr/>
      </w:pPr>
      <w:bookmarkEnd w:id="215"/>
      <w:r>
        <w:rPr>
          <w:rFonts w:ascii="Amiri" w:hAnsi="Amiri" w:eastAsia="Amiri" w:cs="Amiri"/>
          <w:color w:val="111111"/>
          <w:sz w:val="28"/>
          <w:sz w:val="28"/>
          <w:szCs w:val="28"/>
          <w:rtl w:val="true"/>
          <w:lang w:bidi="ar-SA"/>
        </w:rPr>
        <w:t>و في قاعدة 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إلى قاعدة على اليد بصفتها مدركا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من الشيخ الأعظم قدّس سرّه في مكاسبه الاشارة إليها في بعض الأبحاث المذكورة، و لكننا لا نقرأ في الكتاب المذكور و لا غيره من الكتب الفقهية أو الاصولية بحثا مستقلاّ و متكاملا عنها بالرغم من شدّة الحاجة إليها و كثرة التمسّك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تعرض لها الشيخ النراقي في عوائده</w:t>
      </w:r>
      <w:r>
        <w:rPr>
          <w:rStyle w:val="FootnoteAnchor"/>
          <w:rtl w:val="true"/>
        </w:rPr>
        <w:footnoteReference w:id="115"/>
      </w:r>
      <w:r>
        <w:rPr>
          <w:rFonts w:ascii="Amiri" w:hAnsi="Amiri" w:eastAsia="Amiri" w:cs="Amiri"/>
          <w:color w:val="111111"/>
          <w:sz w:val="28"/>
          <w:sz w:val="28"/>
          <w:szCs w:val="28"/>
          <w:rtl w:val="true"/>
          <w:lang w:bidi="ar-SA"/>
        </w:rPr>
        <w:t>ببحث مختصر لا يشفي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الحديث عنها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وضعي أو تكليفي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 المنافع و الاعمال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أو القيمة و بدل الحيلولة و اجرة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القاعدة للجاهل و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يد الامانة و الاحسان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اخرى للضمان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794978_2314609296"/>
      <w:bookmarkStart w:id="217" w:name="_Toc74"/>
      <w:bookmarkEnd w:id="216"/>
      <w:r>
        <w:rPr/>
        <w:t>1</w:t>
      </w:r>
      <w:r>
        <w:rPr>
          <w:rtl w:val="true"/>
        </w:rPr>
        <w:t xml:space="preserve"> - </w:t>
      </w:r>
      <w:r>
        <w:rPr>
          <w:rtl w:val="true"/>
        </w:rPr>
        <w:t>مضمون القاعدة</w:t>
      </w:r>
      <w:bookmarkEnd w:id="21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من قاعدة على اليد ان كل من استولى على مال غيره و وقع </w:t>
      </w:r>
    </w:p>
    <w:p>
      <w:pPr>
        <w:pStyle w:val="BookText"/>
        <w:rPr/>
      </w:pPr>
      <w:r>
        <w:rPr>
          <w:rFonts w:ascii="Amiri" w:hAnsi="Amiri" w:eastAsia="Amiri" w:cs="Amiri"/>
          <w:color w:val="111111"/>
          <w:sz w:val="28"/>
          <w:sz w:val="28"/>
          <w:szCs w:val="28"/>
          <w:rtl w:val="true"/>
          <w:lang w:bidi="ar-SA"/>
        </w:rPr>
        <w:t>تحت يده كان ضامنا له و ان لم يتلف أو تلف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ركب شخص سيارة غيره من دون كسب موافقته كان ضامنا لها و ملزما بإرجاعها إليه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تعيّب بعض أجهزتها أو سرقت منه و لو مع تحفظه الكامل عليها أو حدث زلزال فتلفت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لها في كل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طبيعي في حالة اتلافها عن قصد و تعمّد يكون الضمان ثابتا لها بالاولى و لكن لا من باب القاعدة المذكورة بل لقاعدة اخرى يصطلح عليها قاعدة الاتلاف، أي ان 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دائرة قاعدة على اليد تنحصر بما اذا لم يفرض تحقّق الاتلاف من قبل المستولي على العين عن قصد و تعمّد و إلاّ كان مدرك الضمان قاعدة الاتلاف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الالتفات الى انّه في حالة تعاقب الأيدي على العين تكون كل واحدة منها ضامنة لقاعدة على اليد، و من حق المالك الرجوع على كل واحدة منها و ان كان التلف متحققا عند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الأيدي المتعاقبة كانت ثلاثا و تحقق التلف عند الثالثة فمن حق المالك الرجوع على الاولى أو الثانية أيضا فضلا عن الثالثة لتحقق الضمان باليد في حق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في حالة بقاء العين سالمة عند الأول يكون ملزما بارجاعها و عليه كامل نفقات الارجاع 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كلّه اتضح الفارق بين قاعدة على اليد و قاعدة الاتلاف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علينا أن نستوضح الفارق بين قاعدة على اليد و قاعدة اليد التي تقدّمت الاشارة إليها في أبحاث سابقة</w:t>
      </w:r>
      <w:r>
        <w:rPr>
          <w:rFonts w:eastAsia="Amiri" w:cs="Amiri" w:ascii="Amiri" w:hAnsi="Amiri"/>
          <w:color w:val="111111"/>
          <w:sz w:val="28"/>
          <w:szCs w:val="28"/>
          <w:rtl w:val="true"/>
          <w:lang w:bidi="ar-SA"/>
        </w:rPr>
        <w:t xml:space="preserve">. </w:t>
      </w:r>
      <w:bookmarkStart w:id="218" w:name="pg19669_189205"/>
    </w:p>
    <w:p>
      <w:pPr>
        <w:pStyle w:val="BookText"/>
        <w:rPr/>
      </w:pPr>
      <w:bookmarkEnd w:id="218"/>
      <w:r>
        <w:rPr>
          <w:rFonts w:ascii="Amiri" w:hAnsi="Amiri" w:eastAsia="Amiri" w:cs="Amiri"/>
          <w:color w:val="111111"/>
          <w:sz w:val="28"/>
          <w:sz w:val="28"/>
          <w:szCs w:val="28"/>
          <w:rtl w:val="true"/>
          <w:lang w:bidi="ar-SA"/>
        </w:rPr>
        <w:t>ان الفارق هو انّه في قاعدة اليد لا يراد اثبات الضمان بل يراد اثبات امارية اليد على الملكية و ان من كانت له يد على شيء فذلك امارة على كونه مالكا له، و هذا بخلافه في قاعدة على اليد فانه يراد اثبات ان المستولي على مال غيره هو 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توجد لدينا قواعد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على اليد و قاعدة اليد و قاعدة الاتلاف، و قد اتضح الفارق بين كل واحدة و الاخرى</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3794980_2314609296"/>
      <w:bookmarkStart w:id="220" w:name="_Toc75"/>
      <w:bookmarkEnd w:id="219"/>
      <w:r>
        <w:rPr/>
        <w:t>2</w:t>
      </w:r>
      <w:r>
        <w:rPr>
          <w:rtl w:val="true"/>
        </w:rPr>
        <w:t xml:space="preserve"> - </w:t>
      </w:r>
      <w:r>
        <w:rPr>
          <w:rtl w:val="true"/>
        </w:rPr>
        <w:t>مدرك القاعدة</w:t>
      </w:r>
      <w:bookmarkEnd w:id="220"/>
    </w:p>
    <w:p>
      <w:pPr>
        <w:pStyle w:val="BookText"/>
        <w:rPr/>
      </w:pPr>
      <w:r>
        <w:rPr>
          <w:rFonts w:ascii="Amiri" w:hAnsi="Amiri" w:eastAsia="Amiri" w:cs="Amiri"/>
          <w:color w:val="111111"/>
          <w:sz w:val="28"/>
          <w:sz w:val="28"/>
          <w:szCs w:val="28"/>
          <w:rtl w:val="true"/>
          <w:lang w:bidi="ar-SA"/>
        </w:rPr>
        <w:t>المدرك المعروف للقاعدة المذكورة هو الحديث المشهور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للحديث المذكور أثر في معاجمنا الحديثية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سجّله هو الاحسائي في عواليه</w:t>
      </w:r>
      <w:r>
        <w:rPr>
          <w:rStyle w:val="FootnoteAnchor"/>
          <w:rtl w:val="true"/>
        </w:rPr>
        <w:footnoteReference w:id="116"/>
      </w:r>
      <w:r>
        <w:rPr>
          <w:rFonts w:ascii="Amiri" w:hAnsi="Amiri" w:eastAsia="Amiri" w:cs="Amiri"/>
          <w:color w:val="111111"/>
          <w:sz w:val="28"/>
          <w:sz w:val="28"/>
          <w:szCs w:val="28"/>
          <w:rtl w:val="true"/>
          <w:lang w:bidi="ar-SA"/>
        </w:rPr>
        <w:t>، و من ثم نقله عنه المحدّث النوري في مستدركه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هو ممّا يستشهد به فقهاؤنا كثيرا في كتبهم الفقهية الاستدلالية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وجدناه يتمسّك به الشيخ الطوسي في خلافه</w:t>
      </w:r>
      <w:r>
        <w:rPr>
          <w:rStyle w:val="FootnoteAnchor"/>
          <w:rtl w:val="true"/>
        </w:rPr>
        <w:footnoteReference w:id="118"/>
      </w:r>
      <w:r>
        <w:rPr>
          <w:rFonts w:ascii="Amiri" w:hAnsi="Amiri" w:eastAsia="Amiri" w:cs="Amiri"/>
          <w:color w:val="111111"/>
          <w:sz w:val="28"/>
          <w:sz w:val="28"/>
          <w:szCs w:val="28"/>
          <w:rtl w:val="true"/>
          <w:lang w:bidi="ar-SA"/>
        </w:rPr>
        <w:t>ثم تابعه على ذلك من تأخّر عنه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المصدر الأصلي للحديث هو المعاجم الحديثية للجمهور فقد رواه كثير منهم كأحمد بن حنبل في مسنده و الحاكم في مستدركه و ابن ماجه في سننه و البيهقي في سننه و الترمذي في </w:t>
      </w:r>
    </w:p>
    <w:p>
      <w:pPr>
        <w:pStyle w:val="BookText"/>
        <w:rPr/>
      </w:pPr>
      <w:r>
        <w:rPr>
          <w:rFonts w:ascii="Amiri" w:hAnsi="Amiri" w:eastAsia="Amiri" w:cs="Amiri"/>
          <w:color w:val="111111"/>
          <w:sz w:val="28"/>
          <w:sz w:val="28"/>
          <w:szCs w:val="28"/>
          <w:rtl w:val="true"/>
          <w:lang w:bidi="ar-SA"/>
        </w:rPr>
        <w:t>صحيحه و ابي داود السجستاني في سننه</w:t>
      </w:r>
      <w:r>
        <w:rPr>
          <w:rStyle w:val="FootnoteAnchor"/>
          <w:rtl w:val="true"/>
        </w:rPr>
        <w:footnoteReference w:id="119"/>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رواه بسند ينتهي الى الحسن عن سمرة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الحسن هو الحسن البصري المعروف بالعداء لأمير المؤمنين عليه السّلام، فابن أبي الحديد في شرحه على نهج البلاغة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البصري يبغض عليّا عليه السّلام و يذمّه و من المخذلين عن نصرته و قد أنكر على أمير المؤمنين عليه السّلام إراقته الدماء الكثيرة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ساءك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مسوءا، فما رؤي الحسن البصري بعد هذا إلاّ مهموما عابسا إلى أن مات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سمرة بن جندب فهو عامل زياد على البصرة المعروف بالشقاء و الوقوف في وجه النبيّ صلّى اللّه عليه و آله في قصة العذق و الأنصاري المشتملة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 النبي صلّى اللّه عليه و آله اترك هذا العذق و لك بدله عذق في الجنّة الدال على ضمان النبي صلّى اللّه عليه و آله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الجنة و حصوله على عذق فيها و لكنه لشقائه أبى حتى ضمان النبي صلّى اللّه عليه و آله له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الخارج لحرب الامام الحسين عليه السّلام و المتنازل أمام دراهم معاوية مقابل ادّعاء نزول بعض آيات الوعيد في حقّ أمير المؤمنين عليه السّلام و بعض آيات الوعد في حق ابن ملجم لعنه اللّه تعالى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اضافة الى هذا يوجد تشكيك في أصل سماع الحسن من سمرةى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لم يسمع منه غير حديث واحد و هو حديث 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كون سند الحديث بهذه المنزلة لا يبقى إلاّ أن يقال بانجبار ضعفه بالشهرة كما قال الشيخ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اشتهارها بين الأصحاب و تداولها في كتبهم و تلقيهم لها بالقبول و استدلالهم بها في موارد غير عديدة يجبر ضعفها و يكفي عن مئونة البحث في سندها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 انّه أشرنا عند البحث عن قاعدة السلطنة ان المقصود من الشهرة ان كان هو الروائية فهي غير محققة لعدم تواجد الرواية في المعاجم الحديثية، و ان كان هو الفتوائية فهي جابرة لو كانت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الطبقة المقاربة لعصر صدور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تحققها بين المتأخرين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 في المقام هي بين المتأخرين فقط لأنّه لم يستند الى الرواية من المتقدّمين سوى الشيخ قدّس سرّه، و المقدار المذكور لا يحقق شهرة الفتوى على طبق الرواية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عمل الشيخ في الخلاف برواية لا يكشف عن صحتها حتى في نظر الشيخ لاحتمال ان يكون تمسكه بها من باب الزام العامة برواياتهم و قواعدهم لان كتاب الخلاف مؤلف لبيان موارد الخلاف بين الشيعة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احتمال أن يكون استناد من استند اليها لا لأجل الوثوق بصدورها بل لكون مضمونها مضمونا عقلائيا مسلّما لا يحتاج الى رواية صحيحة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فالتمسك لإثبات القاعدة بالحديث المذكور أمر قابل للتأمل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المناسب الاستدلال عليها بالسيرة العقلائية فانّها انعقدت على ان كل من استولى على مال غيره فهو ضامن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ان سلمنا بمضمون الحديث السابق من خلال السيرة إلاّ ان الثمرة تظهر في بعض تعابير الحديث التي قد يستفاد منها بعض الأحكام بخلافه بناء على السيرة فان تلك الأحكام قد لا يمكن اثباتها كما سيتضح ذلك خلال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الاستدلال على القاعدة بما دلّ على احترام أموال المسلم من قبيل صحيحة الحلبي و محمّد بن مسلم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تجوز شهادة أهل ملة من غير أهل ملتهم؟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يوجد من أهل ملّتهم جازت شهادة غيرهم انّه لا يصلح ذهاب حق أحد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فان التعليل في الذيل يدل على الاحترام المطلوب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صحيحة أبي بصير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ماله كحرمة دمه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قبيل صحيحة ابي اسامة زيد الشحام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وقف بمنى حتى قضى مناسكها في حجّة الوداع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دماءكم و أموالكم عليكم حرام كحرمة يومكم هذا في شهركم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1" w:name="pg19669_189209"/>
    </w:p>
    <w:p>
      <w:pPr>
        <w:pStyle w:val="BookText"/>
        <w:rPr/>
      </w:pPr>
      <w:bookmarkEnd w:id="221"/>
      <w:r>
        <w:rPr>
          <w:rFonts w:ascii="Amiri" w:hAnsi="Amiri" w:eastAsia="Amiri" w:cs="Amiri"/>
          <w:color w:val="111111"/>
          <w:sz w:val="28"/>
          <w:sz w:val="28"/>
          <w:szCs w:val="28"/>
          <w:rtl w:val="true"/>
          <w:lang w:bidi="ar-SA"/>
        </w:rPr>
        <w:t>هذا في بلدكم هذا الى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الى من ائتمنه عليها فانه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بذلك قابل للتأمّل، إذ الحديث الأوّل و الثاني يدلان على ان المال لو تلف فلا بدّ من ضمانه و لا يمكن تحقق التلف بدون ضمان لأنّه يلزم ذهاب الحق هدرا و هو مناف لحرمة مال المؤمن، و هذا المقدار أضيق بكثير من المضمون الذي يراد اثباته بقاعدة اليد، فان المراد اثباته بها تحقق الضمان بمجرّد وضع اليد و ان لم يتحقق تلف أو تحقق عند انسان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الثالث ناظر الى الحكم التكليفي و ان التصرف لا يجوز بدون طيب نفس صاحب المال و ليس ناظرا الى الحكم الوضعي،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فالمدرك منحصر بالسيرة العقلائية الممضية بسبب عدم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كل مورد من ملاحظة حدود السيرة لا حدود الحديث و ألفاظه</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794982_2314609296"/>
      <w:bookmarkStart w:id="223" w:name="_Toc76"/>
      <w:bookmarkEnd w:id="222"/>
      <w:r>
        <w:rPr/>
        <w:t>3</w:t>
      </w:r>
      <w:r>
        <w:rPr>
          <w:rtl w:val="true"/>
        </w:rPr>
        <w:t xml:space="preserve"> - </w:t>
      </w:r>
      <w:r>
        <w:rPr>
          <w:rtl w:val="true"/>
        </w:rPr>
        <w:t>حكم وضعي أو تكليفي</w:t>
      </w:r>
      <w:bookmarkEnd w:id="22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المراد من اليد في القاعدة الكناية عن الاستيلاء و ان من استولى على شيء فهو عليه الى ان يتحقق منه الردّ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انّما عبّر باليد لأنّها الوسيلة عادة لتحقق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المهم تحقيق المقصود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المقصود من كونه عليها؟ فهل المقصود الاشارة بذلك الى الحكم التكليفي أو الى الحكم الوضعي؟</w:t>
      </w:r>
    </w:p>
    <w:p>
      <w:pPr>
        <w:pStyle w:val="BookText"/>
        <w:rPr/>
      </w:pPr>
      <w:r>
        <w:rPr>
          <w:rFonts w:ascii="Amiri" w:hAnsi="Amiri" w:eastAsia="Amiri" w:cs="Amiri"/>
          <w:color w:val="111111"/>
          <w:sz w:val="28"/>
          <w:sz w:val="28"/>
          <w:szCs w:val="28"/>
          <w:rtl w:val="true"/>
          <w:lang w:bidi="ar-SA"/>
        </w:rPr>
        <w:t>ظاهر الشيخ النراقي في عوائد الايام احتمال كون المقصود هو الحكم التكليفي، أي على اليد حفظ ما أخذت إلى زمان ادائه، و معه فلا يكون الحديث ناظرا الى الحكم الوضعي، و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الشيخ الأعظم قدّس سرّه في مبحث المقبوض بالعقد الفاسد ناظر الى ذلك حينما ذكر ان الحمل على إرادة الحكم التكليفي وجيه لو كانت النسبة الى فعل من أفعال المكلف بأن قيل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حفظ ما أخذته، انّه في مثل ذلك يتولّد ظهور في ارادة الحكم التكليفي، بخلاف ما لو كانت النسبة إلى نفس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الكلام يكون ظاهرا آنذاك في إرادة الضمان، فحينما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دينار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ضامن و مشغول الذمّة بدينار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الشيخ الأعظم قدّس سرّه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حصرنا المدرك بالسيرة العقلائية فليس لنا الا الرجوع اليها، و هي تقتضي الضمان لا مجرّد الحكم التكليفي، فمن استولى على سيارة غيره مثلا و دفعها إلى ثان جاز لدى العقلاء رجوع صاحبها الى الأوّل و مطالبته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24" w:name="pg19669_189211"/>
    </w:p>
    <w:p>
      <w:pPr>
        <w:pStyle w:val="Heading3"/>
        <w:numPr>
          <w:ilvl w:val="2"/>
          <w:numId w:val="1"/>
        </w:numPr>
        <w:rPr/>
      </w:pPr>
      <w:bookmarkStart w:id="225" w:name="__RefHeading___Toc3794984_2314609296"/>
      <w:bookmarkStart w:id="226" w:name="_Toc77"/>
      <w:bookmarkEnd w:id="224"/>
      <w:bookmarkEnd w:id="225"/>
      <w:r>
        <w:rPr/>
        <w:t>4</w:t>
      </w:r>
      <w:r>
        <w:rPr>
          <w:rtl w:val="true"/>
        </w:rPr>
        <w:t xml:space="preserve"> - </w:t>
      </w:r>
      <w:r>
        <w:rPr>
          <w:rtl w:val="true"/>
        </w:rPr>
        <w:t>ضمان المنافع و الاعمال</w:t>
      </w:r>
      <w:bookmarkEnd w:id="226"/>
    </w:p>
    <w:p>
      <w:pPr>
        <w:pStyle w:val="BookText"/>
        <w:rPr/>
      </w:pPr>
      <w:r>
        <w:rPr>
          <w:rFonts w:ascii="Amiri" w:hAnsi="Amiri" w:eastAsia="Amiri" w:cs="Amiri"/>
          <w:color w:val="111111"/>
          <w:sz w:val="28"/>
          <w:sz w:val="28"/>
          <w:szCs w:val="28"/>
          <w:rtl w:val="true"/>
          <w:lang w:bidi="ar-SA"/>
        </w:rPr>
        <w:t>وقع البحث في ان قاعدة على اليد هل تشمل المنافع و الاعمال أو لا؟ فمثلا لو استولى شخص على سيارة غيره بدون اذنه و أرجعها بعد يوم دون حدوث أي نقصان فيها و لكنه انتفع منها بركوبها في مسافة قصيرة فهل يمكن التمسك بقاعدة على اليد لإثبات ضمان المنفعة في الفترة المذكورة؟</w:t>
      </w:r>
    </w:p>
    <w:p>
      <w:pPr>
        <w:pStyle w:val="BookText"/>
        <w:rPr/>
      </w:pPr>
      <w:r>
        <w:rPr>
          <w:rFonts w:ascii="Amiri" w:hAnsi="Amiri" w:eastAsia="Amiri" w:cs="Amiri"/>
          <w:color w:val="111111"/>
          <w:sz w:val="28"/>
          <w:sz w:val="28"/>
          <w:szCs w:val="28"/>
          <w:rtl w:val="true"/>
          <w:lang w:bidi="ar-SA"/>
        </w:rPr>
        <w:t>و يصطلح على مثل المنفعة المذكورة بالمنفعة المستوفاة في مقابل ابقاء السيارة بلا انتفاع منها طيلة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يصطلح على المنافع التي يمر الزمن دون استفادة منها بالمنافع غير المستوفاة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البحث في ان قاعدة على اليد هل تدل على ضمان المنافع المستوفاة و غير المستوفاة أو لا؟</w:t>
      </w:r>
    </w:p>
    <w:p>
      <w:pPr>
        <w:pStyle w:val="BookText"/>
        <w:rPr/>
      </w:pPr>
      <w:r>
        <w:rPr>
          <w:rFonts w:ascii="Amiri" w:hAnsi="Amiri" w:eastAsia="Amiri" w:cs="Amiri"/>
          <w:color w:val="111111"/>
          <w:sz w:val="28"/>
          <w:sz w:val="28"/>
          <w:szCs w:val="28"/>
          <w:rtl w:val="true"/>
          <w:lang w:bidi="ar-SA"/>
        </w:rPr>
        <w:t>و هكذا الكلام بالنسبة إلى الأعمال، فلو فرض ان شخصا قدّم قطعة قماش إلى خيّاط فخاطها ثم انكشف انّها ليست له و قد اشتبه في تقديمها إلى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الاجارة في مثل ذلك فاسدة، و لكن هل يمكن اثبات ضمان عمل الخيّاط بقاعدة على اليد؟</w:t>
      </w:r>
    </w:p>
    <w:p>
      <w:pPr>
        <w:pStyle w:val="BookText"/>
        <w:rPr/>
      </w:pPr>
      <w:r>
        <w:rPr>
          <w:rFonts w:ascii="Amiri" w:hAnsi="Amiri" w:eastAsia="Amiri" w:cs="Amiri"/>
          <w:color w:val="111111"/>
          <w:sz w:val="28"/>
          <w:sz w:val="28"/>
          <w:szCs w:val="28"/>
          <w:rtl w:val="true"/>
          <w:lang w:bidi="ar-SA"/>
        </w:rPr>
        <w:t xml:space="preserve">استشكل في شمول القاعدة لمثل ذلك اما لأنّ عنوان الأخذ لا يصدق إلاّ بالنسبة الى الاعيان دون المنافع و الاعمال أو لأن الذيل المذكور في القاعدة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الاداء حيث لا يمكن تحققه بالنسبة الى غير الاعيان فتختص القاعدة 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نعود هنا من جديد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الرجوع الى السيرة </w:t>
      </w:r>
      <w:bookmarkStart w:id="227" w:name="pg19669_189212"/>
    </w:p>
    <w:p>
      <w:pPr>
        <w:pStyle w:val="BookText"/>
        <w:rPr/>
      </w:pPr>
      <w:bookmarkEnd w:id="227"/>
      <w:r>
        <w:rPr>
          <w:rFonts w:ascii="Amiri" w:hAnsi="Amiri" w:eastAsia="Amiri" w:cs="Amiri"/>
          <w:color w:val="111111"/>
          <w:sz w:val="28"/>
          <w:sz w:val="28"/>
          <w:szCs w:val="28"/>
          <w:rtl w:val="true"/>
          <w:lang w:bidi="ar-SA"/>
        </w:rPr>
        <w:t>العقلائية دون القاعدة بألفاظها الخاصة لضعف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رجعنا الى السيرة فلا يبعد قضاؤها بالضمان في المنافع لأنها مال فوّت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الأعمال باعتبار تحقق الأمر بعمل الخياطة، و الأمر بالعمل بنفسه موجب من موجبات الضمان في نظر العقلاء كما ستأتي الإشارة إليه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3794986_2314609296"/>
      <w:bookmarkStart w:id="229" w:name="_Toc78"/>
      <w:bookmarkEnd w:id="228"/>
      <w:r>
        <w:rPr/>
        <w:t>5</w:t>
      </w:r>
      <w:r>
        <w:rPr>
          <w:rtl w:val="true"/>
        </w:rPr>
        <w:t xml:space="preserve"> - </w:t>
      </w:r>
      <w:r>
        <w:rPr>
          <w:rtl w:val="true"/>
        </w:rPr>
        <w:t>المثل أو القيمة و بدل الحيلولة و اجرة الرد</w:t>
      </w:r>
      <w:bookmarkEnd w:id="229"/>
    </w:p>
    <w:p>
      <w:pPr>
        <w:pStyle w:val="BookText"/>
        <w:rPr/>
      </w:pPr>
      <w:r>
        <w:rPr>
          <w:rFonts w:ascii="Amiri" w:hAnsi="Amiri" w:eastAsia="Amiri" w:cs="Amiri"/>
          <w:color w:val="111111"/>
          <w:sz w:val="28"/>
          <w:sz w:val="28"/>
          <w:szCs w:val="28"/>
          <w:rtl w:val="true"/>
          <w:lang w:bidi="ar-SA"/>
        </w:rPr>
        <w:t>لا اشكال في ان العين المأخوذة من الغير بدون كسب موافقته يلزم ردّها كاملة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فبناء على قاعدة على اليد و قاعدة لا يصلح ذهاب حق أحد هدرا لزوم ضمان 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يلزم الضمان بالمثل أو بالقيمة؟</w:t>
      </w:r>
    </w:p>
    <w:p>
      <w:pPr>
        <w:pStyle w:val="BookText"/>
        <w:rPr/>
      </w:pPr>
      <w:r>
        <w:rPr>
          <w:rFonts w:ascii="Amiri" w:hAnsi="Amiri" w:eastAsia="Amiri" w:cs="Amiri"/>
          <w:color w:val="111111"/>
          <w:sz w:val="28"/>
          <w:sz w:val="28"/>
          <w:szCs w:val="28"/>
          <w:rtl w:val="true"/>
          <w:lang w:bidi="ar-SA"/>
        </w:rPr>
        <w:t>قد يقال المناسب لقاعدة على اليد ضمان المثل فان تعذّر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تعذر المثل فهل المدار على قيمة العين يوم الاستيلاء عليها أو يوم تعذر المثل أو يوم المطالبة أو يوم الدفع و الاداء؟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لقاعدة على اليد كون المدار على قيمة يوم الاداء لأن العين بالاستيلاء عليها بدون اذن تكون بنفسها ثابتة في الذمّة حتى مع تعذر المثل، فان القاعدة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أي ان نفس ما أخذته ثابت في الذمّة و تنشغل به الى ان تؤديه فهو باق في الذمة حتى بعد تعذر المثل و لا ينتقل الى القيمة إذ لا موجب لذلك فان مقتضى اطلاق على اليد ما أخذت بقاء ما استولي عليه في ذمّة المستولي حتى بعد تلفه بل و حتى بعد تعذّر المثل، أجل عند تلف العين </w:t>
      </w:r>
    </w:p>
    <w:p>
      <w:pPr>
        <w:pStyle w:val="BookText"/>
        <w:rPr/>
      </w:pPr>
      <w:r>
        <w:rPr>
          <w:rFonts w:ascii="Amiri" w:hAnsi="Amiri" w:eastAsia="Amiri" w:cs="Amiri"/>
          <w:color w:val="111111"/>
          <w:sz w:val="28"/>
          <w:sz w:val="28"/>
          <w:szCs w:val="28"/>
          <w:rtl w:val="true"/>
          <w:lang w:bidi="ar-SA"/>
        </w:rPr>
        <w:t>و تعذر مثلها لا بدّ من الانتقال الى القيمة آنذاك لأنّها البديل الممكن فتثبت قيمة المثل حين المطالبة و ارادة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هناك سؤالا آخر، و هو ان العين لو كانت موجودة و ليست بتالفة و لكن تعذر الوصول اليها كالخاتم الذي يقع في البحر فهل يلزم ضمان بدل الحيلولة، بمعنى ان المستولي على الخاتم بلا اذن صاحبه هل يلزمه دفع خاتم مماثل للسابق كبديل عن الحيلولة الحاصلة في فترة يوم أو يومين إلى ان يخرجه الغواصون؟</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العين لم يتحقق تلفها و بالامكان ردّها بعد يوم أو يومين فهل يلزم دفع البديل في الفترة المذكورة؟</w:t>
      </w:r>
    </w:p>
    <w:p>
      <w:pPr>
        <w:pStyle w:val="BookText"/>
        <w:rPr/>
      </w:pPr>
      <w:r>
        <w:rPr>
          <w:rFonts w:ascii="Amiri" w:hAnsi="Amiri" w:eastAsia="Amiri" w:cs="Amiri"/>
          <w:color w:val="111111"/>
          <w:sz w:val="28"/>
          <w:sz w:val="28"/>
          <w:szCs w:val="28"/>
          <w:rtl w:val="true"/>
          <w:lang w:bidi="ar-SA"/>
        </w:rPr>
        <w:t>و لربما يستدل بقاعدة على اليد على ضمان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تساؤل ثالث أو رابع و هو ان العين إذا كانت موجودة و بالامكان ردّها و لكن كان ردّها يحتاج الى اجور فهل الاجور على المستولي بلا اذن؟</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عليه لقاعدة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على اليد قد يتمسك بها لإثبات وجوب المثل مع وجوده أو القيمة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قد يتمسك بها لإثبات وجوب بدل الحيلولة و اجور الردّ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المناسب في ضوء ما ذكرناه الرجوع إلى السيرة العقلائية و هي تقتضي وجوب المثل مع امكانه و القيمة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انها تقتضي اعتبار قيمة يوم الدفع و تقتضي أيضا تعلّق الاجور بالمستولي على العين</w:t>
      </w:r>
      <w:r>
        <w:rPr>
          <w:rFonts w:eastAsia="Amiri" w:cs="Amiri" w:ascii="Amiri" w:hAnsi="Amiri"/>
          <w:color w:val="111111"/>
          <w:sz w:val="28"/>
          <w:szCs w:val="28"/>
          <w:rtl w:val="true"/>
          <w:lang w:bidi="ar-SA"/>
        </w:rPr>
        <w:t xml:space="preserve">. </w:t>
      </w:r>
      <w:bookmarkStart w:id="230" w:name="pg19669_189214"/>
    </w:p>
    <w:p>
      <w:pPr>
        <w:pStyle w:val="BookText"/>
        <w:rPr/>
      </w:pPr>
      <w:bookmarkEnd w:id="230"/>
      <w:r>
        <w:rPr>
          <w:rFonts w:ascii="Amiri" w:hAnsi="Amiri" w:eastAsia="Amiri" w:cs="Amiri"/>
          <w:color w:val="111111"/>
          <w:sz w:val="28"/>
          <w:sz w:val="28"/>
          <w:szCs w:val="28"/>
          <w:rtl w:val="true"/>
          <w:lang w:bidi="ar-SA"/>
        </w:rPr>
        <w:t>و اما بدل الحيلولة ففي اقتضائها لذلك تأمل، و مع الشك يرجع الى البراءة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3794988_2314609296"/>
      <w:bookmarkStart w:id="232" w:name="_Toc79"/>
      <w:bookmarkEnd w:id="231"/>
      <w:r>
        <w:rPr/>
        <w:t>6</w:t>
      </w:r>
      <w:r>
        <w:rPr>
          <w:rtl w:val="true"/>
        </w:rPr>
        <w:t xml:space="preserve"> - </w:t>
      </w:r>
      <w:r>
        <w:rPr>
          <w:rtl w:val="true"/>
        </w:rPr>
        <w:t>عموم القاعدة للجاهل و الصغير</w:t>
      </w:r>
      <w:bookmarkEnd w:id="232"/>
    </w:p>
    <w:p>
      <w:pPr>
        <w:pStyle w:val="BookText"/>
        <w:rPr/>
      </w:pPr>
      <w:r>
        <w:rPr>
          <w:rFonts w:ascii="Amiri" w:hAnsi="Amiri" w:eastAsia="Amiri" w:cs="Amiri"/>
          <w:color w:val="111111"/>
          <w:sz w:val="28"/>
          <w:sz w:val="28"/>
          <w:szCs w:val="28"/>
          <w:rtl w:val="true"/>
          <w:lang w:bidi="ar-SA"/>
        </w:rPr>
        <w:t>بعد وضوح ضمان من وضع يده على مال الغير إذا كان عالما بالغا قد يتساءل عن الضمان لو كان جاهلا بكونه مال الغير أو كان غير بالغ فهل يكون ضامنا أيضا أو لا؟</w:t>
      </w:r>
    </w:p>
    <w:p>
      <w:pPr>
        <w:pStyle w:val="BookText"/>
        <w:rPr/>
      </w:pPr>
      <w:r>
        <w:rPr>
          <w:rFonts w:ascii="Amiri" w:hAnsi="Amiri" w:eastAsia="Amiri" w:cs="Amiri"/>
          <w:color w:val="111111"/>
          <w:sz w:val="28"/>
          <w:sz w:val="28"/>
          <w:szCs w:val="28"/>
          <w:rtl w:val="true"/>
          <w:lang w:bidi="ar-SA"/>
        </w:rPr>
        <w:t>قد يجاب بأن الأحكام حيث تختص بالعالم البالغ فمن المناسب عدم استقرار الضمان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قابل للتأمّل لأن الحكم بالضمان حكم وضعي و هو لا مانع من شموله للجاهل و الصغير و انما الذي لا يشملهما هو الحكم التكليفي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فوجوب الرد مثلا لا يشمل غير البالغ بخلاف الضمان لو تحقق التلف عنده فانه لا محذور في شموله له، غايته يكون المكلف بالدفع من أموال الصبي 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فيمن وضع يده على مال الغير و هو جاهل بذلك متخيلا انّه ملكه فانّه ضامن له لو تلف عنده بل و لو لم يتلف أيضا، كل ذلك للسيرة العقلائية و ليس لحديث على اليد لعدم تمامية سنده</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794990_2314609296"/>
      <w:bookmarkStart w:id="234" w:name="_Toc80"/>
      <w:bookmarkEnd w:id="233"/>
      <w:r>
        <w:rPr/>
        <w:t>7</w:t>
      </w:r>
      <w:r>
        <w:rPr>
          <w:rtl w:val="true"/>
        </w:rPr>
        <w:t xml:space="preserve"> - </w:t>
      </w:r>
      <w:r>
        <w:rPr>
          <w:rtl w:val="true"/>
        </w:rPr>
        <w:t>استثناء يد الامانة و الاحسان</w:t>
      </w:r>
      <w:bookmarkEnd w:id="2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كل من استولى على مال غيره كان ضامنا له اما لحديث على اليد أو للسيرة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يستثنى من ذلك نحوان من اليد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 الأمانة و يد 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يد الأمانة فلا اشكال في عدم ضمانها حتى مع تحقق التلف عندها، و ذلك اما لأن السيرة العقلائية التي هي المدرك لضمان اليد ضيقة من الأول و محدودة من البداية بحدود اليد غير الامانية، فان العقلاء إذا ائتمنوا شخصا و أودعوا عنده مالا و تلف لديه فلا يحكمون عليه بالضمان إلاّ إذا فرّط و 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للروايات الخاصة القاضية بأن يد الأمانة لا تكون ضامنة إلاّ مع التعدي و التفريط كما في صحيحة مسعدة بن زياد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تتهم من قد ائتمنته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الصحيحة المذكورة تدل بوضوح على الضمان مع تحقق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الأمانة تارة تكون مالكية و اخرى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بالاولى الأمانة التي يقوم بها مالك الشيء نفسه، و بالثانية الأمانة التي يقوم بها الشارع من قبل المالك، كما هو الحال في اللقطة، فان الشارع ما دام قد جوّز التقاط الشيء الضائع فلازم ذلك جعله الملتقط أمينا على الشيء و من ثمّ تكون أمانته من قبل الشارع امانة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الأمين في كلتا الحالتين لا يكون ضامنا ما دام لم يفرط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يد الامانة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5" w:name="pg19669_189216"/>
    </w:p>
    <w:p>
      <w:pPr>
        <w:pStyle w:val="BookText"/>
        <w:rPr/>
      </w:pPr>
      <w:bookmarkEnd w:id="235"/>
      <w:r>
        <w:rPr>
          <w:rFonts w:ascii="Amiri" w:hAnsi="Amiri" w:eastAsia="Amiri" w:cs="Amiri"/>
          <w:color w:val="111111"/>
          <w:sz w:val="28"/>
          <w:sz w:val="28"/>
          <w:szCs w:val="28"/>
          <w:rtl w:val="true"/>
          <w:lang w:bidi="ar-SA"/>
        </w:rPr>
        <w:t>و اما يد الاحسان فهي ليست ضامنة أيضا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يد الاحسان هي في واقعها مصداق من مصاديق يد الامانة و ليست شيئا مغايرا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بالخصوص لأجل اشارة الآية الكريمة 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الالتفات إليه ان اليد لا يصدق عليها كونها محسنة إلاّ إذا كان التصرف مأذونا به من قبل المالك، فمن اودع عنده مال و أخذ يتاجر به لغرض تحصيل الأرباح للمالك من دون ان يأذن المالك بذلك و خسر في تجارته يكون ضامنا بالرغم من كون غرضه الاحسان لصاحب المال، و ليس ذلك إلاّ لعدم صدق عنوان الاحسان بعد عدم 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استثناء يد الامانة و الاحسان يبقى تحت القاعدة كل يد لم تكن من أحد القسمين حتى و ان لم تكن يد غصب كاليد التي تستولي على شيء جهلا بكونه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عدم اختصاص الضمان باليد العدوانية، بل قد يصطلح على كل يد غير امانية باليد العدوانية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794992_2314609296"/>
      <w:bookmarkStart w:id="237" w:name="_Toc81"/>
      <w:bookmarkEnd w:id="236"/>
      <w:r>
        <w:rPr/>
        <w:t>8</w:t>
      </w:r>
      <w:r>
        <w:rPr>
          <w:rtl w:val="true"/>
        </w:rPr>
        <w:t xml:space="preserve"> - </w:t>
      </w:r>
      <w:r>
        <w:rPr>
          <w:rtl w:val="true"/>
        </w:rPr>
        <w:t>أسباب اخرى للضمان</w:t>
      </w:r>
      <w:bookmarkEnd w:id="23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للضمان أسباب متعددة كانت من جملتها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أسباب اخرى له يجدر الالتفات إليها من جملتها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فان من أتلف مال غيره فهو له ضامن حتى لو لم يكن صاحب يد عليه، كمن رمى زجاجة الغير بحصاة و كسرها فإنّه ضامن لها لإتلافها و ليس لليد لعدم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المستند في ذلك ليس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لم يثبت كونه حديثا حتى على سبيل الارسال بل المستند المهم لذلك السيرة العقلائية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بالعمل، فان من أمر غيره بعمل معيّن و لم يتبانيا على التبرع فهو ضامن متى ما قام الغير بالعمل، فلو فرض ان شخصا قال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داري أو قال للحمّال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متاعي الى البيت أو قال للخيّاط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ثوبي أو قال للطبيب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ولدي المريض و ما شاكل ذلك كان ذلك موجبا لضمان الآمر حتى و لو لم تتحقق اجارة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ذلك هو السيرة العقلائية أيضا الممضاة بعدم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السبب للضمان قد لا نجد له اشارة في كلمات الاعلام خصوصا المتقدّمين منهم و لكن الأمر كما ذكرنا للسيرة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الاقدام على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الشيخ الأعظم في المكاسب هذا السبب للضمان كتوجيه لقاعدة ما يضمن بصحيحه يضمن بفساده، فالبيع إذا كان صحيحا فيه ضمان، بمعنى انّه لو تلف المبيع عند المشتري يكون تلفه من كيسه و لا حقّ له في الرجوع على البائع حتى و لو لم يكن التلف عن تفريط، و كذلك الحال لو اتضح فساد البيع لسبب و آخر فان تلف المبيع يكون على المشتري و لو لم يكن عن تفريط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لما ذا ذلك و الحال ان المبيع مع افتراض فساد البيع ليس ملكا للمشتري ليكون تلفه منه بل هو ملك البائع؟ </w:t>
      </w:r>
      <w:bookmarkStart w:id="238" w:name="pg19669_189218"/>
    </w:p>
    <w:p>
      <w:pPr>
        <w:pStyle w:val="BookText"/>
        <w:rPr/>
      </w:pPr>
      <w:bookmarkEnd w:id="238"/>
      <w:r>
        <w:rPr>
          <w:rFonts w:ascii="Amiri" w:hAnsi="Amiri" w:eastAsia="Amiri" w:cs="Amiri"/>
          <w:color w:val="111111"/>
          <w:sz w:val="28"/>
          <w:sz w:val="28"/>
          <w:szCs w:val="28"/>
          <w:rtl w:val="true"/>
          <w:lang w:bidi="ar-SA"/>
        </w:rPr>
        <w:t>ان سبب ذلك على ما ذكر الشهيد الثاني في المسالك</w:t>
      </w:r>
      <w:r>
        <w:rPr>
          <w:rStyle w:val="FootnoteAnchor"/>
          <w:rtl w:val="true"/>
        </w:rPr>
        <w:footnoteReference w:id="128"/>
      </w:r>
      <w:r>
        <w:rPr>
          <w:rFonts w:ascii="Amiri" w:hAnsi="Amiri" w:eastAsia="Amiri" w:cs="Amiri"/>
          <w:color w:val="111111"/>
          <w:sz w:val="28"/>
          <w:sz w:val="28"/>
          <w:szCs w:val="28"/>
          <w:rtl w:val="true"/>
          <w:lang w:bidi="ar-SA"/>
        </w:rPr>
        <w:t>و الشيخ الطوسي في المبسوط</w:t>
      </w:r>
      <w:r>
        <w:rPr>
          <w:rStyle w:val="FootnoteAnchor"/>
          <w:rtl w:val="true"/>
        </w:rPr>
        <w:footnoteReference w:id="129"/>
      </w:r>
      <w:r>
        <w:rPr>
          <w:rFonts w:ascii="Amiri" w:hAnsi="Amiri" w:eastAsia="Amiri" w:cs="Amiri"/>
          <w:color w:val="111111"/>
          <w:sz w:val="28"/>
          <w:sz w:val="28"/>
          <w:szCs w:val="28"/>
          <w:rtl w:val="true"/>
          <w:lang w:bidi="ar-SA"/>
        </w:rPr>
        <w:t>هو التمسك بقاعدة الاقدام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القاعدة المذكورة على ما أشار إليه الشيخ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يحتاج الى دليل</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العقلائية لم يثبت انعقادها على الضمان بمجرّد الاقدام من دون تحقق الاتلاف أو اليد أو الأمر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بمعنى ان من غرّ غيره و أوقعه في الضمان يكون هو الضامن و يستقر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شخصا قدّم طعاما إلى غيره موحيا له انّه ملكه و قد أباح له أكله فاذا أكله و اتضح بعد ذلك انّه لغير من قدّمه فمن حقّ المالك الرجوع على الآكل لقاعدة الاتلاف و لكن الآكل بدوره له الحق في الرجوع على من قدّمه له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البحث عن هذه القاعدة بشكل مستقل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لخسارة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التحدّث عن ذلك ضمن قاعدة الغرور</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794994_2314609296"/>
      <w:bookmarkStart w:id="240" w:name="_Toc82"/>
      <w:bookmarkEnd w:id="239"/>
      <w:r>
        <w:rPr/>
        <w:t>9</w:t>
      </w:r>
      <w:r>
        <w:rPr>
          <w:rtl w:val="true"/>
        </w:rPr>
        <w:t xml:space="preserve"> - </w:t>
      </w:r>
      <w:r>
        <w:rPr>
          <w:rtl w:val="true"/>
        </w:rPr>
        <w:t>تطبيقات</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دفعت قطعة قماش الى خيّاط فتجاوز الحد المقرّر له اشتباها و تحقق منه تلف القماش بمعنى نقصان قيمته فهل يكون ضامنا بعد الالتفات الى كون يده يد أمانة؟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دفع الى غيره خمسا باعتقاد انّه متعلّق بذمّته ثم </w:t>
      </w:r>
    </w:p>
    <w:p>
      <w:pPr>
        <w:pStyle w:val="BookText"/>
        <w:rPr/>
      </w:pPr>
      <w:r>
        <w:rPr>
          <w:rFonts w:ascii="Amiri" w:hAnsi="Amiri" w:eastAsia="Amiri" w:cs="Amiri"/>
          <w:color w:val="111111"/>
          <w:sz w:val="28"/>
          <w:sz w:val="28"/>
          <w:szCs w:val="28"/>
          <w:rtl w:val="true"/>
          <w:lang w:bidi="ar-SA"/>
        </w:rPr>
        <w:t>اتضح اشتباهه و عدم تعلّقه بذمّته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 ذلك تارة نفترض بقاء الخمس و اخرى نفترض تلفه، و على كلا التقديرين تارة نفترض علم المدفوع إليه بواقع الحال و اخرى نفترض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من حيث الضمان في الحالات المذكورة؟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شخص بيته فرأى فيه طعاما فأكله باعتقاد انّه راجع إليه ثم اتضح انّه لغيره فهل يكون ضامنا و لما ذا؟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دفعت إليه أموال كأجور لعبادات استيجارية و سرقت منه بعد ان وضعها في بيته، على من تكون الخسارة؟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تعلّق بذمّته الخمس و فرزه في مال معين، و في الطريق سرق منه قبل ايصاله الى مصرفه أو يفرض انّه دفعه لشخص ثقة ليوصله الى مصرفه و فرض سرقته من ذلك الثقة فعلى من الخسارة في الحالتين المذكورتين؟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غصب شخص شيئا من غيره و انتقل ذلك الشيء الى شخص ثان، من هو الضامن في الحالة المذكورة؟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فتح شخص باب دار غيره و دخل سارق و أخذ ما فيها، على من يكون الضمان؟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غصب شخص أرضا و زرع فيها حبّا فلمن يكون الناتج و ما ذا يستحق صاحب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لشخص دين على آخر و امتنع من ادائه و صرف في سبيل تحصيله مقدارا من المال فعلى من تكون خسارة ذلك المقدار؟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الغاصب الشيء الذي غصبه لشخص ثان، و هذا الثاني دفعه بدوره الى الشخص الأوّل الغاصب فالمالك يرجع على من؟ </w:t>
      </w:r>
      <w:bookmarkStart w:id="241" w:name="pg19669_189220"/>
    </w:p>
    <w:p>
      <w:pPr>
        <w:pStyle w:val="Heading2"/>
        <w:numPr>
          <w:ilvl w:val="1"/>
          <w:numId w:val="1"/>
        </w:numPr>
        <w:rPr/>
      </w:pPr>
      <w:bookmarkStart w:id="242" w:name="__RefHeading___Toc3794996_2314609296"/>
      <w:bookmarkStart w:id="243" w:name="_Toc83"/>
      <w:bookmarkEnd w:id="241"/>
      <w:bookmarkEnd w:id="242"/>
      <w:r>
        <w:rPr>
          <w:rtl w:val="true"/>
        </w:rPr>
        <w:t>قاعدة الغرور</w:t>
      </w:r>
      <w:bookmarkEnd w:id="243"/>
    </w:p>
    <w:p>
      <w:pPr>
        <w:pStyle w:val="Heading3"/>
        <w:numPr>
          <w:ilvl w:val="2"/>
          <w:numId w:val="1"/>
        </w:numPr>
        <w:rPr/>
      </w:pPr>
      <w:bookmarkStart w:id="244" w:name="__RefHeading___Toc3794998_2314609296"/>
      <w:bookmarkStart w:id="245" w:name="_Toc84"/>
      <w:bookmarkEnd w:id="244"/>
      <w:r>
        <w:rPr>
          <w:rtl w:val="true"/>
        </w:rPr>
        <w:t>اشارة</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التسبيب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في صحة التمسك بالقاعدة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التي يشار إليها في الفقه و يتمسك بها بصفتها مدركا للضمان في موارد محدودة و قليلة قاعدة الغرور و التي قد يعبّر عنها أيضا بقاعدة المغرور يرجع على من غرّه، فيشار إليها في باب النكاح في مسألة ما لو زوّج شخص امة غيره من شخص آخر جاهلا بكونها لغيره و أولدها طفلا، فان الزوج يضمن لمولى الامة لأجل الدخول بها عشر قيمتها ان كانت بكرا و نصف العشر ان كانت ثيبا، كما يضمن قيمة الولد، و يرجع الزوج بكلتا الغرامتين اللتين غرمهما للمولى على ذلك الشخص الغار لقاعدة الغرور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يشار إليها في باب الغصب في مسألة ما لو قدم الغاصب الطعام المغصوب لغيره موحيا له انّه ملكه، فان المالك إذا رجع على الآكل لقاعدة الاتلاف أو على اليد رجع هو بدوره على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46" w:name="pg19669_189223"/>
    </w:p>
    <w:p>
      <w:pPr>
        <w:pStyle w:val="BookText"/>
        <w:rPr/>
      </w:pPr>
      <w:bookmarkEnd w:id="246"/>
      <w:r>
        <w:rPr>
          <w:rFonts w:ascii="Amiri" w:hAnsi="Amiri" w:eastAsia="Amiri" w:cs="Amiri"/>
          <w:color w:val="111111"/>
          <w:sz w:val="28"/>
          <w:sz w:val="28"/>
          <w:szCs w:val="28"/>
          <w:rtl w:val="true"/>
          <w:lang w:bidi="ar-SA"/>
        </w:rPr>
        <w:t>الغاصب لقاعدة الغرور</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قاعدة الغرور ذكرت في هذين الموردين و ما شاكلهما من دون اشارة إلى تفاصيلها و ما يرتبط بها من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تمّت القاعدة المذكورة مدركا حصلنا على سبب آخر للضمان مضافا الى أسبابه الاخرى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الاتلاف، الأمر بالعمل، و الاقدام على الضمان في رأي، و التسبيب لخسارة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انها محل اختلاف بين الفقهاء فمنهم من قبلها كسبب من أسباب الضمان و منهم من رفض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الحديث حول القاعدة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الجهل في صحة التمسك بالقاعدة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3795000_2314609296"/>
      <w:bookmarkStart w:id="248" w:name="_Toc85"/>
      <w:bookmarkEnd w:id="247"/>
      <w:r>
        <w:rPr/>
        <w:t>1</w:t>
      </w:r>
      <w:r>
        <w:rPr>
          <w:rtl w:val="true"/>
        </w:rPr>
        <w:t xml:space="preserve"> - </w:t>
      </w:r>
      <w:r>
        <w:rPr>
          <w:rtl w:val="true"/>
        </w:rPr>
        <w:t>مضمون القاعدة</w:t>
      </w:r>
      <w:bookmarkEnd w:id="248"/>
    </w:p>
    <w:p>
      <w:pPr>
        <w:pStyle w:val="BookText"/>
        <w:rPr/>
      </w:pPr>
      <w:r>
        <w:rPr>
          <w:rFonts w:ascii="Amiri" w:hAnsi="Amiri" w:eastAsia="Amiri" w:cs="Amiri"/>
          <w:color w:val="111111"/>
          <w:sz w:val="28"/>
          <w:sz w:val="28"/>
          <w:szCs w:val="28"/>
          <w:rtl w:val="true"/>
          <w:lang w:bidi="ar-SA"/>
        </w:rPr>
        <w:t>يقصد بالغرور الخديعة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غرّه غرورا بمعنى خدعه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عدم الخلط بين الغرور و الغرر، فالأوّل يراد به الخديعة بينما الثاني يراد به كل جهالة تشتمل عليها المعاملة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من خدع غيره و أوقعه </w:t>
      </w:r>
    </w:p>
    <w:p>
      <w:pPr>
        <w:pStyle w:val="BookText"/>
        <w:rPr/>
      </w:pPr>
      <w:r>
        <w:rPr>
          <w:rFonts w:ascii="Amiri" w:hAnsi="Amiri" w:eastAsia="Amiri" w:cs="Amiri"/>
          <w:color w:val="111111"/>
          <w:sz w:val="28"/>
          <w:sz w:val="28"/>
          <w:szCs w:val="28"/>
          <w:rtl w:val="true"/>
          <w:lang w:bidi="ar-SA"/>
        </w:rPr>
        <w:t>في الخسارة ضمن تلك الخسارة، فالغاصب إذا قدّم الطعام المغصوب لغيره ضمن ذلك الغير الآكل قيمة الطعام لصاحبه لقاعدة على اليد أو الاتلاف و لكنه بدوره يرجع على الغاصب الغار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ان نفهم من هذا ان قاعدة الغرور ترادف القاعدة الثانية المعروفة بقاعدة التسبيب إلى الضمان، كلا ان القاعدتين و ان التقتا في كثير من مواردهما إلاّ انّهما قد يفترقان في بعض الموارد الاخرى، كما لو فرض ان الطبيب وصف للمريض علاجا خاصّا اشتباها و تضرّر بذلك المريض، انّه في مثل ذلك لا يمكن التمسّك بقاعدة الغرور لأن الطبيب ما دام مشتبها فلا يصدق عليه عنوان الغار و لكنّه سبّب الخسارة و الضرر على المريض فتشمله قاعدة التسبيب و يحكم بضمانه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فرض ان انسانا نجّس مسجدا أو المصحف الشريف و احتاج التطهير الى بذل اجرة معينة، ان تلك الاجرة يجب بذلها على من يتمكن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خسارتها هو ذلك الشخص المنجّس، فبناء على تمامية قاعدة التسبيب و كون المثال مصداقا لها يلزم ضمانه لأجلها و ليس لقاعدة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فرض ان انسانا نجّس فرش الغير و احتاج تطهيره الى اجرة معينة، فان ضمانها لو ثبت على المنجس فهو لقاعدة التسبيب و ليس لقاعدة الغرور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لو فرض ان تاجرا استورد بضاعة معينة بمقدار كبير أوجب خسارة بقية التجار الذين لديهم تلك البضاعة، ان ضمان الخسارة المذكورة لو ثبت فهو لقاعدة التسبيب دون قاعدة الغرور</w:t>
      </w:r>
      <w:r>
        <w:rPr>
          <w:rFonts w:eastAsia="Amiri" w:cs="Amiri" w:ascii="Amiri" w:hAnsi="Amiri"/>
          <w:color w:val="111111"/>
          <w:sz w:val="28"/>
          <w:szCs w:val="28"/>
          <w:rtl w:val="true"/>
          <w:lang w:bidi="ar-SA"/>
        </w:rPr>
        <w:t xml:space="preserve">. </w:t>
      </w:r>
      <w:bookmarkStart w:id="249" w:name="pg19669_189225"/>
    </w:p>
    <w:p>
      <w:pPr>
        <w:pStyle w:val="BookText"/>
        <w:rPr/>
      </w:pPr>
      <w:bookmarkEnd w:id="249"/>
      <w:r>
        <w:rPr>
          <w:rFonts w:ascii="Amiri" w:hAnsi="Amiri" w:eastAsia="Amiri" w:cs="Amiri"/>
          <w:color w:val="111111"/>
          <w:sz w:val="28"/>
          <w:sz w:val="28"/>
          <w:szCs w:val="28"/>
          <w:rtl w:val="true"/>
          <w:lang w:bidi="ar-SA"/>
        </w:rPr>
        <w:t>و بهذا ننتهي إلى ان قاعدة التسبيب قد تصدق من دون قاعدة الغرور، و العكس ليس بصحيح، فان قاعدة الغرور لا تنفك عن قاعدة التسبيب عادة، فالنسبة بينهما على هذا هي العموم و 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بالامكان صدق قاعدة الغرور دون قاعدة التسبيب، كما لو مدح شخص امرأة فتزوجها آخر اغترارا بالمدح، فانه في مثل ذلك لا تصدق قاعدة التسبيب لأن المادح لم يصدر منه التزويج بينما تصدق قاعدة الغرور، و معه تكون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نفس المدح نحو تسبيب عرفا لزواج الآخر</w:t>
      </w:r>
    </w:p>
    <w:p>
      <w:pPr>
        <w:pStyle w:val="Heading3"/>
        <w:numPr>
          <w:ilvl w:val="2"/>
          <w:numId w:val="1"/>
        </w:numPr>
        <w:rPr/>
      </w:pPr>
      <w:bookmarkStart w:id="250" w:name="__RefHeading___Toc3795002_2314609296"/>
      <w:bookmarkStart w:id="251" w:name="_Toc86"/>
      <w:bookmarkEnd w:id="250"/>
      <w:r>
        <w:rPr/>
        <w:t>2</w:t>
      </w:r>
      <w:r>
        <w:rPr>
          <w:rtl w:val="true"/>
        </w:rPr>
        <w:t xml:space="preserve"> - </w:t>
      </w:r>
      <w:r>
        <w:rPr>
          <w:rtl w:val="true"/>
        </w:rPr>
        <w:t>مدرك القاعدة</w:t>
      </w:r>
      <w:bookmarkEnd w:id="251"/>
    </w:p>
    <w:p>
      <w:pPr>
        <w:pStyle w:val="Heading4"/>
        <w:numPr>
          <w:ilvl w:val="3"/>
          <w:numId w:val="1"/>
        </w:numPr>
        <w:rPr/>
      </w:pPr>
      <w:bookmarkStart w:id="252" w:name="__RefHeading___Toc3795004_2314609296"/>
      <w:bookmarkStart w:id="253" w:name="_Toc8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أهم ما يمكن التمسك به للقاعدة و جهان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795006_2314609296"/>
      <w:bookmarkStart w:id="255" w:name="_Toc88"/>
      <w:bookmarkEnd w:id="254"/>
      <w:r>
        <w:rPr>
          <w:rtl w:val="true"/>
        </w:rPr>
        <w:t>الوجه الأوّل</w:t>
      </w:r>
      <w:bookmarkEnd w:id="255"/>
    </w:p>
    <w:p>
      <w:pPr>
        <w:pStyle w:val="BookText"/>
        <w:rPr/>
      </w:pPr>
      <w:r>
        <w:rPr>
          <w:rFonts w:ascii="Amiri" w:hAnsi="Amiri" w:eastAsia="Amiri" w:cs="Amiri"/>
          <w:color w:val="111111"/>
          <w:sz w:val="28"/>
          <w:sz w:val="28"/>
          <w:szCs w:val="28"/>
          <w:rtl w:val="true"/>
          <w:lang w:bidi="ar-SA"/>
        </w:rPr>
        <w:t>التمسك بالسيرة العقلائية بدعوى انها منعقدة على ضمان الغار، و حيث انه لم يرد ردع عنها شرعا فتكون ممضاة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السيرة مقبولة في الجملة و ليس في جميع موارد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مقبولة في مثل الغاصب الذي قدّم الطعام المغصوب للغير و أكله ايحاء بأنه ملكه أو في مثل من ركب سيارة باعتقاد انها سيارته التي يضعها في مكانها المقرّر و إذا بها سيارة شخص آخر وضعت مكان الأوّل عن قصد و عمد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مقبولة فيما إذا قال شخص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التجارة الفلانية مربحة فتاجر بها و إذا الأمر بالعكس، أو فرض ان شخصا عنده بضاعة </w:t>
      </w:r>
      <w:bookmarkStart w:id="256" w:name="pg19669_189226"/>
    </w:p>
    <w:p>
      <w:pPr>
        <w:pStyle w:val="BookText"/>
        <w:rPr/>
      </w:pPr>
      <w:bookmarkEnd w:id="256"/>
      <w:r>
        <w:rPr>
          <w:rFonts w:ascii="Amiri" w:hAnsi="Amiri" w:eastAsia="Amiri" w:cs="Amiri"/>
          <w:color w:val="111111"/>
          <w:sz w:val="28"/>
          <w:sz w:val="28"/>
          <w:szCs w:val="28"/>
          <w:rtl w:val="true"/>
          <w:lang w:bidi="ar-SA"/>
        </w:rPr>
        <w:t>معينة بكمية كبيرة لم يفصح عنها و أوهم الآخرين عدم وجود تلك البضاعة عنده فلما استورد الآخرون تلك البضاعة إذا به يعرضها في السوق، الأمر الذي يوجب خسارة ذلك المستورد، انه في المثالين المذكورين و لا أقل الثاني لا يحكم العقلاء بضمان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بامكاننا ان نستفيد من السيرة العقلائية الضمان بشكل مطلق في موارد الغرور بل يختلف ذلك باختلاف الموارد</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3795008_2314609296"/>
      <w:bookmarkStart w:id="258" w:name="_Toc89"/>
      <w:bookmarkEnd w:id="257"/>
      <w:r>
        <w:rPr>
          <w:rtl w:val="true"/>
        </w:rPr>
        <w:t>الوجه الثاني</w:t>
      </w:r>
      <w:bookmarkEnd w:id="258"/>
    </w:p>
    <w:p>
      <w:pPr>
        <w:pStyle w:val="BookText"/>
        <w:rPr/>
      </w:pPr>
      <w:r>
        <w:rPr>
          <w:rFonts w:ascii="Amiri" w:hAnsi="Amiri" w:eastAsia="Amiri" w:cs="Amiri"/>
          <w:color w:val="111111"/>
          <w:sz w:val="28"/>
          <w:sz w:val="28"/>
          <w:szCs w:val="28"/>
          <w:rtl w:val="true"/>
          <w:lang w:bidi="ar-SA"/>
        </w:rPr>
        <w:t>التمسك بالأحاديث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الحديث العام فهو ما اشتهر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بعض الفقهاء ذلك الى النبي صلّى اللّه عليه و آله، كما في جواهر الكلام و حاشية الارشاد و مستمسك العروة الوثقى و غيرها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انه باللسان المذكور لا توجد رواية منسوبة الى النبي صلّى اللّه عليه و آله حتى في معاجم الحديث للعامة فضلا عن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يوجد بألسنة اخرى منسوبا الى غير النبي صلّى اللّه عليه و آله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فدعوى انجبار ضعف سند الحديث بعمل الأصحاب كما يتراءى من المستمسك و غيره ضعيفة باعتبار ان الجملة المذكورة لم يثبت كونها حديثا ليتم انجبارها بناء على تمامية كبرى الانجبار و احراز الصغرى و ان الأصحاب استندوا إلى ما ذكر و هو معتمدهم في مقام الفتوى، و هذا غير ثابت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ما يقرب من مضمون الجملة السابقة منسوبا الى أمير </w:t>
      </w:r>
    </w:p>
    <w:p>
      <w:pPr>
        <w:pStyle w:val="BookText"/>
        <w:rPr/>
      </w:pPr>
      <w:r>
        <w:rPr>
          <w:rFonts w:ascii="Amiri" w:hAnsi="Amiri" w:eastAsia="Amiri" w:cs="Amiri"/>
          <w:color w:val="111111"/>
          <w:sz w:val="28"/>
          <w:sz w:val="28"/>
          <w:szCs w:val="28"/>
          <w:rtl w:val="true"/>
          <w:lang w:bidi="ar-SA"/>
        </w:rPr>
        <w:t>المؤمنين عليه السّلام، فالبيهقي في سننه نقل عن الشافعي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المغرور يرجع بالمهر على من غرّه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ان الحديث المذكور على تقدير تمامية سنده خاص بخصوص المهر و 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الأحاديث الخاصة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صحيحة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شهد عندها شاهدان بأن زوجها مات فتزوجت ثم جاء زوجها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الأخير، و يضرب الشاهدان الحد، و يضمنان المهر بما غرّا الرجل، ثم تعتد و ترجع الى زوجها الأوّل</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بتقريب ان الباء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غرّا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يضمنان بسبب انّهما غرّا الرجل فيتمسك بعموم التعليل و يثبت بذلك ان مطلق الغرور يوجب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تامّة السند أيضا، فان كلاّ من الصدوق و الشيخ رواها بطريقه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الطريقين و لا أقل طريق الصدوق تام، إذ رواها بسنده إلى إبراهيم بن عبد الحميد عن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الصدوق الى إبراهيم صحيح على ما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و أبو بصير من ثقات أصحابنا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يبقى ان صاحب الوسائل روى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نسخة، و لكن إذا رجعنا إلى المصدر الأصلي، و هو الفقيه و التهذيب رأيناها ثابتة في كليهما فلا مشكلة من هذه الناحية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رفاعة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البرصاء،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 السّلام في امرأة زوّجها وليّها و هي برصاء ان لها المهر بما استحل من فرجها و ان المهر على الذي زوّجها، و انّما صار عليه المهر لأنّه دلسها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دلالتها واضحة، فانّها تدل بعموم التعليل على ان كل 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تعبير آخر عن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سندها يشتمل على سهل الذي وقع محلاّ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تصلح على أي حال لدعم الصحيحة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نظر الى امرأة فأعجبته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انها غير ابنته و انّها 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الوليدة على مواليها، و الولد للرجل، و على الذي زوّجه قيمة ثمن الولد يعطيه موالي الوليدة كما غرّ الرجل و خدعه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دلالتها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سندها يشتمل على محمّد بن سنان الذي وقع محلاّ للكلام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تصلح للدعم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ثبوت الضمان بقاعدة الغرور أمر صحيح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يتضح أيضا ان مناقشة السيّد الخوئي قدّس سرّه للقاعدة باعتبار ان المدرك المهم لها هو رواية إسماعيل و رفاعة، و كلتاهما ضعيفة السند</w:t>
      </w:r>
      <w:r>
        <w:rPr>
          <w:rStyle w:val="FootnoteAnchor"/>
          <w:rtl w:val="true"/>
        </w:rPr>
        <w:footnoteReference w:id="138"/>
      </w:r>
      <w:r>
        <w:rPr>
          <w:rFonts w:ascii="Amiri" w:hAnsi="Amiri" w:eastAsia="Amiri" w:cs="Amiri"/>
          <w:color w:val="111111"/>
          <w:sz w:val="28"/>
          <w:sz w:val="28"/>
          <w:szCs w:val="28"/>
          <w:rtl w:val="true"/>
          <w:lang w:bidi="ar-SA"/>
        </w:rPr>
        <w:t>قابلة للتأمّل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59" w:name="pg19669_189229"/>
    </w:p>
    <w:p>
      <w:pPr>
        <w:pStyle w:val="BookText"/>
        <w:rPr/>
      </w:pPr>
      <w:bookmarkEnd w:id="259"/>
      <w:r>
        <w:rPr>
          <w:rFonts w:ascii="Amiri" w:hAnsi="Amiri" w:eastAsia="Amiri" w:cs="Amiri"/>
          <w:color w:val="111111"/>
          <w:sz w:val="28"/>
          <w:sz w:val="28"/>
          <w:szCs w:val="28"/>
          <w:rtl w:val="true"/>
          <w:lang w:bidi="ar-SA"/>
        </w:rPr>
        <w:t>و وجه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صحيحة أبي بصير تام الدلالة و السند فلا يضر بعد ذلك ضعف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اتفاق روايات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بلسان متقارب على مطلب واحد قد يورث للفقيه الاطمئنان بحقانية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يتضح بهذا أيضا ان التمسك بالإجماع لإثبات القاعدة أمر غير وجيه لأن حجيته هي باعتبار كاشفيته عن رأي المعصوم عليه السّلام يدا بيد، و مع احتمال المدرك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السيرة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بكاشفيته عن رأي المعصوم عليه السّلام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795010_2314609296"/>
      <w:bookmarkStart w:id="261" w:name="_Toc90"/>
      <w:bookmarkEnd w:id="260"/>
      <w:r>
        <w:rPr/>
        <w:t>3</w:t>
      </w:r>
      <w:r>
        <w:rPr>
          <w:rtl w:val="true"/>
        </w:rPr>
        <w:t xml:space="preserve"> - </w:t>
      </w:r>
      <w:r>
        <w:rPr>
          <w:rtl w:val="true"/>
        </w:rPr>
        <w:t>قاعدة التسبيب</w:t>
      </w:r>
      <w:bookmarkEnd w:id="261"/>
    </w:p>
    <w:p>
      <w:pPr>
        <w:pStyle w:val="BookText"/>
        <w:rPr/>
      </w:pPr>
      <w:r>
        <w:rPr>
          <w:rFonts w:ascii="Amiri" w:hAnsi="Amiri" w:eastAsia="Amiri" w:cs="Amiri"/>
          <w:color w:val="111111"/>
          <w:sz w:val="28"/>
          <w:sz w:val="28"/>
          <w:szCs w:val="28"/>
          <w:rtl w:val="true"/>
          <w:lang w:bidi="ar-SA"/>
        </w:rPr>
        <w:t xml:space="preserve">هناك قاعدة باسم قاعدة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يعبّر عنها على لسان القدماء بقاعدة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مضمونها ان شخصا لو سبب لثان الوقوع في خسارة فهو ضامن لتلك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نجّس شخص قطعة فرش لغيره و كانت طهارتها أمرا ضروريا و احتاج التطهير إلى اجرة معينة، فبناء على تمامية قاعدة التسبيب يلزم المنجس ضمان تلك الاجرة كما و يلزمه ضمان النقص الطارئ على العين بسبب التطهير لو فرض نقصان قيمتها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السيّد الخوئي قدّس سرّه رفض الضمان بتقريب ان سبب الضمان منحصر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الاتلاف و اليد، و كلاهما غير متحقق، إذ بالتنجيس لم يتحقق اتلاف قطعة الفرش و لا الاستيلاء عليها ليلزم ضمان اجرة التطهير أو قيمة النقص الطارئ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لو لم يفرض ان قيمة الفرش قد نقصت بالتنجيس نفسه، اما إذا نقصت بالتنجيس نفسه و قبل ان يغسل ثبت الضمان لقاعدة الاتلاف حيث تم اتلاف وصف كمالي من أوصاف الفرش بعملية التنجيس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تنقص قيمة الفرش بالتنجيس نفسه و احتاج تطهيره الى اجرة أو فرض نقصان القيمة على تقدير التطهير فلا ضمان لتلك الاجرة و لا لذاك النقصان لعدم صدق اليد و لا الاتلاف، و سبب الضمان لا يعدو أحد هذين الأمرين اما اليد أو الاتلاف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قدّس سرّه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التسبيب فهو ليس سببا مستقلاّ للضمان في مقابل السببين المذكورين بل هو يوجب الضمان لو صدق عنوان المتلف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فينبغي التفصيل في موارد التسبيب بين ما إذا صدق على السبب انه متلف و بين ما إذا لم يصدق عليه ذلك، ففي الأوّل يضمن لقاعدة الاتلاف دونه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أرسل شخص دابته و اتلفت زرع الغير أو أعطى شخص سكينا بيد صبي و أمره بضرب شخص، فانه يصدق على الشخص المذكور عنوان المتلف و ينسب إليه اتلاف زرع الغير و جرح الشخص، باعتبار ان المباشر اما لا إرادة له أو ذو إرادة ضعيفة بحيث يعدّ آلة بيد السبب، و ينسب العرف بنحو الحقيقة الاتلاف إليه لا إلى المباشر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عدم 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توسطت في البين الارادة التامة للمباشر، كما لو أمر شخص شخصا آخر كبيرا باتلاف زرع الغير أو </w:t>
      </w:r>
    </w:p>
    <w:p>
      <w:pPr>
        <w:pStyle w:val="BookText"/>
        <w:rPr/>
      </w:pPr>
      <w:r>
        <w:rPr>
          <w:rFonts w:ascii="Amiri" w:hAnsi="Amiri" w:eastAsia="Amiri" w:cs="Amiri"/>
          <w:color w:val="111111"/>
          <w:sz w:val="28"/>
          <w:sz w:val="28"/>
          <w:szCs w:val="28"/>
          <w:rtl w:val="true"/>
          <w:lang w:bidi="ar-SA"/>
        </w:rPr>
        <w:t>جرحه و قام بتنفيذ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الاتلاف في مثل ذلك ينسب الى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توسط إرادته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قدّس سرّه في هذا المقام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مسألة ثانية بحثها الفقهاء ترتبط بالمسألة المتقدّمة، و هي ان زيدا لو نجّس المصحف الشريف أو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يجب تطهيرهما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احتاج تطهيرهما إلى بذل اجرة معينة فهل يختص ضمانها بزيد أو يعم كل فرد مسلم؟</w:t>
      </w:r>
    </w:p>
    <w:p>
      <w:pPr>
        <w:pStyle w:val="BookText"/>
        <w:rPr/>
      </w:pPr>
      <w:r>
        <w:rPr>
          <w:rFonts w:ascii="Amiri" w:hAnsi="Amiri" w:eastAsia="Amiri" w:cs="Amiri"/>
          <w:color w:val="111111"/>
          <w:sz w:val="28"/>
          <w:sz w:val="28"/>
          <w:szCs w:val="28"/>
          <w:rtl w:val="true"/>
          <w:lang w:bidi="ar-SA"/>
        </w:rPr>
        <w:t>انه بناء على تمامية قاعدة التسبيب يمكن الحكم بضمان زيد للأجرة، بتقريب ان زيدا صار بفعله سببا لخسارة الآخرين قيمة التطهير، فاذا تصدّى بعض الناس للتطهير جاز له الرجوع عليه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يمكن الحكم بضمانه للخسارة حتى بناء على انكار قاعدة التسبيب و حصر سبب الضمان بالاتلاف و اليد، بتقريب ان الآخر المتصدي للتطهير و ان تصدّى بإرادته إلاّ انّه لما كان ملزما من قبل الشارع بالتطهير فإرادته تصبح إرادة مغلوبة و في حكم العدم، و بذلك يسند الاتلاف عرفا الى السبب و يكون استقرار الضمان عليه دون غيره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ينقض على ذلك بما ذكره السيّد الخوئي قدّس سرّه من ان لازم ذلك ان المعسر لو تزوج و أولد أطفالا و هو عاجز عن القيام بنفقتهم و فرض ان المسلمين قاموا بالانفاق عليهم من باب وجوب حفظ النفس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المحترمة على كل مسلم، ان لازم ذلك ضمان ذلك المعسر المتزوّج بما ينفقه الناس على أطفاله، و الحال ان ذلك لا يمكن التزامه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لا ينقض بما لو فرض ان شخصا ابرأ شخصا آخر من دين مانع من الاستطاعة فترتب على ذلك تحقق عنوان الاستطاعة للحج في حقّه و وجوبه عليه، فبناء على عدّ الإرادة المغلوبة بحكم العدم يلزم ضمان المبرأ لنفقات الحج، و هو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هذين النقضين و أمثالهما قابلان للدفع، باعتبار ان العرف يفهم من حكم الشارع بجواز زواج المعسر و ابراء المديون عدم كونهما ضامنين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الدلالة الالتزامية العرفية هي المانع من الحكم بالضمان، و هذا بخلافه في مثال تنجيس المسجد أو المصحف الشريف فإنّه لا توجد مثل هذه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ان قاعدة التسبيب لها نتائج تظهر في الأمثلة المذكورة و غيرها، و قد أنكرها بعض الأعلام بدعوى عدم تمامية دليل عليها، و من ثمّ أنكر الثمرات المترتبة عليها في الأمثلة السابقة، كضمان قيمة تطهير الفرش و قيمة النقص الطارئ بسبب التطهير و اجور تطهير المسجد و المصحف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من القريب جدّا دعوى انعقاد السيرة العقلائية عليها و الحكم بضمان المسبب لخسارة الآخرين فيما إذا كان تسبيبه تسبيبا غير مأذون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السيرة المذكورة لم يثبت ردع عنها فتكون ممضاة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2" w:name="pg19669_189233"/>
    </w:p>
    <w:p>
      <w:pPr>
        <w:pStyle w:val="Heading3"/>
        <w:numPr>
          <w:ilvl w:val="2"/>
          <w:numId w:val="1"/>
        </w:numPr>
        <w:rPr/>
      </w:pPr>
      <w:bookmarkStart w:id="263" w:name="__RefHeading___Toc3795012_2314609296"/>
      <w:bookmarkStart w:id="264" w:name="_Toc91"/>
      <w:bookmarkEnd w:id="262"/>
      <w:bookmarkEnd w:id="263"/>
      <w:r>
        <w:rPr/>
        <w:t>4</w:t>
      </w:r>
      <w:r>
        <w:rPr>
          <w:rtl w:val="true"/>
        </w:rPr>
        <w:t xml:space="preserve"> - </w:t>
      </w:r>
      <w:r>
        <w:rPr>
          <w:rtl w:val="true"/>
        </w:rPr>
        <w:t>اعتبار الجهل في صحة التمسك بالقاعدة</w:t>
      </w:r>
      <w:bookmarkEnd w:id="264"/>
    </w:p>
    <w:p>
      <w:pPr>
        <w:pStyle w:val="BookText"/>
        <w:rPr/>
      </w:pPr>
      <w:r>
        <w:rPr>
          <w:rFonts w:ascii="Amiri" w:hAnsi="Amiri" w:eastAsia="Amiri" w:cs="Amiri"/>
          <w:color w:val="111111"/>
          <w:sz w:val="28"/>
          <w:sz w:val="28"/>
          <w:szCs w:val="28"/>
          <w:rtl w:val="true"/>
          <w:lang w:bidi="ar-SA"/>
        </w:rPr>
        <w:t>قد يفرض ان الشخص الغار عالم بما يترتب على فعله من الخديعة و وقوع الغير في الخسارة و قد يكون جاهلا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بالنسبة إلى الشخص المغرور قد يفرض جهله بواقع الحال و قد يفرض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فرض علم الغار و جهل المغرور فذلك هو القدر المتيقن من قاعدة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فرض علم المغرور فلا اشكال في انتفاء عنوان الغرور سواء كان الطرف الآخر عالما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كانا جاهلين معا فقد ادعى البعض صدق عنوان الغرور، بدعوى ان عناوين الأفعال ليست متقومة بقصد تلك العناوين، فمن قام أو قعد يصدق عليه عنوان القائم أو القاعد و ان لم يكن قاصدا لذلك بل كان غافلا، فمن قدّم طعام الغير إلى آخر يصدق عليه انّه غار و لو لم يكن ملتفتا لكونه طعام الغير بل معتقدا بكونه طعام نفسه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من قال بأن عنوان الغرور لا يصدق مع جهل الغار بيد ان قاعدة الغرور تشمل مثل ذلك ملاكا و ان لم تشمله عنوانا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كلتا الدعويين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الاولى فلتقوّم صدق الغرور عرفا بعلم الغار و جهل المغرور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الثانية فلأن ملاك الضمان في باب الغرور ليس إلاّ التسبيب </w:t>
      </w:r>
      <w:bookmarkStart w:id="265" w:name="pg19669_189234"/>
    </w:p>
    <w:p>
      <w:pPr>
        <w:pStyle w:val="BookText"/>
        <w:rPr/>
      </w:pPr>
      <w:bookmarkEnd w:id="265"/>
      <w:r>
        <w:rPr>
          <w:rFonts w:ascii="Amiri" w:hAnsi="Amiri" w:eastAsia="Amiri" w:cs="Amiri"/>
          <w:color w:val="111111"/>
          <w:sz w:val="28"/>
          <w:sz w:val="28"/>
          <w:szCs w:val="28"/>
          <w:rtl w:val="true"/>
          <w:lang w:bidi="ar-SA"/>
        </w:rPr>
        <w:t>للخسارة، و معه فان تمّت قاعدة التسبيب كانت هي بنفسها دليلا على الضمان، و ان لم تتم و أنكرنا انعقاد السيرة العقلائية عليها فلا معنى للحكم بالضمان من باب صدق قاعدة الغرور ملاكا لأن ملاكها بقطع النظر عن صدق عنوان الغرور ليس سببا للضمان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فالمناسب في حالة جهلهما معا عدم التمسك بقاعدة الغرور لإثبات الضمان بل بقواعد اخرى، كقاعدة الاتلاف أو اليد أو التسبيب حسب اختلاف الموارد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795014_2314609296"/>
      <w:bookmarkStart w:id="267" w:name="_Toc92"/>
      <w:bookmarkEnd w:id="266"/>
      <w:r>
        <w:rPr/>
        <w:t>5</w:t>
      </w:r>
      <w:r>
        <w:rPr>
          <w:rtl w:val="true"/>
        </w:rPr>
        <w:t xml:space="preserve"> - </w:t>
      </w:r>
      <w:r>
        <w:rPr>
          <w:rtl w:val="true"/>
        </w:rPr>
        <w:t>تطبيقات</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شخص للخيّاط قطعة قماش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تكفي قميصا فقصّها فلما قصّها اتضح العكس فهل يضمن؟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أراد الزواج و مدح له ثان أخلاق امرأة معينة فلما تزوجها ظهر له سوء أخلاقها فهل يكون المادح غارّا و يلزمه ضمان المهر؟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الطبيب إذا عالج المريض و أخطأ في علاجه فتارة يفرض انّه يعالج المريض مباشرة باجراء عملية له و اخرى يصف له الدواء و يسبب له بعض المضاعفات فهل يكون ضامنا في الحالتين المذكورتين؟ و ما هو التوجيه الفني لذلك؟</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الختّان إذا أخطأ و سبّب ضررا للمختون فهل يكون ضامنا و لما ذا؟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مدح البائع سلعته فلما اشتراها المشتري اتضح له الخلاف و سبّب ذلك له بعض الخسائر فهل يضمن البائع ذلك و لما ذا؟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قدّم طعاما للغير باعتقاد انّه له ثم اتضح انّه لغيره فهل يكونان ضامنين؟ و لما ذا؟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دعي لمأدبة فاصطحب معه شخصا آخر فهل يكون ضامنا لما أكله الآخر؟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لآخر توجد في معرض الكتاب كتب تباع بسعر زهيد فسافر إليه فلم يجد الأمر كما أخبر فهل يجوز تغريمه اجور السفر؟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له قطعة فرش فرشها في الشارع الذي تمرّ به السيارات لينزل منها ما التصق بها من تراب فمرت سيارة مثقلة بالحديد فشقت قطعة الفرش فهل يكون صاحب السيارة ضامنا؟ </w:t>
      </w:r>
      <w:bookmarkStart w:id="268" w:name="pg19669_189236"/>
    </w:p>
    <w:p>
      <w:pPr>
        <w:pStyle w:val="Heading2"/>
        <w:numPr>
          <w:ilvl w:val="1"/>
          <w:numId w:val="1"/>
        </w:numPr>
        <w:rPr/>
      </w:pPr>
      <w:bookmarkStart w:id="269" w:name="__RefHeading___Toc3795016_2314609296"/>
      <w:bookmarkStart w:id="270" w:name="_Toc93"/>
      <w:bookmarkEnd w:id="268"/>
      <w:bookmarkEnd w:id="269"/>
      <w:r>
        <w:rPr>
          <w:rtl w:val="true"/>
        </w:rPr>
        <w:t>قاعدتا الاقرار</w:t>
      </w:r>
      <w:bookmarkEnd w:id="270"/>
    </w:p>
    <w:p>
      <w:pPr>
        <w:pStyle w:val="Heading3"/>
        <w:numPr>
          <w:ilvl w:val="2"/>
          <w:numId w:val="1"/>
        </w:numPr>
        <w:rPr/>
      </w:pPr>
      <w:bookmarkStart w:id="271" w:name="__RefHeading___Toc3795018_2314609296"/>
      <w:bookmarkStart w:id="272" w:name="_Toc94"/>
      <w:bookmarkEnd w:id="271"/>
      <w:r>
        <w:rPr>
          <w:rtl w:val="true"/>
        </w:rPr>
        <w:t>اشارة</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استثناءات من قاعدة قبول الاقرار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بالدلالة الالتزامية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في الاقرار الواحد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القبول بموارد السلطنة الفعلية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هناك قاعدتان تداول ذكرهما على لسان الاعلام في باب الاقرار و المسائل المرتبطة بذلك احداهما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ثانيتهما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القاعدة الاولى فهي الأصل الأساسي الذي تعتمد عليه مسائل كتاب الاقرار، فانا لو ألقينا نظرة على تلك المسائل لرأيناها بشكل عام تعتمد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القاعدة الثانية فنادرا ما تذكر على لسان الفقهاء، فنجد ذكرها في كلمات الشيخ الطوسي قدّس سرّه في مسألة العبد المأذون في التجارة، فقد ذكر ان العبد المذكور لو أقرّ بمال يتعلّق بالتجارة بأن قال مثلا هذا يستحق عليّ ثمن المبيع في هذا البيع و أمثال ذلك قبل اقراره لأن من ملك شيئا ملك الاقرار به</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بقي ذكرها مستمرا على لسان من جاء بعد الشيخ من الفقهاء، فقد أشار إليها المحقّق الحلّي في الشرائع في مسألة العبد المأذون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لها الشهيد الأوّل في قواعده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قدر على إنشاء شيء قدر على الاقرار به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وصل الأمر الى الشيخ الأعظم الأنصاري نراه قد ألّف رسالة في القاعدة المذكورة ذكر في مقدّمتها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اشتهر على ألسنة الفقهاء من زمان الشيخ قدّس سرّه إلى زماننا قضية كليّة يذكرونها في مقام الاستدلال بها على ما يتفرّع عليها كأنها بنفسها دليل معتبر أو مضمون دليل معتبر، و هي ان من ملك شيئا ملك الاقرار به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ان هناك كلاما في ان القاعدتين المذكورتين هل هما قاعدة واحدة أو ان الاولى مستند للثانية أو هما متباينتان و لا ربط لإحداهما بالاخرى غايته قد تلتقيان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سيتضح إن شاء اللّه تعالى ان الاحتمال الثالث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نريد ان نفهمه من هذا الخلاف ان قلّة التعرض لقاعدة من ملك صار سببا لأن ينتابها شيء من الغموض و من ثمّ صار سببا لتوهم انّها و الاولى قاعدة واحدة أو ان الاولى مدرك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الحديث حول القاعدتين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القاعدتين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واحدة أو قاعدتان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73" w:name="pg19669_189240"/>
    </w:p>
    <w:p>
      <w:pPr>
        <w:pStyle w:val="BookText"/>
        <w:rPr/>
      </w:pPr>
      <w:bookmarkEnd w:id="27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استثناءات من قاعدة قبول الاقرار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الاقرار بالدلالة الالتزامية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التفكيك في الاقرار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القبول بموارد السلطنة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3795020_2314609296"/>
      <w:bookmarkStart w:id="275" w:name="_Toc95"/>
      <w:bookmarkEnd w:id="274"/>
      <w:r>
        <w:rPr/>
        <w:t>1</w:t>
      </w:r>
      <w:r>
        <w:rPr>
          <w:rtl w:val="true"/>
        </w:rPr>
        <w:t xml:space="preserve"> - </w:t>
      </w:r>
      <w:r>
        <w:rPr>
          <w:rtl w:val="true"/>
        </w:rPr>
        <w:t>مضمون القاعدتين</w:t>
      </w:r>
      <w:bookmarkEnd w:id="275"/>
    </w:p>
    <w:p>
      <w:pPr>
        <w:pStyle w:val="BookText"/>
        <w:rPr/>
      </w:pPr>
      <w:r>
        <w:rPr>
          <w:rFonts w:ascii="Amiri" w:hAnsi="Amiri" w:eastAsia="Amiri" w:cs="Amiri"/>
          <w:color w:val="111111"/>
          <w:sz w:val="28"/>
          <w:sz w:val="28"/>
          <w:szCs w:val="28"/>
          <w:rtl w:val="true"/>
          <w:lang w:bidi="ar-SA"/>
        </w:rPr>
        <w:t xml:space="preserve">المقصود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عاقل إذا اعترف بشيء هو في غير صالحه كان ملزما باعترافه، فلو اعترف بأن الدار التي اسكن فيها ليست هي لي بل لزيد اخذ باعترافه و كان 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أدفع المهر لزوجتي و هو بعد في ذمّتي كان ذلك منه اعترافا على نفسه و كان 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يسكن فيها زيد ليست هي له بل قد غصبها منّي لم يكن ذلك منه مقبولا بل احتيج في تصديقه إلى اثبات بالبينة لأنّه ليس اعترافا على نفسه بل هو ادّعاء في صالح نفسه و نفعها، و الادّعاء المقبول هو ما كان في ضرر المدعي و لم يكن في صالحه لا ما كان في 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يتضح 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على لسان القاعدة يراد بها الاشارة الى حيثية كون الادّعاء في ضرر المدّعي، فهو عليه و ليس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اتضح ان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على لسان </w:t>
      </w:r>
      <w:bookmarkStart w:id="276" w:name="pg19669_189241"/>
    </w:p>
    <w:p>
      <w:pPr>
        <w:pStyle w:val="BookText"/>
        <w:rPr/>
      </w:pPr>
      <w:bookmarkEnd w:id="276"/>
      <w:r>
        <w:rPr>
          <w:rFonts w:ascii="Amiri" w:hAnsi="Amiri" w:eastAsia="Amiri" w:cs="Amiri"/>
          <w:color w:val="111111"/>
          <w:sz w:val="28"/>
          <w:sz w:val="28"/>
          <w:szCs w:val="28"/>
          <w:rtl w:val="true"/>
          <w:lang w:bidi="ar-SA"/>
        </w:rPr>
        <w:t>القاعدة هو الجواز بمعنى النفوذ و الالزام و ليس بمعنى الاباحة، فالاقرار على النفس جائز يراد به ان الاقرار على النفس نافذ و تكون ملزمة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الى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منها ان كل من كان من حقّه القيام بتصرف معيّن فمتى ما أخبر عن تحقق ذلك التصرف قبل اخباره من دون مطالبة باثبات ذلك، فلو اخبر الزوج الذي من حقّه طلاق زوجته متى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طلقت زوجتي قبل منه الاخبار المذكور و حكم بتحقق طلاق الزوجة بلا ان يطالب باثبات ما اخبر عنه من خلال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لو أوكلنا تصرّفا معينا إلى شخص فقلنا لأحد أصدقائنا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وكيلي في شراء الدار الفلانية فجاء بعد فترة مخبرا باني اشتريتها بسعر كذا قبل منه ذلك بلا ان يطالب بالاثبات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يتجلى ان المقصود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على التصرف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ان المقصود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الاخبار عن تحقق ذلك التصرف المعين بلا مطالبة بالحجة على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اتضح أيضا من خلال كل ما ذكرناه ان معنى كلمة الاقرار في القاعدة الاولى و القاعدة الثانية متغاير، ففي القاعدة الاولى يراد منها الاعتراف في غير صالح النفس بينما في القاعدة الثانية يراد منها الاخبار عن تحقق التصرّف المعيّن</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3795022_2314609296"/>
      <w:bookmarkStart w:id="278" w:name="_Toc96"/>
      <w:bookmarkEnd w:id="277"/>
      <w:r>
        <w:rPr/>
        <w:t>2</w:t>
      </w:r>
      <w:r>
        <w:rPr>
          <w:rtl w:val="true"/>
        </w:rPr>
        <w:t xml:space="preserve"> - </w:t>
      </w:r>
      <w:r>
        <w:rPr>
          <w:rtl w:val="true"/>
        </w:rPr>
        <w:t>قاعدة واحدة أو قاعدتان</w:t>
      </w:r>
      <w:bookmarkEnd w:id="27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ذكرناه في معنى القاعدتين يتضح ان القاعدتين </w:t>
      </w:r>
    </w:p>
    <w:p>
      <w:pPr>
        <w:pStyle w:val="BookText"/>
        <w:rPr/>
      </w:pPr>
      <w:r>
        <w:rPr>
          <w:rFonts w:ascii="Amiri" w:hAnsi="Amiri" w:eastAsia="Amiri" w:cs="Amiri"/>
          <w:color w:val="111111"/>
          <w:sz w:val="28"/>
          <w:sz w:val="28"/>
          <w:szCs w:val="28"/>
          <w:rtl w:val="true"/>
          <w:lang w:bidi="ar-SA"/>
        </w:rPr>
        <w:t>لا ترجعان إلى قاعدة واحدة بل لكل واحدة معنى يغاير المعنى المقصود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المغايرة بينهما لا وجه أيضا لدعوى ان قاعدة اقرار العقلاء هي مستند لقاعدة من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هاتين الدعويين قد نقلهما الشيخ الأنصاري عن بعض</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اتضح التأمل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القاعدتين متغايرتان مفهوما بيد انّهما قد يلتقيان 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اخبر شخص بانّي قد أوقفت داري على الفقراء أو اوصيت بها إليهم قبل منه و كان ذلك موردا لكلتا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سرقت أو قتلت فلانا كان ذلك موردا لقاعدة اقرار العقلاء و لم يكن موردا لقاعدة من ملك لأن السارق و القاتل ليسا مسلّطين على القتل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اخبر الوكيل عن شخص في بيع داره بتحقق بيعها قبل ذلك منه لقاعدة من ملك دون قاعدة اقرار العقلاء لأن الاخبار المذكور من الوكيل ليس اخبارا على نفسه بل هو اخبار عن قضية ترتبط بغيره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فالنسبة بين القاعدتين من حيث المورد هي العموم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279" w:name="pg19669_189243"/>
    </w:p>
    <w:p>
      <w:pPr>
        <w:pStyle w:val="Heading3"/>
        <w:numPr>
          <w:ilvl w:val="2"/>
          <w:numId w:val="1"/>
        </w:numPr>
        <w:rPr/>
      </w:pPr>
      <w:bookmarkStart w:id="280" w:name="__RefHeading___Toc3795024_2314609296"/>
      <w:bookmarkStart w:id="281" w:name="_Toc97"/>
      <w:bookmarkEnd w:id="279"/>
      <w:bookmarkEnd w:id="280"/>
      <w:r>
        <w:rPr/>
        <w:t>3</w:t>
      </w:r>
      <w:r>
        <w:rPr>
          <w:rtl w:val="true"/>
        </w:rPr>
        <w:t xml:space="preserve"> - </w:t>
      </w:r>
      <w:r>
        <w:rPr>
          <w:rtl w:val="true"/>
        </w:rPr>
        <w:t>مدرك القاعدة</w:t>
      </w:r>
      <w:bookmarkEnd w:id="281"/>
    </w:p>
    <w:p>
      <w:pPr>
        <w:pStyle w:val="BookText"/>
        <w:rPr/>
      </w:pPr>
      <w:r>
        <w:rPr>
          <w:rFonts w:ascii="Amiri" w:hAnsi="Amiri" w:eastAsia="Amiri" w:cs="Amiri"/>
          <w:color w:val="111111"/>
          <w:sz w:val="28"/>
          <w:sz w:val="28"/>
          <w:szCs w:val="28"/>
          <w:rtl w:val="true"/>
          <w:lang w:bidi="ar-SA"/>
        </w:rPr>
        <w:t xml:space="preserve">بالنسبة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عليها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الكريم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أَقْرَرْتُمْ وَ أَخَذْتُمْ عَلى ذلِكُمْ إِصْرِي قالُوا أَقْرَرْنا </w:t>
      </w:r>
      <w:r>
        <w:rPr>
          <w:rStyle w:val="FootnoteAnchor"/>
          <w:rtl w:val="true"/>
        </w:rPr>
        <w:footnoteReference w:id="1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w:t>
      </w:r>
      <w:r>
        <w:rPr>
          <w:rStyle w:val="FootnoteAnchor"/>
          <w:rtl w:val="true"/>
        </w:rPr>
        <w:footnoteReference w:id="148"/>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بِرَبِّكُمْ قالُوا بَلى </w:t>
      </w:r>
      <w:r>
        <w:rPr>
          <w:rStyle w:val="FootnoteAnchor"/>
          <w:rtl w:val="true"/>
        </w:rPr>
        <w:footnoteReference w:id="14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قَوّامِينَ بِالْقِسْطِ شُهَداءَ لِلّهِ وَ لَوْ عَلى أَنْفُسِكُمْ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السنّة الشريفة فيكفي الحديث المشهور عن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على أنفسهم جائز</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العقل فباعتبار ان العاقل لا يكذب على نفسه بما يضرّه فاذا أقرّ على نفسه حصل القطع بصدق المضمون المقرّ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فواضح إذ لا مخالف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الآيات الكريمة فلأن المهم منها هو الآية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فما قبلها أجنبي عن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تدل على ان الانسان يجب ان يشهد بالحق و لو كان ذلك في غير صالح نفسه، و غاية ما يقتضيه هذا ان ما ثبت كونه </w:t>
      </w:r>
    </w:p>
    <w:p>
      <w:pPr>
        <w:pStyle w:val="BookText"/>
        <w:rPr/>
      </w:pPr>
      <w:r>
        <w:rPr>
          <w:rFonts w:ascii="Amiri" w:hAnsi="Amiri" w:eastAsia="Amiri" w:cs="Amiri"/>
          <w:color w:val="111111"/>
          <w:sz w:val="28"/>
          <w:sz w:val="28"/>
          <w:szCs w:val="28"/>
          <w:rtl w:val="true"/>
          <w:lang w:bidi="ar-SA"/>
        </w:rPr>
        <w:t>حقّا تلزم الشهادة به، و بالالتزام العرفي تدل على وجوب قبوله، و لا تدل على انه لو شهد شخص على نفسه بشيء و احتملنا كونه مشتبها يلزم قبول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تدل على ان الحق إذا شهد به يلزم قبوله، و هذا أمر مسلّم غير قابل للشك و إلاّ لم يكن الحق حقّا، و لا تدل على ان كل ما شهد به ما دام هو على النفس يلزم قبوله حتى و لو لم يحرز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الحديث المشهور فهو كما قال صاحب الوسائل رواه جملة من علمائنا في كتبهم الاستدلالية من دون ان يعرف له مستند غير ذلك</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رواه الاحسائي في كتابه عوالي اللآلي ناسبا له للنبي صلّى اللّه عليه و آله</w:t>
      </w:r>
      <w:r>
        <w:rPr>
          <w:rStyle w:val="FootnoteAnchor"/>
          <w:rtl w:val="true"/>
        </w:rPr>
        <w:footnoteReference w:id="153"/>
      </w:r>
      <w:r>
        <w:rPr>
          <w:rFonts w:ascii="Amiri" w:hAnsi="Amiri" w:eastAsia="Amiri" w:cs="Amiri"/>
          <w:color w:val="111111"/>
          <w:sz w:val="28"/>
          <w:sz w:val="28"/>
          <w:szCs w:val="28"/>
          <w:rtl w:val="true"/>
          <w:lang w:bidi="ar-SA"/>
        </w:rPr>
        <w:t>، و الكتاب المذكور ليس موردا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شهرة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تمّت كبرى و صغرى فلا يمكن التعويل عليها في المقام لاحتمال ان استنادهم إليه ليس لثبوت حجيته لديهم كحديث بل لأن مضمونه مضمون عقلائي لا يحتاج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حكم العقل فهو غير ثابت بعد احتمال اشتباه المقرّ في 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ينفع في موارد تراجع المقر و ادّعائه الخطأ في اقراره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الاجماع فلأنّه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جزمي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استناد المجمعين إلى المدارك السابقة، و هو انّما يكون حجّة من باب كاشفيته يدا بيد عن موافقة المعصوم عليه السّلام، و مع احتمال المدرك لا يجزم بكاشفيته المذكورة لاحتمال استناد المجمعين إلى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يجب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تقييم المدرك في نفسه بقطع النظر عن دعوى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المناسب ان يتمسك لتوجيه حجية الاقرار على النفس بالسيرة العقلائية المنعقدة على قبول الاقرار المذكور و الزام المقرّ به حتى مع تراجعه، و حيث انه لم يردع عنها فيستكشف امضاؤها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مدرك قاعدة اقرار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قاعدة من ملك شيئا فقد ملك الاقرار به فقد يستدل عليها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العراقي من ان السلطنة على ايقاع الشيء واقعا تلازم السلطنة على اثباته و الاخبار عنه، فالمسلط على بيع داره مثلا مسلّط على اثبات ذلك بالاخبار عن تحققه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الملازمة المذكورة ليست ثابتة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التفكيك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غاية ما يمكن ادعاؤه هو الملازمة العقلائية، بمعنى ان العقلاء يرون ان الشخص إذا كان من حقّه ثبوتا بيع داره فمن حقّه اثبات ذلك من خلال الاخبار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شيء له وجاهة و لكنّه بالتالي يرجع الى التمسّك بالسيرة العقلائية و ليس إلى الملازمة المذكورة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بما دلّ على عدم جواز اتهام الامين، كما في صحيحة مسعدة بن زياد عن جعفر بن محمّد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ان تتّهم من قد ائتمنته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يتم في مثل الوكيل الذي قد ائتمنه الموكل على القيام بتصرف معين و لا يتم في مثل الزوج إذا أخبر عن طلاق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التمسك بالسيرة العقلائية الجارية على ان الوكيل إذا أوكل إليه بيع دار أو طلاق زوجة و ما شاكل ذلك ثم جاء بعد فترة و أخبر بتحقق ذلك 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أخبر الزوج بطلاق زوجته أو صاحب الدار ببيعها أو وقفها أو هبتها قبل ذلك منه بلا مطالبة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كل من كان من حقه ايقاع تصرّف معين فانّه يقبل منه اخباره عن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المذكورة و ان كانت مسلمة في الجملة إلاّ انّها لا تدل على المطلوب، فان القبول في باب الوكالة يحتمل ان يكون اما من باب ان الوكيل تفترض وثاقته عادة و إلاّ لما اوكل إليه الأمر و من ثمّ يكون القبول من باب حجية خبر الثقة، أو من باب انّه قد ائتمن، و ليس لك ان تتهم من قد ائتمنته كما ورد في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في اخبار الشخص عن طلاق زوجته أو الوصية بماله فانّه يقبل منه اما لوثاقته أو لكون المورد من موارد الاقرار على النفس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لا يمكن ان نخرج بنتيجة كليّة، و هي ان كل من ملك شيئا ملك الاقرار به، فان السيرة العقلائية 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نحتمل استناد العقلاء إلى قواعد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خاصة بموارد خاصة و لا يمكن التعميم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2" w:name="pg19669_189247"/>
    </w:p>
    <w:p>
      <w:pPr>
        <w:pStyle w:val="BookText"/>
        <w:rPr/>
      </w:pPr>
      <w:bookmarkEnd w:id="282"/>
      <w:r>
        <w:rPr>
          <w:rFonts w:ascii="Amiri" w:hAnsi="Amiri" w:eastAsia="Amiri" w:cs="Amiri"/>
          <w:color w:val="111111"/>
          <w:sz w:val="28"/>
          <w:sz w:val="28"/>
          <w:szCs w:val="28"/>
          <w:rtl w:val="true"/>
          <w:lang w:bidi="ar-SA"/>
        </w:rPr>
        <w:t>إلاّ بمقدار ما انعقدت عليه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يتمسك بالإجماع المنعقد على التمسك بالقاعدة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الانصاف ان القضية المذكورة في الجملة اجماعية، بمعنى انه ما من أحد من الأصحاب ممّن وصل إلينا كلامهم إلاّ و قد عمل بها في بعض الموارد بحيث يعلم انّه لا مستند سواها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محتمل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استناد المجمعين الى السيرة أو غيرها من المدارك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أصل تحققه غير محرز، فان أول من تمسك بالقاعدة في حدود علمنا هو الشيخ الطوسي و لا يعلم بتمسك من قبله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التي نخرج بها هي ان ثبوت القاعدة المذكورة بنحو القضية الموجبة الكلية أمر غير ثابت بل لا بدّ من الاقتصار على المتيقن من السيرة العقلائية</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3795026_2314609296"/>
      <w:bookmarkStart w:id="284" w:name="_Toc98"/>
      <w:bookmarkEnd w:id="283"/>
      <w:r>
        <w:rPr/>
        <w:t>4</w:t>
      </w:r>
      <w:r>
        <w:rPr>
          <w:rtl w:val="true"/>
        </w:rPr>
        <w:t xml:space="preserve"> - </w:t>
      </w:r>
      <w:r>
        <w:rPr>
          <w:rtl w:val="true"/>
        </w:rPr>
        <w:t>استثناءات من قاعدة قبول الاقرار</w:t>
      </w:r>
      <w:bookmarkEnd w:id="2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ان قاعدة اقرار العقلاء على أنفسهم جائز هي من القواعد التي انعقدت عليها سيرة العقلاء بيد انه يستثنى من ذلك بعض الموارد، كموارد الاتهام، كما لو فرض ان شخصا أقرّ بكونه سارقا و احتملنا ان غرضه من وراء ذلك قطع يده و من ثمّ اعفاؤه عن الخدمة العسكرية، ان الاقرار في مثل ذلك لا يكون نافذا لأن مدرك حجيته على ما تقدّم هو السيرة العقلائية، و هي خاصة بموارد عدم الاتهام</w:t>
      </w:r>
      <w:r>
        <w:rPr>
          <w:rFonts w:eastAsia="Amiri" w:cs="Amiri" w:ascii="Amiri" w:hAnsi="Amiri"/>
          <w:color w:val="111111"/>
          <w:sz w:val="28"/>
          <w:szCs w:val="28"/>
          <w:rtl w:val="true"/>
          <w:lang w:bidi="ar-SA"/>
        </w:rPr>
        <w:t xml:space="preserve">. </w:t>
      </w:r>
      <w:bookmarkStart w:id="285" w:name="pg19669_189248"/>
    </w:p>
    <w:p>
      <w:pPr>
        <w:pStyle w:val="BookText"/>
        <w:rPr/>
      </w:pPr>
      <w:bookmarkEnd w:id="285"/>
      <w:r>
        <w:rPr>
          <w:rFonts w:ascii="Amiri" w:hAnsi="Amiri" w:eastAsia="Amiri" w:cs="Amiri"/>
          <w:color w:val="111111"/>
          <w:sz w:val="28"/>
          <w:sz w:val="28"/>
          <w:szCs w:val="28"/>
          <w:rtl w:val="true"/>
          <w:lang w:bidi="ar-SA"/>
        </w:rPr>
        <w:t>كما و يستثنى من ذلك باب الزنا فان من أقرّ على نفسه بالزنا لا يحكم عليه به بل لا بدّ من اقراره بذلك أربع مرّات للروايات الخاصة في المجال المذكور</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3795028_2314609296"/>
      <w:bookmarkStart w:id="287" w:name="_Toc99"/>
      <w:bookmarkEnd w:id="286"/>
      <w:r>
        <w:rPr/>
        <w:t>5</w:t>
      </w:r>
      <w:r>
        <w:rPr>
          <w:rtl w:val="true"/>
        </w:rPr>
        <w:t xml:space="preserve"> - </w:t>
      </w:r>
      <w:r>
        <w:rPr>
          <w:rtl w:val="true"/>
        </w:rPr>
        <w:t>الاقرار بالدلالة الالتزامية</w:t>
      </w:r>
      <w:bookmarkEnd w:id="287"/>
    </w:p>
    <w:p>
      <w:pPr>
        <w:pStyle w:val="BookText"/>
        <w:rPr/>
      </w:pPr>
      <w:r>
        <w:rPr>
          <w:rFonts w:ascii="Amiri" w:hAnsi="Amiri" w:eastAsia="Amiri" w:cs="Amiri"/>
          <w:color w:val="111111"/>
          <w:sz w:val="28"/>
          <w:sz w:val="28"/>
          <w:szCs w:val="28"/>
          <w:rtl w:val="true"/>
          <w:lang w:bidi="ar-SA"/>
        </w:rPr>
        <w:t>تارة يكون الاقرار بالدلالة المطابقية، كأن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أسكنها هي لزيد، و اخرى يكون بالدلالة الالتزامية، كأن يقول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أسكنها اشتريتها من زيد، فان ذلك يتضمن الاعتراف بكونها لزيد غايته يدّعي انتقالها منه إليه فيكون كلامه المذكور من الناحية الاولى حجّة عليه و ملزما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قال أحد المتخاصمين للآخر في مال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فانه يستبطن الاعتراف بكونه للآخر فيكون ملزما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الالزام بالاقرار التضمني في الحالات المذكورة هو السيرة العقلائية التي هي المدرك لحجية الاقرار فانها لا تفرق بين وجوه الاقرار</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3795030_2314609296"/>
      <w:bookmarkStart w:id="289" w:name="_Toc100"/>
      <w:bookmarkEnd w:id="288"/>
      <w:r>
        <w:rPr/>
        <w:t>6</w:t>
      </w:r>
      <w:r>
        <w:rPr>
          <w:rtl w:val="true"/>
        </w:rPr>
        <w:t xml:space="preserve"> - </w:t>
      </w:r>
      <w:r>
        <w:rPr>
          <w:rtl w:val="true"/>
        </w:rPr>
        <w:t>التفكيك في الاقرار الواحد</w:t>
      </w:r>
      <w:bookmarkEnd w:id="2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ادّعى شخص ان المرأة الفلانية هي زوجتي فهذه الدعوى تستبطن من ناحية الاعتراف بوجوب الانفاق عليها و بحرمة التزوّج باختها و امّها و بنتها و بحرمة التزوّج بزوجة اخرى اضافة إليها لو كانت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ناحية اخرى يتضمن الادّعاء المذكور وجوب تمكين نفسها منه و جواز النظر إليها و بحرمة الزواج بزوج آخر </w:t>
      </w:r>
    </w:p>
    <w:p>
      <w:pPr>
        <w:pStyle w:val="BookText"/>
        <w:rPr/>
      </w:pPr>
      <w:r>
        <w:rPr>
          <w:rFonts w:ascii="Amiri" w:hAnsi="Amiri" w:eastAsia="Amiri" w:cs="Amiri"/>
          <w:color w:val="111111"/>
          <w:sz w:val="28"/>
          <w:sz w:val="28"/>
          <w:szCs w:val="28"/>
          <w:rtl w:val="true"/>
          <w:lang w:bidi="ar-SA"/>
        </w:rPr>
        <w:t>غيره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اللوازم المذكورة من الناحية الاولى تعدّ اقرارا من الشخص على نفسه بينما هي من الناحية الثانية تعدّ اقرارا منه لنفسه و ليس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يكون الشخص المذكور ملزما باللوازم المذكوره من الناحية الاولى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لا يكون له الحق في تطبيقها من الناحية الثانية لعدم وجود المثبت لها، فان المثبت ليس إلاّ قاعدة الاقرار، و هي تختص بما يتضمن الاقرار على النفس دون ما يتضمن الاقرار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في التفكيك المذكور هو السيرة العقلائية المنعقدة على التمسك بالقاعدة فانّها تفكك بين الآثار بالشكل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ان يقال بالنسبة الى الانفاق بعدم الزامه به لأنّه ثابت في مقابل تمكين الزوج من نفسها فاذا لم يحصل التمكين لم يجب عليه الانفاق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أيضا ما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له عليّ ألف دينار كثمن للدار التي اشتريتها منه، فان هذا الكلام يتضمن ادعاءين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اشتغال ذمّته لزيد بألف دينار و ادّعاء عدم ملكية زيد للدار بالفعل، و هو من الناحية الاولى اقرار على النفس فيقبل و يلزم بدفع ألف دينار بينما من الناحية الثانية ليس هو اقرارا على النفس بل للنفس فلا يكون حجّة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بأن زيدا ما دام لا يلزم بتسليم الدار إلى المدّعي فلا يكون المدّعي بدوره ملزما بتسليم الثمن بل له حق الامتناع من باب المقاصة</w:t>
      </w:r>
      <w:r>
        <w:rPr>
          <w:rFonts w:eastAsia="Amiri" w:cs="Amiri" w:ascii="Amiri" w:hAnsi="Amiri"/>
          <w:color w:val="111111"/>
          <w:sz w:val="28"/>
          <w:szCs w:val="28"/>
          <w:rtl w:val="true"/>
          <w:lang w:bidi="ar-SA"/>
        </w:rPr>
        <w:t xml:space="preserve">. </w:t>
      </w:r>
      <w:bookmarkStart w:id="290" w:name="pg19669_189250"/>
    </w:p>
    <w:p>
      <w:pPr>
        <w:pStyle w:val="Heading3"/>
        <w:numPr>
          <w:ilvl w:val="2"/>
          <w:numId w:val="1"/>
        </w:numPr>
        <w:rPr/>
      </w:pPr>
      <w:bookmarkStart w:id="291" w:name="__RefHeading___Toc3795032_2314609296"/>
      <w:bookmarkStart w:id="292" w:name="_Toc101"/>
      <w:bookmarkEnd w:id="290"/>
      <w:bookmarkEnd w:id="291"/>
      <w:r>
        <w:rPr/>
        <w:t>7</w:t>
      </w:r>
      <w:r>
        <w:rPr>
          <w:rtl w:val="true"/>
        </w:rPr>
        <w:t xml:space="preserve"> - </w:t>
      </w:r>
      <w:r>
        <w:rPr>
          <w:rtl w:val="true"/>
        </w:rPr>
        <w:t>اختصاص القبول بموارد السلطنة الفعلية</w:t>
      </w:r>
      <w:bookmarkEnd w:id="292"/>
    </w:p>
    <w:p>
      <w:pPr>
        <w:pStyle w:val="BookText"/>
        <w:rPr/>
      </w:pPr>
      <w:r>
        <w:rPr>
          <w:rFonts w:ascii="Amiri" w:hAnsi="Amiri" w:eastAsia="Amiri" w:cs="Amiri"/>
          <w:color w:val="111111"/>
          <w:sz w:val="28"/>
          <w:sz w:val="28"/>
          <w:szCs w:val="28"/>
          <w:rtl w:val="true"/>
          <w:lang w:bidi="ar-SA"/>
        </w:rPr>
        <w:t>لو فرض انّا قبلنا القاعدة الثانية، أي قاعدة من ملك و سلمنا انعقاد السيرة العقلائية عليها فلا بدّ من تخصيصها بموارد تحقق السلطنة فعلا، فلو فرض ان الزوج بعد انتهاء عدّة زوجته ادّعى اني رجعت قبل انتهائها لم يقبل ذلك منه لأنّه في هذه الحالة ليس مسلّطا فعلا على الرجوع ليقبل منه اخباره عن تحققه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العقلائية ان لم يجزم بعدم انعقادها على القبول في هذه الحالة فلا أقل من الشك، و ينبغي الاقتصار على القدر المتيقن في موارد الدليل اللبي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بالنسبة الى الوكيل في بيع الدار مثلا فانه إذا اخبر بعد عزله عن الوكالة ببيعه للدار قبل العزل لم يقبل منه ذلك لما تقدّم نفسه</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3795034_2314609296"/>
      <w:bookmarkStart w:id="294" w:name="_Toc102"/>
      <w:bookmarkEnd w:id="293"/>
      <w:r>
        <w:rPr/>
        <w:t>8</w:t>
      </w:r>
      <w:r>
        <w:rPr>
          <w:rtl w:val="true"/>
        </w:rPr>
        <w:t xml:space="preserve"> - </w:t>
      </w:r>
      <w:r>
        <w:rPr>
          <w:rtl w:val="true"/>
        </w:rPr>
        <w:t>تطبيقات</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المسلم انّه أعطى الذمام للكافر فهل يمكن الحكم بلزوم تصديقه؟ و لما 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أقرّ شخص بكون شيء معيّن بيده ملكا لزيد ثم عقّبه بكونه ملكا لعمرو فما هو الموقف في الحالة المذكورة؟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شخص لفلان عليّ مال و لم يشخّص ذلك المال فما هو موقف الحاكم في الحالة المذكورة؟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شخص فلان يستحق عليّ درهما ثم تراجع عن اقراره </w:t>
      </w:r>
    </w:p>
    <w:p>
      <w:pPr>
        <w:pStyle w:val="BookText"/>
        <w:rPr/>
      </w:pPr>
      <w:r>
        <w:rPr>
          <w:rFonts w:ascii="Amiri" w:hAnsi="Amiri" w:eastAsia="Amiri" w:cs="Amiri"/>
          <w:color w:val="111111"/>
          <w:sz w:val="28"/>
          <w:sz w:val="28"/>
          <w:szCs w:val="28"/>
          <w:rtl w:val="true"/>
          <w:lang w:bidi="ar-SA"/>
        </w:rPr>
        <w:t>و ادّعى كونه مخطئا أو فسّره بما يخالف الظاهر فما هو الموقف في الحالة المذكورة؟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دخلنا بيت شخص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نجس فهل نصدّقه و لما ذا؟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فهل نصدّقه و لما ذا؟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شخص يسكن دارا و ادّعاها شخصان فتارة يكذبهما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 و اخرى يصدق احدهما، و ثالثة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لي من دون ان يقول هي لهما، و رابعة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لهما، فما هو الموقف في الحالات المذكورة؟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قد وهبت داري لزيد سابقا فلأي قاعدة يقبل قوله المذكور؟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 داري بعتها لزيد بألف دينار مثلا و 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يستحق عليّ الشخص المذكور ألف دينار مقابل الدار صدّقا في ذلك، و لكن هل يحتاج في تصديقهما إلى بيّنة أو يمين و لما ذا؟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رأينا رجلا و امرأة في خلوة و ادّعيا الزوجية بينهما فهل يصدّقان و لما ذا؟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بيدي هو لزيد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هو لي فما هو الحكم في هذه الحالة؟ </w:t>
      </w:r>
      <w:bookmarkStart w:id="295" w:name="pg19669_189252"/>
    </w:p>
    <w:p>
      <w:pPr>
        <w:pStyle w:val="Heading2"/>
        <w:numPr>
          <w:ilvl w:val="1"/>
          <w:numId w:val="1"/>
        </w:numPr>
        <w:rPr/>
      </w:pPr>
      <w:bookmarkStart w:id="296" w:name="__RefHeading___Toc3795036_2314609296"/>
      <w:bookmarkStart w:id="297" w:name="_Toc103"/>
      <w:bookmarkEnd w:id="295"/>
      <w:bookmarkEnd w:id="296"/>
      <w:r>
        <w:rPr>
          <w:rtl w:val="true"/>
        </w:rPr>
        <w:t>قاعدة الفراش</w:t>
      </w:r>
      <w:bookmarkEnd w:id="297"/>
    </w:p>
    <w:p>
      <w:pPr>
        <w:pStyle w:val="Heading3"/>
        <w:numPr>
          <w:ilvl w:val="2"/>
          <w:numId w:val="1"/>
        </w:numPr>
        <w:rPr/>
      </w:pPr>
      <w:bookmarkStart w:id="298" w:name="__RefHeading___Toc3795038_2314609296"/>
      <w:bookmarkStart w:id="299" w:name="_Toc104"/>
      <w:bookmarkEnd w:id="298"/>
      <w:r>
        <w:rPr>
          <w:rtl w:val="true"/>
        </w:rPr>
        <w:t>اشارة</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حديث الفراش و معناه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يتحقق الفراش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متعددة للفراش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الفراشين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 قاعدة الفراش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و بعض آرائه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من القواعد المشهورة التي تسالم عليها جميع المسلمين قاعدة الفراش المستندة للحديث المشهور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يشار إلى القاعدة المذكورة عادة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 و باب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باب النكاح فيذكر فيه ان الزوجة إذا تحقق منها الزنا أو وط‌ء الشبهة فالولد المتكوّن بعد ذلك يبقى ملحقا بالزوج و لا يجوز نفيه عنه لقاعدة الفراش</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باب اللعان فيذكر فيه ان من ولد له ولد و كان يشك في نسبته إليه فلا يجوز له نفيه عنه لقاعدة الفراش و لكن لو جزم بأنّه ليس منه باعتبار انّه لم يواقعها طيلة الفترة فيلزمه نفيه عنه لئلاّ يلتحق بنسبه ما ليس منه، و لكن لا يحكم الحاكم بالانتفاء عنه ظاهرا إلاّ بعد اللعان، بأن يقول أمام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اني لمن الصادقين فيما قلت </w:t>
      </w:r>
    </w:p>
    <w:p>
      <w:pPr>
        <w:pStyle w:val="BookText"/>
        <w:rPr/>
      </w:pPr>
      <w:r>
        <w:rPr>
          <w:rFonts w:ascii="Amiri" w:hAnsi="Amiri" w:eastAsia="Amiri" w:cs="Amiri"/>
          <w:color w:val="111111"/>
          <w:sz w:val="28"/>
          <w:sz w:val="28"/>
          <w:szCs w:val="28"/>
          <w:rtl w:val="true"/>
          <w:lang w:bidi="ar-SA"/>
        </w:rPr>
        <w:t>من نفي ولدها، مكررا ذلك أربع مرّات، ثم يقول بعد ذلك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لعنة اللّه عليّ إن كنت 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تمّت صورة اللعان هذه حكم بانتفاء الولد عن الزوج ظاهرا، و لا يتحقق بينهما بعد ذلك توارث و تنفسخ الزوجية و يزول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لو أمكن التحاق الولد به تطبيقا لقاعدة الفراش، اما إذا لم يمكن الالتحاق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الزوج كان في مكان و الزوجة في مكان آخر و ثبت لدى الحاكم عدم تحقق شيء بينهما سوى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الانتفاء بدعواه بلا حاجة إلى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في هذين الموردين تذكر قاعدة الفراش و يتمسك بها و لكن كما هي العادة لا يشار إلى تفاصيلها و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نمنهج الحديث حولها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مضمون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ألفاظ حديث الفراش و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يتحقق الفراش؟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متعددة للفراش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الدوران بين الفراشين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القيافة و قاعدة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حنيفة و بعض آرائه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 xml:space="preserve">. </w:t>
      </w:r>
      <w:bookmarkStart w:id="300" w:name="pg19669_189256"/>
    </w:p>
    <w:p>
      <w:pPr>
        <w:pStyle w:val="Heading3"/>
        <w:numPr>
          <w:ilvl w:val="2"/>
          <w:numId w:val="1"/>
        </w:numPr>
        <w:rPr/>
      </w:pPr>
      <w:bookmarkStart w:id="301" w:name="__RefHeading___Toc3795040_2314609296"/>
      <w:bookmarkStart w:id="302" w:name="_Toc105"/>
      <w:bookmarkEnd w:id="300"/>
      <w:bookmarkEnd w:id="301"/>
      <w:r>
        <w:rPr/>
        <w:t>1</w:t>
      </w:r>
      <w:r>
        <w:rPr>
          <w:rtl w:val="true"/>
        </w:rPr>
        <w:t xml:space="preserve"> - </w:t>
      </w:r>
      <w:r>
        <w:rPr>
          <w:rtl w:val="true"/>
        </w:rPr>
        <w:t>مضمون القاعدة</w:t>
      </w:r>
      <w:bookmarkEnd w:id="302"/>
    </w:p>
    <w:p>
      <w:pPr>
        <w:pStyle w:val="BookText"/>
        <w:rPr/>
      </w:pPr>
      <w:r>
        <w:rPr>
          <w:rFonts w:ascii="Amiri" w:hAnsi="Amiri" w:eastAsia="Amiri" w:cs="Amiri"/>
          <w:color w:val="111111"/>
          <w:sz w:val="28"/>
          <w:sz w:val="28"/>
          <w:szCs w:val="28"/>
          <w:rtl w:val="true"/>
          <w:lang w:bidi="ar-SA"/>
        </w:rPr>
        <w:t>يقصد بالقاعدة المذكورة ان الزوجة متى ما اولدت ولدا و لم يجزم بانتفائه عن الزوج فهو ملحق به و لا يحق له نفيه عنه لمجرّد عدم مشابهته له أو لغير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الزوج لا يحق له نفي الولد عنه في صورة الجزم بكونه ولده كذلك لا يحق له ذلك حالة الشك و احتمال انّه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يتّضح ان قاعدة الفراش هي كسائر القواعد المقررة حالة الشك، فكما ان قاعدة الطهارة تتضمن الحكم بالطهارة على كل شيء حالة الشك في طهارته كذلك قاعدة الفراش تحكم بالحاق الولد بالزوج حالة الشك في انتسابه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ان يفهم من القاعدة المذكورة الحكم بالحاق الولد بالزوج حتى في حالة عدم امكان الالتحاق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فرض تحقق العقد فقط و غياب الزوج عن الزوجة غيابا كاملا أو فرض ولادة الطفل قبل مضي فترة أقل الحمل أو بعد مضي أقصى فترة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ذلك إلى أبي حنيفة على ما سيأتي بل المقصود الحكم بذلك حالة الشك و امكان الانتساب</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795042_2314609296"/>
      <w:bookmarkStart w:id="304" w:name="_Toc106"/>
      <w:bookmarkEnd w:id="303"/>
      <w:r>
        <w:rPr/>
        <w:t>2</w:t>
      </w:r>
      <w:r>
        <w:rPr>
          <w:rtl w:val="true"/>
        </w:rPr>
        <w:t xml:space="preserve"> - </w:t>
      </w:r>
      <w:r>
        <w:rPr>
          <w:rtl w:val="true"/>
        </w:rPr>
        <w:t>مدرك القاعدة</w:t>
      </w:r>
      <w:bookmarkEnd w:id="304"/>
    </w:p>
    <w:p>
      <w:pPr>
        <w:pStyle w:val="BookText"/>
        <w:rPr/>
      </w:pPr>
      <w:r>
        <w:rPr>
          <w:rFonts w:ascii="Amiri" w:hAnsi="Amiri" w:eastAsia="Amiri" w:cs="Amiri"/>
          <w:color w:val="111111"/>
          <w:sz w:val="28"/>
          <w:sz w:val="28"/>
          <w:szCs w:val="28"/>
          <w:rtl w:val="true"/>
          <w:lang w:bidi="ar-SA"/>
        </w:rPr>
        <w:t>تستند القاعدة المذكورة الى الحديث المشهور عن النبي صلّى اللّه عليه و آله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المذكور متفق بيننا و بين العامة على روايته عنه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عندنا في نصوص متعدّدة، كصحيحة سعيد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رجلين وقعا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المالك للجارية، كما نبّه على ذلك الفيض الكاشاني في كتابه الوافي</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رجل وقع على وليدة قوم حراما ثم اشتراها فادّعى ولدها فانه لا يورث منه شيء، 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الأمثلة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أحاديث العامة فقد روى مسلم بسنده إلى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 سعد بن أبي وقّاص و عبد بن زمعة في غلام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رسول اللّه ابن أخي عتبة بن أبي وقاص عهد إليّ انّه ابنه، انظر إلى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يا رسول اللّه ولد على فراش أبي من وليدته، فنظر رسول اللّه صلّى اللّه عليه و آله إلى شبهه فرأى شبها بيّنا بعتبة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عبد، الولد للفراش و للعاهر الحجر</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أحمد بن حنبل في مسنده عن عبادة بن الصامت قسما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كبيرا من أقضية النبي صلّى اللّه عليه و آله،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قضاء رسول اللّه ان المعدن جبار و البئر جبار و العجماء جرحها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قضى ان الولد للفراش و للعاهر الحجر</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نصوصهم التي تنقل قاعدة الفراش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مثال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قصّة الطعن على معاوية على القائه الحديث المذكور في سلّة المهملات مشهورة، فان مطاعن الشخص المذكور و ان كان يصعب حصرها إلاّ ان أشهرها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حربه لأمير المؤمنين عليه السّلام، و قتله حجرا الذي هو من خيار أصحاب النبي صلّى اللّه عليه و آله، و استخلافه ولده من بعده، و استلحاقه زيادا بأبي سفيان هاجرا بذلك حكم النبي صلّى اللّه عليه و آله بكون الولد للفراش و للعاهر الحجر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يراد بهذا الحكم أن زيادا ولد زنا ليقال كيف اذن نصّبه أمير المؤمنين عليه السّلام فترة خلافته أميرا على بعض بلاد الإسلام الأمر الذي يستلزم امامته لجماعة المسلمين في صلاتهم التي لا تجوز لولد الزنا، كلا لا يراد الحكم بأنّه ولد زنا و لا يمكن الحاقه بأبي سفيان ما دام ولد زنا و انّما يراد ان يقال ان مقتضى قاعدة الفراش الحاقه بوالده و زوج امّه لأنّه صاحب الفراش دون من زنا بها كأبي سفيان فان ذلك خلاف القاعدة المذكورة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المذكور يقطع بصدوره عن النبي صلّى اللّه عليه و آله و لا حاجة للبحث عن سنده و ان كان تامّا أيضا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05" w:name="pg19669_189259"/>
    </w:p>
    <w:p>
      <w:pPr>
        <w:pStyle w:val="BookText"/>
        <w:rPr/>
      </w:pPr>
      <w:bookmarkEnd w:id="305"/>
      <w:r>
        <w:rPr>
          <w:rFonts w:ascii="Amiri" w:hAnsi="Amiri" w:eastAsia="Amiri" w:cs="Amiri"/>
          <w:color w:val="111111"/>
          <w:sz w:val="28"/>
          <w:sz w:val="28"/>
          <w:szCs w:val="28"/>
          <w:rtl w:val="true"/>
          <w:lang w:bidi="ar-SA"/>
        </w:rPr>
        <w:t>هذا هو المدرك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الاجماع فلا يمكن التمسك به بعد كونه مستندا للحديث المذكور كما هو واضح</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795044_2314609296"/>
      <w:bookmarkStart w:id="307" w:name="_Toc107"/>
      <w:bookmarkEnd w:id="306"/>
      <w:r>
        <w:rPr/>
        <w:t>3</w:t>
      </w:r>
      <w:r>
        <w:rPr>
          <w:rtl w:val="true"/>
        </w:rPr>
        <w:t xml:space="preserve"> - </w:t>
      </w:r>
      <w:r>
        <w:rPr>
          <w:rtl w:val="true"/>
        </w:rPr>
        <w:t>ألفاظ حديث الفراش و معناه</w:t>
      </w:r>
      <w:bookmarkEnd w:id="307"/>
    </w:p>
    <w:p>
      <w:pPr>
        <w:pStyle w:val="BookText"/>
        <w:rPr/>
      </w:pPr>
      <w:r>
        <w:rPr>
          <w:rFonts w:ascii="Amiri" w:hAnsi="Amiri" w:eastAsia="Amiri" w:cs="Amiri"/>
          <w:color w:val="111111"/>
          <w:sz w:val="28"/>
          <w:sz w:val="28"/>
          <w:szCs w:val="28"/>
          <w:rtl w:val="true"/>
          <w:lang w:bidi="ar-SA"/>
        </w:rPr>
        <w:t xml:space="preserve">تطلق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على المرأة باعتبار ان الرجل يفترشها و لكن المقصود منها في الحديث صاحب الفراش، و هو الزوج أو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العاهر هو الزاني من العهر بمعنى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ثبوت الحجر للعاهر الكناية عن الخيبة و عدم ثبوت شيء له، فان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له التراب أو الحجر تقصد بذلك الكناية عن خيبته و عدم ثبوت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يحتمل كون المقصود الكناية عن الرجم و انه في حالة الزنا و الشك في انتساب الولد يلحق بصاحب الفراش و الزاني يرجم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المعنى الأوّل أرجح باعتبار ان حكم الزاني ليس هو الرجم بالحجارة دائما بل يختص ذلك بما إذا كان محصنا، و اما غير المحصن فحكمه الجلد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795046_2314609296"/>
      <w:bookmarkStart w:id="309" w:name="_Toc108"/>
      <w:bookmarkEnd w:id="308"/>
      <w:r>
        <w:rPr/>
        <w:t>4</w:t>
      </w:r>
      <w:r>
        <w:rPr>
          <w:rtl w:val="true"/>
        </w:rPr>
        <w:t xml:space="preserve"> - </w:t>
      </w:r>
      <w:r>
        <w:rPr>
          <w:rtl w:val="true"/>
        </w:rPr>
        <w:t>بم يتحقق الفراش</w:t>
      </w:r>
      <w:bookmarkEnd w:id="3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كون المقصود من الفراش هو الزوج، و لكن بم يتحقق كونه فراشا و متى يصدق ذلك؟ فهل يكفي في تحقق ذلك مجرّد </w:t>
      </w:r>
    </w:p>
    <w:p>
      <w:pPr>
        <w:pStyle w:val="BookText"/>
        <w:rPr/>
      </w:pPr>
      <w:r>
        <w:rPr>
          <w:rFonts w:ascii="Amiri" w:hAnsi="Amiri" w:eastAsia="Amiri" w:cs="Amiri"/>
          <w:color w:val="111111"/>
          <w:sz w:val="28"/>
          <w:sz w:val="28"/>
          <w:szCs w:val="28"/>
          <w:rtl w:val="true"/>
          <w:lang w:bidi="ar-SA"/>
        </w:rPr>
        <w:t>تحقق العقد أو يلزم تحقق الدخول؟</w:t>
      </w:r>
    </w:p>
    <w:p>
      <w:pPr>
        <w:pStyle w:val="BookText"/>
        <w:rPr/>
      </w:pPr>
      <w:r>
        <w:rPr>
          <w:rFonts w:ascii="Amiri" w:hAnsi="Amiri" w:eastAsia="Amiri" w:cs="Amiri"/>
          <w:color w:val="111111"/>
          <w:sz w:val="28"/>
          <w:sz w:val="28"/>
          <w:szCs w:val="28"/>
          <w:rtl w:val="true"/>
          <w:lang w:bidi="ar-SA"/>
        </w:rPr>
        <w:t>ان في ذلك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بمجرّد العقد و ان لم يتحقق بعده الدخول، فنفس العقد بمجرده كاف في تحقق عنوان الفراش و يوجب الحاق الولد بالزوج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ذلك الى أبي حنيفة، فقد ذكر العيني في عمدة القارئ الذي هو شرح لصحيح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 أبو حنيفة فيما إذا عقد شخص على امرأة و طلّقها عقيب النكاح من غير امكان الوط‌ء فاتت بولد لستّة أشهر من وقت العقد حيث ألحقه بالزوج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جرت به عادة اللّه من ان الولد انّما يكون من ماء الرجل و المرأة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بالعقد و امكان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ينسب ذلك إلى الشافعي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بالعقد و الدخول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ذلك الى مذهب ابن تيمية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الأنسب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تحقّق الفراش على العقد و امكان تحقّق الحمل من الزوج، فلو فرض ان الزوج لم يدخل بزوجته و لكنه أراق منيّه على فرجها كفى ذلك في تحقق الفراش و الحاق الولد به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كلمة الفراش و ان كان يراد بها الزوج، و مقتضى اطلاق الحديث كفاية تحقق العقد في الالحاق بالزوج كما هو المنسوب إلى أبي حنيفة إلاّ ان من الواضح ان القاعدة المذكورة قاعدة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0" w:name="pg19669_189261"/>
    </w:p>
    <w:p>
      <w:pPr>
        <w:pStyle w:val="BookText"/>
        <w:rPr/>
      </w:pPr>
      <w:bookmarkEnd w:id="310"/>
      <w:r>
        <w:rPr>
          <w:rFonts w:ascii="Amiri" w:hAnsi="Amiri" w:eastAsia="Amiri" w:cs="Amiri"/>
          <w:color w:val="111111"/>
          <w:sz w:val="28"/>
          <w:sz w:val="28"/>
          <w:szCs w:val="28"/>
          <w:rtl w:val="true"/>
          <w:lang w:bidi="ar-SA"/>
        </w:rPr>
        <w:t xml:space="preserve">شرّعت في حالات الشك في الانتساب، إذ مع الجزم بالانتساب الى الزوج فلا معنى لأن يعبّدنا الشارع بالالحاق به لأنّه تعبّد بما هو معلوم بالوجدان، و هكذا لا معنى للتعبّد مع الجزم بعدم امكان الالتحاق بالزوج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في حبس أو مكان بعيد لا يمكن ان يصل معه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التعبّد بما يجزم ببطلانه، فانّه تعبّد مرفوض عقلا و عقلائيا فيتعيّن بذلك كون المقصود التعبّد بالالحاق بالزوج في الحالات التي يمكن فيها الانتساب إليه، و من الواضح أن إمكان الالتحاق بالزوج لا يكفي فيه مجرّد العقد كما لا يلزم فيه تحقق الدخول بل يكفي امكان حصول التلقيح من ماء الرجل و لو مع الجزم بعدم تحقّق الدخول</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795048_2314609296"/>
      <w:bookmarkStart w:id="312" w:name="_Toc109"/>
      <w:bookmarkEnd w:id="311"/>
      <w:r>
        <w:rPr/>
        <w:t>5</w:t>
      </w:r>
      <w:r>
        <w:rPr>
          <w:rtl w:val="true"/>
        </w:rPr>
        <w:t xml:space="preserve"> - </w:t>
      </w:r>
      <w:r>
        <w:rPr>
          <w:rtl w:val="true"/>
        </w:rPr>
        <w:t>مصاديق متعددة للفراش</w:t>
      </w:r>
      <w:bookmarkEnd w:id="312"/>
    </w:p>
    <w:p>
      <w:pPr>
        <w:pStyle w:val="BookText"/>
        <w:rPr/>
      </w:pPr>
      <w:r>
        <w:rPr>
          <w:rFonts w:ascii="Amiri" w:hAnsi="Amiri" w:eastAsia="Amiri" w:cs="Amiri"/>
          <w:color w:val="111111"/>
          <w:sz w:val="28"/>
          <w:sz w:val="28"/>
          <w:szCs w:val="28"/>
          <w:rtl w:val="true"/>
          <w:lang w:bidi="ar-SA"/>
        </w:rPr>
        <w:t>لا اشكال في تحقق الفراش بالعقد الدائم، و ذلك هو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ذلك هو المحقق الوحيد له بل يتحقق أيضا بالعقد المنقطع و بالملك، فان عنوان الفراش يصدق في الحالتين المذكورتين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صحيحة سعيد الأعرج المتقدّمة حيث دلّت على ان الجارية المملوكة لمولاها إذا وطئها اثنان في طهر و حملت كان الطفل لمولاها التي هي عنده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يكفي في تحقق الفراش تحليل المولى جاريته لشخص فترة؟ نعم ذلك وجيه باعتبار ان التحليل سبب لحلية الجارية كالعقد و الملك و لا فرق بينهما، فكما يتحقق الفراش و يصدق بهما كذلك يتحقق بالتحليل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تسأل عن وط‌ء الشبهة هل يكفي في تحقق عنوان الفراش؟</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يفرض ان المرأة لها زوج و وطئها فترة الزوجية شخص آخر شبهة، و اخرى يفترض عدم وجود زوج لها و وطئها شخصان أحدهما شبهة و الآخر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الحالة الاولى فالولد ملحق بالزوج دون الواطئ شبهة لأن عنوان الفراش صادق على الزوج دون الواطئ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الولد للفراش يريد الحاق الولد بالزوج في الحالات التي يكون فيها أمر الولد مرددا بين كونه متولّدا من الزوج أو متولّدا من الزنا و ليس بناظر لحالة دوران أمره بين كونه من الزوج أو من الواطئ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القرينة على نظر الحديث لما ذكر تعبيره في الجملة الثانية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المراد من العاهر خصوص الزاني و لا يعمّ الواطئ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 لكن المفهوم من الحديث ان الولد متى ما أمكن الحاقه بالفراش يلزم الحاقه به سواء كان المقابل هو احتمال التولد من الزاني أو احتمال تولده من الواطئ بالشبهة و لا يفهم العرف الخصوصية لكون الاحتمال المقابل هو التولد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الحالة الثانية فيمكن ان يقال بلزوم الاقتراع لتشخيص انتساب الولد لان احتمال تولده من كل منهما موجود، و عنوان الفراش لا يصدق على أحدهما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فرض صدق عنوان الفراش على الواطئ شبهة الحق به، كما لو فرض ان امرأة كان لها زوج فترة سنوات و بعد ذلك اتضح انّه </w:t>
      </w:r>
      <w:bookmarkStart w:id="313" w:name="pg19669_189263"/>
    </w:p>
    <w:p>
      <w:pPr>
        <w:pStyle w:val="BookText"/>
        <w:rPr/>
      </w:pPr>
      <w:bookmarkEnd w:id="313"/>
      <w:r>
        <w:rPr>
          <w:rFonts w:ascii="Amiri" w:hAnsi="Amiri" w:eastAsia="Amiri" w:cs="Amiri"/>
          <w:color w:val="111111"/>
          <w:sz w:val="28"/>
          <w:sz w:val="28"/>
          <w:szCs w:val="28"/>
          <w:rtl w:val="true"/>
          <w:lang w:bidi="ar-SA"/>
        </w:rPr>
        <w:t>اخوها من الرضاع فلا يبعد صدق عنوان الفراش عليه و يكون الولد ملحقا به عند زنا شخص بتلك المرأة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795050_2314609296"/>
      <w:bookmarkStart w:id="315" w:name="_Toc110"/>
      <w:bookmarkEnd w:id="314"/>
      <w:r>
        <w:rPr/>
        <w:t>6</w:t>
      </w:r>
      <w:r>
        <w:rPr>
          <w:rtl w:val="true"/>
        </w:rPr>
        <w:t xml:space="preserve"> - </w:t>
      </w:r>
      <w:r>
        <w:rPr>
          <w:rtl w:val="true"/>
        </w:rPr>
        <w:t>الدوران بين الفراشين</w:t>
      </w:r>
      <w:bookmarkEnd w:id="315"/>
    </w:p>
    <w:p>
      <w:pPr>
        <w:pStyle w:val="BookText"/>
        <w:rPr/>
      </w:pPr>
      <w:r>
        <w:rPr>
          <w:rFonts w:ascii="Amiri" w:hAnsi="Amiri" w:eastAsia="Amiri" w:cs="Amiri"/>
          <w:color w:val="111111"/>
          <w:sz w:val="28"/>
          <w:sz w:val="28"/>
          <w:szCs w:val="28"/>
          <w:rtl w:val="true"/>
          <w:lang w:bidi="ar-SA"/>
        </w:rPr>
        <w:t>إذا فرض ان امرأة طلّقها زوجها الأول و تزوجت بآخر بعد انتهاء العدة و ولدت طفلا بعد زواجها بالثاني فهل يلحق الطفل بزوجها الأوّل أو بزوجها الثاني؟ ان لذلك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امكان الحاقه بالأول و لا يمكن الحاقه بالثاني، كما إذا كانت ولادتها لأقل من ستة أشهر من حين وط‌ء الثاني مع عدم تجاوز أقصى فترة الحمل من حين وط‌ء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في مثل ذلك يلزم الحاقه بالأول لفرض عدم امكان الحاقه بغيره و يستكشف بطلان نكاح الثاني لوقوعه في العدة إذ تكون المرأة المذكورة حاملا من الأوّل حين تزوّجها بالثاني، و عدّة الحامل تنقضي بالولادة و من ثمّ يكون تزوجها بالثاني زواجا في العدة، و العقد على ذات العدّة مع الدخول موجب لحرمتها المؤبدة و لو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يمكن الحاقه بالأوّل بينما يمكن الحاقه بالثاني عكس الصورة السابقة، كما إذا فرض ان الولادة تحققت بعد مضي أقصى فترة الحمل من حين وط‌ء الأوّل، بينما يفترض الفترة من حين وط‌ء الثاني ليست أقل من فترة أقل الحمل و لا أكثر من فترة أقصى الحمل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ذلك يتعيّن الالحاق بالثاني بعد عدم امكان الالحاق بالاول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يمكن الحاقه باحدهما، كما إذا كانت الفترة بين الولادة و وط‌ء الأول أزيد من فترة أقصى الحمل و بينها و بين وط‌ء الثاني أنقص من فترة 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يكون منتفيا عنهما معا لعدم امكان الحاقه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يعني كونه من زنا لاحتمال دخول المني فيها بشكل آخر و هي لا تدري فتكون هي امّا له بلا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يفترض امكان الحاقه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يكون المناسب سقوط القاعدة في حقهما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يقال بالالحاق بالثاني لأن ظاهر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تابعا للفراش الفعلي، و حيث ان الفراش الفعلي هو الثاني فيلزم الالحاق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الظهور المذكور مسلّم إلاّ ان المدار في فعلية الفراش على فعليته حين تحقق الوط‌ء لا حين تحقق الولادة، و من الواضح انه في زمان وط‌ء الأوّل كان هو الفراش الفعلي و في زمان وط‌ء الثاني كان هو الفراش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فالالحاق بالثاني من هذه الجهة مشكل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الأنسب التمسك لذلك بموثق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جاءت بولد لستة أشهر فهو للأخير و ان كان لأقل من ستة أشهر فهو للأوّل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16" w:name="pg19669_189265"/>
    </w:p>
    <w:p>
      <w:pPr>
        <w:pStyle w:val="Heading3"/>
        <w:numPr>
          <w:ilvl w:val="2"/>
          <w:numId w:val="1"/>
        </w:numPr>
        <w:rPr/>
      </w:pPr>
      <w:bookmarkStart w:id="317" w:name="__RefHeading___Toc3795052_2314609296"/>
      <w:bookmarkStart w:id="318" w:name="_Toc111"/>
      <w:bookmarkEnd w:id="316"/>
      <w:bookmarkEnd w:id="317"/>
      <w:r>
        <w:rPr/>
        <w:t>7</w:t>
      </w:r>
      <w:r>
        <w:rPr>
          <w:rtl w:val="true"/>
        </w:rPr>
        <w:t xml:space="preserve"> - </w:t>
      </w:r>
      <w:r>
        <w:rPr>
          <w:rtl w:val="true"/>
        </w:rPr>
        <w:t>القيافة و قاعدة الفراش</w:t>
      </w:r>
      <w:bookmarkEnd w:id="318"/>
    </w:p>
    <w:p>
      <w:pPr>
        <w:pStyle w:val="BookText"/>
        <w:rPr/>
      </w:pPr>
      <w:r>
        <w:rPr>
          <w:rFonts w:ascii="Amiri" w:hAnsi="Amiri" w:eastAsia="Amiri" w:cs="Amiri"/>
          <w:color w:val="111111"/>
          <w:sz w:val="28"/>
          <w:sz w:val="28"/>
          <w:szCs w:val="28"/>
          <w:rtl w:val="true"/>
          <w:lang w:bidi="ar-SA"/>
        </w:rPr>
        <w:t>القيافة تعني ملاحظة وجوه الشبه بين اثنين في اليد أو الرجل و نحوهما ليحكم بأن هذا ابن ذاك أو أخوه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الفقهاء حرمتها فيما إذا قصد ترتيب أحكام النسب بعد ملاحظة وجوه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لإثبات حرمتها ان العمل على طبقها يستلزم طرح قاعدة الفراش التي جعلها الشارع الميزان الوحيد في الحكم بالنسب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توجد روايات قد يفهم منها جواز القيافة نذكر منها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قصة استسلام الامام الرضا عليه السّلام للقافة في قضية ولده الامام الجواد عليه السّلام، فقد روى الكليني عن 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عليه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لقد بغى عليه اخوته فقال علي بن جعفر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فاني لم أحضركم؟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امام قطّ حائل اللون؛ فقال لهم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قد قضى بالقافة فبيننا 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اليهم فامّا أنا فلا و لا تعلموهم لما دعوتموهم و لتكونوا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جاؤوا </w:t>
      </w:r>
    </w:p>
    <w:p>
      <w:pPr>
        <w:pStyle w:val="BookText"/>
        <w:rPr/>
      </w:pPr>
      <w:r>
        <w:rPr>
          <w:rFonts w:ascii="Amiri" w:hAnsi="Amiri" w:eastAsia="Amiri" w:cs="Amiri"/>
          <w:color w:val="111111"/>
          <w:sz w:val="28"/>
          <w:sz w:val="28"/>
          <w:szCs w:val="28"/>
          <w:rtl w:val="true"/>
          <w:lang w:bidi="ar-SA"/>
        </w:rPr>
        <w:t>أقعدونا في البستان و اصطفّ عمومته و اخوته و اخواته 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كأنّك تعمل فيه، ثم جاؤوا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أب و لكن هذا عمّ أبيه و هذا عمّ أبيه و هذا عمّه و هذه عمّته و ان يكن له هاهنا أب فهو صاحب البستان فان قدميه و قدميه واحدة 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هذا الخبر خالف صاحب الحدائق المشهور في مسألة القيافة و اختار جوازها باعتبار انّه عليه السّلام أجابهم إلى ما سألوا و لو كان ذلك محرّما لما أجابهم إلى ذلك، و كيف يجيب عليه السّلام الى محرم، مضافا الى انّهم نقلوا عن رسول اللّه صلّى اللّه عليه و آله قضاءه بالقافة و هو عليه السّلام لم يكذّبهم بل قررهم على ذلك</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كتب العامة مكرّرا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صلّى اللّه عليه و آله دخل عليّ مسرورا تبرق أسارير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ان مجزّزا نظر آنفا الى زيد بن حارثة و اسامة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هذه الأقدام لمن بعض</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الوجه في التشكيك في نسبة اسامة إلى زيد ان زيدا أبيضم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اللون بينما اسامة شديد السواد لأنّ امه أم أيمن كانت حبشية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استرّ النبيّ صلّى اللّه عليه و آله لأنّ شهادة مجزز القائف الذي كان يجزّ ناصية الاسراء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سمّي بمجزّز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السرور المذكور و ركونه صلّى اللّه عليه و آله الى شهادة القائف يدل على جواز القيافة و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الروايتين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الاولى فلأنّها ضعيفة بزكريا الصيرفي الراوي لها فانّه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مضمونها لا يمكن قبوله إذ كيف يحتمل وصول المستوى بأعمام الامام عليه السّلام و اخوته الى حدّ لا وازع لهم من ابراز مخدراتهم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النبوّة و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القائف ناظرا في أرجلهن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يحتمل ذلك في حق علي بن جعفر الذي كان يقدّس مقام الامامة إلى حدّ بعيد، فقد روى الكليني بسنده إلى محمّد بن الحسن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علي بن جعفر بن محمّد جالسا بالمدينة و كنت أقمت عنده سنتين أكتب عنه ما يسمع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أبو جعفر محمد بن علي الرضا عليه السّلام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علي بن جعفر بلا حذاء و لا رداء فقبّل يده و عظّمه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اجلس رحمك اللّه فقال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كيف أجلس و أنت قائم، فلما رجع علي بن جعفر الى مجلسه جعل أصحابه يوبّخونه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 أبيه و أنت تفعل به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اسكتوا إذا كان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يؤهّل هذه الشيبة و أهّل هذا الفتى و وضعه حيث وضعه انكر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w:t>
      </w:r>
      <w:bookmarkStart w:id="319" w:name="pg19669_189268"/>
    </w:p>
    <w:p>
      <w:pPr>
        <w:pStyle w:val="BookText"/>
        <w:rPr/>
      </w:pPr>
      <w:bookmarkEnd w:id="319"/>
      <w:r>
        <w:rPr>
          <w:rFonts w:ascii="IRNazanin" w:hAnsi="IRNazanin" w:eastAsia="IRNazanin"/>
          <w:color w:val="111111"/>
          <w:sz w:val="28"/>
          <w:sz w:val="28"/>
          <w:szCs w:val="28"/>
          <w:rtl w:val="true"/>
          <w:lang w:bidi="fa-IR"/>
        </w:rPr>
        <w:t>تقولون بل أنا له عبد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الرواية الثانية فلو ثبت صحّة سندها و فرض نزول تحريم القيافة تلك الفترة فيمكن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سرور النبي صلّى اللّه عليه و آله كان للنتائج التي توصّل اليها مجزز، و هي نفي التشكيك عن نسب اسامة و ذلك ليس فيه أي دلالة على امضاء القيافة و فعل القائف</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795054_2314609296"/>
      <w:bookmarkStart w:id="321" w:name="_Toc112"/>
      <w:bookmarkEnd w:id="320"/>
      <w:r>
        <w:rPr/>
        <w:t>8</w:t>
      </w:r>
      <w:r>
        <w:rPr>
          <w:rtl w:val="true"/>
        </w:rPr>
        <w:t xml:space="preserve"> - </w:t>
      </w:r>
      <w:r>
        <w:rPr>
          <w:rtl w:val="true"/>
        </w:rPr>
        <w:t>أبو حنيفة و بعض آرائه</w:t>
      </w:r>
      <w:bookmarkEnd w:id="321"/>
    </w:p>
    <w:p>
      <w:pPr>
        <w:pStyle w:val="BookText"/>
        <w:rPr/>
      </w:pPr>
      <w:r>
        <w:rPr>
          <w:rFonts w:ascii="Amiri" w:hAnsi="Amiri" w:eastAsia="Amiri" w:cs="Amiri"/>
          <w:color w:val="111111"/>
          <w:sz w:val="28"/>
          <w:sz w:val="28"/>
          <w:szCs w:val="28"/>
          <w:rtl w:val="true"/>
          <w:lang w:bidi="ar-SA"/>
        </w:rPr>
        <w:t>عرفنا فيما سبق ان قاعدة الفراش شرعت أمارة حالة الشك في الانتساب و لم تشرّع لإثبات الانتساب الى الزوج تعبّدا حتى مع الجزم بعدم الانتساب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المنسوب الى أبي حنيفة ان حيثية الفراش تتحقق بمجرّد العقد و لو لم يتحقق دخول و أنتج ذلك نتائج غريبة التزم بها و بنى عليها اشار الى بعضها ابن قدامة في المغني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الزوج غيبة طويلة و بلغ الزوجة خبر وفاته فاعتدت ثم تزوّجت بآخر و جاءت منه بأولاد ثم جاء زوجها الأول فالعقد الثاني باطل و يلحق الأولاد بالأول لأنّه صاحب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مشرقي بمغربية و لم يجتمعا أصلا و جاءت بولد لستة أشهر من حين العقد الحق بالزوج حتى لو طلّقها عقيب العقد بلا فاصل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رجلان اختين و زفت كل واحدة الى زوج الاخرى </w:t>
      </w:r>
      <w:bookmarkStart w:id="322" w:name="pg19669_189269"/>
    </w:p>
    <w:p>
      <w:pPr>
        <w:pStyle w:val="BookText"/>
        <w:rPr/>
      </w:pPr>
      <w:bookmarkEnd w:id="322"/>
      <w:r>
        <w:rPr>
          <w:rFonts w:ascii="Amiri" w:hAnsi="Amiri" w:eastAsia="Amiri" w:cs="Amiri"/>
          <w:color w:val="111111"/>
          <w:sz w:val="28"/>
          <w:sz w:val="28"/>
          <w:szCs w:val="28"/>
          <w:rtl w:val="true"/>
          <w:lang w:bidi="ar-SA"/>
        </w:rPr>
        <w:t>اشتباها و وطئ كلّ منهما من زفّت إليه و حملت فالولد للزوج الأصلي تطبيقا لقاعدة الفراش</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الانتهاء الى مثل هذه النتائج ليس بغريب بعد ما نقل ابن حزم في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عجائب الدنيا ابطال أبي حنيفة الحج بوط‌ء الرجل امرأته ناسيا لإحرامه و قد صح ان اللّه تعالى لا يؤاخذ بالنسيان ثم لا يبطل الحج بتعهد القصد إلى ان يلوط في احرامه أو يلاط به، فهل في الفضائح و القبائح أكثر من هذه المعصية و أعجب شيء دعواهم الاجماع عليه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فتواه في عدم لزوم قتل اللائط متأوّلا في ذلك الأحاديث الدالّة على لزوم قتل الفاعل و المفعول به بحملها على المستحل أو على أمر سياسي قد تناقلتها كتب علماء الحنفية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3795056_2314609296"/>
      <w:bookmarkStart w:id="324" w:name="_Toc113"/>
      <w:bookmarkEnd w:id="323"/>
      <w:r>
        <w:rPr/>
        <w:t>9</w:t>
      </w:r>
      <w:r>
        <w:rPr>
          <w:rtl w:val="true"/>
        </w:rPr>
        <w:t xml:space="preserve"> - </w:t>
      </w:r>
      <w:r>
        <w:rPr>
          <w:rtl w:val="true"/>
        </w:rPr>
        <w:t>تطبيقات</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متزوجة زنا بها شخص و ولدت طفلا يشابه الزاني تماما و اجريت الفحوصات و تحاليل الدم فلوحظ الشبه الكامل في الدم و غيره بين الزاني و الطفل فبمن يلحق؟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لها زوج لا ينجب زرّقت بحيامن شخص آخر و حملت بمن يلحق الطفل؟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لم يجامع زوجته من القبل و زرّقت لها حيامن شخص آخر أو زنا بها آخر و حملت بمن يلحق الحمل؟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كان يجامع زوجته عازلا عنها المني أو كان يستعمل الكيس أو تتناول هي الاقراص و حملت فلمن الحمل بعد افتراض ان شخصا زنا بها أو وطئها شبهة؟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أجرى لنفسه عملية جراحية منعته بعد ذلك من الانجاب فلو حملت زوجته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زنا شخص آخر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يلحق الطفل؟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شخصان بالشبهة امرأة فولدت فبمن يلحق الطفل؟</w:t>
      </w:r>
    </w:p>
    <w:p>
      <w:pPr>
        <w:pStyle w:val="BookText"/>
        <w:rPr/>
      </w:pPr>
      <w:r>
        <w:rPr>
          <w:rFonts w:ascii="Amiri" w:hAnsi="Amiri" w:eastAsia="Amiri" w:cs="Amiri"/>
          <w:color w:val="111111"/>
          <w:sz w:val="28"/>
          <w:sz w:val="28"/>
          <w:szCs w:val="28"/>
          <w:rtl w:val="true"/>
          <w:lang w:bidi="ar-SA"/>
        </w:rPr>
        <w:t xml:space="preserve">تمّ بتوفيق اللّه سبحانه مراجعة كتابنا المذكور في مدينة قم المقدّسة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تعالى أن يتقبّل ذلك منّا بلطفه و كرمه انّه الجواد الكريم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مباني العروة الوثقى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الدعوى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الطبع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 على وزن عنبة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الاستخارة و ما يناسبها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175:12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في 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يعارض استصحاب عدم اصابة النجاسة للثوب باستصحاب بقاء النجاسة في رجل الحيوان إلى حين الاصابة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الجزء الأوّل من التهذيب حديث رقم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 التهذيب، الجزء الثاني حديث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و التهذيب، الجزء الثالث حديث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المطلقة بطلاق فاقد للشرائط الشرعية اللازمة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الاجداد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و الاجداد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705:2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آل البيت عليهم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524:14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التقييد في منهاج الصالحين للسيّد الخوئي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اذا تشيّعت لا نعرف له وجها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عصبة الرجل بالتحريك جمع عاصب ككفرة جمع كافر، و هم بنوه و قرابته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سمّوا عصبة لأنّهم عصبوا به، أي أحاطوا به، فالأب طرف، و الابن طرف و الأخ جانب و العم جانب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أحمد بن محمد بن عيسى الأشعري الثقة الجليل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 بفتح الصاد و 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يجد البرد سريعا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الكليني رواها عن شيخه علي بن محمد عن عبد اللّه بن إسحاق العلوي عن الحسن بن علي عن محمد بن سليمان الديلمي عن عيثم بن أسلم النجاشي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الكل مجاهيل ما عدا علي بن محمد و أبي بصير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الشيخ الطوسي رواها بسنده عن الحسن بن علي عن محمد بن عبد اللّه بن هلال عن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عبد اللّه بن هلال مجهول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218:22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الأعظم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دار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للشيخ الآخوند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للشيخ الايرواني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الحديث في الجزء الأول عند البحث عن قاعدة لا ضرر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لا بدّ من افتراض ذلك في غير الصلاة إذ الصلاة لا اشكال في عدم سقوط وجوبها بتعذّر بعض أجزائها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العائدة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المضمون المذكور في رواية واحدة و هي صحيحة زرارة الواردة في المستحاضة حيث قال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تصلي و لا تدع الصلاة على حال فان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عماد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قاعدة الميسور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صحيح الترمذي بشرح ابن العربي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سنن أبي داود السجستاني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الاولى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الوصايا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السباب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منشورات دار الحكمة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الحكمة،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كتاب النكاح، فصل نكاح العبيد و الاماء،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في هامش الجواهر ذلك عن حاشية الارشاد للمحقق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قال يرجع المغرور بالمهر على الذي غرّه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 التدليس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للسيد البجنوردي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للشيخ ناصر مكارم الشيرازي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شيئا ملك الاقرار به الملحقة بآخر المكاسب للشيخ الأنصاري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الملحقة في آخر المكاسب للشيخ الأنصاري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شيئا ملك الاقرار به الملحقة بآخر المكاسب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الاقرار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الاقرار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للسيد البجنوردي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الوديعة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من ملك الملحقة بآخر المكاسب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الاماء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1407:23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الأنسب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تكون منصوبة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الرضاع،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توقي الشبهات،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لشيخ الشريعة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متفرقة عن معاوية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 من قبل محمّد أبي الفضل إبراهيم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110:11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على هامش شرح الزرقاني لابن القيم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الرضاع حديث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باب القائف من كتاب الفرائض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داود السجستاني في كتاب الطلاق من سننه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 الرائق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فتح القدير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و بدائع الصنائع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 الميزان للشعراني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image" Target="media/image2.jpeg"/><Relationship Id="rId208" Type="http://schemas.openxmlformats.org/officeDocument/2006/relationships/image" Target="media/image2.jpeg"/><Relationship Id="rId209" Type="http://schemas.openxmlformats.org/officeDocument/2006/relationships/footer" Target="footer202.xml"/><Relationship Id="rId210" Type="http://schemas.openxmlformats.org/officeDocument/2006/relationships/footnotes" Target="footnotes.xml"/><Relationship Id="rId211" Type="http://schemas.openxmlformats.org/officeDocument/2006/relationships/numbering" Target="numbering.xml"/><Relationship Id="rId212" Type="http://schemas.openxmlformats.org/officeDocument/2006/relationships/fontTable" Target="fontTable.xml"/><Relationship Id="rId213" Type="http://schemas.openxmlformats.org/officeDocument/2006/relationships/settings" Target="settings.xml"/><Relationship Id="rId2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35579</Words>
  <Characters>144428</Characters>
  <CharactersWithSpaces>178679</CharactersWithSpaces>
  <Paragraphs>1794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2026-08-26T01:58:56Z</dcterms:created>
  <dc:creator>ghaemiyeh.com</dc:creator>
  <dc:description/>
  <dc:language>en-US</dc:language>
  <cp:lastModifiedBy/>
  <dcterms:modified xsi:type="dcterms:W3CDTF">2026-08-26T05:30:01Z</dcterms:modified>
  <cp:revision>1</cp:revision>
  <dc:subject/>
  <dc:title>دروس تمهیدیه فی القواعد الفقهیه جلد 2</dc:title>
</cp:coreProperties>
</file>

<file path=docProps/custom.xml><?xml version="1.0" encoding="utf-8"?>
<Properties xmlns="http://schemas.openxmlformats.org/officeDocument/2006/custom-properties" xmlns:vt="http://schemas.openxmlformats.org/officeDocument/2006/docPropsVTypes"/>
</file>