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قاعده نفی الضرر و الاجتهاد و التقلید مقالات الاصول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5334_231460929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25336_231460929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25338_2314609296">
            <w:r>
              <w:rPr>
                <w:webHidden/>
                <w:rStyle w:val="IndexLink"/>
                <w:rtl w:val="true"/>
              </w:rPr>
              <w:t>الجزء الثاني</w:t>
            </w:r>
            <w:r>
              <w:rPr>
                <w:rStyle w:val="IndexLink"/>
                <w:rtl w:val="true"/>
              </w:rPr>
              <w:tab/>
            </w:r>
            <w:r>
              <w:rPr>
                <w:rStyle w:val="IndexLink"/>
              </w:rPr>
              <w:t>5</w:t>
            </w:r>
          </w:hyperlink>
        </w:p>
        <w:p>
          <w:pPr>
            <w:pStyle w:val="Contents3"/>
            <w:tabs>
              <w:tab w:val="clear" w:pos="8459"/>
              <w:tab w:val="right" w:pos="9026" w:leader="dot"/>
            </w:tabs>
            <w:rPr/>
          </w:pPr>
          <w:hyperlink w:anchor="__RefHeading___Toc1625340_2314609296">
            <w:r>
              <w:rPr>
                <w:webHidden/>
                <w:rStyle w:val="IndexLink"/>
                <w:rtl w:val="true"/>
              </w:rPr>
              <w:t>المقالة الثّالثة و العشرون قاعدة نفي الضّرر</w:t>
            </w:r>
            <w:r>
              <w:rPr>
                <w:rStyle w:val="IndexLink"/>
                <w:rtl w:val="true"/>
              </w:rPr>
              <w:tab/>
            </w:r>
            <w:r>
              <w:rPr>
                <w:rStyle w:val="IndexLink"/>
              </w:rPr>
              <w:t>5</w:t>
            </w:r>
          </w:hyperlink>
        </w:p>
        <w:p>
          <w:pPr>
            <w:pStyle w:val="Contents4"/>
            <w:tabs>
              <w:tab w:val="clear" w:pos="8176"/>
              <w:tab w:val="right" w:pos="9026" w:leader="dot"/>
            </w:tabs>
            <w:rPr/>
          </w:pPr>
          <w:hyperlink w:anchor="__RefHeading___Toc1625342_2314609296">
            <w:r>
              <w:rPr>
                <w:webHidden/>
                <w:rStyle w:val="IndexLink"/>
                <w:rtl w:val="true"/>
              </w:rPr>
              <w:t>اشارة</w:t>
            </w:r>
            <w:r>
              <w:rPr>
                <w:rStyle w:val="IndexLink"/>
                <w:rtl w:val="true"/>
              </w:rPr>
              <w:tab/>
            </w:r>
            <w:r>
              <w:rPr>
                <w:rStyle w:val="IndexLink"/>
              </w:rPr>
              <w:t>5</w:t>
            </w:r>
          </w:hyperlink>
        </w:p>
        <w:p>
          <w:pPr>
            <w:pStyle w:val="Contents4"/>
            <w:tabs>
              <w:tab w:val="clear" w:pos="8176"/>
              <w:tab w:val="right" w:pos="9026" w:leader="dot"/>
            </w:tabs>
            <w:rPr/>
          </w:pPr>
          <w:hyperlink w:anchor="__RefHeading___Toc1625344_2314609296">
            <w:r>
              <w:rPr>
                <w:webHidden/>
                <w:rStyle w:val="IndexLink"/>
                <w:rtl w:val="true"/>
              </w:rPr>
              <w:t>المقام الأوّل</w:t>
            </w:r>
            <w:r>
              <w:rPr>
                <w:rStyle w:val="IndexLink"/>
                <w:rtl w:val="true"/>
              </w:rPr>
              <w:t xml:space="preserve">: </w:t>
            </w:r>
            <w:r>
              <w:rPr>
                <w:rStyle w:val="IndexLink"/>
                <w:rtl w:val="true"/>
              </w:rPr>
              <w:t>إنّ الضرر ضد النفع</w:t>
            </w:r>
            <w:r>
              <w:rPr>
                <w:rStyle w:val="IndexLink"/>
                <w:rtl w:val="true"/>
              </w:rPr>
              <w:tab/>
            </w:r>
            <w:r>
              <w:rPr>
                <w:rStyle w:val="IndexLink"/>
              </w:rPr>
              <w:t>6</w:t>
            </w:r>
          </w:hyperlink>
        </w:p>
        <w:p>
          <w:pPr>
            <w:pStyle w:val="Contents4"/>
            <w:tabs>
              <w:tab w:val="clear" w:pos="8176"/>
              <w:tab w:val="right" w:pos="9026" w:leader="dot"/>
            </w:tabs>
            <w:rPr/>
          </w:pPr>
          <w:hyperlink w:anchor="__RefHeading___Toc1625346_2314609296">
            <w:r>
              <w:rPr>
                <w:webHidden/>
                <w:rStyle w:val="IndexLink"/>
                <w:rtl w:val="true"/>
              </w:rPr>
              <w:t>المقام الثاني</w:t>
            </w:r>
            <w:r>
              <w:rPr>
                <w:rStyle w:val="IndexLink"/>
                <w:rtl w:val="true"/>
              </w:rPr>
              <w:t xml:space="preserve">: </w:t>
            </w:r>
            <w:r>
              <w:rPr>
                <w:rStyle w:val="IndexLink"/>
                <w:rtl w:val="true"/>
              </w:rPr>
              <w:t>بيان مدركها</w:t>
            </w:r>
            <w:r>
              <w:rPr>
                <w:rStyle w:val="IndexLink"/>
                <w:rtl w:val="true"/>
              </w:rPr>
              <w:tab/>
            </w:r>
            <w:r>
              <w:rPr>
                <w:rStyle w:val="IndexLink"/>
              </w:rPr>
              <w:t>7</w:t>
            </w:r>
          </w:hyperlink>
        </w:p>
        <w:p>
          <w:pPr>
            <w:pStyle w:val="Contents4"/>
            <w:tabs>
              <w:tab w:val="clear" w:pos="8176"/>
              <w:tab w:val="right" w:pos="9026" w:leader="dot"/>
            </w:tabs>
            <w:rPr/>
          </w:pPr>
          <w:hyperlink w:anchor="__RefHeading___Toc1625348_2314609296">
            <w:r>
              <w:rPr>
                <w:webHidden/>
                <w:rStyle w:val="IndexLink"/>
                <w:rtl w:val="true"/>
              </w:rPr>
              <w:t>[</w:t>
            </w:r>
            <w:r>
              <w:rPr>
                <w:rStyle w:val="IndexLink"/>
                <w:rtl w:val="true"/>
              </w:rPr>
              <w:t>تنبيهات</w:t>
            </w:r>
            <w:r>
              <w:rPr>
                <w:rStyle w:val="IndexLink"/>
                <w:rtl w:val="true"/>
              </w:rPr>
              <w:t>]</w:t>
              <w:tab/>
            </w:r>
            <w:r>
              <w:rPr>
                <w:rStyle w:val="IndexLink"/>
              </w:rPr>
              <w:t>29</w:t>
            </w:r>
          </w:hyperlink>
        </w:p>
        <w:p>
          <w:pPr>
            <w:pStyle w:val="Contents5"/>
            <w:tabs>
              <w:tab w:val="clear" w:pos="7892"/>
              <w:tab w:val="right" w:pos="9026" w:leader="dot"/>
            </w:tabs>
            <w:rPr/>
          </w:pPr>
          <w:hyperlink w:anchor="__RefHeading___Toc1625350_2314609296">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1625352_2314609296">
            <w:r>
              <w:rPr>
                <w:webHidden/>
                <w:rStyle w:val="IndexLink"/>
                <w:rtl w:val="true"/>
              </w:rPr>
              <w:t>[</w:t>
            </w:r>
            <w:r>
              <w:rPr>
                <w:rStyle w:val="IndexLink"/>
                <w:rtl w:val="true"/>
              </w:rPr>
              <w:t>اختصاص القاعدة بحال الجهل بالضرر</w:t>
            </w:r>
            <w:r>
              <w:rPr>
                <w:rStyle w:val="IndexLink"/>
                <w:rtl w:val="true"/>
              </w:rPr>
              <w:t>]</w:t>
              <w:tab/>
            </w:r>
            <w:r>
              <w:rPr>
                <w:rStyle w:val="IndexLink"/>
              </w:rPr>
              <w:t>29</w:t>
            </w:r>
          </w:hyperlink>
        </w:p>
        <w:p>
          <w:pPr>
            <w:pStyle w:val="Contents5"/>
            <w:tabs>
              <w:tab w:val="clear" w:pos="7892"/>
              <w:tab w:val="right" w:pos="9026" w:leader="dot"/>
            </w:tabs>
            <w:rPr/>
          </w:pPr>
          <w:hyperlink w:anchor="__RefHeading___Toc1625354_2314609296">
            <w:r>
              <w:rPr>
                <w:webHidden/>
                <w:rStyle w:val="IndexLink"/>
                <w:rtl w:val="true"/>
              </w:rPr>
              <w:t>[</w:t>
            </w:r>
            <w:r>
              <w:rPr>
                <w:rStyle w:val="IndexLink"/>
                <w:rtl w:val="true"/>
              </w:rPr>
              <w:t>هل الضرر المنفي هو النوعي أو الشخصي؟</w:t>
            </w:r>
            <w:r>
              <w:rPr>
                <w:rStyle w:val="IndexLink"/>
                <w:rtl w:val="true"/>
              </w:rPr>
              <w:t>]</w:t>
              <w:tab/>
            </w:r>
            <w:r>
              <w:rPr>
                <w:rStyle w:val="IndexLink"/>
              </w:rPr>
              <w:t>33</w:t>
            </w:r>
          </w:hyperlink>
        </w:p>
        <w:p>
          <w:pPr>
            <w:pStyle w:val="Contents5"/>
            <w:tabs>
              <w:tab w:val="clear" w:pos="7892"/>
              <w:tab w:val="right" w:pos="9026" w:leader="dot"/>
            </w:tabs>
            <w:rPr/>
          </w:pPr>
          <w:hyperlink w:anchor="__RefHeading___Toc1625356_2314609296">
            <w:r>
              <w:rPr>
                <w:webHidden/>
                <w:rStyle w:val="IndexLink"/>
                <w:rtl w:val="true"/>
              </w:rPr>
              <w:t>[</w:t>
            </w:r>
            <w:r>
              <w:rPr>
                <w:rStyle w:val="IndexLink"/>
                <w:rtl w:val="true"/>
              </w:rPr>
              <w:t>الشك في الضرر شبهة مصداقية</w:t>
            </w:r>
            <w:r>
              <w:rPr>
                <w:rStyle w:val="IndexLink"/>
                <w:rtl w:val="true"/>
              </w:rPr>
              <w:t>]</w:t>
              <w:tab/>
            </w:r>
            <w:r>
              <w:rPr>
                <w:rStyle w:val="IndexLink"/>
              </w:rPr>
              <w:t>34</w:t>
            </w:r>
          </w:hyperlink>
        </w:p>
        <w:p>
          <w:pPr>
            <w:pStyle w:val="Contents3"/>
            <w:tabs>
              <w:tab w:val="clear" w:pos="8459"/>
              <w:tab w:val="right" w:pos="9026" w:leader="dot"/>
            </w:tabs>
            <w:rPr/>
          </w:pPr>
          <w:hyperlink w:anchor="__RefHeading___Toc1625358_2314609296">
            <w:r>
              <w:rPr>
                <w:webHidden/>
                <w:rStyle w:val="IndexLink"/>
                <w:rtl w:val="true"/>
              </w:rPr>
              <w:t>خاتمة في الاجتهاد و التّقليد</w:t>
            </w:r>
            <w:r>
              <w:rPr>
                <w:rStyle w:val="IndexLink"/>
                <w:rtl w:val="true"/>
              </w:rPr>
              <w:tab/>
            </w:r>
            <w:r>
              <w:rPr>
                <w:rStyle w:val="IndexLink"/>
              </w:rPr>
              <w:t>36</w:t>
            </w:r>
          </w:hyperlink>
        </w:p>
        <w:p>
          <w:pPr>
            <w:pStyle w:val="Contents4"/>
            <w:tabs>
              <w:tab w:val="clear" w:pos="8176"/>
              <w:tab w:val="right" w:pos="9026" w:leader="dot"/>
            </w:tabs>
            <w:rPr/>
          </w:pPr>
          <w:hyperlink w:anchor="__RefHeading___Toc1625360_2314609296">
            <w:r>
              <w:rPr>
                <w:webHidden/>
                <w:rStyle w:val="IndexLink"/>
                <w:rtl w:val="true"/>
              </w:rPr>
              <w:t>المقالة السّادسة و العشرون الاجتهاد</w:t>
            </w:r>
            <w:r>
              <w:rPr>
                <w:rStyle w:val="IndexLink"/>
                <w:rtl w:val="true"/>
              </w:rPr>
              <w:tab/>
            </w:r>
            <w:r>
              <w:rPr>
                <w:rStyle w:val="IndexLink"/>
              </w:rPr>
              <w:t>36</w:t>
            </w:r>
          </w:hyperlink>
        </w:p>
        <w:p>
          <w:pPr>
            <w:pStyle w:val="Contents4"/>
            <w:tabs>
              <w:tab w:val="clear" w:pos="8176"/>
              <w:tab w:val="right" w:pos="9026" w:leader="dot"/>
            </w:tabs>
            <w:rPr/>
          </w:pPr>
          <w:hyperlink w:anchor="__RefHeading___Toc1625362_2314609296">
            <w:r>
              <w:rPr>
                <w:webHidden/>
                <w:rStyle w:val="IndexLink"/>
                <w:rtl w:val="true"/>
              </w:rPr>
              <w:t>المقالة السّابعة و العشرون التّقليد</w:t>
            </w:r>
            <w:r>
              <w:rPr>
                <w:rStyle w:val="IndexLink"/>
                <w:rtl w:val="true"/>
              </w:rPr>
              <w:tab/>
            </w:r>
            <w:r>
              <w:rPr>
                <w:rStyle w:val="IndexLink"/>
              </w:rPr>
              <w:t>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55_210679"/>
      <w:bookmarkStart w:id="1" w:name="pg19655_210679"/>
      <w:bookmarkEnd w:id="1"/>
    </w:p>
    <w:p>
      <w:pPr>
        <w:pStyle w:val="Heading2"/>
        <w:numPr>
          <w:ilvl w:val="1"/>
          <w:numId w:val="1"/>
        </w:numPr>
        <w:rPr/>
      </w:pPr>
      <w:bookmarkStart w:id="2" w:name="pg19655_210679"/>
      <w:bookmarkStart w:id="3" w:name="__RefHeading___Toc1625334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نفي الضرر و الاجتهاد و 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و قواعد فقهى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عراقى، آقا ضياء الدين، على كزازى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الفكر الإسلامي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منذر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مجتبى محمودى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لا ضرر و اجتهاد و تقليد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5336_2314609296"/>
      <w:bookmarkStart w:id="6" w:name="_Toc2"/>
      <w:bookmarkEnd w:id="5"/>
      <w:r>
        <w:rPr>
          <w:rtl w:val="true"/>
        </w:rPr>
        <w:t>اشارة</w:t>
      </w:r>
      <w:bookmarkStart w:id="7" w:name="pg19655_210978"/>
      <w:bookmarkEnd w:id="6"/>
    </w:p>
    <w:p>
      <w:pPr>
        <w:pStyle w:val="Heading2"/>
        <w:numPr>
          <w:ilvl w:val="1"/>
          <w:numId w:val="1"/>
        </w:numPr>
        <w:rPr/>
      </w:pPr>
      <w:bookmarkStart w:id="8" w:name="__RefHeading___Toc1625338_2314609296"/>
      <w:bookmarkStart w:id="9" w:name="_Toc3"/>
      <w:bookmarkEnd w:id="7"/>
      <w:bookmarkEnd w:id="8"/>
      <w:r>
        <w:rPr>
          <w:rtl w:val="true"/>
        </w:rPr>
        <w:t>الجزء الثاني</w:t>
      </w:r>
      <w:bookmarkEnd w:id="9"/>
    </w:p>
    <w:p>
      <w:pPr>
        <w:pStyle w:val="Heading3"/>
        <w:numPr>
          <w:ilvl w:val="2"/>
          <w:numId w:val="1"/>
        </w:numPr>
        <w:rPr/>
      </w:pPr>
      <w:bookmarkStart w:id="10" w:name="__RefHeading___Toc1625340_2314609296"/>
      <w:bookmarkStart w:id="11" w:name="_Toc4"/>
      <w:bookmarkEnd w:id="10"/>
      <w:r>
        <w:rPr>
          <w:rtl w:val="true"/>
        </w:rPr>
        <w:t>المقالة الثّالثة و العشرون قاعدة نفي الضّرر</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 w:name="__RefHeading___Toc1625342_2314609296"/>
      <w:bookmarkStart w:id="13" w:name="_Toc5"/>
      <w:bookmarkEnd w:id="12"/>
      <w:r>
        <w:rPr>
          <w:rtl w:val="true"/>
        </w:rPr>
        <w:t>اشارة</w:t>
      </w:r>
      <w:bookmarkStart w:id="14" w:name="pg19655_210979"/>
      <w:bookmarkEnd w:id="13"/>
    </w:p>
    <w:p>
      <w:pPr>
        <w:pStyle w:val="BookText"/>
        <w:rPr/>
      </w:pPr>
      <w:bookmarkEnd w:id="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الثالثة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في ألسن الفقهاء تمسّكهم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في كثير من الموارد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المعاصرين من القواعد المسلّمة الفقهيّة كسائر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فلذا ينبغي تنقيح الكلام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جهات كي ينكشف الظلام عن وجه الأوهام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مقامات</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1625344_2314609296"/>
      <w:bookmarkStart w:id="16" w:name="_Toc6"/>
      <w:bookmarkEnd w:id="15"/>
      <w:r>
        <w:rPr>
          <w:rtl w:val="true"/>
        </w:rPr>
        <w:t>المقام الأوّل</w:t>
      </w:r>
      <w:r>
        <w:rPr>
          <w:rtl w:val="true"/>
        </w:rPr>
        <w:t xml:space="preserve">: </w:t>
      </w:r>
      <w:r>
        <w:rPr>
          <w:rtl w:val="true"/>
        </w:rPr>
        <w:t>إنّ الضرر ضد النفع</w:t>
      </w:r>
      <w:bookmarkEnd w:id="16"/>
    </w:p>
    <w:p>
      <w:pPr>
        <w:pStyle w:val="BookText"/>
        <w:rPr/>
      </w:pPr>
      <w:r>
        <w:rPr>
          <w:rFonts w:ascii="Amiri" w:hAnsi="Amiri" w:eastAsia="Amiri" w:cs="Amiri"/>
          <w:color w:val="111111"/>
          <w:sz w:val="28"/>
          <w:sz w:val="28"/>
          <w:szCs w:val="28"/>
          <w:rtl w:val="true"/>
          <w:lang w:bidi="ar-SA"/>
        </w:rPr>
        <w:t>، و تقابلهما من قبيل العدم و الملكة، فلا يصلح إطلاق الضرر إلاّ في مورد قابل لإطلاق النفع في 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فبالنسبة إلى نقص الانتفاع من المباحات الأصليّة لا يطلق عليه الضرر، بل الضرر نحو نقص له مساس إلى الشخص حقّا أو مالا أو بدنا أو عرضا أو 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 مورد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مساس بالمباحات الأصليّة فيصدق بالنسبة إليه أيضا النفع و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مرجع الضرر إلى النقص من جهة راجعة إلى الشخص، كما أنّ مرجع النفع إلى زيادة كذلك</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الضرار فهو مصدر باب المفاعلة، و أريد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الضرر، كما يشهد له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رجل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أيضا المطالب و المسافر و المحامي حيث استعملت الهيئة في تكرار المبدأ و امتداده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يتحقّق</w:t>
      </w:r>
      <w:bookmarkStart w:id="17" w:name="pg19655_210980"/>
    </w:p>
    <w:p>
      <w:pPr>
        <w:pStyle w:val="BookText"/>
        <w:rPr/>
      </w:pPr>
      <w:bookmarkEnd w:id="17"/>
      <w:r>
        <w:rPr>
          <w:rFonts w:ascii="Amiri" w:hAnsi="Amiri" w:eastAsia="Amiri" w:cs="Amiri"/>
          <w:color w:val="111111"/>
          <w:sz w:val="28"/>
          <w:sz w:val="28"/>
          <w:szCs w:val="28"/>
          <w:rtl w:val="true"/>
          <w:lang w:bidi="ar-SA"/>
        </w:rPr>
        <w:t>التكرار بين اثنين فتستعمل هذه الهيئة فيما بينهما، و لكن لا اختصاص لذلك به، كما توهّم</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1625346_2314609296"/>
      <w:bookmarkStart w:id="19" w:name="_Toc7"/>
      <w:bookmarkEnd w:id="18"/>
      <w:r>
        <w:rPr>
          <w:rtl w:val="true"/>
        </w:rPr>
        <w:t>المقام الثاني</w:t>
      </w:r>
      <w:r>
        <w:rPr>
          <w:rtl w:val="true"/>
        </w:rPr>
        <w:t xml:space="preserve">: </w:t>
      </w:r>
      <w:r>
        <w:rPr>
          <w:rtl w:val="true"/>
        </w:rPr>
        <w:t>بيان مدركها</w:t>
      </w:r>
      <w:bookmarkEnd w:id="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أخبار عديدة واردة في موارد عديدة، من جملتها ما في موثّقة زرارة المشتملة على قضية سمرة </w:t>
      </w:r>
      <w:r>
        <w:rPr>
          <w:rStyle w:val="FootnoteAnchor"/>
          <w:rtl w:val="true"/>
        </w:rPr>
        <w:footnoteReference w:id="2"/>
      </w:r>
      <w:r>
        <w:rPr>
          <w:rFonts w:ascii="Amiri" w:hAnsi="Amiri" w:eastAsia="Amiri" w:cs="Amiri"/>
          <w:color w:val="111111"/>
          <w:sz w:val="28"/>
          <w:sz w:val="28"/>
          <w:szCs w:val="28"/>
          <w:rtl w:val="true"/>
          <w:lang w:bidi="ar-SA"/>
        </w:rPr>
        <w:t xml:space="preserve">، و ما في ذيل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الماء</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 ما في ذيل نص الجار </w:t>
      </w:r>
      <w:r>
        <w:rPr>
          <w:rStyle w:val="FootnoteAnchor"/>
          <w:rtl w:val="true"/>
        </w:rPr>
        <w:footnoteReference w:id="4"/>
      </w:r>
      <w:r>
        <w:rPr>
          <w:rFonts w:ascii="Amiri" w:hAnsi="Amiri" w:eastAsia="Amiri" w:cs="Amiri"/>
          <w:color w:val="111111"/>
          <w:sz w:val="28"/>
          <w:sz w:val="28"/>
          <w:szCs w:val="28"/>
          <w:rtl w:val="true"/>
          <w:lang w:bidi="ar-SA"/>
        </w:rPr>
        <w:t xml:space="preserve">، و خبر الشركة في رأس البعير </w:t>
      </w:r>
      <w:r>
        <w:rPr>
          <w:rStyle w:val="FootnoteAnchor"/>
          <w:rtl w:val="true"/>
        </w:rPr>
        <w:footnoteReference w:id="5"/>
      </w:r>
      <w:r>
        <w:rPr>
          <w:rFonts w:ascii="Amiri" w:hAnsi="Amiri" w:eastAsia="Amiri" w:cs="Amiri"/>
          <w:color w:val="111111"/>
          <w:sz w:val="28"/>
          <w:sz w:val="28"/>
          <w:szCs w:val="28"/>
          <w:rtl w:val="true"/>
          <w:lang w:bidi="ar-SA"/>
        </w:rPr>
        <w:t xml:space="preserve">، و ما ورد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الإضرار بطريق المسلمين</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فربّما ينتهي أمر نصوصها إلى التواتر و 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المقدار يكفي للاتّكال سندا، خصوصا مع كونها مورد اتّكال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قصور في سندها، بلا احتياج إلى ضميمة ما اشتملت على نفي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احتمال تقطيعها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كثيرها غير شامل لعنوان الإسلام أو الأمّة أو المؤمنين، و لكن لا ضير فيه بعد ما كان سوقها للامتنان على الأمّة كما لا يخفى</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أبيت من اقتضاء الفاقد للعنوانين السوق للامتنان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الأصحاب في جعلهم هذه القاعدة من القواعد الامتنانية، و تسلّم مثل هذه الجهة عندهم يوجب جبر رواية ابن مسكان </w:t>
      </w:r>
      <w:r>
        <w:rPr>
          <w:rStyle w:val="FootnoteAnchor"/>
          <w:rtl w:val="true"/>
        </w:rPr>
        <w:footnoteReference w:id="7"/>
      </w:r>
      <w:r>
        <w:rPr>
          <w:rFonts w:ascii="Amiri" w:hAnsi="Amiri" w:eastAsia="Amiri" w:cs="Amiri"/>
          <w:color w:val="111111"/>
          <w:sz w:val="28"/>
          <w:sz w:val="28"/>
          <w:szCs w:val="28"/>
          <w:rtl w:val="true"/>
          <w:lang w:bidi="ar-SA"/>
        </w:rPr>
        <w:t xml:space="preserve">و خبر ابن أثير </w:t>
      </w:r>
      <w:r>
        <w:rPr>
          <w:rStyle w:val="FootnoteAnchor"/>
          <w:rtl w:val="true"/>
        </w:rPr>
        <w:footnoteReference w:id="8"/>
      </w:r>
      <w:r>
        <w:rPr>
          <w:rFonts w:ascii="IRNazanin" w:hAnsi="IRNazanin" w:eastAsia="IRNazanin"/>
          <w:color w:val="111111"/>
          <w:sz w:val="28"/>
          <w:sz w:val="28"/>
          <w:szCs w:val="28"/>
          <w:rtl w:val="true"/>
          <w:lang w:bidi="fa-IR"/>
        </w:rPr>
        <w:t>المشتمل على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يكفي هذا المقدار لثبوت الفقرتين في كلام المعصوم، مضافا إلى ما في الوسائل في الباب الأوّل من كتاب الفرائض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ستتضح نتيجة هذه الجهة في طي الكلمات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اتضح سند روايات الباب ينبغي الكلام في دلالتها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النظر في وجه الدلالة إلى ما اشتمل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Style w:val="FootnoteAnchor"/>
          <w:rtl w:val="true"/>
        </w:rPr>
        <w:footnoteReference w:id="10"/>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فاسمع بأنّ الهيئة الكلامية المزبورة قابلة للحمل على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أظهرها الحمل على نفي الحقيقة بضميمة تقييده بالشريعة و لو من جهة أنّ نفي تشريع ما يوجب الضرر موجب لنفي نفس المعلول الناشئ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لئن دققّت النظر لا يحتاج هذا المعنى إلى تقييد زائد، إذ التقييد إنّما يحتاج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قابل للإطلاق، و معلوم أنّ نفي الضرر من قبل الشارع في عالم تشريعه منحصر بما كان ناشئا عن تشريعه، و لا يشمل المضار الخارجية الأجنبية عن مرحلة التشريع،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يحتاج النفي المزبور إلى التقييد و لا التقدير و لا المجاز و لا مرآتية الضرر عن الأمر الضرري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مرجع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 الضرر مانعا عن ثبوت تشريع حكم باقتضائه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المعنى يناسب سوقه مقام الامتنان، لا أنّ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للالتزام بتركه، كي يكون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فُسُوقَ وَ لٰا جِدٰالَ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المعنى لا يناسب التخفيف على الأمّة الموجب للامتنان عليهم، بل كان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 إلزاما زائدا عليهم، و هو ينافي بناءهم على سوقه</w:t>
      </w:r>
    </w:p>
    <w:p>
      <w:pPr>
        <w:pStyle w:val="BookText"/>
        <w:rPr/>
      </w:pPr>
      <w:r>
        <w:rPr>
          <w:rFonts w:ascii="Amiri" w:hAnsi="Amiri" w:eastAsia="Amiri" w:cs="Amiri"/>
          <w:color w:val="111111"/>
          <w:sz w:val="28"/>
          <w:sz w:val="28"/>
          <w:szCs w:val="28"/>
          <w:rtl w:val="true"/>
          <w:lang w:bidi="ar-SA"/>
        </w:rPr>
        <w:t xml:space="preserve">الوارد مساق حديث الرفع </w:t>
      </w:r>
      <w:r>
        <w:rPr>
          <w:rStyle w:val="FootnoteAnchor"/>
          <w:rtl w:val="true"/>
        </w:rPr>
        <w:footnoteReference w:id="11"/>
      </w:r>
      <w:r>
        <w:rPr>
          <w:rFonts w:ascii="Amiri" w:hAnsi="Amiri" w:eastAsia="Amiri" w:cs="Amiri"/>
          <w:color w:val="111111"/>
          <w:sz w:val="28"/>
          <w:sz w:val="28"/>
          <w:szCs w:val="28"/>
          <w:rtl w:val="true"/>
          <w:lang w:bidi="ar-SA"/>
        </w:rPr>
        <w:t xml:space="preserve">و عمومات نفي الحرج </w:t>
      </w:r>
      <w:r>
        <w:rPr>
          <w:rStyle w:val="FootnoteAnchor"/>
          <w:rtl w:val="true"/>
        </w:rPr>
        <w:footnoteReference w:id="12"/>
      </w:r>
      <w:r>
        <w:rPr>
          <w:rFonts w:ascii="Amiri" w:hAnsi="Amiri" w:eastAsia="Amiri" w:cs="Amiri"/>
          <w:color w:val="111111"/>
          <w:sz w:val="28"/>
          <w:sz w:val="28"/>
          <w:szCs w:val="28"/>
          <w:rtl w:val="true"/>
          <w:lang w:bidi="ar-SA"/>
        </w:rPr>
        <w:t>من حيث التخفيف على الأمّة بشهادة تصريحهم بعدم شمول عمومه للمقدم على الضرر في المعاملات الغبنية، فراجع كلماتهم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يناسب مع بنائهم على حكومته على سائر القواعد، إذ حينئذ لا وجه لنظره إليها بل تمام المقصود حرمة الضرر قبال سائر المحرّمات و بقية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استفادة الحرمة من هذه الهيئة فرع إعمال عناية في الإخبار عن عدم الشي‌ء بلحاظ العلم بوجود مقتضيه من التحريم و عدم المانع عنه و لو ادعاء، و أنّ المراد من الضرر المضار الخارجيّة التكوينية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قيست إلى ما استظهرناه منه من توجّه النفي إليه حقيقة في مرحلة تشريع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يأبى من ترجيح الأوّل على الثاني، بل يرجّح الثاني بلا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يناسبه حينئذ كون الضرر في المجعول مانعا عن جعله المستتبع لعدم وقوع الضرر من قبل تشريع الأحكام حقيقة بلا احتياج إلى إعمال عناية أو تجوّز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أيضا ظهر فساد سائر الاحتمالات خصوصا احتمال مرآتيّة الضرر للأفعال الضرريّة، لعدم سنخيّة بينهما مصححة للمرآتية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مجرّد سنخيّة العليّة و المعلوليّة بينهما لا يصحح جهة مرآتيّة أحدهما عن الآخر، لأنّ كل عنوان لا يحكي في عالم التصوّر إلاّ عن معنونه 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حكاية العناوين الطوليّة عن الأخرى كلام ظاهريّ لا يصدّق إلاّ في مورد كانت العناوين المتعددة مشتركة في جهة واحدة، كعناوين الأوصاف الحاكية عن ذات واحدة محفوظة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ففي غيرها لا وجه لحكاية كلّ عنوان عن غيره في عالم التصوّر، كي يصلح مرآتيته عنه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ما اتضحت هذه الجهات فاسمع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سوق مثل هذا العام مساق الامتنان اختصاص مورده بما كان تشريع الحكم فيه خلاف امتنان في حقّ الشخص، و لا يشمل أيضا موردا يكون نفي الضرر خلاف الامتنان في حقّ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لازمه عدم صلاحيّة عموم نفي الضرر لنفي الأحكام الامتنانيّة مثل سلطنة المالك على ملكه و حينئذ ربّما يجي‌ء الإشكال في تطبيقات النصوص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العامّ على عموم سلطنة المالك أو ذوي الحقوق في ملكه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في رواية سمرة حيث طبّق النبي صلّى اللّه عليه و آله عموم نفي الضرر على سلطنة سمرة على عذقه، و من هذا القبيل تطبيق العموم على سلطنة الشريك على ماله بجعل الشفعة لشريكه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جملتها ما في خبر فضل الماء </w:t>
      </w:r>
      <w:r>
        <w:rPr>
          <w:rStyle w:val="FootnoteAnchor"/>
          <w:rtl w:val="true"/>
        </w:rPr>
        <w:footnoteReference w:id="13"/>
      </w:r>
      <w:r>
        <w:rPr>
          <w:rFonts w:ascii="Amiri" w:hAnsi="Amiri" w:eastAsia="Amiri" w:cs="Amiri"/>
          <w:color w:val="111111"/>
          <w:sz w:val="28"/>
          <w:sz w:val="28"/>
          <w:szCs w:val="28"/>
          <w:rtl w:val="true"/>
          <w:lang w:bidi="ar-SA"/>
        </w:rPr>
        <w:t>حيث نهى عن منع فضله مطبّقا عليه أيضا عموم نفي الضرر الموجب لرفع سلطنة المالك عن ملكه أو لا أقل عنه حقّه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الباب أيضا نصّ الجار </w:t>
      </w:r>
      <w:r>
        <w:rPr>
          <w:rStyle w:val="FootnoteAnchor"/>
          <w:rtl w:val="true"/>
        </w:rPr>
        <w:footnoteReference w:id="14"/>
      </w:r>
      <w:r>
        <w:rPr>
          <w:rFonts w:ascii="Amiri" w:hAnsi="Amiri" w:eastAsia="Amiri" w:cs="Amiri"/>
          <w:color w:val="111111"/>
          <w:sz w:val="28"/>
          <w:sz w:val="28"/>
          <w:szCs w:val="28"/>
          <w:rtl w:val="true"/>
          <w:lang w:bidi="ar-SA"/>
        </w:rPr>
        <w:t>المشتمل على السؤال عن جدار رجل هو سترة بينهما سقط فامتنع من بنائه،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يجب إلاّ أن يكون وجب لصاحب الأخرى بحقّ أو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يسقط الجدار و لكن هدمه إضرارا بجاره لغير حاجة منه لهدمه،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و ذلك أنّ رسول</w:t>
      </w:r>
    </w:p>
    <w:p>
      <w:pPr>
        <w:pStyle w:val="BookText"/>
        <w:rPr/>
      </w:pPr>
      <w:r>
        <w:rPr>
          <w:rFonts w:ascii="Amiri" w:hAnsi="Amiri" w:eastAsia="Amiri" w:cs="Amiri"/>
          <w:color w:val="111111"/>
          <w:sz w:val="28"/>
          <w:sz w:val="28"/>
          <w:szCs w:val="28"/>
          <w:rtl w:val="true"/>
          <w:lang w:bidi="ar-SA"/>
        </w:rPr>
        <w:t>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و إن هدمه كلّف أن يبنيه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مضمون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سلطنة مالك الجدار عن هدمه لعموم الضرر و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رفع الإشكال المزبور بما توهم في مضامين هذه النصوص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التطبيق الوارد في رواية سمرة فيمكن أن يكون نفي الضرر ناظرا إلى عدم تشريع هتك عرض الأنصاريّ بورود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عياله فجأة مع فرض لزوم الحرج على الأنصاريّ في حفظ عرضه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الباب من قبيل تزاحم سلطنة الأنصاريّ لحفظ عرضه و سلطنة سمرة على حفظ عذقه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أهميّة حفظ العرض من حفظ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حقّ الأنصاري على حق سمرة، و لذا أصرّ النبي صلّى اللّه عليه و آله من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الجمع بين الأمرين و لو بإرضاء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ببديل عذقه، فحيث ما رضى بالجمع المزبور قدّم النبي صلّى اللّه عليه و آله حق الأنصّاري، و أمر بقلع عذق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ينتفي حقّ عبور سمرة، حيث لا حقّ له إلاّ للاستطراق إلى عذقه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روعي في حقّه إبقاء شجريّته حيث أمر بغرسه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ما ارتفع تسلّط سمرة عن عذقه بعموم نفي الضرر كي يرد إشكال خلاف الامتنان، بل إنّما رفع سلطانه عن عذقه بالمزاحمة مع سلطنة الأنصاريّ على حفظ عرضه، و طبّق عموم نفي الضرر على حفظ سلطنة الأنصاريّ لعرضه لأهميته لا نفي سلطنة سمرة على عذقه، و ما فيه المحذور هو الثاني لا الأوّل كما لا يخفى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التطبيق الوارد في خبر الشفعة فقد يجاب بأنّ هذه جملات مستقلّة و أحكام مختلفة واردة في رواية عقبة بن خالد لا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بالبعض، و أنّ المتأخّرين أخذوا كلّ فقرة فقرة بنحو التقطيع عن هذه الرواية و تخيّلوا ارتباط بعضها ببعض فجاء حينئذ مجال توهّم ما ذكرناه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المشتملة </w:t>
      </w:r>
      <w:r>
        <w:rPr>
          <w:rStyle w:val="FootnoteAnchor"/>
          <w:rtl w:val="true"/>
        </w:rPr>
        <w:footnoteReference w:id="15"/>
      </w:r>
      <w:r>
        <w:rPr>
          <w:rFonts w:ascii="Amiri" w:hAnsi="Amiri" w:eastAsia="Amiri" w:cs="Amiri"/>
          <w:color w:val="111111"/>
          <w:sz w:val="28"/>
          <w:sz w:val="28"/>
          <w:szCs w:val="28"/>
          <w:rtl w:val="true"/>
          <w:lang w:bidi="ar-SA"/>
        </w:rPr>
        <w:t xml:space="preserve">على هذه الفقرة مضمونها مغاير لمضمون رواية عقبة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حكمين راجعين إلى الشفعة مع وقوع هذه الفقرة في وسط الحكمين، و في مثله منتهى البعد في كونه حكما مستقلاّ غير مرتبط بباب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استبعاد في دعوى كون هذه الرواية رواية أخرى مستقلة عن رواية عقبة الطويلة، بل تصلح هذه لشرح رواية عقبة على فرض ظهورها في استقلال الفقرات، فضلا عن إجمالها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مبنيّ على جعل مثل هذه الفقرة من علل تشريع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ممنوع، بل من الممكن جعله من نتائج تشريعها و معاليلها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أنّه لو جعل علّة لتشريع الشفعة يلزم أن يجعل من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يشمل موارد لا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بترك جعل الشفعة، و هو أيضا خلاف ظاهر سوق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الجهة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نفي الضرر من علل أخذ الشفيع بشفعته و حقّه، فلا ينافي الامتنان، كما لا يخفى، هذا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خلاف الامتنان رفع سلطنة المالك عن ماله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حفظ ماليّته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للضرر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تنقيص ما ينتقل إليه بجعل حقّ فيه لا يكون خلاف امتنان في حقّ المشتري، بل نفي الضرر صار موجبا لنقص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و مثل ذا لا يكون خلاف امتنان في حقّ الغير، بل كمال امتنان في حقّ الشريك،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ورد في النهي عن فضل الماء فقد يجاب عنه أيضا بنحو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أيضا نحو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جوابه أيضا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كون حفر البئر بقصد حيازة تمام مائة لا بمقدار استقائه، و إلاّ فلا يبقى مجال إشكال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أمثال هذه المياه مورد الانتفاع للاستقاء لكلّ أحد من الأناسي و المواشي، فغاية الأمر للمالك أو وليّه حقّ منع الغير عن التصرّف، لا أنّ إذنهم شرط في الجواز من دون فرق بين أن يكون المالك كبيرا أو صغيرا، بشهادة السيرة القطعيّة الدائرة بين الناس الواردين على مثل هذه القنوات و استعمالهم من مائها بمقدار احتياجهم من سقي و وضوء و الأخذ منه بمقدار لا يعدّ ضررا عرفا على المالك، و حينئذ ربما كره منعهم عن فضل مثل هذا الماء، حفظا لما فيه من حقّ الاستباحة للناس في الجملة بما ليس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بهذه الملاحظة أيضا طبّق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المورد تنزيها، و لا ضير فيه بعد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تشريع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كان المنع الموجب لضرر الناس ممنوعا تنزيهيّا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الناشئ من قبل هذا المنع أيضا تنزيهيّ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حقوقهم بالماء لو لا المنع موجب لقصور مرتبة من سلطنتهم بنحو لا يكون أخذهم قبل المنع خلاف سلطنتهم، بل في عدم أخذهم حينئذ ضرر عليهم، فلمراعاة مثل هذا الاقتضاء الاستحبابي منعوا تنزيها من</w:t>
      </w:r>
    </w:p>
    <w:p>
      <w:pPr>
        <w:pStyle w:val="BookText"/>
        <w:rPr/>
      </w:pPr>
      <w:r>
        <w:rPr>
          <w:rFonts w:ascii="Amiri" w:hAnsi="Amiri" w:eastAsia="Amiri" w:cs="Amiri"/>
          <w:color w:val="111111"/>
          <w:sz w:val="28"/>
          <w:sz w:val="28"/>
          <w:szCs w:val="28"/>
          <w:rtl w:val="true"/>
          <w:lang w:bidi="ar-SA"/>
        </w:rPr>
        <w:t xml:space="preserve">منعهم كي لا يرد على الناس ضرر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هذا التطبيق روعي كمال الامتنان في حقّ النفوس بلا خلاف امتنان في حقّ المالك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نفي الضرر موجبا لعدم المنع فيلزم أن لا يؤثّر منعه، مع أنه لا يناسب كراهته، إذ لازمه أنّه لو منع لكان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عدم الكراهة خلاف ظاهرهم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نص الجار بما فيه من التفصيل فنقول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عدم وجوب حفظ مال الناس و لا عرضهم و لا نفسهم من غير الهلاك، و إنّما يحرم هتك عرض الغير أو دمه أو ماله على إشكال فيه ما لم يصدق عليه التصرّف فيه بغصب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يوجب إتلافه ضمانه، و إلاّ فلا يحرم على الإنسان إلاّ التصرّف في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التصرّف على مطلق الإتلاف ممنوع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وجه لحرمة الإتلاف في الأموال لو لا قصور سلطنة المالك من هذا التصرّف في ملكه بملاحظة مزاحمته مع سلطنة غيره على حفظ ماله من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ظهر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جهة إشكال في صدر الرواية، لأنّ انهدام الجدار بنفسه لا يوجب إلاّ انهتاك عرض الغير لا هتكه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بقاء الجدار على الخراب أيضا لا يوجب إلاّ بقاء انتهاك الغير لا هتكه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موجب لإجبار المالك على تعميره، خصوصا مع تمكّن الجار على حفظ عرضه بطريق آخر بقرينة قوله للجار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اشترط الجار تعميره على المالك في ضمن عقد لازم فله حينئذ إجباره على التعمير وفاء بشرطه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أيضا أشار في النص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ان وجب عليه بحقّ أو بشرط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ذيل الرواية المشتمل على النهي من هدمه معلّلا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هدم المالك جداره و إن لم يكن ممنوعا في نفسه إن استلزم تلف مال الغير ما لم يصدق إضافة عنوان الإتلاف إليه، و لكن مع صدق هذه النسبة أمكن دعوى عدم سلطنته على ماله المنطبق على تصرّفه فيه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إتلاف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الشأن أيضا في عرضه، ففي فرض صيرورته سببا لهتك عرض الغير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 قاصدا لإضراره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مشروع حتى مع تمكّن الغير من حفظ نفسه، فضلا عما لو لم يتمكّن، لحرجيّته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عدم قصد الإضرار قد يتوهّم عدم الحرمة مع تمكّن الغير من حفظ نفسه لو لا دعوى أنّ الهتك في هذه الصورة مستند إليهما لا إلى الجار وحده، فلا يخرج التخريب المزبور أيضا عن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الجهة ربما كان لمالك الدار إجبار الجار على سد روزنته من داره إلى دار جاره مع أنّه في ملكه و تمكن الجار أيضا على حفظ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فتطبيق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هذه الموارد لا يكون خلاف إرفاق في حقّ غيره، لعدم سلطنته على مثل هذا التصرف في ملكه، بل كمال إرفاق في حقّ الجار لئلاّ ينهتك عرضه من قبله،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شي‌ء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يستفاد من مجموع أخبار الباب هو تطبيق مثل هذه الكبرى في موارد إتلاف حقّ الغير عرضا أو انتفاعا أو تملّكا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مثل هذه الموارد، مقتضى القواعد الأصليّة الأوّلية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هذه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تشريع الإتلافات المذكورة بملاحظة قصور سلطنة الإنسان عن التصرّفات في ماله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إتلاف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دعوى تزاحم السلطنتين الموجب لعدم جواز إقدامه على الإتلاف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فللطرف منعه من هذا التصرّف غير المشروع، إلاّ في مورد يكون لبناء</w:t>
      </w:r>
    </w:p>
    <w:p>
      <w:pPr>
        <w:pStyle w:val="BookText"/>
        <w:rPr/>
      </w:pPr>
      <w:r>
        <w:rPr>
          <w:rFonts w:ascii="Amiri" w:hAnsi="Amiri" w:eastAsia="Amiri" w:cs="Amiri"/>
          <w:color w:val="111111"/>
          <w:sz w:val="28"/>
          <w:sz w:val="28"/>
          <w:szCs w:val="28"/>
          <w:rtl w:val="true"/>
          <w:lang w:bidi="ar-SA"/>
        </w:rPr>
        <w:t>الغير إسناد على بنائه، فإنّه حينئذ كان في حكم وقوع ملكه في ملكه من سلطنته على تخليص ملكه و عدم سلطنة الغير على إبقاء ملكه على حاله مع جبران الضرر إن كان الاستناد بحقّ، دون غيره،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لئن تأمّلت موارد تطبيق الأصحاب هذه الكبرى ترى أيضا أنّ كل مورد مورد كان الدليل أو القاعدة من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الحكم المعهود 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سيتّضح لك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خصوصيات الحكم المعهود فيه على وجه تأبى تلك القاعدة عن إثبات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شاهد ترى بأن تمام المدار و المدرك للحكم ليس مثل هذه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هذه الكبرى كاشفة عن مرتبة من مراتبه لا عن جميع 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لا غرو في دعوى كون هذه القاعدة سيقت للحكاية عن نفي الأحكام الضرريّة بجهات أخرى ثابتة من الخارج 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مستقلاّ في قبال سائر القواعد، فكان وزان هذه العمومات وزان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في رواية مسعدة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ذيلها على مورد اليد أو الاستصحاب أو أصالة الصحة الحاكمة جميعها على قاعدة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حلّلنا هذه الجهة من الإشكال بأنّه من الممكن كون هذا العام سيق لبيان جعل الحلّية في جميع الموارد و لو بإنشاءات أخرى من دون كون ذلك إنشاء مستقلاّ في قبالها و إنّما هو مبيّن لأنحاء الجعل من الخارج فلا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حكم في قبالها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هذه العمومات أيضا أمكن دعوى عدم كونها حكما تأسيسيّا في قبال الأدلّة و القواعد الخارجية المقتضية لنفي التشريع للحكم الضرري بمالها من</w:t>
      </w:r>
    </w:p>
    <w:p>
      <w:pPr>
        <w:pStyle w:val="BookText"/>
        <w:rPr/>
      </w:pPr>
      <w:r>
        <w:rPr>
          <w:rFonts w:ascii="Amiri" w:hAnsi="Amiri" w:eastAsia="Amiri" w:cs="Amiri"/>
          <w:color w:val="111111"/>
          <w:sz w:val="28"/>
          <w:sz w:val="28"/>
          <w:szCs w:val="28"/>
          <w:rtl w:val="true"/>
          <w:lang w:bidi="ar-SA"/>
        </w:rPr>
        <w:t>الخصوصيّات الزائدة الآبية عن كشفها مثل هذا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هذا المقصد إنّما هو بالتعرّض لموارد تطبيقات الأصحاب إيّاها على مواردها كي به يتضح أنّ في كل مورد نحو خصوصيّة للحكم لا تصلح مثل هذه لإثباتها، و إنّما نظر الأصحاب في أصل الحكم إلى وجه آخر، و إنّما تشبّثهم بهذه الكبرى لمحض التأييد و بيان ما هو كاشف عن عدم تشريع الحكم الضرري في المورد و لو بإنشاء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هذه الجهة ربّما يحتاج في العمل بهذه القاعدة إلى اتّكال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به يفهم أنّ في مثل هذا المورد أيضا لا يكون الحكم الضرري مشروعا من الخارج،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الموارد تطبيقهم هذه القاعدة في باب العبادات الضررية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بناءهم في هذه العبادات على الفساد، مع أنّ مفاد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نفي تشريع ما يجي‌ء من قبله الضرر و يلقي المكلّف فيه، و هو ليس إلاّ الأمر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فمجرد المصلحة و الرجحان لا يكونان منشأين للضرر و لا يلقيان المكلّف فيه، فلا يقتضي مثل هذا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المصلحة الخارجة عن مرحلة التشريع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وجه لفساد العبادة مع الاكتفاء بالتقرّب فيها بقصد الرجحان، كما هو الشأن في الضد المبتلى بالأهمّ لدى القائل باستحالة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أغمض عن ذلك و بنينا على احتياج العبادة إلى الأمر الفعليّ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ذلك فساد العبادة مع العلم بالوجوب و الجهل بالضرر، إذ حينئذ لا قصور في محركيّة هذا الأمر في الضرر الواقعيّ مع عدم مانع عنه، و الحال أنّ بناء الأصحاب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مقتضاه صحّة الصلاة في فرض الجهل بالوجوب مع العلم بالضرر كما في صورة الجهل بدخول الوقت مع العلم بضرريّة العبادة، نظرا إلى أنّ الأمر</w:t>
      </w:r>
    </w:p>
    <w:p>
      <w:pPr>
        <w:pStyle w:val="BookText"/>
        <w:rPr/>
      </w:pPr>
      <w:r>
        <w:rPr>
          <w:rFonts w:ascii="Amiri" w:hAnsi="Amiri" w:eastAsia="Amiri" w:cs="Amiri"/>
          <w:color w:val="111111"/>
          <w:sz w:val="28"/>
          <w:sz w:val="28"/>
          <w:szCs w:val="28"/>
          <w:rtl w:val="true"/>
          <w:lang w:bidi="ar-SA"/>
        </w:rPr>
        <w:t>المجهول غير صالح للتحميل و الإلقاء في الضرر، فلا يكون مرفوعا بعموم نفي الضرر، مع أن بناء الأصحاب على فساد العبادة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أعظم شاهد على أن ليس النظر من الصدر الأوّل البانين على فساد العبادة أو صحّتها إلى تطبيق مثل هذه الكبرى عليها مستقلاّ، بل عمدة نظرهم إلى كبريات النهي عن إلقاء النفس في التهلكة و إضرار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نسبة هذا النهي إلى الأوامر من باب التزاحم، الموجب للتفصيل بين العلم بالحرمة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الجهل بالضرر، سواء علم بالوجوب من غير جهة المزاحمة بالحرمة أو لم يعلم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فلا يغرنّك تطبيق المتأخّرين مثل هذه الكبرى على تلك الموارد و لو من جهة تأييد الدليل، بل و كشفه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الحكم الضرريّ في هذا المقام و لو بإنشاء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المعاملات الضرريّة كالمشتملة على الغبن و العيب و التبعيض و تخلّف الوصف و الشرط و أمثالها حيث إنّ بناء الأصحاب من الصدر الأوّل على ثبوت الخيار فيها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قرّر ذلك بتقريبين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الجميع إلى شرط ضمنيّ موجب لثبوت حقّ للمشروط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فتفويت مثل هذا الحقّ ضرر عليه،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لجبر هذا الضرر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الغبن إلى ضرر ماليّ، و هكذا العيب و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مرجع تبعيض الصفقة و تخلّف الشرط إلى ضرر غرضي ناش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يلحق بهما بعض موارد العيب و الرؤية أيضا التي ليس فيها جهة نقص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ما في هذا التطبيق أيضا بوجهيه، إذ إرجاع الجميع إلى الشرط الضمني أوّل شي‌ء ينكر، بل الباب من قبيل تخلّف الداعي غير المنتج في المعاملات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إطلاق الضرر على مجرّد نقض الغرض و تخلّف المراد أيضا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الشاهد عليه عدم التزامهم به و لو حصل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باب النكاح مطلقا و لا باب الطلاق و غيره من سائر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فالالتزام به مستلزم إمّا للزوم تخصيص كثير في مثل هذا العامّ الوارد مورد الامتنان على المسلمين أو للالتزام بفقه جديد، و هما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الالتزام بأنّ العمل بالقاعدة يحتاج إلى الجبر في العمل إسقاط لها عن الاعتبار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هذه الموارد المتوهّم فيها عمل الأصحاب أمكن منع عملهم بها مستقلاّ، إذ نتيجة العمل بها ليس إلاّ نفي اللزوم، و غايته إثبات السلطنة على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هذه الجهة لا يفيد حقّا قابلا للإسقاط و لا للانتقال إلى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نظر الأصحاب من الصدر الأوّل إلى مثل هذه القاعدة الآبية عن إثبات اللوازم، كما هو ظاهر؟ و ذلك أيضا من الموارد التي توهّم بعض المشايخ من قبل السابقين تطبيق القاعدة المزبورة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نظرت بمقتضى البصيرة و ألقيت حبل التقليد عن عنقك ترى عدم المجال لاستفادة تمام المرام من مثل هذه الكبرى، بل نظر الصدر الأوّل في إثبات مثل هذه الحقوق إلى مدرك آخر و لو لم يصل إلينا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يكفي في وجه تحصيله إطباق كلّهم على النتيجة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يكون وجه تشبّثهم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نفي تشريع الضرر و لو بإنشاء خارجيّ، فيكشف عن مثل هذه الكبرى في الجملة، كما يكون نظر السابقين أيضا في تشبّثهم بهذه الكبرى إلى ذلك، لا أنّها قاعدة مستقلّة مؤسّسة لحكم مستقل في أمثال الموارد، كما هو الشأن أيضا في العبادات الضرريّة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تطبيقهم إيّاها في الزوجة الغائب عنها زوجها بعد فحص الحاكم أربع سنين و تولّيه للطلاق،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 و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الطلاق المزبور خلاف امتنان في حقّ الزوج الذي بيده الساق و الطلاق، فهذا التطبيق ينافي ديدنهم على كون هذا العام سيق مساق الامتنان، و لا يوجب جريانه خلاف امتنان في حقّ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هنا من الخارج سلطنة للزوجة على التفريق كي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 لهذه السلطنة غير دافعة لسلطنة غيره، بل سلطنة غيره مدفوعة بمزاحمة سلطنة غيره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مجال لقياس المقام بمسألة سمرة و الجار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مقامنا من هذه الجهة شبيه بباب خيار الغبن حيث لا يثبت عند المتشبث بهذه القاعدة فيه جواز أخذ الأرش من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تقريبه كما أفاده شيخنا العلاّمة </w:t>
      </w:r>
      <w:r>
        <w:rPr>
          <w:rStyle w:val="FootnoteAnchor"/>
          <w:rtl w:val="true"/>
        </w:rPr>
        <w:footnoteReference w:id="18"/>
      </w:r>
      <w:r>
        <w:rPr>
          <w:rFonts w:ascii="Amiri" w:hAnsi="Amiri" w:eastAsia="Amiri" w:cs="Amiri"/>
          <w:color w:val="111111"/>
          <w:sz w:val="28"/>
          <w:sz w:val="28"/>
          <w:szCs w:val="28"/>
          <w:rtl w:val="true"/>
          <w:lang w:bidi="ar-SA"/>
        </w:rPr>
        <w:t>واضح حيث إنّ جبران الضرر بأحد الأمرين لا خصوص الخيار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يدفع هذه الشبهة إلاّ دعوى أنّ إثبات السلطنة على الغابن بأخذ الأرش خلاف امتنان في حقّه، و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إثبات مثل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نحن فيه من تلك الجهة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لإثبات مثل هذا الحكم بالعموم المزبور، بل لا بدّ من كشف دليل آخر، و أنّ تشبّثهم بمثل هذه الكبرى من قبيل تأييد الدليل لا</w:t>
      </w:r>
    </w:p>
    <w:p>
      <w:pPr>
        <w:pStyle w:val="BookText"/>
        <w:rPr/>
      </w:pPr>
      <w:r>
        <w:rPr>
          <w:rFonts w:ascii="Amiri" w:hAnsi="Amiri" w:eastAsia="Amiri" w:cs="Amiri"/>
          <w:color w:val="111111"/>
          <w:sz w:val="28"/>
          <w:sz w:val="28"/>
          <w:szCs w:val="28"/>
          <w:rtl w:val="true"/>
          <w:lang w:bidi="ar-SA"/>
        </w:rPr>
        <w:t>أنّه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ملاحظة ما أشرنا إليه من أنّ إثبات أمثال هذه الحقوق بمثل هذه الكبرى مستلزم لأحد المحذورين السابقين،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تزاحم الحقوق حيث إنّ ديدنهم فيها على التشبّث بعموم نفي الضرر و ربّما ينتهي أمرهم إلى تعارض الضررين أو ترجيح ما هو الأهمّ منهما لكثرته أو لجهة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المقال فيها يقتضي بسط الكلام فيها كي به يرتفع الظلام عن وجه الأوهام،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صور تزاحم الحقوق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حفر بئرا في داره بنحو يضرّ جدار الغير بأن تخرج الرطوبة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الاستحكام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مرجعه إلى إتلاف وصفه و خصوصيّته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حينئذ في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حرمته فقد يتوهّم بأنّه فرع صدق التصرّف في مال الغير الممنوع في المقام، و لولاه لا موجب لحرمته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قصور في سلطنته على حفر البئر، غاية الأمر عليه جبران جدار الجار، لضمانه، و ليس على الجار إلاّ إلزامه بذلك الجبران، لا منعه عن حفر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مجال في مثل المورد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للتشبّث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حكومته على سلطنة الإنسان على التصرّف في ماله الذي هو من الأحكام الإرفاقية، كما أشرنا إليه في صدر البحث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لمالك الجدار أيضا السلطنة على حفظ جداره بما له من الخصوصيّة الخارجية فقهرا تزاحم هذه السلطنة سلطنة مالك الدار لحفر بئره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 الدار له جميع أنحاء السلطنة في داره غير ما ينطبق عليه عنوان إتلاف 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الأوّل لا يكون لمالك الدار مثل هذا التصرّف المتلف لجدار غيره، و حينئذ يمنع مالك الدار عن حفر البئر المزبور من جهة قصور</w:t>
      </w:r>
    </w:p>
    <w:p>
      <w:pPr>
        <w:pStyle w:val="BookText"/>
        <w:rPr/>
      </w:pPr>
      <w:r>
        <w:rPr>
          <w:rFonts w:ascii="Amiri" w:hAnsi="Amiri" w:eastAsia="Amiri" w:cs="Amiri"/>
          <w:color w:val="111111"/>
          <w:sz w:val="28"/>
          <w:sz w:val="28"/>
          <w:szCs w:val="28"/>
          <w:rtl w:val="true"/>
          <w:lang w:bidi="ar-SA"/>
        </w:rPr>
        <w:t xml:space="preserve">سلطنته من الأوّل، لا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تمكّن مالك الجدار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جداره بإبقاء استحكامه بتعمير و غيره أمكن أن يقال إنّ سلطنته على حفظ جداره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غيره عن التصرّف في داره، لأنّ السلطنة على الجامع لا تقتضي منع الخصوصيّة، كما أنّ تلف الجدار إذا كان مستندا إلى مجموع فعله و ترك تعمير غيره لا يكاد ينسب الإتلاف و الإضرار إليه مستقلاّ كي يمنع مثل هذا العنوان عن التصرّف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يقاس المقام بباب العرض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هتكه و لو مع التمكّن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نفسه، إذ المدار فيه على صدق الهتك و لو ضمنا، بخلاف باب إتلاف المال فإنّه لا بأس به ما لم يصدق عليه الإضرار و الإتلاف مستقلاّ، لانصراف أدلّته إليه، خصوصا مع عدم قصور سلطنة المالك إلاّ عمّا ينطبق عليه إتلاف مال الغير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يتمّ ما ذكرنا في فرض انحصار سبب التلف في فعله بلا تمكّن لمالك الجدار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جداره إلاّ بمنع الحافر عن حفر بئره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لا يبقى مجال للتشبّث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المورد مستقلاّ و تحكيمه على عموم سلطنة الإنسان على تصرّفه في ملكه و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بين أن يكون لمالك الدار السلطنة على حفر البئر مع قطع النظر عن هذا العموم و بين أن يكون له السلطنة الممنوع صدق الإتلاف و الإضرار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فرضه لا مجال لحكومته على مثل هذا الحكم الإرفاقي كما لا يخفى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التأمّل في ما ذكرنا ظهر حكم فرع آخر من فرض إضرار حفر البالوعة في الدار ببئر جاره، فإنه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يضرّ بعين مائه بتنقيصه، و أخرى بمنفعة الماء بتعفينه السالب لمنفعته، و ثالثة بتغيير لونه السالب لوصفه الدخيل في ماليّته، و رابعة بإحداث نحو تنفّر للطباع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لصرف ماليّته بلا نقص في العين و لا المنفعة و لا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الصورة الأخيرة من عدم كون التصرّف بحفر البالوعة ممنوعا حينئذ لعدم صدق عنوان إتلاف المال على هذا التصرف كي يكون ممنوعا، غاية الأمر ليس في البين إلاّ إتلاف الماليّة، و هو لا يكون تحت منع، و لا موجبا 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يتوهّم أحد أيضا منع مثل هذا التصرّف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كان للإنسان تقليل القيمة السوقيّة لأجناس الناس بترخيص جنسه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أعظم شاهد على ما ذكرنا من أن هذا العموم لا يكون إنشاء حكم مستقلّ و لا حاكما على عموم سلطنة الناس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فمثل ذلك من أجلى فرد الإضرار المنفيّ بالعموم،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بقيّة الصور حيث صدق إتلاف المال عينا أو وصفا أو صفة لا قصور في ضمانه، و لا في نفي مشروعيته مع عدم تمكّن صاحب 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من التلف، و من هذه الجهة لا يكون مالك الدار سلطانا على حفر البالوعة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لقصوره بذاته عن مثل هذا التصرف المتلف لمال الغير، أو لمعارضته سلطنة مالك البئر على حفظ بئره عن التلف بأيّ وجه، و لقد تقدّم الكلام في نظيره من الفرع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بكشف نفي مشروعيّته للإضرار على غيره بمثل هذه الكبرى و لو من جهة حكايته عن منشئه خارجا، كما هو الشأن في موارد تطبيقات المعصومين عليهم السّلام على 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موارد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وقوع ملكه في ملك غيره كغرس الشجرة في أرض الغير أو وقوع ثوبه في صندوق غيره و أمثاله ممّا يكون تخليص ملكه عن ملك غيره منوطا بالتصرّف في ملك الغير، لا ممحّضا في صرف إتلاف ملك غيره بلا صدق تصرّف فيه كما في الفروع السابقة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يتوهّم في أمثال المقام تعارض السلطنتين و الضررين، و يؤخذ بالأقلّ</w:t>
      </w:r>
    </w:p>
    <w:p>
      <w:pPr>
        <w:pStyle w:val="BookText"/>
        <w:rPr/>
      </w:pPr>
      <w:r>
        <w:rPr>
          <w:rFonts w:ascii="Amiri" w:hAnsi="Amiri" w:eastAsia="Amiri" w:cs="Amiri"/>
          <w:color w:val="111111"/>
          <w:sz w:val="28"/>
          <w:sz w:val="28"/>
          <w:szCs w:val="28"/>
          <w:rtl w:val="true"/>
          <w:lang w:bidi="ar-SA"/>
        </w:rPr>
        <w:t>منهما، دفعا لكثرة الضرر الوارد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أحد الملكين في ملك غيره إمّا أن يكون بحق أو بغير حق من غصب 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شبهة في أنّ سلطنة الناس على أموالهم تقتضي تفريغ ملكه عن ملك غيره و تخليصه منه، كما أنّه ليس له إبقاء ملك الغير في ملكه، لعدم سلطنته على ملك غيره بإبقائه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فلكل مالك جميع أنحاء السلطنة على ملكه غير ما ينطبق عليه عنوان الضرب على جدار الغير و تخريبه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 عدم سلطنة مالك الأرض على المنع عن تخليص مالك الشجرة شجرته عن أرضه، إذ مرجع منعه إلى إبقائه في ملكه و هو ليس سلطانا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تزاحم سلطنة صاحب الأرض سلطنة صاحب الغرس حين يريد تخليص ملكه عن أرض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الأمر في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قضية احترام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لضمان التلف الوارد على كل واحد بلا إقدامه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كلا الطرفين مقدمين على التخليص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لطرفه بتلف المال من جبران الشجرة أو طمّ الحفر في الأرض،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في عدم الضمان صورة كون الغرس عن غصب، فإنّ الغاصب لا جبران له، لكونه مأخوذا بأشقّ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فلو كان الغصب من الطرفين كان كإقدام الطرفين على التخليص في نفي الجبران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حال لا يبقى موقع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المقام مستقلاّ و إن كان صالحا لكشف مثل هذه الجهة الثابتة من الخارج، كما أشرنا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التأمّل في ما ذكرنا ظهر بطلان بقيّة الأقوال من الإبقاء بالأجرة أو التفصيل بين المزروع و الشجرة من الإبقاء بالأجرة إلى وقت حصاده للعلم بأمده،</w:t>
      </w:r>
    </w:p>
    <w:p>
      <w:pPr>
        <w:pStyle w:val="BookText"/>
        <w:rPr/>
      </w:pPr>
      <w:r>
        <w:rPr>
          <w:rFonts w:ascii="Amiri" w:hAnsi="Amiri" w:eastAsia="Amiri" w:cs="Amiri"/>
          <w:color w:val="111111"/>
          <w:sz w:val="28"/>
          <w:sz w:val="28"/>
          <w:szCs w:val="28"/>
          <w:rtl w:val="true"/>
          <w:lang w:bidi="ar-SA"/>
        </w:rPr>
        <w:t>دون الشجرة فتقلع مع جبر أو بلا 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عمدة النظر فيه إلى الجمع بين احترام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الضرر من الطرف الآخر، أو من جهة أنّ الإذن في الشي‌ء إذن في 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المنع الصريح، و لا الأوّل، لعدم صلاحيّة العموم للتحكيم على مثل هذه القاعدة الإرفاقية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موارد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الدابّة رأسها في قدر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صور و 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بتفريط من أحد الطرفين، أو منهما، أو ثالث، أو بلا تفريط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الأخير حيث إنّه يجري ما تقدّم في الغرس بحقّ من أنّ المقدم في التخليص يجبر ضرر الآخر، و ليس للآخر منعه، لأنّه مساوق سلطنة إبقاء مال الغير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تقدّم أنه ليس لأحد هذه الجهة، كما أنّ المقدم من الطرفين لا يستحقّ جبر نقص في كلّ واحد من المالين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يلحق بذلك المفرط من الطرفين أو من طرف، و المقدم من الآخر، كما أنّ المفرط الثالث عليه قرار الضمان بإتلاف المخلّص لماله عن مال الغير من دون فرق في هذا كلّه بين كون الضررين متساويين أو أحدهما أكثر، إذ لا يكاد ينتهي الأمر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يلاحظ الأزيد ضررا بمناط الأهمية في باب التزاحم، كما أشرنا إليه في نظائر المقام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ابتلي بالقدر نفس محترمة كالعبد و غيره، فلا شبهة حينئذ في كسر القدر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لصاحب القدر حينئذ تخليص قدره و لو بإتلاف مال الغير، إذ هذه القاعدة إنّما تجري لو لا جهة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المراعاة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وجوب حفظ النفس أو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زائدة عن مرحلة سلطنة الإنسان على ماله كي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السلطنة على إبقاء مال الغير بحفظ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ضمان الطرف لقدر غيره مع عدم إقدامه على كسر القدر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المقتضي لضمانه من جهة عدم إتلافه و عدم أمر الغير بإتلافه،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المال محترما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وجوب إتلافه لا يوجب و لا يقتضي رفع احترامه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أنّ مجرّد احترام المال لا يوجب ضمان الغير إلاّ في فرض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الشارع بالإتلاف إحسانا بالنفس يوجب الضمان على من أحسن له، كما هو الشأن في صورة الإشباع في المخمصة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ففي كون الضمان على المالك لو كان النفس مملوكا أو على رقبة العبد يتبع به بعد عتقه أو على بيت المال،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خيرها أوسطها، إذ الأمر المزبور ليس تعبّديا محضا كي يقتضي كون الضمان على الشارع الراجع إلى بيت المال، بل هو لمحض الإحسان على النفس، و في ذلك الإحسان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المملوكية كي يكون إحسانا على مالك العبد فيضمن له، بل تمام النظر إلى حفظ النفس المحترمة،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 أحسن له إلاّ العبد فيضمن، و يكون على رقبته يتبع به بعد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الإشباع في المخمصة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تكن في النفس رقبة كالحيوانات لا يبعد الضمان على مالكها، لصدق الإحسان في حقّهم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له مالك، فلا محيص من كون الضمان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عدم الضمان حينئذ رأسا ممنوع بعد فرض احترام المال و تسبيب الإتلاف و لو بالأمر من قبل الغير و لو كان شارعا، كما لا يخفى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كلماتهم من تطبيق العام المزبور على جملة من المقدّمات الضرريّة كشراء الزاد بأكثر من ثمن مثله في باب الحجّ، و شراء الماء كذلك في باب الوضوء، و جواز ارتكاب المحرّم من مثل الرجوع إلى حاكم الجور</w:t>
      </w:r>
    </w:p>
    <w:p>
      <w:pPr>
        <w:pStyle w:val="BookText"/>
        <w:rPr/>
      </w:pPr>
      <w:r>
        <w:rPr>
          <w:rFonts w:ascii="Amiri" w:hAnsi="Amiri" w:eastAsia="Amiri" w:cs="Amiri"/>
          <w:color w:val="111111"/>
          <w:sz w:val="28"/>
          <w:sz w:val="28"/>
          <w:szCs w:val="28"/>
          <w:rtl w:val="true"/>
          <w:lang w:bidi="ar-SA"/>
        </w:rPr>
        <w:t xml:space="preserve">مع انحصار طريق استيفاء الحقّ به، و كموارد الإكراه على ترك واجب أو فعل محرّم، بل التزموا في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عدم جواز صرف الضرر عن نفسه و تحميله على غيره مع قناعة الملزم به و لو بأقلّ الضررين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على الغير أيضا ذلك، و لكن التزموا بذلك في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الإلزام و الإضرار إلى أحدهما بلا تعيين، إذ ربّما توهّم فيه تعيين تحميل أقلّ الضررين على صاحبه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صور المقدّمات الضررية فالظاهر أيضا عدم بنائهم على الأخذ بمطلق الضرر، بل يقيّدون بالمجحف الملازم للزوم الحرج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نظرهم فيه إلى قاعدة الحرج لا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صريح كلماتهم بوجوب شراء الماء للوضوء و لو بأكثر من ثمنه، و هكذا في باب شراء الزاد للحجّ، و هكذا نقول في الرجوع إلى حكّام الجور، و إطلاق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منزّل على الغالب من كون الضرر مجحفا حرجيّا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الأمر في الإكراه في ترك الواجب أو فعل المحرّم لا بدّ في المضار الماليّة أن يكون مجحفا، و إلاّ أيّ شخص يفتي بجواز ارتكاب شرب الخمر أو الزنا من جهة توعيد المكره بهما على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على تركهما؟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لقياس هذا الباب بباب المعاملات حيث نكتفي بمثل هذا الإكراه في الحكم بالفساد، إذ مدار الصحّة فيها على طيب النفس غير الحاصل أحيانا بمثل هذا التوعيد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باب الواجبات و المحرّمات تعبّدية كانت أو توصليّة، فإنّ المدار عندهم فيها على الإلجاء و الاضطرار غير الحاصل بمطلق الضرر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في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إلى الشخص ليس له السلطنة على إضرار الغير، بل هو خلاف سوق الامتنان من العموم المزبور، فإنّه لا يوجب خلاف</w:t>
      </w:r>
    </w:p>
    <w:p>
      <w:pPr>
        <w:pStyle w:val="BookText"/>
        <w:rPr/>
      </w:pPr>
      <w:r>
        <w:rPr>
          <w:rFonts w:ascii="Amiri" w:hAnsi="Amiri" w:eastAsia="Amiri" w:cs="Amiri"/>
          <w:color w:val="111111"/>
          <w:sz w:val="28"/>
          <w:sz w:val="28"/>
          <w:szCs w:val="28"/>
          <w:rtl w:val="true"/>
          <w:lang w:bidi="ar-SA"/>
        </w:rPr>
        <w:t>الامتنان في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أحدهما فلكلّ منهما السلطنة على حفظ نفسه، و 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المزبور قهرا قصور سلطنة أحدهما على الحفظ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مثله العقل يحكم بالالتزام بأقلّ الضررين و لو لم يكن مثل هذا العموم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إنّ مثل هذه الأبواب أيضا من موهنات استفادة التفهيم من هذه الكبرى مستقلاّ، فلا محيص فيها من الاقتصار على مقدار ما يستفاد من تطبيق سائر الكبريات و لو من جهة إطباق كلمة الأصحاب كما أشرنا إليه مرارا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أضرّ بطريق المسلمين فعليه كذا</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و 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هذه النصوص أيضا مدرك قاعدة الإتلاف في باب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فلن نجد نصّا بهذا اللسان في كلمات المعصوم، فراجع كتاب غصب الجواهر </w:t>
      </w:r>
      <w:r>
        <w:rPr>
          <w:rStyle w:val="FootnoteAnchor"/>
          <w:rtl w:val="true"/>
        </w:rPr>
        <w:footnoteReference w:id="21"/>
      </w:r>
      <w:r>
        <w:rPr>
          <w:rFonts w:ascii="Amiri" w:hAnsi="Amiri" w:eastAsia="Amiri" w:cs="Amiri"/>
          <w:color w:val="111111"/>
          <w:sz w:val="28"/>
          <w:sz w:val="28"/>
          <w:szCs w:val="28"/>
          <w:rtl w:val="true"/>
          <w:lang w:bidi="ar-SA"/>
        </w:rPr>
        <w:t xml:space="preserve">و غيره ترى ما ذكرنا حقيقا بالقبول، و لكن لا يضر ذلك بما نحن بصدده من أنّ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من حكاية نفي الضرر و نفي تشريع الحكم الضرري في الشرع و الإسلام من كبريات و إنشاءات خارجيّة التي منها نفي تشريع الإضرار على الغير الملازم لحرمته، لا أنّ هذه الهيئة أريد بها النهي عنه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فُسُوقَ وَ لٰا جِدٰالَ</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كما توهّم بعض مشايخنا كشيخ الشريعة الأصبهاني </w:t>
      </w:r>
      <w:r>
        <w:rPr>
          <w:rStyle w:val="FootnoteAnchor"/>
          <w:rtl w:val="true"/>
        </w:rPr>
        <w:footnoteReference w:id="23"/>
      </w:r>
      <w:r>
        <w:rPr>
          <w:rFonts w:ascii="Amiri" w:hAnsi="Amiri" w:eastAsia="Amiri" w:cs="Amiri"/>
          <w:color w:val="111111"/>
          <w:sz w:val="28"/>
          <w:sz w:val="28"/>
          <w:szCs w:val="28"/>
          <w:rtl w:val="true"/>
          <w:lang w:bidi="ar-SA"/>
        </w:rPr>
        <w:t>قدّس سرّه، بل من جهة كشفه عن قصور سلطنة الإنسان عن التصرّفات</w:t>
      </w:r>
      <w:bookmarkStart w:id="20" w:name="pg19655_211002"/>
    </w:p>
    <w:p>
      <w:pPr>
        <w:pStyle w:val="BookText"/>
        <w:rPr/>
      </w:pPr>
      <w:bookmarkEnd w:id="20"/>
      <w:r>
        <w:rPr>
          <w:rFonts w:ascii="Amiri" w:hAnsi="Amiri" w:eastAsia="Amiri" w:cs="Amiri"/>
          <w:color w:val="111111"/>
          <w:sz w:val="28"/>
          <w:sz w:val="28"/>
          <w:szCs w:val="28"/>
          <w:rtl w:val="true"/>
          <w:lang w:bidi="ar-SA"/>
        </w:rPr>
        <w:t>المتلفة لمال الغير أو دمه أو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أيضا لا من جهة توهّم حكومة هذه القاعدة على عموم السلطنة على الأموال و حفظ الأعراض كي يردّ بأنّ هذه القاعدة بملاحظة سوقها الامتناني غير صالحة لرفع هذه الأحكام الإرفاقية، بل من جهة أنّ الإنسان من الأوّل قاصر السلطنة على التصرّف المتلف لمال الغير أو عرضه بحيث لو لا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لما كان لأحد إتلاف مال غيره أو عرضه بفعله و حينئذ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القاعدة ما سيقت إلاّ للإشارة إلى الموارد التي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الحكم الضرري من الخارج،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قصور سلطنة الإنسان أيضا في حدّ نفسه عن إتلاف و تنقيص لأمر غيره من مال أو دم أو عرض، لا أنّ مفادها تأسيس حكم مستقلّ في قبال سائر القواعد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إنّ مثل هذا البيان في شرح مثل هذه القاعدة المشهورة المعروفة و إن كان ثقيلا على الأذهان، و لكن لا نتوحّش مع الانفراد إذا ساعدنا الدليل و سلامة الأفهام</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625348_2314609296"/>
      <w:bookmarkStart w:id="22" w:name="_Toc8"/>
      <w:bookmarkEnd w:id="21"/>
      <w:r>
        <w:rPr>
          <w:rtl w:val="true"/>
        </w:rPr>
        <w:t>[</w:t>
      </w:r>
      <w:r>
        <w:rPr>
          <w:rtl w:val="true"/>
        </w:rPr>
        <w:t>تنبيهات</w:t>
      </w:r>
      <w:r>
        <w:rPr>
          <w:rtl w:val="true"/>
        </w:rPr>
        <w:t>]</w:t>
      </w:r>
      <w:bookmarkEnd w:id="22"/>
    </w:p>
    <w:p>
      <w:pPr>
        <w:pStyle w:val="Heading5"/>
        <w:numPr>
          <w:ilvl w:val="4"/>
          <w:numId w:val="1"/>
        </w:numPr>
        <w:rPr/>
      </w:pPr>
      <w:bookmarkStart w:id="23" w:name="__RefHeading___Toc1625350_2314609296"/>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بقي في المقام التنبيه على أمور</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1625352_2314609296"/>
      <w:bookmarkStart w:id="26" w:name="_Toc10"/>
      <w:bookmarkEnd w:id="25"/>
      <w:r>
        <w:rPr>
          <w:rtl w:val="true"/>
        </w:rPr>
        <w:t>[</w:t>
      </w:r>
      <w:r>
        <w:rPr>
          <w:rtl w:val="true"/>
        </w:rPr>
        <w:t>اختصاص القاعدة بحال الجهل بالضرر</w:t>
      </w:r>
      <w:r>
        <w:rPr>
          <w:rtl w:val="true"/>
        </w:rPr>
        <w:t>]</w:t>
      </w:r>
      <w:bookmarkEnd w:id="2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بنائهم على تعميم مفاد القاعدة المزبورة و حكومتها على سائر القواعد التي منها أصالة اللزوم في المعاملات الضرريّة خصوصا العينيّة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التزموا باختصاص جريانها بحال الجهل بالضرر في هذه المعاملات، جريا على ما تسلّموا من كون هذه القاعدة سيقت في مورد</w:t>
      </w:r>
    </w:p>
    <w:p>
      <w:pPr>
        <w:pStyle w:val="BookText"/>
        <w:rPr/>
      </w:pPr>
      <w:r>
        <w:rPr>
          <w:rFonts w:ascii="Amiri" w:hAnsi="Amiri" w:eastAsia="Amiri" w:cs="Amiri"/>
          <w:color w:val="111111"/>
          <w:sz w:val="28"/>
          <w:sz w:val="28"/>
          <w:szCs w:val="28"/>
          <w:rtl w:val="true"/>
          <w:lang w:bidi="ar-SA"/>
        </w:rPr>
        <w:t>الامتنان، و لا امتنان في رفع اللزوم على العالم بالضرر و المقدم عليه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التزموا أيضا في المقدم على الجنابة بل و في كلّ موضوع يكون حكمه ضرريّا أيضا برفع حكمه، و أفتوا بعدم وجوب غسل الجنابة على المقدم على الجنابة مع علمه باضطراره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ربّما يتوجه الإشكال في الفرق بين المقامين بحيث لا يكون ثبوت الحكم في الأوّل خلاف الامتنان، بخلاف الأخير مع تساويهما في صدق الإقدام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 هذا الإشكال أستاذنا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المدار في منع جريان القاعدة على صدق الإقدام على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في المعاملات الضرريّة مع العلم بها موجود، إذ الإقدام على تبديل شي‌ء بنصفه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إقدام على الضرر، و هذا بخلاف الإقدام على موضوع كالجنابة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الغسل، إذ صدق اقدامه على الضرر لا يكون إلاّ بتوسيط ثبوت الوجوب، و إلاّ لا يكاد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إقدامه على الضرر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ثبوت هذا الوجوب فرع صدق الإقدام على الضرر و هو دور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تقريره في الجزء الأوّل من كلامه فنقول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المعلوم أنّ مدار مانعيّة الضرر للزوم المعاملة ليس على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الضرر المعاملي بنفس صحّة المعاملة قد حدث جزما، و لا مجال لنفي هذا الضرر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فلازمه بطلان المعاملة، و هو خارج عن مصبّ كلماتهم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فعمدة النظر في نفي اللزوم نفي بقاء الحادث، و لذا يحدث خيارا موجبا للحلّ من حين الفسخ، لا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فمفاد عموم نفي الضرر نفي بقاء الضرر، لا</w:t>
      </w:r>
    </w:p>
    <w:p>
      <w:pPr>
        <w:pStyle w:val="BookText"/>
        <w:rPr/>
      </w:pPr>
      <w:r>
        <w:rPr>
          <w:rFonts w:ascii="Amiri" w:hAnsi="Amiri" w:eastAsia="Amiri" w:cs="Amiri"/>
          <w:color w:val="111111"/>
          <w:sz w:val="28"/>
          <w:sz w:val="28"/>
          <w:szCs w:val="28"/>
          <w:rtl w:val="true"/>
          <w:lang w:bidi="ar-SA"/>
        </w:rPr>
        <w:t>نفي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فمع العلم بغبنيّة المعاملة فلا إشكال في صدق إقدامه على حدوث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إقدامه على بقاء هذا الضرر فصدقه منوط بثبوت اللزوم، إذ لولاه لما يكاد يصدق عليه الإقدام على ضرره، إذ المفروض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مال بنصفه مع خياره لا تكون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 هذا اللزوم ثبوته في المورد منوط بالإقدام فدار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فتطبيق العموم على بقاء الضرر دوريّ، و على حدوثه كان موجبا لبطلان المعاملة و لم يلتزموا به، بل حدوث الضرر المعاملي خارج عن مصبّ العموم رأسا،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تقريره في الجزء الثاني ففيه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الغسل و غيره من الأحكام الثابتة لموضوعاتها لدليلها إطلاق يشمل حال الضرر بحيث لو لم يكن في البين مثل هذه الكبرى في الضرر لكان يثبت حتى مع استلزامه الضرر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بخلاف كبرى لا ضرر، فإنّه لا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سياقها الامتناني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لصورة الإقدام على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مقتضى إطلاق دليل وجوب الغسل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تنجيزيّا، و مقتضى تقييد دليل نفي الضرر كون اقتضاء نفيه معلّقا بعدم صدق الإقدام، و حينئذ يدور الأمر بين الأخذ بالمقتضى التنجيزي و نحكم بارتفاع دليل المانع للتخصيص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المانع التعليقي، و نحكم برفع اليد عن المقتضى التنجيزي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 حينئذ حكم العقل بالأخذ بالمقتضى التنجيزي و طرح المانع التعليقي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تطبيق المانع في مورد منوطا بعدم تأثير المقتضي يستحيل رافعية هذا المانع لتأثير هذا المقتضي، فقهرا يؤثر المقتضي و يرتفع المانع،</w:t>
      </w:r>
    </w:p>
    <w:p>
      <w:pPr>
        <w:pStyle w:val="BookText"/>
        <w:rPr/>
      </w:pPr>
      <w:r>
        <w:rPr>
          <w:rFonts w:ascii="IRNazanin" w:hAnsi="IRNazanin" w:eastAsia="IRNazanin"/>
          <w:color w:val="111111"/>
          <w:sz w:val="28"/>
          <w:sz w:val="28"/>
          <w:szCs w:val="28"/>
          <w:rtl w:val="true"/>
          <w:lang w:bidi="fa-IR"/>
        </w:rPr>
        <w:t>لعدم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شئت قرّب الدور بوجه آخر، و هو أنّ عدم صدق الإقدام فرع عدم وجوب الغسل، و هو فرع عدم صدق الإقدام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تريد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 لا ضرر إنّما يشمل حكما لو لا هذا العموم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الإقدام على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نحن فيه ليس كذلك، إذ لو لا عموم لا ضرر صدق على المورد الإقدام على الضرر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لا مجال لنفي هذا الحكم بعموم نفي الضرر، بل لا بدّ من التماس دليل آخر من كبرى حرمة الإضرار بالنفس الوارد في جملة من النصوص على ما في تحف العقول </w:t>
      </w:r>
      <w:r>
        <w:rPr>
          <w:rStyle w:val="FootnoteAnchor"/>
          <w:rtl w:val="true"/>
        </w:rPr>
        <w:footnoteReference w:id="25"/>
      </w:r>
      <w:r>
        <w:rPr>
          <w:rFonts w:ascii="Amiri" w:hAnsi="Amiri" w:eastAsia="Amiri" w:cs="Amiri"/>
          <w:color w:val="111111"/>
          <w:sz w:val="28"/>
          <w:sz w:val="28"/>
          <w:szCs w:val="28"/>
          <w:rtl w:val="true"/>
          <w:lang w:bidi="ar-SA"/>
        </w:rPr>
        <w:t xml:space="preserve">و غيره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هذه الكبرى كانت مفسدته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كمصلحة الوجوب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نفي الوجوب أيضا على العلم بالضرر، لا العلم بالوجوب و لو مع الجهل بضرريّته، كما هو لازم تطبيق هذه الكبرى، كما تقدّم شرحه في العبادات الضرريّة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تقدّم أيضا أنّ مبنى الخيارات الضرريّة أيضا ليس مثل هذه الكبرى، و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قاصرة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إثبات الحق القابل للإسقاط أو النقل و الانتقال، و ذلك كلّه من شواهد ما تلوناه من منع التعميم في مفاد هذه الكبرى كما توهّم، فتدبّر</w:t>
      </w:r>
      <w:r>
        <w:rPr>
          <w:rFonts w:eastAsia="Amiri" w:cs="Amiri" w:ascii="Amiri" w:hAnsi="Amiri"/>
          <w:color w:val="111111"/>
          <w:sz w:val="28"/>
          <w:szCs w:val="28"/>
          <w:rtl w:val="true"/>
          <w:lang w:bidi="ar-SA"/>
        </w:rPr>
        <w:t>.</w:t>
      </w:r>
      <w:bookmarkStart w:id="27" w:name="pg19655_211006"/>
    </w:p>
    <w:p>
      <w:pPr>
        <w:pStyle w:val="Heading5"/>
        <w:numPr>
          <w:ilvl w:val="4"/>
          <w:numId w:val="1"/>
        </w:numPr>
        <w:rPr/>
      </w:pPr>
      <w:bookmarkStart w:id="28" w:name="__RefHeading___Toc1625354_2314609296"/>
      <w:bookmarkStart w:id="29" w:name="_Toc11"/>
      <w:bookmarkEnd w:id="27"/>
      <w:bookmarkEnd w:id="28"/>
      <w:r>
        <w:rPr>
          <w:rtl w:val="true"/>
        </w:rPr>
        <w:t>[</w:t>
      </w:r>
      <w:r>
        <w:rPr>
          <w:rtl w:val="true"/>
        </w:rPr>
        <w:t>هل الضرر المنفي هو النوعي أو الشخصي؟</w:t>
      </w:r>
      <w:r>
        <w:rPr>
          <w:rtl w:val="true"/>
        </w:rPr>
        <w:t>]</w:t>
      </w:r>
      <w:bookmarkEnd w:id="29"/>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المختار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تكاد تنتهي النوبة إلى النزاع الآتي </w:t>
      </w:r>
      <w:r>
        <w:rPr>
          <w:rStyle w:val="FootnoteAnchor"/>
          <w:rtl w:val="true"/>
        </w:rPr>
        <w:footnoteReference w:id="27"/>
      </w:r>
      <w:r>
        <w:rPr>
          <w:rFonts w:ascii="Amiri" w:hAnsi="Amiri" w:eastAsia="Amiri" w:cs="Amiri"/>
          <w:color w:val="111111"/>
          <w:sz w:val="28"/>
          <w:sz w:val="28"/>
          <w:szCs w:val="28"/>
          <w:rtl w:val="true"/>
          <w:lang w:bidi="ar-SA"/>
        </w:rPr>
        <w:t>، لأنّ مفاده إرشاد إلى مقدار تقتضي القواعد الأوّلية ذلك، و لا يكون مفاده تأسيس شي‌ء في قبالها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بدّ من التماس وجه آخر يقتضي عدم مشروعية الضرر و لو من إطباق كلمة الأصحاب في مقام تشبّثهم بها لمحض الكشف عن كبرى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ما توهّم يجي‌ء نزاع آخر من أنّ الضرر المنفيّ هو الضرر الشخصي أو النوعي؟</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كلّ عنوان لا يحكي إلاّ عن معنونه و ما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 عدم انتزاع عنوان من العناوين إلاّ عن مقام فعليّة الشي‌ء الملازم لصورته التي بها قوام شيئيّته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يبقى مجال توهّم إطلاق عنوان الضرر و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الضرر الثاني </w:t>
      </w:r>
      <w:r>
        <w:rPr>
          <w:rStyle w:val="FootnoteAnchor"/>
          <w:rtl w:val="true"/>
        </w:rPr>
        <w:footnoteReference w:id="28"/>
      </w:r>
      <w:r>
        <w:rPr>
          <w:rFonts w:ascii="Amiri" w:hAnsi="Amiri" w:eastAsia="Amiri" w:cs="Amiri"/>
          <w:color w:val="111111"/>
          <w:sz w:val="28"/>
          <w:sz w:val="28"/>
          <w:szCs w:val="28"/>
          <w:rtl w:val="true"/>
          <w:lang w:bidi="ar-SA"/>
        </w:rPr>
        <w:t>، بل لا محيص من إرادة الفعليّ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قد يبقى في المقام 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المدار في الضرر النافي للأحكام هو الضرر الفعليّ الوارد على كلّ شخص شخص، أو المدار على الضرر الفعليّ الوارد على نوعهم؟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 يبقى مجال ترجيح الأوّل بكبرى ظهور العنوان في الفعليّة، بل لا بدّ من وجه آخر و لو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إلقاء مثل هذا الخطاب على الأشخاص كون هذا العنوان صادقا في حقّهم، و لا يكاد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بإرادة</w:t>
      </w:r>
      <w:bookmarkStart w:id="30" w:name="pg19655_211007"/>
    </w:p>
    <w:p>
      <w:pPr>
        <w:pStyle w:val="BookText"/>
        <w:rPr/>
      </w:pPr>
      <w:bookmarkEnd w:id="30"/>
      <w:r>
        <w:rPr>
          <w:rFonts w:ascii="Amiri" w:hAnsi="Amiri" w:eastAsia="Amiri" w:cs="Amiri"/>
          <w:color w:val="111111"/>
          <w:sz w:val="28"/>
          <w:sz w:val="28"/>
          <w:szCs w:val="28"/>
          <w:rtl w:val="true"/>
          <w:lang w:bidi="ar-SA"/>
        </w:rPr>
        <w:t>الضرر الفعليّ الوارد عليهم لا على نوعهم و إن يكن بالنسبة إلى بعض أشخاصهم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هذه الجهة أيضا مبنية على كون هذا العنوان مأخوذا في حيّز الخطاب بنحو الموضوعية للحكم أو بنحو العلية، و إلاّ فربّما يكون حكمه غير سار في جميع موارد الحكم و لو في حق النوع فضلا عن الشخص قبال العلية المقتضية للسريان في الموارد حسب الملازمة بين العلة و معلولها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ربّما يشكل تمييز موارد العلية عن الحكمة، و لا غرو في دعوى ان ظاهر التعليل هو العلّية و انّ الحكمة تحتاج إلى قرينة من الخارج، و لا مجال للتشبّث بإطلاق الحكم حتى في صور فقد هذا العنوان لإثبات كونه حكمة، إذ ظهور العلية حاكم على إطلاق الحكم المعلّل به، و لذا ترى ديدنهم على تضييق دائرة الحكم أو توسعته من قبل ضيق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مقام تشريع الأحكام و بيان جعلها بنحو الإهمال لو علّل بجهة أمكن منع استفادة العلية من مثله، إذ ظهور حاله في كونه في مقام إهمال الجعل و المجعول يمنع عن الأخذ بإطلاق كلامه بنحو يستفاد منه بيان علة تشريعه، بل لهذا المقام كمال المناسبة مع كون العلل المذكورة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بالتدبّر التام في أمثال المقام كي تمتاز هذه مع كونه في مقام بيان الأحكام و شرع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مرحلة هذه القاعدة أجنبية عن هذه الورطة، بل ظاهر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أخذ عنوان الضرر موضوع الحكم بنفيه مع إلقاء هذا الخطاب إلى أشخاص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المدار فيه على الضرر الشخصي، كما هو ظاهر</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1625356_2314609296"/>
      <w:bookmarkStart w:id="32" w:name="_Toc12"/>
      <w:bookmarkEnd w:id="31"/>
      <w:r>
        <w:rPr>
          <w:rtl w:val="true"/>
        </w:rPr>
        <w:t>[</w:t>
      </w:r>
      <w:r>
        <w:rPr>
          <w:rtl w:val="true"/>
        </w:rPr>
        <w:t>الشك في الضرر شبهة مصداقية</w:t>
      </w:r>
      <w:r>
        <w:rPr>
          <w:rtl w:val="true"/>
        </w:rPr>
        <w:t>]</w:t>
      </w:r>
      <w:bookmarkEnd w:id="3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الضرر عند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الشبهات المصداقيّة المقتضية لعدم ترتّب حكم عليه من حرمة أو غيره سواء في المضار النفسية أو غيرها، كما</w:t>
      </w:r>
    </w:p>
    <w:p>
      <w:pPr>
        <w:pStyle w:val="BookText"/>
        <w:rPr/>
      </w:pPr>
      <w:r>
        <w:rPr>
          <w:rFonts w:ascii="Amiri" w:hAnsi="Amiri" w:eastAsia="Amiri" w:cs="Amiri"/>
          <w:color w:val="111111"/>
          <w:sz w:val="28"/>
          <w:sz w:val="28"/>
          <w:szCs w:val="28"/>
          <w:rtl w:val="true"/>
          <w:lang w:bidi="ar-SA"/>
        </w:rPr>
        <w:t>هو الشأن في كلّ حكم شك في مصداقه، بل في المقام يترتّب آثار حكم آخر كان لولاه ثابتا، نظرا إلى أنّ نسبة هذا العنوان إليه كنسبة التزاحم الراجع إلى مزاحمة المانع مع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مثله كان الأمر للمقتضي حتى مع الشك في المانع، و ذلك أيضا لا من جهة تماميّة قاعدة المقتضي و المانع على الإطلاق، بل إنّما هو لخصوصيّة فيه بملاحظة أنّ مرجع هذا المانع إلى عدم قدرة الحاكم لتوسعة حكمه مع تماميّة مقتضيه، فيكون نظير عدم قدرة المحكوم له على الامتثال، حيث إنّ العقل حاكم بالأخذ باحتمال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يرى مجرى البراءة إلاّ مورد الشك في أصل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هذه الجهة نلتزم في جميع مزاحمات الأحكام عند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وجود الحكم بالاحتياط لا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يجمع بمثل هذا البيان بين القول بمنع الملازمة بين حكم العقل و الشرع و القول بها، بالالتزام بالأوّل رأيا و بالأخير عملا، نظرا إلى أنّ احتمال وجود المانع عن فعليّة الحكم مع الجزم بالاقتضاء و المصلحة فيه بمنزلة العدم من جهة حكم العقل بالأخذ باحتمال الحكم الفعليّ احتياطا،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أيضا لا محيص من الرجوع إلى الوظيفة الثابتة لو لا هذا العموم من مشروعيّة شي‌ء أو وجوبه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بعض الموارد قدّم احتمال الضرر، و رفع اليد عن الحكم بمحض خوفه، إيجابا للاحتياط فيه، و لعلّه مختصّ بموارده المنصوصة لو لا التعدّي منها، نظرا إلى استفادة هذا الاهتمام في سنخها، كما هو الشأن في النفوس و الأعراض، فتدبّر و اللّه العالم</w:t>
      </w:r>
      <w:r>
        <w:rPr>
          <w:rFonts w:eastAsia="Amiri" w:cs="Amiri" w:ascii="Amiri" w:hAnsi="Amiri"/>
          <w:color w:val="111111"/>
          <w:sz w:val="28"/>
          <w:szCs w:val="28"/>
          <w:rtl w:val="true"/>
          <w:lang w:bidi="ar-SA"/>
        </w:rPr>
        <w:t>.</w:t>
      </w:r>
      <w:bookmarkStart w:id="33" w:name="pg19655_211167"/>
    </w:p>
    <w:p>
      <w:pPr>
        <w:pStyle w:val="Heading3"/>
        <w:numPr>
          <w:ilvl w:val="2"/>
          <w:numId w:val="1"/>
        </w:numPr>
        <w:rPr/>
      </w:pPr>
      <w:bookmarkStart w:id="34" w:name="__RefHeading___Toc1625358_2314609296"/>
      <w:bookmarkStart w:id="35" w:name="_Toc13"/>
      <w:bookmarkEnd w:id="33"/>
      <w:bookmarkEnd w:id="34"/>
      <w:r>
        <w:rPr>
          <w:rtl w:val="true"/>
        </w:rPr>
        <w:t>خاتمة في الاجتهاد و التّقليد</w:t>
      </w:r>
      <w:bookmarkEnd w:id="3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 w:name="__RefHeading___Toc1625360_2314609296"/>
      <w:bookmarkStart w:id="37" w:name="_Toc14"/>
      <w:bookmarkEnd w:id="36"/>
      <w:r>
        <w:rPr>
          <w:rtl w:val="true"/>
        </w:rPr>
        <w:t>المقالة السّادسة و العشرون الاجتهاد</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السادسة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الجهد بمعنى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أطلق عناية في الصدر الأوّل على إعمال القواعد لاستخراج الأحكام، لأنّ فيه نحو تحمّل للمشقّة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لوازمه استفراغ الوسع لإعمال القواعد المزبورة المنتهية إلى القطع بالوظيفة الفعليّة من الأحكام الواقعيّة تارة و من الظاهريّة أخرى، شرعيّة كانت هذه أيضا أو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يخرج إعمال مسائل الانسداد عن الاجتهاد حتى على الحكومة، بل و يدخل فيه إعمال القواعد العقليّة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البراءة و الاحتياط و التخيير، و الحال أنّ نتيجتها ليست الظنّ بالحكم الشرعي أصلا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لا يبقى مجال شرح الاجتهاد بما عن الحاجبي </w:t>
      </w:r>
      <w:r>
        <w:rPr>
          <w:rStyle w:val="FootnoteAnchor"/>
          <w:rtl w:val="true"/>
        </w:rPr>
        <w:footnoteReference w:id="29"/>
      </w:r>
      <w:r>
        <w:rPr>
          <w:rFonts w:ascii="Amiri" w:hAnsi="Amiri" w:eastAsia="Amiri" w:cs="Amiri"/>
          <w:color w:val="111111"/>
          <w:sz w:val="28"/>
          <w:sz w:val="28"/>
          <w:szCs w:val="28"/>
          <w:rtl w:val="true"/>
          <w:lang w:bidi="ar-SA"/>
        </w:rPr>
        <w:t>من استفراغ الوسع لتحصيل الظنّ بالحكم إلّا من باب شرح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يكون مثل ذلك</w:t>
      </w:r>
    </w:p>
    <w:p>
      <w:pPr>
        <w:pStyle w:val="BookText"/>
        <w:rPr/>
      </w:pPr>
      <w:r>
        <w:rPr>
          <w:rFonts w:ascii="Amiri" w:hAnsi="Amiri" w:eastAsia="Amiri" w:cs="Amiri"/>
          <w:color w:val="111111"/>
          <w:sz w:val="28"/>
          <w:sz w:val="28"/>
          <w:szCs w:val="28"/>
          <w:rtl w:val="true"/>
          <w:lang w:bidi="ar-SA"/>
        </w:rPr>
        <w:t>المعنى غاية لتنقيح القواعد الممهّدة للاستنباط، و لازم ذلك كونه من غايات الأصول، و لذا كان شأن الأصولي تعريفه في ذيل خاتمة العلم و الكتاب كما هو دأبهم، و مثل ذلك المعنى جهة مشتركة بين العامّة و الخاصّة الأصوليين منهم و الأخباريين، غاية الأمر ربّما تختلف أنظارهم في بعض القواعد و حجّيتها، مثل اختلاف القدماء في حجّية القياس و الاستحسان، و المتأخّرين في حجيّة القطع الناشئ عن الأحكام العقليّة و تماميّة البراءة في الشبهات التحريميّة البدويّة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فطعن كلّ طائفة في 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طعن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اختيار بعض القواعد، نظير طعن القائلين بالظنّ المطلق من المجتهدين على القائل بالظنون الخاصّة و بالعكس، و إلّا فلا مجال للطعن في اجتهادهم و إعمال كل طائفة منهم قواعدهم إلّا مع تقصيرهم في مقدّمات الإعمال من جهة الفحص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من الاجتهاد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 كما هو الشأن في الفتوى و القضاء و غيرهما من سائر الموارد المحفوظة في ضمن الهيئات المصدريّة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مشتقّاتها الوصفية كالمجتهد و القاضي و المفتي و أمثال ذلك من سائر الأوصاف العرفية إنّما أخذ في مفاد هيئاتها نحو توسعة في التلبس الصادق مثل تلك العناوين على من له ملكة هذه المواد و ان لم يكن له فعلية، لصدق المجتهد و التاجر على النائم و الغافل و أمثالهما ففي الحقيقة مثل تلك التوسعة من مضامين الهيئة و غير مأخوذة في المادّة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فشرح الاجتهاد و القضاء بالملكة المزبورة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يظهر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تلك الصيغ من المشتقّات و المصادر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الغرض من إعمال القواعد لمّا كان هو الوصول إلى تحصيل الوظيفة الفعليّة العمليّة فلا يكاد يتوصّل إلى مثل هذا الغرض إلّا بإعمال كلّ ما يحتاج إليه</w:t>
      </w:r>
    </w:p>
    <w:p>
      <w:pPr>
        <w:pStyle w:val="BookText"/>
        <w:rPr/>
      </w:pPr>
      <w:r>
        <w:rPr>
          <w:rFonts w:ascii="Amiri" w:hAnsi="Amiri" w:eastAsia="Amiri" w:cs="Amiri"/>
          <w:color w:val="111111"/>
          <w:sz w:val="28"/>
          <w:sz w:val="28"/>
          <w:szCs w:val="28"/>
          <w:rtl w:val="true"/>
          <w:lang w:bidi="ar-SA"/>
        </w:rPr>
        <w:t xml:space="preserve">في المسألة من القواعد، و حينئذ فلا محيص من قدرة المجتهد على إعمال جميعها، و إلّا فلو لم يقدر إلّا على إعمال البعض فلا يكاد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 المزبورة، و مع عدمها فلا يكاد يتحقّق الاجتهاد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يقبل الاجتهاد للتجزّي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قدر على إعمال جميع القواعد المحتاج إليها في مسألة خاصّة فلا قصور في صدق اجتهاده في شخص تلك المسألة و إن قصر 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إعمال قواعد مسألة أخرى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بالمسألة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عدم التفكيك بين المسائل في حصول القدرة على إعمالها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جهة وجود جهة خفيّة في تطبيقها على المورد مع كون القاعدة عنده منقحة فضلا عن عدم تنقيحه بعض قواعدها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السقوط، لاختلاف درجات الفهم و النظر على وجه لا يكاد يخفى على ذي مسكة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سمّيت الملكة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الموجبة للقدرة على مراتب الاستنباط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يكاد للمتجزّي فيه بذلك المعنى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ذلك لا يمنع هذا المقدار عن العمل بما استنبطه في سائر المسائل بإعمال قواعده إلّا على القول باختصاص حجّيتها بعنوان المجتهد بالمعنى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إثبات كل واحدة من المقدّمتين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إجراء سائر وظائف المجتهدين على مثله كلام، إذ الموضوع في مثلها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بالأحكام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 عمّن علم بحكم مسألة أو مسألتين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عموم من عرف شيئا من أحكامنا </w:t>
      </w:r>
      <w:r>
        <w:rPr>
          <w:rStyle w:val="FootnoteAnchor"/>
          <w:rtl w:val="true"/>
        </w:rPr>
        <w:footnoteReference w:id="30"/>
      </w:r>
      <w:r>
        <w:rPr>
          <w:rFonts w:ascii="Amiri" w:hAnsi="Amiri" w:eastAsia="Amiri" w:cs="Amiri"/>
          <w:color w:val="111111"/>
          <w:sz w:val="28"/>
          <w:sz w:val="28"/>
          <w:szCs w:val="28"/>
          <w:rtl w:val="true"/>
          <w:lang w:bidi="ar-SA"/>
        </w:rPr>
        <w:t>أيضا غير ظاهر الشمول لمثله</w:t>
      </w:r>
    </w:p>
    <w:p>
      <w:pPr>
        <w:pStyle w:val="BookText"/>
        <w:rPr/>
      </w:pPr>
      <w:r>
        <w:rPr>
          <w:rFonts w:ascii="Amiri" w:hAnsi="Amiri" w:eastAsia="Amiri" w:cs="Amiri"/>
          <w:color w:val="111111"/>
          <w:sz w:val="28"/>
          <w:sz w:val="28"/>
          <w:szCs w:val="28"/>
          <w:rtl w:val="true"/>
          <w:lang w:bidi="ar-SA"/>
        </w:rPr>
        <w:t xml:space="preserve">خصوصا مع صدور مثل هذا الكلام عمّن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جواز تقليد غيره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إطلاق لدليل التقليد الشامل لمثله مع فرض وجود الأعلم منه و لو في سائر المسائل، فضلا عن تلك المسألة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الكلام في هذه الجهة أيضا في طيّ مسائل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القواعد المعمولة في كل مسألة لا بدّ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مجتهدا فيها بحيث لو فرض تقليده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كانت النتيجة تقليديّة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ففي الاكتفاء باجتهاده في سائر القواعد و تطبيقها على المسألة بضميمة تطبيق المسألة التقليدية عليها و أخذ نتيجة المسألة و العمل فيها حتى مع مخالفة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المجتهدين في المسألة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اقتضاء دليل التقليد إلّا وجوب رجوع الجاهل بكلّ جهة المسألة إلى العالم، و في المسألة المزبورة لا يكون هذا الشخص جاهلا بجميع جهات المسألة، فلا يجب عليه التقليد إلّا في هذا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الجاهل بجهة من جهات المسألة جاهل بنفس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النتيجة تابعة لأخسّ المقدّمات، بضميمة أنّه حينئذ داخل في معاقد إجماعهم بأنّ من لم يكن مجتهدا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يجب عليه التقليد في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عارفا ببعض جهات المسألة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إتمام مثل هذا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الارتكاز من وجوب رجوع الجاهل بكلّ مسألة إلى العالم بشخص هذه المسألة دون سائر الجهات التي يرى هذا المقلّد نظر غيره خطأ، و أنّ المدار التامّ في سائر الجهات على</w:t>
      </w:r>
    </w:p>
    <w:p>
      <w:pPr>
        <w:pStyle w:val="BookText"/>
        <w:rPr/>
      </w:pPr>
      <w:r>
        <w:rPr>
          <w:rFonts w:ascii="Amiri" w:hAnsi="Amiri" w:eastAsia="Amiri" w:cs="Amiri"/>
          <w:color w:val="111111"/>
          <w:sz w:val="28"/>
          <w:sz w:val="28"/>
          <w:szCs w:val="28"/>
          <w:rtl w:val="true"/>
          <w:lang w:bidi="ar-SA"/>
        </w:rPr>
        <w:t>شخص نظره دون نظر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إشكال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المسألة بعد ذلك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الإشكال و الإجمال، بل الواجب في مثله متابعة غيره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يطابق رأيه في سائر الجهات بأخذ فتواه أيضا احتياطا، و لا يجب عليه تكرار العمل تارة باجتهاده الناقص و أخرى على طبق فتوى غيره تحصيلا للمفرّغ التعيّني،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القواعد المعمول بها لا بدّ أن تكون واقعة في طريق استنباط الأحكام الكليّة، و أمّا الواقعة في طريق تطبيق الأحكام الكليّة على مصاديقها من مثل قواعد الحساب و الهيئة و أمثالهما فهي غير مرتبطة بمرحلة الاجتهاد المعروف بل لا بأس برجوع المجتهد إلى العالم بها من باب رجوعه إلى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القواعد المحتاج إليها في المقام هي كلّ كلّي يقع في طريق الاستنباط للحكم الكلّي و لو بالواسطة، فلا يضرّ بذلك حرمة نتيجة شخصه بلا واسطة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فالمسائل الرجاليّة و إن كانت منتجة لمعرفة حال أشخاص خاصّة لكن من جهة أن نتيجتها بالأخرة حكم كلّي إلهي كانت هذه من القواعد المزبورة، و لذا يحتاج إليها من التزم بحجيّة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المزكّى بتزكية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التزم بحجيّة الخبر الموثوق الصدور من أي وجه 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بتوسيط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فطريق تحصيل الوثوق غالبا ليس إلّا عملهم، و إلّا فما هو مطروح لديهم كان موهون الصدور و غير مشمول لدليل الحجيّة و إن كانت رواية في غاية الاعتبار و العدالة، و ما هو معمول به لديهم فهو موثوق به و إن كانت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ترى ديدن الوحيد البهبهاني في حاشية المدارك </w:t>
      </w:r>
      <w:r>
        <w:rPr>
          <w:rStyle w:val="FootnoteAnchor"/>
          <w:rtl w:val="true"/>
        </w:rPr>
        <w:footnoteReference w:id="33"/>
      </w:r>
      <w:r>
        <w:rPr>
          <w:rFonts w:ascii="Amiri" w:hAnsi="Amiri" w:eastAsia="Amiri" w:cs="Amiri"/>
          <w:color w:val="111111"/>
          <w:sz w:val="28"/>
          <w:sz w:val="28"/>
          <w:szCs w:val="28"/>
          <w:rtl w:val="true"/>
          <w:lang w:bidi="ar-SA"/>
        </w:rPr>
        <w:t xml:space="preserve">على الاتكال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اتكل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مصرّحا بأنّ ضعفها منجبر بالشهرة، ردّا على صاحب المدارك الطارح للرواية بمحض ضعف سندها بحسب القواعد الرجاليّة مبنيّا على أصله من حجيّة الخبر المصحّح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المزكّى بتزكية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اقتضاء القواعد الظاهريّة للمجتهد الإجزاء بما عمل فيها حتى مع كشف خلافها كلاما طويلا و 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مسألة الإجزاء و بنينا هناك على عدم الإجزاء إلّا في صورة كون القاعدة الظاهريّة الجارية اقتضت توسعة موضوع الحكم الواقعي حقيقة، و إلّا فإطلاق الأدلّة الواقعية يقتضي عدم الإجزاء بالمأتي به حتى على الموضوعيّة و السببيّة فضلا عن الطريقيّة من دون فرق في ذلك بين مفاد أدلّة الطرق أو الأصول، بل و لقد نقّحنا الكلام في بحث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بأنّ مفاد أدلّة الطرق و بعض الأصول هي الطريقية المحضة المستلزمة لتخطئة نظر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الواقعيّات أحيانا بلا لزوم تصويبهم مطلقا حتى التصويب في الأحكام الفعليّة الواقعيّة فضلا عن التصويب في مقتضياتها و مرتبة إنشائها و إن كان ذلك أيضا ممكنا، بتقريب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المصالح و إنشاءاتها الموجبة في حقّ المكلّفين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الأداء لا بشرطها و لا لا بشرطها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بيان المحقّق القمّي في شرح وضع الألفاظ بكونه في حال الانفراد لا بشرطه و لا لا بشرطه </w:t>
      </w:r>
      <w:r>
        <w:rPr>
          <w:rStyle w:val="FootnoteAnchor"/>
          <w:rtl w:val="true"/>
        </w:rPr>
        <w:footnoteReference w:id="34"/>
      </w:r>
      <w:r>
        <w:rPr>
          <w:rFonts w:ascii="Amiri" w:hAnsi="Amiri" w:eastAsia="Amiri" w:cs="Amiri"/>
          <w:color w:val="111111"/>
          <w:sz w:val="28"/>
          <w:sz w:val="28"/>
          <w:szCs w:val="28"/>
          <w:rtl w:val="true"/>
          <w:lang w:bidi="ar-SA"/>
        </w:rPr>
        <w:t>، و ذلك المقدار لا يوجب دورا و لا يمنع عن فحصها، لاحتمال كونه مشمول الخطابات، فيفحص فإن ظفر بها فهو، و إلّا فيجزم</w:t>
      </w:r>
    </w:p>
    <w:p>
      <w:pPr>
        <w:pStyle w:val="BookText"/>
        <w:rPr/>
      </w:pPr>
      <w:r>
        <w:rPr>
          <w:rFonts w:ascii="Amiri" w:hAnsi="Amiri" w:eastAsia="Amiri" w:cs="Amiri"/>
          <w:color w:val="111111"/>
          <w:sz w:val="28"/>
          <w:sz w:val="28"/>
          <w:szCs w:val="28"/>
          <w:rtl w:val="true"/>
          <w:lang w:bidi="ar-SA"/>
        </w:rPr>
        <w:t>بعدم جعل حكم في حقّه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قد عرفت أنّه خلاف مقتضيات أدلّة الطرق و إطلاقات الأحكام الواقعيّة علاوة عمّا ورد من الأخبار المتواترة </w:t>
      </w:r>
      <w:r>
        <w:rPr>
          <w:rStyle w:val="FootnoteAnchor"/>
          <w:rtl w:val="true"/>
        </w:rPr>
        <w:footnoteReference w:id="35"/>
      </w:r>
      <w:r>
        <w:rPr>
          <w:rFonts w:ascii="Amiri" w:hAnsi="Amiri" w:eastAsia="Amiri" w:cs="Amiri"/>
          <w:color w:val="111111"/>
          <w:sz w:val="28"/>
          <w:sz w:val="28"/>
          <w:szCs w:val="28"/>
          <w:rtl w:val="true"/>
          <w:lang w:bidi="ar-SA"/>
        </w:rPr>
        <w:t>على اشتراك أحكامه المجعولة بين العالم و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فينحصر أمر التصويب بخصوص الأحكام الظاهريّة التي هي مفاد أدلّتها شرعيّة أو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عمل المجتهد بما استنبطه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أزيد من شرائط تكليفه و اجتهاده بلا لزوم 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قضاؤه و حجيّة فتواه في حق غيره فلا إشكال في اعتبار العدالة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ما ورد </w:t>
      </w:r>
      <w:r>
        <w:rPr>
          <w:rStyle w:val="FootnoteAnchor"/>
          <w:rtl w:val="true"/>
        </w:rPr>
        <w:footnoteReference w:id="36"/>
      </w:r>
      <w:r>
        <w:rPr>
          <w:rFonts w:ascii="Amiri" w:hAnsi="Amiri" w:eastAsia="Amiri" w:cs="Amiri"/>
          <w:color w:val="111111"/>
          <w:sz w:val="28"/>
          <w:sz w:val="28"/>
          <w:szCs w:val="28"/>
          <w:rtl w:val="true"/>
          <w:lang w:bidi="ar-SA"/>
        </w:rPr>
        <w:t xml:space="preserve">من ردعهم عن قضاؤه العامّة بالتعبير عنهم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الفسقة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الظاهرة في دخل مثل تلك الجهة في مانعيّته عن جواز القضاوة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بعدم الفصل بين القضاوة و الفتوى في تلك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بعض الروايات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للعوام أن يقلّدوا من كان تاركا لهواه مطيعا لأمر مولاه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دلالته على المدّعى نظر، لأنّ ظاهر صدره في مقام بيان حكم</w:t>
      </w:r>
    </w:p>
    <w:p>
      <w:pPr>
        <w:pStyle w:val="BookText"/>
        <w:rPr/>
      </w:pPr>
      <w:r>
        <w:rPr>
          <w:rFonts w:ascii="Amiri" w:hAnsi="Amiri" w:eastAsia="Amiri" w:cs="Amiri"/>
          <w:color w:val="111111"/>
          <w:sz w:val="28"/>
          <w:sz w:val="28"/>
          <w:szCs w:val="28"/>
          <w:rtl w:val="true"/>
          <w:lang w:bidi="ar-SA"/>
        </w:rPr>
        <w:t xml:space="preserve">أصول الدين، فلا محيص في مثله من كون التقليد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التعبّد بقول الغير محضا، و لازمه حينئذ إمكان حمل مثل تلك القيود على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مثل هذا الشخص ينبغي حصول القطع من قوله فيتّبع، و لكن مع ذلك لا يخلو في نفس التعبير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مثلهم بالتقليد عن إشعاره في اعتبار العدالة في مثله، بل ربّما يشعر باعتبار على مراعاتها فيه، و ربّما يساعده الاعتبار لكونه في المقام الشامخ الذي لا يصلح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كلّ متظاهر بالحسن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 اتّباع الشهوات و من مظانّ الزلّات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مراتب الدركات و مجاري الهلكات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يتوهّم في مرجع التقليد و القضاوة أن لا يكون قائلا بحجيّة الظن المطلق من باب الحكومة من العقل، لعدم صدق العالم بالحكم و العارف بالحلال و الحرام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قضاؤه فيمكن صدق دعوى العارف بشي‌ء من أحكامهم على مثله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بالمسائل القطعيّة من جهة ضروريّة المسألة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ورود القرائن القطعية على وفق اختياره، أو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لفظيا أو معنويّا أو إجماليّا، فإنّ العالم بمثل هذه المواقع يصدق في حقّه أنّه عرف شيئا من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حجيّة فتواه في حقّ الغير فيمكن أن يقال إنّ المدار فيه على رجوع الجاهل بشخص الوظيفة إلى العالم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كان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أخذه 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الانسداد عن غير العالم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تعيين ما هو أقرب الطرق بنظره فيتعيّن حينئذ ما هو الأقرب بنظره و إن كان على خلاف نظر المجتهد القائل بالانسداد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لم يكن عارفا بتعيين ما هو الأقرب فيتعيّن عليه رجوعه إلى من</w:t>
      </w:r>
    </w:p>
    <w:p>
      <w:pPr>
        <w:pStyle w:val="BookText"/>
        <w:rPr/>
      </w:pPr>
      <w:r>
        <w:rPr>
          <w:rFonts w:ascii="Amiri" w:hAnsi="Amiri" w:eastAsia="Amiri" w:cs="Amiri"/>
          <w:color w:val="111111"/>
          <w:sz w:val="28"/>
          <w:sz w:val="28"/>
          <w:szCs w:val="28"/>
          <w:rtl w:val="true"/>
          <w:lang w:bidi="ar-SA"/>
        </w:rPr>
        <w:t>هو عالم بذلك التعيين فيأخذ بما هو أقرب الطرق بنظر مجتهده فيصير المقلّد بنفسه مجريا لدليل الانسداد بلا اعتبار تقليده في ذلك المقدار و مع ذلك لا يتعدّى عمّا استقرّ عليه رأي مجتهده، فمثل ذلك المعنى نحو اجتهاد مشوب بالتقليد و لا ضير فيه بعد ما يساعد 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كلتا الصورتين بين وجود آخر قائلا بالظنون الخاصّة أو لا، إذ من المعلوم أنّ في انحلال علمه الإجماليّ بوجود الطرق المعتبرة و عدمها </w:t>
      </w:r>
      <w:r>
        <w:rPr>
          <w:rStyle w:val="FootnoteAnchor"/>
          <w:rtl w:val="true"/>
        </w:rPr>
        <w:footnoteReference w:id="38"/>
      </w:r>
      <w:r>
        <w:rPr>
          <w:rFonts w:ascii="Amiri" w:hAnsi="Amiri" w:eastAsia="Amiri" w:cs="Amiri"/>
          <w:color w:val="111111"/>
          <w:sz w:val="28"/>
          <w:sz w:val="28"/>
          <w:szCs w:val="28"/>
          <w:rtl w:val="true"/>
          <w:lang w:bidi="ar-SA"/>
        </w:rPr>
        <w:t>، إذا كان جاهلا فكما أنّ له الرجوع إلى العالم بالمسألة الفرعيّة كذلك له الرجوع إلى العالم بالمسألة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بذلك أنّه مع علمه بخطإ المجتهد في تطبيق القواعد الأصوليّة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استخراجه فرعا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عليه التقليد في المسألة الأصولية دون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بالنسبة إلى المسألة الفرعيّة و إن كان يتعيّن عليه الرجوع إلى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لانحصاره بخصوصه و لكن ليس عليه خصوص الرجوع إلى الغير في المسألة الفرعيّة بل له أيضا الرجوع إلى خصوص العالم في المسألة الأصوليّة ففي تلك المرحلة لا يتعيّن عليه الرجوع إلى خصوصه بل له الرجوع إلى عالم آخر قائل بعدم الانحلال و بانسداد باب العلم و حينئذ ينتهي أمره بعد ذلك إلى الالتزام ببقية التوالي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وقع للتوهّم بأنّ مع وجود القائل بالظنون الخاصّة كان باب العلم في حقّه منفتحا، فلا يبقى مجال بعد ذلك للمشي على طبق مقدّمات الانسداد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ذلك إنّما يتمّ لو كان الواجب عليه اتباع قول أهل العلم في خصوص المسألة الفرعيّة، و إلّا فإنّ دليل رجوع الجاهل إلى العالم لا يقتضي تعيين العالم بخصوص</w:t>
      </w:r>
    </w:p>
    <w:p>
      <w:pPr>
        <w:pStyle w:val="BookText"/>
        <w:rPr/>
      </w:pPr>
      <w:r>
        <w:rPr>
          <w:rFonts w:ascii="Amiri" w:hAnsi="Amiri" w:eastAsia="Amiri" w:cs="Amiri"/>
          <w:color w:val="111111"/>
          <w:sz w:val="28"/>
          <w:sz w:val="28"/>
          <w:szCs w:val="28"/>
          <w:rtl w:val="true"/>
          <w:lang w:bidi="ar-SA"/>
        </w:rPr>
        <w:t xml:space="preserve">المسألة الفرعيّة،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 بين الأصوليّة، فلا يكاد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باختياره الرجوع إلى العالم بالمسألة الفرعيّة، و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اختيار رجوعه إلى العالم بالمسألة الأصوليّة القائل بانسداد باب العلم، و مع هذا الاختيار في ظرف الأخذ بقوله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الغير في حقّه حجة كي يلزم في حقّه انفتاح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مطلب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المجتهد مهما يرى شخصه مرجعا للتقليد بأن رأى انحصار الأمر به، إمّا لاعتقاده أعلميّته من أقرانه بضميمة وجوب تقليد الأعلم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المجتهد بشخصه فلا إشكال ظاهرا في وجوب إظهار فتواه و ترغيب الناس بتقليده، نظرا إلى ما دلّ على وجوب إرشاد الجاهل في الأحكام الكليّة المستفادة من أمثال آيتي النفر و السؤال بل و آية 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يومئ إليه ظاهر كلماتهم في وجوب إعلام المجتهد لمقلّديه إذا رجع عن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صنّف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Style w:val="FootnoteAnchor"/>
          <w:rtl w:val="true"/>
        </w:rPr>
        <w:footnoteReference w:id="39"/>
      </w:r>
      <w:r>
        <w:rPr>
          <w:rFonts w:ascii="Amiri" w:hAnsi="Amiri" w:eastAsia="Amiri" w:cs="Amiri"/>
          <w:color w:val="111111"/>
          <w:sz w:val="28"/>
          <w:sz w:val="28"/>
          <w:szCs w:val="28"/>
          <w:rtl w:val="true"/>
          <w:lang w:bidi="ar-SA"/>
        </w:rPr>
        <w:t>في وجوب إرشاد الجاهل في الأحكام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صغرياتها مسألتنا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 علمه بعدم انحصار المرجعيّة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 جهة اعتقاد التسوية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وجوب إظهار نفسه مقدّمة لرجوع الغير إليه إشكال، لعدم مساعدة أدلّة وجوب الإرشاد لمثل تلك الصورة، بل ربّما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فتواه حجة في حق غيره إلّا في ظرف اختيار المقلّد، فليس عليه تحصيل هذا الشرط 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فتواه حجة في حقّ غيره لينتهي إلى وجوب إرشاد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bookmarkStart w:id="38" w:name="pg19655_21117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 w:name="__RefHeading___Toc1625362_2314609296"/>
      <w:bookmarkStart w:id="40" w:name="_Toc15"/>
      <w:bookmarkEnd w:id="38"/>
      <w:bookmarkEnd w:id="39"/>
      <w:r>
        <w:rPr>
          <w:rtl w:val="true"/>
        </w:rPr>
        <w:t>المقالة السّابعة و العشرون التّقليد</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السابعة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التقليد و عرّف </w:t>
      </w:r>
      <w:r>
        <w:rPr>
          <w:rStyle w:val="FootnoteAnchor"/>
          <w:rtl w:val="true"/>
        </w:rPr>
        <w:footnoteReference w:id="40"/>
      </w:r>
      <w:r>
        <w:rPr>
          <w:rFonts w:ascii="Amiri" w:hAnsi="Amiri" w:eastAsia="Amiri" w:cs="Amiri"/>
          <w:color w:val="111111"/>
          <w:sz w:val="28"/>
          <w:sz w:val="28"/>
          <w:szCs w:val="28"/>
          <w:rtl w:val="true"/>
          <w:lang w:bidi="ar-SA"/>
        </w:rPr>
        <w:t>بالأخذ بقول الغير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المراد من الأخذ ليس إلّا الالتزام بحجّية رأيه في حقّه، و جعله طريقا إلى نفسه بالنسبة إلى الوظائف التكليفية و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يرجع مفاد كلماتهم بأنّ التقليد مقدّمة للعمل لا نفسه، بشهادة صدق المقلّد على الأخذ بالرأي و إن لم يعمل بقول مجتهده فسقا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مثل ذلك المعنى لا يكاد أن يكون موضوعا للوجوب الشرعي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مفاد دليل وجوب 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ما هو المراد من وجوب تصديق الرواية الراجعة بالأخرة إلى وجوب المعاملة مع الخبر أو الرأي معاملة الواقع أو العمل به تعبّدا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لا يجب على العامل بالرواية الالتزام بشي‌ء، بل لا يجب في حقّه إلّا العمل، بل صريح فتاويهم بأنّ المقلّد لو عمل أو اتفق عمله على طبق فتوى المجتهد</w:t>
      </w:r>
    </w:p>
    <w:p>
      <w:pPr>
        <w:pStyle w:val="BookText"/>
        <w:rPr/>
      </w:pPr>
      <w:r>
        <w:rPr>
          <w:rFonts w:ascii="Amiri" w:hAnsi="Amiri" w:eastAsia="Amiri" w:cs="Amiri"/>
          <w:color w:val="111111"/>
          <w:sz w:val="28"/>
          <w:sz w:val="28"/>
          <w:szCs w:val="28"/>
          <w:rtl w:val="true"/>
          <w:lang w:bidi="ar-SA"/>
        </w:rPr>
        <w:t>المنحصر حجيّة فتواه في حقّه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عدم الانحصار و مخالفة آرائهم لمّا لا يعقل العمل على وفقها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أيضا عدم خلوّ المكلّف عن الطريق و الحجّية و عدم تعيين واحد منهما مع التساوي لكونه ترجيحا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محيص من أن يكون حجيّة خصوص كلّ منهما مشروطا بأخذه و الالتزام بحجّيته و طريقيّته، كما هو الشأن في الخبرين المتعارضين الراجع إليه مفاد التخيير في الأخذ بواحد منهما، و في مثله لا يكون الأخذ مقدّمة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ذلك المعنى واجب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حكمه وجوب تحصيل الحجة على الجاهل قبل الفحص، و لا يكاد يساعد على شرعية هذا المعنى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 قيام الأمر به في آية أو رواية فلا بدّ من حمله على الإرشاد، لاستقلال العقل بوجوب الأخذ مقدّمة لتحصيل الطريق كي 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كلّ تقليد لا بدّ و أن ينتهي إلى الاجتهاد، لأنّ مرجع الحجج التعبّديّة إلى حجيتها بالغير، و من البديهي أنّ كل ما بالغير لا بدّ و أن ينتهي إلى ما بالذات، و بهذه الملاحظة لا بدّ و أن ينتهي أمر التعبّد بقول الغير إلى حكم قطعي وجداني على مرجعيّة الغير، و هو الذي كان مرتكز عامّة الناس بوجوب رجوع الجاهل بالوظيفة إلى العالم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الارتكاز الوجداني أيضا مبنى معاقد الإجماعات على مرجعية العالم للجاهل، و لذا لا يصلح مثله دليلا على المسألة قبال الارتكاز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المقام مطلب آخر و هو أنّ قضيّة ارتكاز العقل على مرجعيّة العالم للجاهل هو وجوب اتّباع قوله و حجيّة رأيه في كلّ جهة كان المقلّد جاهلا، و حينئذ</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جاهلا بمرجعيّة شخص خاص من حيث اعتبار الحياة فيه أو</w:t>
      </w:r>
    </w:p>
    <w:p>
      <w:pPr>
        <w:pStyle w:val="BookText"/>
        <w:rPr/>
      </w:pPr>
      <w:r>
        <w:rPr>
          <w:rFonts w:ascii="Amiri" w:hAnsi="Amiri" w:eastAsia="Amiri" w:cs="Amiri"/>
          <w:color w:val="111111"/>
          <w:sz w:val="28"/>
          <w:sz w:val="28"/>
          <w:szCs w:val="28"/>
          <w:rtl w:val="true"/>
          <w:lang w:bidi="ar-SA"/>
        </w:rPr>
        <w:t xml:space="preserve">العدالة أو الأعلميّة فيجب حينئذ أن يرجع إلى العالم بهذه الخصوصيّة، و في هذه الصورة يفتي العالم بها بما استقرّ عليه رأيه و استقلّ به نظره بمقتضى استفادته من الأدلّة الشرعيّة إطلاقا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يكن الشخص جاهلا بتلك الخصوصيّات و لو من جهة اجتهاده فيها ففي تلك الصورة لا يبقى مجال الرجوع له إلى العالم في تلك الخصوصيّة، بل ينحصر مرجعيّة العالم في حقّه بخصوص الأحكام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مثله لا يبقى مجال لاجتهاد المجتهد بالنسبة إلى خصوصيّات المقلّد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ثمرة عمليّة لاجتهاده هذا، لعدم إثماره في حقّه و لا حقّ غيره، بل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الاجتهاد منه لغوا محضا، لو لا كونه في معرض شمول من كان جاهلا بتلك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لا يخفى أنّ مثل هذا الفرض قليل الوجود في المقلّدين، بل يمكن دعوى قيام العادة على خلافه، لأنّ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الاجتهاد المزبور كان مجتهدا في غالب المسائل الفرعيّة بلا فرق بينهما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قضية ارتكازه برجوع الجاهل إلى العالم فإنّما هو قضية إجماليّة لا يكاد أن يستكشف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الخصوصيّات أبدا، فلا يبقى مجال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تعيين الحياة أو الأعلميّة أو الأعدليّة مثلا و أمثالها هو ما يقتضيه ارتكاز ذهنه في تعيين العالم المرجع للجاهل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ما في الباب استقلال العقل بمناط حكمه الإجمالي بمرجعيّة من هو مجمع جميع ما احتمل دخله في المرجع من الحيّ الأعدل الأعلم فيرجع إليه فيما هو 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هذا المقدار لا يقتضي نفي مرجعيّة العالم في تعيين موضوع الحجة الشرعيّة حينئذ لطائفة دون طائفة، إذ ليس حكم العقل بمرجعيّة مجمع الصفات المزبورة بمناط علمه باعتبار خصوص الجمع كي لا يكون نظر من يبقى اعتبار بعضها أو يثبت متّبعا في حقّه، بل انّما هو بمناط جهله بالخصوصيّات و كون</w:t>
      </w:r>
    </w:p>
    <w:p>
      <w:pPr>
        <w:pStyle w:val="BookText"/>
        <w:rPr/>
      </w:pPr>
      <w:r>
        <w:rPr>
          <w:rFonts w:ascii="Amiri" w:hAnsi="Amiri" w:eastAsia="Amiri" w:cs="Amiri"/>
          <w:color w:val="111111"/>
          <w:sz w:val="28"/>
          <w:sz w:val="28"/>
          <w:szCs w:val="28"/>
          <w:rtl w:val="true"/>
          <w:lang w:bidi="ar-SA"/>
        </w:rPr>
        <w:t>المجمع المزبور قدرا متيقّنا من بين المراجع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اتضح بطلان توهّم كون المدار في استفادة مثل تلك الخصوصيّات هو الارتكاز العقلي كي لا يتمّ منه إقامة دليل آخر على وفق الارتكاز أو خلافه، بل و يستتبعه لغويّة النظر و الاجتهاد فيها بقول مطلق، لعدم صلاحيّة مثل ذلك حينئذ للمقدّميّة بالنسبة إلى عمل نفسه أو غيره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الجهة فينبغي عطف العنان إلى بيان ما يستفاد منه وجوب التقليد و النظر فيه من حيث استفادة الإطلاق منها و عدمه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مقتضى الأصل بعد ما كان عدم حجيّة قول أحد أو رأيه في حقّ غيره، فلا بدّ في رفع اليد عنه من إقامة الدليل الدالّ على وجوبه شرعا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يستدلّ بمثل الإجماع و السيرة من الأدلّة اللبيّة على وجوب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أمكن دعوى عدم اقتضاء مثلها أزيد ممّا يقتضيه الارتكاز المزبور، بل و يمكن أن يكون مدركهما ذلك، فلا يصلحان لأن يكونا دليلا آخر في قبال حكم العقل الارتكازيّ المستقلّ بمرجعيّة العالم للجاهل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عرفت آنفا أيضا أنّ مثل تلك الأدلّة الإجماليّة غير وافية لإثبات خصوصيّات المرجع من حيث الحياة و الأعلميّة و الأعدليّة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فالعمدة في وجه استفادة المدّعى ما استدلّ به من الآيات و الروايات كآيتي النفر </w:t>
      </w:r>
      <w:r>
        <w:rPr>
          <w:rStyle w:val="FootnoteAnchor"/>
          <w:rtl w:val="true"/>
        </w:rPr>
        <w:footnoteReference w:id="41"/>
      </w:r>
      <w:r>
        <w:rPr>
          <w:rFonts w:ascii="IRNazanin" w:hAnsi="IRNazanin" w:eastAsia="IRNazanin"/>
          <w:color w:val="111111"/>
          <w:sz w:val="28"/>
          <w:sz w:val="28"/>
          <w:szCs w:val="28"/>
          <w:rtl w:val="true"/>
          <w:lang w:bidi="fa-IR"/>
        </w:rPr>
        <w:t xml:space="preserve">و السؤال </w:t>
      </w:r>
      <w:r>
        <w:rPr>
          <w:rStyle w:val="FootnoteAnchor"/>
          <w:rtl w:val="true"/>
        </w:rPr>
        <w:footnoteReference w:id="42"/>
      </w:r>
      <w:r>
        <w:rPr>
          <w:rFonts w:ascii="Amiri" w:hAnsi="Amiri" w:eastAsia="Amiri" w:cs="Amiri"/>
          <w:color w:val="111111"/>
          <w:sz w:val="28"/>
          <w:sz w:val="28"/>
          <w:szCs w:val="28"/>
          <w:rtl w:val="true"/>
          <w:lang w:bidi="ar-SA"/>
        </w:rPr>
        <w:t xml:space="preserve">، نظرا إلى ظهورهما في دخل الفهم و العلم في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المسئول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تنصرف الآيتان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حجيّة الرواية من</w:t>
      </w:r>
    </w:p>
    <w:p>
      <w:pPr>
        <w:pStyle w:val="BookText"/>
        <w:rPr/>
      </w:pP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الواقع بلا دخل لجهة الفهم للخبر في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الرواية ما ورد </w:t>
      </w:r>
      <w:r>
        <w:rPr>
          <w:rStyle w:val="FootnoteAnchor"/>
          <w:rtl w:val="true"/>
        </w:rPr>
        <w:footnoteReference w:id="43"/>
      </w:r>
      <w:r>
        <w:rPr>
          <w:rFonts w:ascii="IRNazanin" w:hAnsi="IRNazanin" w:eastAsia="IRNazanin"/>
          <w:color w:val="111111"/>
          <w:sz w:val="28"/>
          <w:sz w:val="28"/>
          <w:szCs w:val="28"/>
          <w:rtl w:val="true"/>
          <w:lang w:bidi="fa-IR"/>
        </w:rPr>
        <w:t>من الأمر بإفتاء مثله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الفصول </w:t>
      </w:r>
      <w:r>
        <w:rPr>
          <w:rStyle w:val="FootnoteAnchor"/>
          <w:rtl w:val="true"/>
        </w:rPr>
        <w:footnoteReference w:id="44"/>
      </w:r>
      <w:r>
        <w:rPr>
          <w:rFonts w:ascii="Amiri" w:hAnsi="Amiri" w:eastAsia="Amiri" w:cs="Amiri"/>
          <w:color w:val="111111"/>
          <w:sz w:val="28"/>
          <w:sz w:val="28"/>
          <w:szCs w:val="28"/>
          <w:rtl w:val="true"/>
          <w:lang w:bidi="ar-SA"/>
        </w:rPr>
        <w:t xml:space="preserve">و في التقريرات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للتشبّث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إرجاع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خصوصا بملاحظة كون فتواهم في الصدر الأوّل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الخبر و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الخدشة فيه بأنّ أمثال هذه الروايات غير وافية لإثبات وجوب التقليد، بل و من الممكن كونها في مقام حجيّة قول الغير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اتّحاد الفتوى و الرواية و عدم الميز بينهما في الصدر الأوّل لا يقتضي تداخلهما 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عرفت ان لجهة فهم الراوي دخل في مثل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حينئذ الروايات السابقة و مثل الآيتين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ففي إطلاق مثل الآيتين و الروايات على وجه يستفاد منها وجوب قول العالم و رأيه على الإطلاق نظر، إذ غاية ما يستفاد من الآيتين وجوب إظهار ما فهموا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إطلاقهما على وجه يستفاد منه التعبّد بقوله و لو لم يفد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فضلا عن اقتضاء إطلاقهما التعبّد بقول أي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فلا يخفى أنّ غاية دلالتها وجوب الإفتاء الملازم لوجوب القبول من مثل المخاطب بخطابه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 المخاطب المزبور من كان فاقدا للأوصاف المشكوكة كي يقتضي حجيّة فاقد الوصفين أو أحدهما المساوق لإثبات مرجعيّة العالم على الإطلاق</w:t>
      </w:r>
    </w:p>
    <w:p>
      <w:pPr>
        <w:pStyle w:val="BookText"/>
        <w:rPr/>
      </w:pPr>
      <w:r>
        <w:rPr>
          <w:rFonts w:ascii="Amiri" w:hAnsi="Amiri" w:eastAsia="Amiri" w:cs="Amiri"/>
          <w:color w:val="111111"/>
          <w:sz w:val="28"/>
          <w:sz w:val="28"/>
          <w:szCs w:val="28"/>
          <w:rtl w:val="true"/>
          <w:lang w:bidi="ar-SA"/>
        </w:rPr>
        <w:t>ففيه نظر ظاهر، خصوصا في استفادة حكم الفتوى من حيث خصوصيّة حياة المفتي و موته، بل و مع احتمال دخل أعلى مراتب العدالة بمقتضى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استفادة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صائنا لدينه</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على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للاكتفاء بما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إنّ مقتضى ارتكاز العقل برجوع الجاهل إلى العالم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المرجع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دخل أعلى مراتبه فلا يكون العقل مستقلّا بوجوده و لا بعدمه، نظير دخل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دخل العدالة و الإيمان في حجيّة الرأي الناشئ عن الاجتهاد الصحيح بشرائطه من الفحص التامّ و غيره فيمكن دعوى استقلال العقل بعدمهما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لمّا كان حكمه تعليقيّا فيصلح مثل ذلك الردع من قبل الشارع، و لازمه لزوم الاقتصار على المتيقّن ممّا ثبت ردعه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حينئذ أنّ المقدار المستفاد من معاقد الإجماعات هو اعتبار الإيمان و طبيعة العدالة الصادقة على أوّل مرتبة من مراتبها و لا يحتاج إلى تحصيل أقصاها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مثل هذا البيان نظر من قدّم قول الأعلم العادل على الأعدل العالم مع بنائه على عدم إطلاق دليل في أدلّة التقليد القابل لأن ينفى بمثله بعض الخصوصيّات المحتملة، بل و تلك الجهة منشأ اعتبار الأعلميّة، و إلّا فليس لمثل ذلك العنوان في لسان الدليل عين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إنّما ورد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بالأفقهيّة في باب الحكم في المقبولة و هو غير مرتبط بباب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عدم الفصل بين المقامين في حيز المنع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فلو أغمض عمّا ذكرنا من البيان كان لاحتمال الترجيح الحاكم في باب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الاحتمال لا يبقى وجه لترجيح الأعلم العادل على الأعدل العالم 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حينئذ من المصير إلى التخيير في فرض عدم أحوطيّة قول أحدهما عن الآخر، و إلّا فيتعيّن بنظر العقل الأخذ بأحوط القولين، لأنّ فيه نحو جمع بينهما عملا، و مفرّغ للذمّة، لأنّ به يفرغ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الحال بالنسبة إلى الموت و الحياة في التقليد البدوي لو لا دعوى قيام معاقد الإجماعات على عدم جواز تقليد الميّت 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الشأن هو ما ذكرنا أيضا في مسألة تقليد الميّت بقاء و تقليد الحي بالرجوع عنه إليه لو لا دعوى استصحاب بقاء الأحكام التكليفيّة الناشئة عن قيام رأي المجتهد المثبت سابقا في زمان حياته، بناء على التحقيق من كون رأي المجتهد كسائر الحجج الشرعيّة من علل ثبوت الحكم الظاهري على موضوعاتها بلا دخل لعنوان قيامها على المورد في ثبوت مثل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أيضا بناء على كون مفاد دليل حجيّة الرأي كسائر أوامر التصديق في الأمارات هو إحداث أحكام تكليفية 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حينئذ كان لمثل هذا الاستصحاب مجال، إذ من المعلوم أنّه مع الشك في حجيّة الرأي حال موت المفتي نشكّ في بقاء الحكم التكليفي الظاهري الثابت لعنوان موضوعه فيستصحب مثل ذلك الحكم و إن لم يجر الاستصحاب في نفس حجيّة الرأي لما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لئن قلنا بعدم حجيّة الرأي في حال الموت أمكن قيام مقتض آخر في بقاء الحكم الظاهري المزبور، و معه يبقى مثل تلك الأحكام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مشكوكيّته فتشمله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استصحابها، فلا مجال لشبهة الشك في الموضوع في مثلها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بنينا على كون مفاد أدلّة الطرق حكما تكليفيّا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غاية ما في الباب كونها موجبة لإحداث الأحكام العقليّة في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لجريان</w:t>
      </w:r>
    </w:p>
    <w:p>
      <w:pPr>
        <w:pStyle w:val="BookText"/>
        <w:rPr/>
      </w:pPr>
      <w:r>
        <w:rPr>
          <w:rFonts w:ascii="Amiri" w:hAnsi="Amiri" w:eastAsia="Amiri" w:cs="Amiri"/>
          <w:color w:val="111111"/>
          <w:sz w:val="28"/>
          <w:sz w:val="28"/>
          <w:szCs w:val="28"/>
          <w:rtl w:val="true"/>
          <w:lang w:bidi="ar-SA"/>
        </w:rPr>
        <w:t>الاستصحاب في مثل تلك الأحكام العقليّة، و ذلك أيضا لا من جهة مجرّد عقليّتها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العقليّات المنتهية إلى جعل شرعيّ كبعض الأحكام الوضعيّة من الجزئيّة و السببيّة بل من جهة أن قوام حكم العقل بدركه الوجدانيّ، و مع الشك جزم العقل بعدم حكمه و دركه، فالأحكام العقلية طرّا أمرها دائر بين الأمرين إمّا الجزم بالوجود و إمّا الجزم بالعدم لا بين النفي و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يتحقق في مثلها الشك الذي هو مناط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الجهة نقول بعدم جريان الاستصحاب في نفس الجزئية و الشرطيّة من العقليّات المنتزعة الوضعيّة، بل الاستصحاب جار في نفس المنشأ ثمّ ينتزع العقل مثل تلك العناوين عن موضوعاتها، نظرا إلى أنّ ما هو منشأ انتزاعها أعمّ من الواقعي و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لا يمكن جريان الاستصحاب في مناشئ تلك الأحكام لا يبقى مجال لجريانه في نفسها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لو بنينا على عدم كون الأمارات عللا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في موضوعاتها، بل كان لعنوان قيامها دخل في ثبوت الحكم التكليفي الظاهريّ في مواردها، أو كان مثل تلك الأمارات بنفسها موضوع حكم وضعيّ من مثل الحجيّة محضا لا يكاد أيضا يجري الاستصحاب في المقام، و ذلك لأنّ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تامّ في نظر العرف في قيام الرأي حدوثا و بقاء بحيث يحكمون بارتفاع الرأي و انعدامه بانعدام الحياة، و لا أقلّ من الشكّ فيه، و معه لا يبقى مجال استصحاب عنوان ما قام عليه رأي هذا الشخص، إذ مع احتمال دخل الحياة في إضافة الرأي إليه عرفا فمع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بين القضيتين محفوظة عرفا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كفاية حدوث هذا العنوان في بقاء الحكم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فيستصحب الحكم لما حدث فيه هذا العنوان في زمان، مدفوع بأن الحكم حدوثا و بقاء تابع حدوثه و بقائه، بشهادة أنّه لو زال الرأي لنسيان غير</w:t>
      </w:r>
    </w:p>
    <w:p>
      <w:pPr>
        <w:pStyle w:val="BookText"/>
        <w:rPr/>
      </w:pPr>
      <w:r>
        <w:rPr>
          <w:rFonts w:ascii="Amiri" w:hAnsi="Amiri" w:eastAsia="Amiri" w:cs="Amiri"/>
          <w:color w:val="111111"/>
          <w:sz w:val="28"/>
          <w:sz w:val="28"/>
          <w:szCs w:val="28"/>
          <w:rtl w:val="true"/>
          <w:lang w:bidi="ar-SA"/>
        </w:rPr>
        <w:t>عادي أو هرم أو جنون أو إغماء لا يجوز اتّباع رأيه السابق، فمثل ذلك كاشف عن اعتبار بقاء الرأي في بقاء حجيّته، و أنّه لا يكفي مجرّد حدوث الرأي في زمان في بقاء الحجيّة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التأمّل في ما ذكرنا ظهر حال ما لم يكن مفاد أدلّة الأمارات إلّا مجرّد جعل الحجيّة لنفس الرأي، إذ بعد فرض تقوّمه بالحياة 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عدما لا يبقى مجال استصحاب حجيّة رأيه في حال موته خصوصا لو كان رأيه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 فإنّه يقطع بانعدامه من جهة انكشاف الواقعيّات لديه عند انفصاله عن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استصحاب بقاء رجحانه الموجود في ضمن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احتمال بقائه في ضمن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بأنّه كذلك دقة، و إلّا فعند العرف كان ضعف مرتبة الظن غير موجب لبقائه مع ما هو محفوظ في ضمن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رأيه في هذه النشأة قطعيّا أمكن استصحابه دقّة من جهة الشك في بقاء قطعه، لأنّه قائم بالنفس الناطقة التي لا فناء لها بمحض تجرّدها و تخلّيها عن البدن العنصري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بعد ما كان جريان الاستصحاب على احتمال إبقاء المستصحب عرفا لا يكاد يجري الاستصحاب، إذ مع احتمال تقوّم بقاء الرأي عرفا بحياته فمع انتفائها لا يبقى مجال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العمدة في وجه تصحيح الاستصحاب في المقام إتمام المقدّمتين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 في مفاد أدلّة كليّة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إلّا فللنظر للاستصحاب مجال، بل لا محيص حينئذ إلّا من المصير إلى الأخذ بأحوط القولين لو كان ذلك في البين، و إلّا فمع احتمال تعيين كل واحد و عدم الترجيح لا محيص إلّا</w:t>
      </w:r>
    </w:p>
    <w:p>
      <w:pPr>
        <w:pStyle w:val="BookText"/>
        <w:rPr/>
      </w:pPr>
      <w:r>
        <w:rPr>
          <w:rFonts w:ascii="Amiri" w:hAnsi="Amiri" w:eastAsia="Amiri" w:cs="Amiri"/>
          <w:color w:val="111111"/>
          <w:sz w:val="28"/>
          <w:sz w:val="28"/>
          <w:szCs w:val="28"/>
          <w:rtl w:val="true"/>
          <w:lang w:bidi="ar-SA"/>
        </w:rPr>
        <w:t>من الحكم بالتخيير في أخذ كلّ واحد حذرا عن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أيضا بعد الجزم بعدم انتهاء أمر المقام إلى التوقّف و التساقط في المدلول المطابقي كي يبقى المقلّد بلا طريق إلى الواقعيّات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ما هو حجة هو بقاء الرأي المتقدّم في حقّ الميت فلا يبقى مجال احتمال تعيين البقاء على تقليد الميّت إلّا بدخل حدوثه في زمان بقاء حجيّته إلى الأبد و لقد عرفت بطلانه أيضا بشهادة ما ذكرنا من الفروض، مدفوع بأنّ قيام الإجماع على عدم جواز البقاء على التقليد في الفروض المتقدّمة إنّما هو لصدق زوال الرأي حقيقة و 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باب الموت، إذ لا مجال لارتفاعه دقّة حتى لو كان في هذه النشأة ظنّيّا، و إنّما العرف لقصور أنظارهم عن عالم المجرّدات و النفوس حاكمين بالارتفاع، فشمول معاقد الإجماعات لمثل ذلك الارتفاع العرفي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لا الاستصحاب السابق كان لاحتمال تعيين البقاء على تقليد الميّت مجال، و مع ذلك الاحتمال لا مجال لترجيح خصوص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كلّه لو قلنا بكون التخيير في الأخذ بأحد المتساويين بدويّا أو كان الميّت أعلم من الحيّ، و إلّا فلا مجال لاحتمال تعيين البقاء على تقليد الميّت، بل يجب الاقتصار على الحيّ لكونه متيقّن الحجيّة و الشك في حجيّة غيره، و في مثل تلك الصورة لا يبقى مجال تعيين الأخذ بأحوط القولين أيضا، للجزم بالفراغ من العمل على طبق فتوى الحيّ جزما و إن جاز له العمل على وفق رأي الميّت مطلقا إذا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بالحقائق</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أوّلا و آخرا و ظاهرا و باطنا و الصلاة و السلام على سيّدنا محمّد و آله الطاهرين المعصومين و لعنة اللّه على أعدائهم أعداء اللّه من الآن إلى يوم الدين آمين آمين يا ربّ العالمين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الابواب،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أبواب إحياء الموات،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موانع الارث،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موثقة زرارة 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الوارد في الجار و الفرائض المتقدّمة كلها آنفا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الآية الكريمة مٰا جَعَلَ عَلَيْكُمْ فِي الدِّينِ مِنْ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الصفحة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عقبة بن خالد عن أبي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رسول اللّه صلّى اللّه عليه و آله بالشفعة بين الشركاء في الأرضين و المساكن، و قال لا ضرر و لا ضرار،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رفّت الأرف و حدّت الحدود فلا 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عقبة بن خالد و زاد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شفعة إلاّ لشريك غير مقاسم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لم نعثر على الزيادة بالسند المذكور في التهذيب، بل هي موجودة بطريق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الحديثان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نعم الزيادة بالسند المذكور موجودة في الفقيه كما أشار إليها في الوسائل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أشرنا بقرينة تطبيقهم ذلك على المعاملة الغبنيّة و العيوب و أمثالها من تخلّف الوصف و الرؤية و يعبّرون عنها بالخيارات الضررية، فلا يتوهّم حينئذ أنّ هذا التطبيق شاهد استفادة النهي من هيئة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ذلك لا يناسب مع تمسّكهم بها في الخيارات المزبورة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القديم للعملة الايرانية المعروفة اليوم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الايراني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أضر بشي‌ء من طريق المسلمين فهو له ضامن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الموارد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قاعدة لا ضرر و لا ضرار لشيخ الشريعة الاصفهاني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ما يحل للانسان أكله، و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نفسها و المستدرك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النزاع في أنّ الضرر المنفي هل هو الضرر الشخصي أو الضرر النوعي؟</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النوعي، لأنه غير فعليّ بالنسبة إلى الشخص</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البهائي في 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 شيئا من قضايانا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المصنّف رحمه اللّه ذكر الحديث مضمونا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المثبت في النسخة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معهوديّة ببعض في جهات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المقصود هو ما أثبتناه في المتن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موارد عديدة من الحاشية راجع المدارك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ذيل قول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ضعيفة السند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نص صريح في هذا المقام، و لكن قد يستفاد ممّا ورد في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باب الرد إلى الكتاب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 الفسّاق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كما ترى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الرسالة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ذيل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 الأوّل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image" Target="media/image2.jpeg"/><Relationship Id="rId61" Type="http://schemas.openxmlformats.org/officeDocument/2006/relationships/image" Target="media/image2.jpeg"/><Relationship Id="rId62" Type="http://schemas.openxmlformats.org/officeDocument/2006/relationships/footer" Target="footer55.xml"/><Relationship Id="rId63" Type="http://schemas.openxmlformats.org/officeDocument/2006/relationships/footnotes" Target="footnotes.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Pages>
  <Words>12798</Words>
  <Characters>52951</Characters>
  <CharactersWithSpaces>65384</CharactersWithSpaces>
  <Paragraphs>429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2026-08-26T01:03:50Z</dcterms:created>
  <dc:creator>ghaemiyeh.com</dc:creator>
  <dc:description/>
  <dc:language>en-US</dc:language>
  <cp:lastModifiedBy/>
  <dcterms:modified xsi:type="dcterms:W3CDTF">2026-08-26T04:34:48Z</dcterms:modified>
  <cp:revision>1</cp:revision>
  <dc:subject/>
  <dc:title>قاعده نفی الضرر و الاجتهاد و التقلید مقالات الاصول</dc:title>
</cp:coreProperties>
</file>

<file path=docProps/custom.xml><?xml version="1.0" encoding="utf-8"?>
<Properties xmlns="http://schemas.openxmlformats.org/officeDocument/2006/custom-properties" xmlns:vt="http://schemas.openxmlformats.org/officeDocument/2006/docPropsVTypes"/>
</file>