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8.png" ContentType="image/png"/>
  <Override PartName="/word/media/image8.jpeg" ContentType="image/jpeg"/>
  <Override PartName="/word/media/image5.png" ContentType="image/png"/>
  <Override PartName="/word/media/image29.jpeg" ContentType="image/jpeg"/>
  <Override PartName="/word/media/image30.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32.png" ContentType="image/png"/>
  <Override PartName="/word/media/image12.png" ContentType="image/png"/>
  <Override PartName="/word/media/image9.png" ContentType="image/png"/>
  <Override PartName="/word/media/image13.png" ContentType="image/png"/>
  <Override PartName="/word/media/image34.png" ContentType="image/png"/>
  <Override PartName="/word/media/image4.png" ContentType="image/png"/>
  <Override PartName="/word/media/image27.png" ContentType="image/png"/>
  <Override PartName="/word/media/image33.png" ContentType="image/png"/>
  <Override PartName="/word/media/image3.png" ContentType="image/png"/>
  <Override PartName="/word/media/image26.png" ContentType="image/png"/>
  <Override PartName="/word/media/image31.png" ContentType="image/png"/>
  <Override PartName="/word/media/image1.png" ContentType="image/png"/>
  <Override PartName="/word/media/image24.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20.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تلمود تا تل آویو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91683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791685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791687_1280447820">
            <w:r>
              <w:rPr>
                <w:webHidden/>
                <w:rStyle w:val="IndexLink"/>
                <w:rtl w:val="true"/>
              </w:rPr>
              <w:t xml:space="preserve">تقدیم به </w:t>
            </w:r>
            <w:r>
              <w:rPr>
                <w:rStyle w:val="IndexLink"/>
                <w:rtl w:val="true"/>
              </w:rPr>
              <w:t>:</w:t>
              <w:tab/>
            </w:r>
            <w:r>
              <w:rPr>
                <w:rStyle w:val="IndexLink"/>
              </w:rPr>
              <w:t>8</w:t>
            </w:r>
          </w:hyperlink>
        </w:p>
        <w:p>
          <w:pPr>
            <w:pStyle w:val="Contents2"/>
            <w:tabs>
              <w:tab w:val="clear" w:pos="8743"/>
              <w:tab w:val="right" w:pos="9026" w:leader="dot"/>
            </w:tabs>
            <w:rPr/>
          </w:pPr>
          <w:hyperlink w:anchor="__RefHeading___Toc13791689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3791691_1280447820">
            <w:r>
              <w:rPr>
                <w:webHidden/>
                <w:rStyle w:val="IndexLink"/>
                <w:rtl w:val="true"/>
              </w:rPr>
              <w:t>مقدمه</w:t>
            </w:r>
            <w:r>
              <w:rPr>
                <w:rStyle w:val="IndexLink"/>
                <w:rtl w:val="true"/>
              </w:rPr>
              <w:t>:</w:t>
              <w:tab/>
            </w:r>
            <w:r>
              <w:rPr>
                <w:rStyle w:val="IndexLink"/>
              </w:rPr>
              <w:t>16</w:t>
            </w:r>
          </w:hyperlink>
        </w:p>
        <w:p>
          <w:pPr>
            <w:pStyle w:val="Contents2"/>
            <w:tabs>
              <w:tab w:val="clear" w:pos="8743"/>
              <w:tab w:val="right" w:pos="9026" w:leader="dot"/>
            </w:tabs>
            <w:rPr/>
          </w:pPr>
          <w:hyperlink w:anchor="__RefHeading___Toc13791693_1280447820">
            <w:r>
              <w:rPr>
                <w:webHidden/>
                <w:rStyle w:val="IndexLink"/>
              </w:rPr>
              <w:t>1</w:t>
            </w:r>
            <w:r>
              <w:rPr>
                <w:rStyle w:val="IndexLink"/>
                <w:rtl w:val="true"/>
              </w:rPr>
              <w:t xml:space="preserve">- </w:t>
            </w:r>
            <w:r>
              <w:rPr>
                <w:rStyle w:val="IndexLink"/>
                <w:rtl w:val="true"/>
              </w:rPr>
              <w:t>فصل اول</w:t>
            </w:r>
            <w:r>
              <w:rPr>
                <w:rStyle w:val="IndexLink"/>
                <w:rtl w:val="true"/>
              </w:rPr>
              <w:t xml:space="preserve">: </w:t>
            </w:r>
            <w:r>
              <w:rPr>
                <w:rStyle w:val="IndexLink"/>
                <w:rtl w:val="true"/>
              </w:rPr>
              <w:t>مبانی هویت یهودی</w:t>
            </w:r>
            <w:r>
              <w:rPr>
                <w:rStyle w:val="IndexLink"/>
                <w:rtl w:val="true"/>
              </w:rPr>
              <w:t xml:space="preserve">: </w:t>
            </w:r>
            <w:r>
              <w:rPr>
                <w:rStyle w:val="IndexLink"/>
                <w:rtl w:val="true"/>
              </w:rPr>
              <w:t>تبار، باورها، متون و نمادها</w:t>
            </w:r>
            <w:r>
              <w:rPr>
                <w:rStyle w:val="IndexLink"/>
                <w:rtl w:val="true"/>
              </w:rPr>
              <w:t>:</w:t>
              <w:tab/>
            </w:r>
            <w:r>
              <w:rPr>
                <w:rStyle w:val="IndexLink"/>
              </w:rPr>
              <w:t>18</w:t>
            </w:r>
          </w:hyperlink>
        </w:p>
        <w:p>
          <w:pPr>
            <w:pStyle w:val="Contents3"/>
            <w:tabs>
              <w:tab w:val="clear" w:pos="8459"/>
              <w:tab w:val="right" w:pos="9026" w:leader="dot"/>
            </w:tabs>
            <w:rPr/>
          </w:pPr>
          <w:hyperlink w:anchor="__RefHeading___Toc13791695_1280447820">
            <w:r>
              <w:rPr>
                <w:webHidden/>
                <w:rStyle w:val="IndexLink"/>
              </w:rPr>
              <w:t>1-1</w:t>
            </w:r>
            <w:r>
              <w:rPr>
                <w:rStyle w:val="IndexLink"/>
                <w:rtl w:val="true"/>
              </w:rPr>
              <w:t xml:space="preserve">- </w:t>
            </w:r>
            <w:r>
              <w:rPr>
                <w:rStyle w:val="IndexLink"/>
                <w:rtl w:val="true"/>
              </w:rPr>
              <w:t>بخش اول</w:t>
            </w:r>
            <w:r>
              <w:rPr>
                <w:rStyle w:val="IndexLink"/>
                <w:rtl w:val="true"/>
              </w:rPr>
              <w:t xml:space="preserve">: </w:t>
            </w:r>
            <w:r>
              <w:rPr>
                <w:rStyle w:val="IndexLink"/>
                <w:rtl w:val="true"/>
              </w:rPr>
              <w:t>تبارشناسی</w:t>
            </w:r>
            <w:r>
              <w:rPr>
                <w:rStyle w:val="IndexLink"/>
                <w:rtl w:val="true"/>
              </w:rPr>
              <w:t>:</w:t>
              <w:tab/>
            </w:r>
            <w:r>
              <w:rPr>
                <w:rStyle w:val="IndexLink"/>
              </w:rPr>
              <w:t>18</w:t>
            </w:r>
          </w:hyperlink>
        </w:p>
        <w:p>
          <w:pPr>
            <w:pStyle w:val="Contents4"/>
            <w:tabs>
              <w:tab w:val="clear" w:pos="8176"/>
              <w:tab w:val="right" w:pos="9026" w:leader="dot"/>
            </w:tabs>
            <w:rPr/>
          </w:pPr>
          <w:hyperlink w:anchor="__RefHeading___Toc13791697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3791699_1280447820">
            <w:r>
              <w:rPr>
                <w:webHidden/>
                <w:rStyle w:val="IndexLink"/>
              </w:rPr>
              <w:t>1-1-1</w:t>
            </w:r>
            <w:r>
              <w:rPr>
                <w:rStyle w:val="IndexLink"/>
                <w:rtl w:val="true"/>
              </w:rPr>
              <w:t xml:space="preserve">- </w:t>
            </w:r>
            <w:r>
              <w:rPr>
                <w:rStyle w:val="IndexLink"/>
                <w:rtl w:val="true"/>
              </w:rPr>
              <w:t>ادعای یهودیان درباره تبار خود</w:t>
            </w:r>
            <w:r>
              <w:rPr>
                <w:rStyle w:val="IndexLink"/>
                <w:rtl w:val="true"/>
              </w:rPr>
              <w:t>:</w:t>
              <w:tab/>
            </w:r>
            <w:r>
              <w:rPr>
                <w:rStyle w:val="IndexLink"/>
              </w:rPr>
              <w:t>18</w:t>
            </w:r>
          </w:hyperlink>
        </w:p>
        <w:p>
          <w:pPr>
            <w:pStyle w:val="Contents4"/>
            <w:tabs>
              <w:tab w:val="clear" w:pos="8176"/>
              <w:tab w:val="right" w:pos="9026" w:leader="dot"/>
            </w:tabs>
            <w:rPr/>
          </w:pPr>
          <w:hyperlink w:anchor="__RefHeading___Toc13791701_1280447820">
            <w:r>
              <w:rPr>
                <w:webHidden/>
                <w:rStyle w:val="IndexLink"/>
              </w:rPr>
              <w:t>2-1-1</w:t>
            </w:r>
            <w:r>
              <w:rPr>
                <w:rStyle w:val="IndexLink"/>
                <w:rtl w:val="true"/>
              </w:rPr>
              <w:t xml:space="preserve">- </w:t>
            </w:r>
            <w:r>
              <w:rPr>
                <w:rStyle w:val="IndexLink"/>
                <w:rtl w:val="true"/>
              </w:rPr>
              <w:t xml:space="preserve">پراکندگی یهودیان </w:t>
            </w:r>
            <w:r>
              <w:rPr>
                <w:rStyle w:val="IndexLink"/>
                <w:rtl w:val="true"/>
              </w:rPr>
              <w:t>(</w:t>
            </w:r>
            <w:r>
              <w:rPr>
                <w:rStyle w:val="IndexLink"/>
                <w:rtl w:val="true"/>
              </w:rPr>
              <w:t>از تبعید تا بقاء</w:t>
            </w:r>
            <w:r>
              <w:rPr>
                <w:rStyle w:val="IndexLink"/>
                <w:rtl w:val="true"/>
              </w:rPr>
              <w:t>):</w:t>
              <w:tab/>
            </w:r>
            <w:r>
              <w:rPr>
                <w:rStyle w:val="IndexLink"/>
              </w:rPr>
              <w:t>19</w:t>
            </w:r>
          </w:hyperlink>
        </w:p>
        <w:p>
          <w:pPr>
            <w:pStyle w:val="Contents3"/>
            <w:tabs>
              <w:tab w:val="clear" w:pos="8459"/>
              <w:tab w:val="right" w:pos="9026" w:leader="dot"/>
            </w:tabs>
            <w:rPr/>
          </w:pPr>
          <w:hyperlink w:anchor="__RefHeading___Toc13791703_1280447820">
            <w:r>
              <w:rPr>
                <w:webHidden/>
                <w:rStyle w:val="IndexLink"/>
              </w:rPr>
              <w:t>2-1</w:t>
            </w:r>
            <w:r>
              <w:rPr>
                <w:rStyle w:val="IndexLink"/>
                <w:rtl w:val="true"/>
              </w:rPr>
              <w:t xml:space="preserve">- </w:t>
            </w:r>
            <w:r>
              <w:rPr>
                <w:rStyle w:val="IndexLink"/>
                <w:rtl w:val="true"/>
              </w:rPr>
              <w:t>بخش دوم</w:t>
            </w:r>
            <w:r>
              <w:rPr>
                <w:rStyle w:val="IndexLink"/>
                <w:rtl w:val="true"/>
              </w:rPr>
              <w:t xml:space="preserve">: </w:t>
            </w:r>
            <w:r>
              <w:rPr>
                <w:rStyle w:val="IndexLink"/>
                <w:rtl w:val="true"/>
              </w:rPr>
              <w:t>ساختار اعتقادی و اصول دین</w:t>
            </w:r>
            <w:r>
              <w:rPr>
                <w:rStyle w:val="IndexLink"/>
                <w:rtl w:val="true"/>
              </w:rPr>
              <w:t>:</w:t>
              <w:tab/>
            </w:r>
            <w:r>
              <w:rPr>
                <w:rStyle w:val="IndexLink"/>
              </w:rPr>
              <w:t>21</w:t>
            </w:r>
          </w:hyperlink>
        </w:p>
        <w:p>
          <w:pPr>
            <w:pStyle w:val="Contents3"/>
            <w:tabs>
              <w:tab w:val="clear" w:pos="8459"/>
              <w:tab w:val="right" w:pos="9026" w:leader="dot"/>
            </w:tabs>
            <w:rPr/>
          </w:pPr>
          <w:hyperlink w:anchor="__RefHeading___Toc13791705_1280447820">
            <w:r>
              <w:rPr>
                <w:webHidden/>
                <w:rStyle w:val="IndexLink"/>
              </w:rPr>
              <w:t>3-1</w:t>
            </w:r>
            <w:r>
              <w:rPr>
                <w:rStyle w:val="IndexLink"/>
                <w:rtl w:val="true"/>
              </w:rPr>
              <w:t xml:space="preserve">- </w:t>
            </w:r>
            <w:r>
              <w:rPr>
                <w:rStyle w:val="IndexLink"/>
                <w:rtl w:val="true"/>
              </w:rPr>
              <w:t>بخش سوم</w:t>
            </w:r>
            <w:r>
              <w:rPr>
                <w:rStyle w:val="IndexLink"/>
                <w:rtl w:val="true"/>
              </w:rPr>
              <w:t xml:space="preserve">: </w:t>
            </w:r>
            <w:r>
              <w:rPr>
                <w:rStyle w:val="IndexLink"/>
                <w:rtl w:val="true"/>
              </w:rPr>
              <w:t>کتب مقدس</w:t>
            </w:r>
            <w:r>
              <w:rPr>
                <w:rStyle w:val="IndexLink"/>
                <w:rtl w:val="true"/>
              </w:rPr>
              <w:t>:</w:t>
              <w:tab/>
            </w:r>
            <w:r>
              <w:rPr>
                <w:rStyle w:val="IndexLink"/>
              </w:rPr>
              <w:t>22</w:t>
            </w:r>
          </w:hyperlink>
        </w:p>
        <w:p>
          <w:pPr>
            <w:pStyle w:val="Contents4"/>
            <w:tabs>
              <w:tab w:val="clear" w:pos="8176"/>
              <w:tab w:val="right" w:pos="9026" w:leader="dot"/>
            </w:tabs>
            <w:rPr/>
          </w:pPr>
          <w:hyperlink w:anchor="__RefHeading___Toc13791707_1280447820">
            <w:r>
              <w:rPr>
                <w:webHidden/>
                <w:rStyle w:val="IndexLink"/>
              </w:rPr>
              <w:t>1-3-1</w:t>
            </w:r>
            <w:r>
              <w:rPr>
                <w:rStyle w:val="IndexLink"/>
                <w:rtl w:val="true"/>
              </w:rPr>
              <w:t xml:space="preserve">- </w:t>
            </w:r>
            <w:r>
              <w:rPr>
                <w:rStyle w:val="IndexLink"/>
                <w:rtl w:val="true"/>
              </w:rPr>
              <w:t>تورات</w:t>
            </w:r>
            <w:r>
              <w:rPr>
                <w:rStyle w:val="IndexLink"/>
                <w:rtl w:val="true"/>
              </w:rPr>
              <w:t>:</w:t>
              <w:tab/>
            </w:r>
            <w:r>
              <w:rPr>
                <w:rStyle w:val="IndexLink"/>
              </w:rPr>
              <w:t>22</w:t>
            </w:r>
          </w:hyperlink>
        </w:p>
        <w:p>
          <w:pPr>
            <w:pStyle w:val="Contents5"/>
            <w:tabs>
              <w:tab w:val="clear" w:pos="7892"/>
              <w:tab w:val="right" w:pos="9026" w:leader="dot"/>
            </w:tabs>
            <w:rPr/>
          </w:pPr>
          <w:hyperlink w:anchor="__RefHeading___Toc13791709_128044782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13791711_1280447820">
            <w:r>
              <w:rPr>
                <w:webHidden/>
                <w:rStyle w:val="IndexLink"/>
              </w:rPr>
              <w:t>1-3-1</w:t>
            </w:r>
            <w:r>
              <w:rPr>
                <w:rStyle w:val="IndexLink"/>
                <w:rtl w:val="true"/>
              </w:rPr>
              <w:t xml:space="preserve">- </w:t>
            </w:r>
            <w:r>
              <w:rPr>
                <w:rStyle w:val="IndexLink"/>
              </w:rPr>
              <w:t>1</w:t>
            </w:r>
            <w:r>
              <w:rPr>
                <w:rStyle w:val="IndexLink"/>
                <w:rtl w:val="true"/>
              </w:rPr>
              <w:t xml:space="preserve">- </w:t>
            </w:r>
            <w:r>
              <w:rPr>
                <w:rStyle w:val="IndexLink"/>
                <w:rtl w:val="true"/>
              </w:rPr>
              <w:t>ِرِشیت</w:t>
            </w:r>
            <w:r>
              <w:rPr>
                <w:rStyle w:val="IndexLink"/>
                <w:rtl w:val="true"/>
              </w:rPr>
              <w:t>:</w:t>
              <w:tab/>
            </w:r>
            <w:r>
              <w:rPr>
                <w:rStyle w:val="IndexLink"/>
              </w:rPr>
              <w:t>23</w:t>
            </w:r>
          </w:hyperlink>
        </w:p>
        <w:p>
          <w:pPr>
            <w:pStyle w:val="Contents5"/>
            <w:tabs>
              <w:tab w:val="clear" w:pos="7892"/>
              <w:tab w:val="right" w:pos="9026" w:leader="dot"/>
            </w:tabs>
            <w:rPr/>
          </w:pPr>
          <w:hyperlink w:anchor="__RefHeading___Toc13791713_1280447820">
            <w:r>
              <w:rPr>
                <w:webHidden/>
                <w:rStyle w:val="IndexLink"/>
              </w:rPr>
              <w:t>1-3-1</w:t>
            </w:r>
            <w:r>
              <w:rPr>
                <w:rStyle w:val="IndexLink"/>
                <w:rtl w:val="true"/>
              </w:rPr>
              <w:t xml:space="preserve">- </w:t>
            </w:r>
            <w:r>
              <w:rPr>
                <w:rStyle w:val="IndexLink"/>
              </w:rPr>
              <w:t>2</w:t>
            </w:r>
            <w:r>
              <w:rPr>
                <w:rStyle w:val="IndexLink"/>
                <w:rtl w:val="true"/>
              </w:rPr>
              <w:t xml:space="preserve">- </w:t>
            </w:r>
            <w:r>
              <w:rPr>
                <w:rStyle w:val="IndexLink"/>
                <w:rtl w:val="true"/>
              </w:rPr>
              <w:t>شِموت</w:t>
            </w:r>
            <w:r>
              <w:rPr>
                <w:rStyle w:val="IndexLink"/>
                <w:rtl w:val="true"/>
              </w:rPr>
              <w:tab/>
            </w:r>
            <w:r>
              <w:rPr>
                <w:rStyle w:val="IndexLink"/>
              </w:rPr>
              <w:t>23</w:t>
            </w:r>
          </w:hyperlink>
        </w:p>
        <w:p>
          <w:pPr>
            <w:pStyle w:val="Contents5"/>
            <w:tabs>
              <w:tab w:val="clear" w:pos="7892"/>
              <w:tab w:val="right" w:pos="9026" w:leader="dot"/>
            </w:tabs>
            <w:rPr/>
          </w:pPr>
          <w:hyperlink w:anchor="__RefHeading___Toc13791715_1280447820">
            <w:r>
              <w:rPr>
                <w:webHidden/>
                <w:rStyle w:val="IndexLink"/>
              </w:rPr>
              <w:t>1-3-1</w:t>
            </w:r>
            <w:r>
              <w:rPr>
                <w:rStyle w:val="IndexLink"/>
                <w:rtl w:val="true"/>
              </w:rPr>
              <w:t xml:space="preserve">- </w:t>
            </w:r>
            <w:r>
              <w:rPr>
                <w:rStyle w:val="IndexLink"/>
              </w:rPr>
              <w:t>3</w:t>
            </w:r>
            <w:r>
              <w:rPr>
                <w:rStyle w:val="IndexLink"/>
                <w:rtl w:val="true"/>
              </w:rPr>
              <w:t xml:space="preserve">- </w:t>
            </w:r>
            <w:r>
              <w:rPr>
                <w:rStyle w:val="IndexLink"/>
                <w:rtl w:val="true"/>
              </w:rPr>
              <w:t>وایکرا</w:t>
            </w:r>
            <w:r>
              <w:rPr>
                <w:rStyle w:val="IndexLink"/>
                <w:rtl w:val="true"/>
              </w:rPr>
              <w:t>:</w:t>
              <w:tab/>
            </w:r>
            <w:r>
              <w:rPr>
                <w:rStyle w:val="IndexLink"/>
              </w:rPr>
              <w:t>24</w:t>
            </w:r>
          </w:hyperlink>
        </w:p>
        <w:p>
          <w:pPr>
            <w:pStyle w:val="Contents5"/>
            <w:tabs>
              <w:tab w:val="clear" w:pos="7892"/>
              <w:tab w:val="right" w:pos="9026" w:leader="dot"/>
            </w:tabs>
            <w:rPr/>
          </w:pPr>
          <w:hyperlink w:anchor="__RefHeading___Toc13791717_1280447820">
            <w:r>
              <w:rPr>
                <w:webHidden/>
                <w:rStyle w:val="IndexLink"/>
              </w:rPr>
              <w:t>1-3-1</w:t>
            </w:r>
            <w:r>
              <w:rPr>
                <w:rStyle w:val="IndexLink"/>
                <w:rtl w:val="true"/>
              </w:rPr>
              <w:t xml:space="preserve">- </w:t>
            </w:r>
            <w:r>
              <w:rPr>
                <w:rStyle w:val="IndexLink"/>
              </w:rPr>
              <w:t>4</w:t>
            </w:r>
            <w:r>
              <w:rPr>
                <w:rStyle w:val="IndexLink"/>
                <w:rtl w:val="true"/>
              </w:rPr>
              <w:t xml:space="preserve">- </w:t>
            </w:r>
            <w:r>
              <w:rPr>
                <w:rStyle w:val="IndexLink"/>
                <w:rtl w:val="true"/>
              </w:rPr>
              <w:t>ِمیدبار</w:t>
            </w:r>
            <w:r>
              <w:rPr>
                <w:rStyle w:val="IndexLink"/>
                <w:rtl w:val="true"/>
              </w:rPr>
              <w:t>:</w:t>
              <w:tab/>
            </w:r>
            <w:r>
              <w:rPr>
                <w:rStyle w:val="IndexLink"/>
              </w:rPr>
              <w:t>24</w:t>
            </w:r>
          </w:hyperlink>
        </w:p>
        <w:p>
          <w:pPr>
            <w:pStyle w:val="Contents5"/>
            <w:tabs>
              <w:tab w:val="clear" w:pos="7892"/>
              <w:tab w:val="right" w:pos="9026" w:leader="dot"/>
            </w:tabs>
            <w:rPr/>
          </w:pPr>
          <w:hyperlink w:anchor="__RefHeading___Toc13791719_1280447820">
            <w:r>
              <w:rPr>
                <w:webHidden/>
                <w:rStyle w:val="IndexLink"/>
              </w:rPr>
              <w:t>1-3-1</w:t>
            </w:r>
            <w:r>
              <w:rPr>
                <w:rStyle w:val="IndexLink"/>
                <w:rtl w:val="true"/>
              </w:rPr>
              <w:t xml:space="preserve">- </w:t>
            </w:r>
            <w:r>
              <w:rPr>
                <w:rStyle w:val="IndexLink"/>
              </w:rPr>
              <w:t>5</w:t>
            </w:r>
            <w:r>
              <w:rPr>
                <w:rStyle w:val="IndexLink"/>
                <w:rtl w:val="true"/>
              </w:rPr>
              <w:t xml:space="preserve">- </w:t>
            </w:r>
            <w:r>
              <w:rPr>
                <w:rStyle w:val="IndexLink"/>
                <w:rtl w:val="true"/>
              </w:rPr>
              <w:t>دِواریم</w:t>
            </w:r>
            <w:r>
              <w:rPr>
                <w:rStyle w:val="IndexLink"/>
                <w:rtl w:val="true"/>
              </w:rPr>
              <w:t>:</w:t>
              <w:tab/>
            </w:r>
            <w:r>
              <w:rPr>
                <w:rStyle w:val="IndexLink"/>
              </w:rPr>
              <w:t>25</w:t>
            </w:r>
          </w:hyperlink>
        </w:p>
        <w:p>
          <w:pPr>
            <w:pStyle w:val="Contents4"/>
            <w:tabs>
              <w:tab w:val="clear" w:pos="8176"/>
              <w:tab w:val="right" w:pos="9026" w:leader="dot"/>
            </w:tabs>
            <w:rPr/>
          </w:pPr>
          <w:hyperlink w:anchor="__RefHeading___Toc13791721_1280447820">
            <w:r>
              <w:rPr>
                <w:webHidden/>
                <w:rStyle w:val="IndexLink"/>
              </w:rPr>
              <w:t>2-3-1</w:t>
            </w:r>
            <w:r>
              <w:rPr>
                <w:rStyle w:val="IndexLink"/>
                <w:rtl w:val="true"/>
              </w:rPr>
              <w:t xml:space="preserve">- </w:t>
            </w:r>
            <w:r>
              <w:rPr>
                <w:rStyle w:val="IndexLink"/>
                <w:rtl w:val="true"/>
              </w:rPr>
              <w:t>تلمود</w:t>
            </w:r>
            <w:r>
              <w:rPr>
                <w:rStyle w:val="IndexLink"/>
                <w:rtl w:val="true"/>
              </w:rPr>
              <w:t>:</w:t>
              <w:tab/>
            </w:r>
            <w:r>
              <w:rPr>
                <w:rStyle w:val="IndexLink"/>
              </w:rPr>
              <w:t>25</w:t>
            </w:r>
          </w:hyperlink>
        </w:p>
        <w:p>
          <w:pPr>
            <w:pStyle w:val="Contents5"/>
            <w:tabs>
              <w:tab w:val="clear" w:pos="7892"/>
              <w:tab w:val="right" w:pos="9026" w:leader="dot"/>
            </w:tabs>
            <w:rPr/>
          </w:pPr>
          <w:hyperlink w:anchor="__RefHeading___Toc13791723_128044782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3791725_1280447820">
            <w:r>
              <w:rPr>
                <w:webHidden/>
                <w:rStyle w:val="IndexLink"/>
              </w:rPr>
              <w:t>2-3-1</w:t>
            </w:r>
            <w:r>
              <w:rPr>
                <w:rStyle w:val="IndexLink"/>
                <w:rtl w:val="true"/>
              </w:rPr>
              <w:t xml:space="preserve">- </w:t>
            </w:r>
            <w:r>
              <w:rPr>
                <w:rStyle w:val="IndexLink"/>
              </w:rPr>
              <w:t>1</w:t>
            </w:r>
            <w:r>
              <w:rPr>
                <w:rStyle w:val="IndexLink"/>
                <w:rtl w:val="true"/>
              </w:rPr>
              <w:t xml:space="preserve">- </w:t>
            </w:r>
            <w:r>
              <w:rPr>
                <w:rStyle w:val="IndexLink"/>
                <w:rtl w:val="true"/>
              </w:rPr>
              <w:t xml:space="preserve">میشنا </w:t>
            </w:r>
            <w:r>
              <w:rPr>
                <w:rStyle w:val="IndexLink"/>
                <w:rtl w:val="true"/>
              </w:rPr>
              <w:t>(</w:t>
            </w:r>
            <w:r>
              <w:rPr>
                <w:rStyle w:val="IndexLink"/>
                <w:rtl w:val="true"/>
              </w:rPr>
              <w:t>מִשְׁנָה</w:t>
            </w:r>
            <w:r>
              <w:rPr>
                <w:rStyle w:val="IndexLink"/>
                <w:rtl w:val="true"/>
              </w:rPr>
              <w:t>):</w:t>
              <w:tab/>
            </w:r>
            <w:r>
              <w:rPr>
                <w:rStyle w:val="IndexLink"/>
              </w:rPr>
              <w:t>26</w:t>
            </w:r>
          </w:hyperlink>
        </w:p>
        <w:p>
          <w:pPr>
            <w:pStyle w:val="Contents5"/>
            <w:tabs>
              <w:tab w:val="clear" w:pos="7892"/>
              <w:tab w:val="right" w:pos="9026" w:leader="dot"/>
            </w:tabs>
            <w:rPr/>
          </w:pPr>
          <w:hyperlink w:anchor="__RefHeading___Toc13791727_1280447820">
            <w:r>
              <w:rPr>
                <w:webHidden/>
                <w:rStyle w:val="IndexLink"/>
              </w:rPr>
              <w:t>2-3-1</w:t>
            </w:r>
            <w:r>
              <w:rPr>
                <w:rStyle w:val="IndexLink"/>
                <w:rtl w:val="true"/>
              </w:rPr>
              <w:t xml:space="preserve">- </w:t>
            </w:r>
            <w:r>
              <w:rPr>
                <w:rStyle w:val="IndexLink"/>
              </w:rPr>
              <w:t>2</w:t>
            </w:r>
            <w:r>
              <w:rPr>
                <w:rStyle w:val="IndexLink"/>
                <w:rtl w:val="true"/>
              </w:rPr>
              <w:t xml:space="preserve">- </w:t>
            </w:r>
            <w:r>
              <w:rPr>
                <w:rStyle w:val="IndexLink"/>
                <w:rtl w:val="true"/>
              </w:rPr>
              <w:t xml:space="preserve">گمارا </w:t>
            </w:r>
            <w:r>
              <w:rPr>
                <w:rStyle w:val="IndexLink"/>
                <w:rtl w:val="true"/>
              </w:rPr>
              <w:t>(</w:t>
            </w:r>
            <w:r>
              <w:rPr>
                <w:rStyle w:val="IndexLink"/>
                <w:rtl w:val="true"/>
              </w:rPr>
              <w:t>גְּמָרָא</w:t>
            </w:r>
            <w:r>
              <w:rPr>
                <w:rStyle w:val="IndexLink"/>
                <w:rtl w:val="true"/>
              </w:rPr>
              <w:t>):</w:t>
              <w:tab/>
            </w:r>
            <w:r>
              <w:rPr>
                <w:rStyle w:val="IndexLink"/>
              </w:rPr>
              <w:t>27</w:t>
            </w:r>
          </w:hyperlink>
        </w:p>
        <w:p>
          <w:pPr>
            <w:pStyle w:val="Contents3"/>
            <w:tabs>
              <w:tab w:val="clear" w:pos="8459"/>
              <w:tab w:val="right" w:pos="9026" w:leader="dot"/>
            </w:tabs>
            <w:rPr/>
          </w:pPr>
          <w:hyperlink w:anchor="__RefHeading___Toc13791729_1280447820">
            <w:r>
              <w:rPr>
                <w:webHidden/>
                <w:rStyle w:val="IndexLink"/>
              </w:rPr>
              <w:t>4-1</w:t>
            </w:r>
            <w:r>
              <w:rPr>
                <w:rStyle w:val="IndexLink"/>
                <w:rtl w:val="true"/>
              </w:rPr>
              <w:t xml:space="preserve">- </w:t>
            </w:r>
            <w:r>
              <w:rPr>
                <w:rStyle w:val="IndexLink"/>
                <w:rtl w:val="true"/>
              </w:rPr>
              <w:t>بخش چهارم</w:t>
            </w:r>
            <w:r>
              <w:rPr>
                <w:rStyle w:val="IndexLink"/>
                <w:rtl w:val="true"/>
              </w:rPr>
              <w:t xml:space="preserve">: </w:t>
            </w:r>
            <w:r>
              <w:rPr>
                <w:rStyle w:val="IndexLink"/>
                <w:rtl w:val="true"/>
              </w:rPr>
              <w:t>فرقه‌های یهودی</w:t>
            </w:r>
            <w:r>
              <w:rPr>
                <w:rStyle w:val="IndexLink"/>
                <w:rtl w:val="true"/>
              </w:rPr>
              <w:tab/>
            </w:r>
            <w:r>
              <w:rPr>
                <w:rStyle w:val="IndexLink"/>
              </w:rPr>
              <w:t>27</w:t>
            </w:r>
          </w:hyperlink>
        </w:p>
        <w:p>
          <w:pPr>
            <w:pStyle w:val="Contents4"/>
            <w:tabs>
              <w:tab w:val="clear" w:pos="8176"/>
              <w:tab w:val="right" w:pos="9026" w:leader="dot"/>
            </w:tabs>
            <w:rPr/>
          </w:pPr>
          <w:hyperlink w:anchor="__RefHeading___Toc13791731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3791733_1280447820">
            <w:r>
              <w:rPr>
                <w:webHidden/>
                <w:rStyle w:val="IndexLink"/>
              </w:rPr>
              <w:t>1-4-1</w:t>
            </w:r>
            <w:r>
              <w:rPr>
                <w:rStyle w:val="IndexLink"/>
                <w:rtl w:val="true"/>
              </w:rPr>
              <w:t xml:space="preserve">- </w:t>
            </w:r>
            <w:r>
              <w:rPr>
                <w:rStyle w:val="IndexLink"/>
                <w:rtl w:val="true"/>
              </w:rPr>
              <w:t>یهودیت قرائیم</w:t>
            </w:r>
            <w:r>
              <w:rPr>
                <w:rStyle w:val="IndexLink"/>
                <w:rtl w:val="true"/>
              </w:rPr>
              <w:t>:</w:t>
              <w:tab/>
            </w:r>
            <w:r>
              <w:rPr>
                <w:rStyle w:val="IndexLink"/>
              </w:rPr>
              <w:t>27</w:t>
            </w:r>
          </w:hyperlink>
        </w:p>
        <w:p>
          <w:pPr>
            <w:pStyle w:val="Contents4"/>
            <w:tabs>
              <w:tab w:val="clear" w:pos="8176"/>
              <w:tab w:val="right" w:pos="9026" w:leader="dot"/>
            </w:tabs>
            <w:rPr/>
          </w:pPr>
          <w:hyperlink w:anchor="__RefHeading___Toc13791735_1280447820">
            <w:r>
              <w:rPr>
                <w:webHidden/>
                <w:rStyle w:val="IndexLink"/>
              </w:rPr>
              <w:t>2-4-1</w:t>
            </w:r>
            <w:r>
              <w:rPr>
                <w:rStyle w:val="IndexLink"/>
                <w:rtl w:val="true"/>
              </w:rPr>
              <w:t xml:space="preserve">- </w:t>
            </w:r>
            <w:r>
              <w:rPr>
                <w:rStyle w:val="IndexLink"/>
                <w:rtl w:val="true"/>
              </w:rPr>
              <w:t>یهودیت ارتدوکس</w:t>
            </w:r>
            <w:r>
              <w:rPr>
                <w:rStyle w:val="IndexLink"/>
                <w:rtl w:val="true"/>
              </w:rPr>
              <w:t>:</w:t>
              <w:tab/>
            </w:r>
            <w:r>
              <w:rPr>
                <w:rStyle w:val="IndexLink"/>
              </w:rPr>
              <w:t>28</w:t>
            </w:r>
          </w:hyperlink>
        </w:p>
        <w:p>
          <w:pPr>
            <w:pStyle w:val="Contents4"/>
            <w:tabs>
              <w:tab w:val="clear" w:pos="8176"/>
              <w:tab w:val="right" w:pos="9026" w:leader="dot"/>
            </w:tabs>
            <w:rPr/>
          </w:pPr>
          <w:hyperlink w:anchor="__RefHeading___Toc13791737_1280447820">
            <w:r>
              <w:rPr>
                <w:webHidden/>
                <w:rStyle w:val="IndexLink"/>
              </w:rPr>
              <w:t>3-4-1</w:t>
            </w:r>
            <w:r>
              <w:rPr>
                <w:rStyle w:val="IndexLink"/>
                <w:rtl w:val="true"/>
              </w:rPr>
              <w:t xml:space="preserve">- </w:t>
            </w:r>
            <w:r>
              <w:rPr>
                <w:rStyle w:val="IndexLink"/>
                <w:rtl w:val="true"/>
              </w:rPr>
              <w:t xml:space="preserve">یهودیت حسیدی </w:t>
            </w:r>
            <w:r>
              <w:rPr>
                <w:rStyle w:val="IndexLink"/>
                <w:rtl w:val="true"/>
              </w:rPr>
              <w:t>:</w:t>
              <w:tab/>
            </w:r>
            <w:r>
              <w:rPr>
                <w:rStyle w:val="IndexLink"/>
              </w:rPr>
              <w:t>29</w:t>
            </w:r>
          </w:hyperlink>
        </w:p>
        <w:p>
          <w:pPr>
            <w:pStyle w:val="Contents4"/>
            <w:tabs>
              <w:tab w:val="clear" w:pos="8176"/>
              <w:tab w:val="right" w:pos="9026" w:leader="dot"/>
            </w:tabs>
            <w:rPr/>
          </w:pPr>
          <w:hyperlink w:anchor="__RefHeading___Toc13791739_1280447820">
            <w:r>
              <w:rPr>
                <w:webHidden/>
                <w:rStyle w:val="IndexLink"/>
              </w:rPr>
              <w:t>4-4-1</w:t>
            </w:r>
            <w:r>
              <w:rPr>
                <w:rStyle w:val="IndexLink"/>
                <w:rtl w:val="true"/>
              </w:rPr>
              <w:t xml:space="preserve">- </w:t>
            </w:r>
            <w:r>
              <w:rPr>
                <w:rStyle w:val="IndexLink"/>
                <w:rtl w:val="true"/>
              </w:rPr>
              <w:t>یهودیت محافظه‌کار</w:t>
            </w:r>
            <w:r>
              <w:rPr>
                <w:rStyle w:val="IndexLink"/>
                <w:rtl w:val="true"/>
              </w:rPr>
              <w:t>:</w:t>
              <w:tab/>
            </w:r>
            <w:r>
              <w:rPr>
                <w:rStyle w:val="IndexLink"/>
              </w:rPr>
              <w:t>30</w:t>
            </w:r>
          </w:hyperlink>
        </w:p>
        <w:p>
          <w:pPr>
            <w:pStyle w:val="Contents3"/>
            <w:tabs>
              <w:tab w:val="clear" w:pos="8459"/>
              <w:tab w:val="right" w:pos="9026" w:leader="dot"/>
            </w:tabs>
            <w:rPr/>
          </w:pPr>
          <w:hyperlink w:anchor="__RefHeading___Toc13791741_1280447820">
            <w:r>
              <w:rPr>
                <w:webHidden/>
                <w:rStyle w:val="IndexLink"/>
              </w:rPr>
              <w:t>5-1</w:t>
            </w:r>
            <w:r>
              <w:rPr>
                <w:rStyle w:val="IndexLink"/>
                <w:rtl w:val="true"/>
              </w:rPr>
              <w:t xml:space="preserve">- </w:t>
            </w:r>
            <w:r>
              <w:rPr>
                <w:rStyle w:val="IndexLink"/>
                <w:rtl w:val="true"/>
              </w:rPr>
              <w:t>بخش پنجم</w:t>
            </w:r>
            <w:r>
              <w:rPr>
                <w:rStyle w:val="IndexLink"/>
                <w:rtl w:val="true"/>
              </w:rPr>
              <w:t xml:space="preserve">: </w:t>
            </w:r>
            <w:r>
              <w:rPr>
                <w:rStyle w:val="IndexLink"/>
                <w:rtl w:val="true"/>
              </w:rPr>
              <w:t xml:space="preserve">هیکل سلیمان </w:t>
            </w:r>
            <w:r>
              <w:rPr>
                <w:rStyle w:val="IndexLink"/>
                <w:rtl w:val="true"/>
              </w:rPr>
              <w:t>:</w:t>
              <w:tab/>
            </w:r>
            <w:r>
              <w:rPr>
                <w:rStyle w:val="IndexLink"/>
              </w:rPr>
              <w:t>31</w:t>
            </w:r>
          </w:hyperlink>
        </w:p>
        <w:p>
          <w:pPr>
            <w:pStyle w:val="Contents4"/>
            <w:tabs>
              <w:tab w:val="clear" w:pos="8176"/>
              <w:tab w:val="right" w:pos="9026" w:leader="dot"/>
            </w:tabs>
            <w:rPr/>
          </w:pPr>
          <w:hyperlink w:anchor="__RefHeading___Toc13791743_1280447820">
            <w:r>
              <w:rPr>
                <w:webHidden/>
                <w:rStyle w:val="IndexLink"/>
              </w:rPr>
              <w:t>1-5-1</w:t>
            </w:r>
            <w:r>
              <w:rPr>
                <w:rStyle w:val="IndexLink"/>
                <w:rtl w:val="true"/>
              </w:rPr>
              <w:t xml:space="preserve">- </w:t>
            </w:r>
            <w:r>
              <w:rPr>
                <w:rStyle w:val="IndexLink"/>
                <w:rtl w:val="true"/>
              </w:rPr>
              <w:t>هیکل سلیمان</w:t>
            </w:r>
            <w:r>
              <w:rPr>
                <w:rStyle w:val="IndexLink"/>
                <w:rtl w:val="true"/>
              </w:rPr>
              <w:t xml:space="preserve">: </w:t>
            </w:r>
            <w:r>
              <w:rPr>
                <w:rStyle w:val="IndexLink"/>
                <w:rtl w:val="true"/>
              </w:rPr>
              <w:t>مرکز معنوی یهودیت</w:t>
            </w:r>
            <w:r>
              <w:rPr>
                <w:rStyle w:val="IndexLink"/>
                <w:rtl w:val="true"/>
              </w:rPr>
              <w:t>:</w:t>
              <w:tab/>
            </w:r>
            <w:r>
              <w:rPr>
                <w:rStyle w:val="IndexLink"/>
              </w:rPr>
              <w:t>31</w:t>
            </w:r>
          </w:hyperlink>
        </w:p>
        <w:p>
          <w:pPr>
            <w:pStyle w:val="Contents4"/>
            <w:tabs>
              <w:tab w:val="clear" w:pos="8176"/>
              <w:tab w:val="right" w:pos="9026" w:leader="dot"/>
            </w:tabs>
            <w:rPr/>
          </w:pPr>
          <w:hyperlink w:anchor="__RefHeading___Toc13791745_1280447820">
            <w:r>
              <w:rPr>
                <w:webHidden/>
                <w:rStyle w:val="IndexLink"/>
              </w:rPr>
              <w:t>2-5-1</w:t>
            </w:r>
            <w:r>
              <w:rPr>
                <w:rStyle w:val="IndexLink"/>
                <w:rtl w:val="true"/>
              </w:rPr>
              <w:t xml:space="preserve">- </w:t>
            </w:r>
            <w:r>
              <w:rPr>
                <w:rStyle w:val="IndexLink"/>
                <w:rtl w:val="true"/>
              </w:rPr>
              <w:t>باورها و انتظارها برای هیکل سوم</w:t>
            </w:r>
            <w:r>
              <w:rPr>
                <w:rStyle w:val="IndexLink"/>
                <w:rtl w:val="true"/>
              </w:rPr>
              <w:t>:</w:t>
              <w:tab/>
            </w:r>
            <w:r>
              <w:rPr>
                <w:rStyle w:val="IndexLink"/>
              </w:rPr>
              <w:t>32</w:t>
            </w:r>
          </w:hyperlink>
        </w:p>
        <w:p>
          <w:pPr>
            <w:pStyle w:val="Contents4"/>
            <w:tabs>
              <w:tab w:val="clear" w:pos="8176"/>
              <w:tab w:val="right" w:pos="9026" w:leader="dot"/>
            </w:tabs>
            <w:rPr/>
          </w:pPr>
          <w:hyperlink w:anchor="__RefHeading___Toc13791747_1280447820">
            <w:r>
              <w:rPr>
                <w:webHidden/>
                <w:rStyle w:val="IndexLink"/>
              </w:rPr>
              <w:t>3-5-1</w:t>
            </w:r>
            <w:r>
              <w:rPr>
                <w:rStyle w:val="IndexLink"/>
                <w:rtl w:val="true"/>
              </w:rPr>
              <w:t xml:space="preserve">- </w:t>
            </w:r>
            <w:r>
              <w:rPr>
                <w:rStyle w:val="IndexLink"/>
                <w:rtl w:val="true"/>
              </w:rPr>
              <w:t>گنجینه‌های گمشده معبد</w:t>
            </w:r>
            <w:r>
              <w:rPr>
                <w:rStyle w:val="IndexLink"/>
                <w:rtl w:val="true"/>
              </w:rPr>
              <w:t>:</w:t>
              <w:tab/>
            </w:r>
            <w:r>
              <w:rPr>
                <w:rStyle w:val="IndexLink"/>
              </w:rPr>
              <w:t>33</w:t>
            </w:r>
          </w:hyperlink>
        </w:p>
        <w:p>
          <w:pPr>
            <w:pStyle w:val="Contents3"/>
            <w:tabs>
              <w:tab w:val="clear" w:pos="8459"/>
              <w:tab w:val="right" w:pos="9026" w:leader="dot"/>
            </w:tabs>
            <w:rPr/>
          </w:pPr>
          <w:hyperlink w:anchor="__RefHeading___Toc13791749_1280447820">
            <w:r>
              <w:rPr>
                <w:webHidden/>
                <w:rStyle w:val="IndexLink"/>
              </w:rPr>
              <w:t>6-1</w:t>
            </w:r>
            <w:r>
              <w:rPr>
                <w:rStyle w:val="IndexLink"/>
                <w:rtl w:val="true"/>
              </w:rPr>
              <w:t xml:space="preserve">- </w:t>
            </w:r>
            <w:r>
              <w:rPr>
                <w:rStyle w:val="IndexLink"/>
                <w:rtl w:val="true"/>
              </w:rPr>
              <w:t>تابوت عهد</w:t>
            </w:r>
            <w:r>
              <w:rPr>
                <w:rStyle w:val="IndexLink"/>
                <w:rtl w:val="true"/>
              </w:rPr>
              <w:t xml:space="preserve">: </w:t>
            </w:r>
            <w:r>
              <w:rPr>
                <w:rStyle w:val="IndexLink"/>
                <w:rtl w:val="true"/>
              </w:rPr>
              <w:t>جایگاه، سرنوشت و نمادگرایی آن در یهودیت</w:t>
            </w:r>
            <w:r>
              <w:rPr>
                <w:rStyle w:val="IndexLink"/>
                <w:rtl w:val="true"/>
              </w:rPr>
              <w:t>:</w:t>
              <w:tab/>
            </w:r>
            <w:r>
              <w:rPr>
                <w:rStyle w:val="IndexLink"/>
              </w:rPr>
              <w:t>34</w:t>
            </w:r>
          </w:hyperlink>
        </w:p>
        <w:p>
          <w:pPr>
            <w:pStyle w:val="Contents3"/>
            <w:tabs>
              <w:tab w:val="clear" w:pos="8459"/>
              <w:tab w:val="right" w:pos="9026" w:leader="dot"/>
            </w:tabs>
            <w:rPr/>
          </w:pPr>
          <w:hyperlink w:anchor="__RefHeading___Toc13791751_1280447820">
            <w:r>
              <w:rPr>
                <w:webHidden/>
                <w:rStyle w:val="IndexLink"/>
                <w:rtl w:val="true"/>
              </w:rPr>
              <w:t>جمع بندی فصل اول</w:t>
            </w:r>
            <w:r>
              <w:rPr>
                <w:rStyle w:val="IndexLink"/>
                <w:rtl w:val="true"/>
              </w:rPr>
              <w:t>:</w:t>
              <w:tab/>
            </w:r>
            <w:r>
              <w:rPr>
                <w:rStyle w:val="IndexLink"/>
              </w:rPr>
              <w:t>38</w:t>
            </w:r>
          </w:hyperlink>
        </w:p>
        <w:p>
          <w:pPr>
            <w:pStyle w:val="Contents2"/>
            <w:tabs>
              <w:tab w:val="clear" w:pos="8743"/>
              <w:tab w:val="right" w:pos="9026" w:leader="dot"/>
            </w:tabs>
            <w:rPr/>
          </w:pPr>
          <w:hyperlink w:anchor="__RefHeading___Toc13791753_1280447820">
            <w:r>
              <w:rPr>
                <w:webHidden/>
                <w:rStyle w:val="IndexLink"/>
              </w:rPr>
              <w:t>2</w:t>
            </w:r>
            <w:r>
              <w:rPr>
                <w:rStyle w:val="IndexLink"/>
                <w:rtl w:val="true"/>
              </w:rPr>
              <w:t xml:space="preserve">- </w:t>
            </w:r>
            <w:r>
              <w:rPr>
                <w:rStyle w:val="IndexLink"/>
                <w:rtl w:val="true"/>
              </w:rPr>
              <w:t>فصل دوم</w:t>
            </w:r>
            <w:r>
              <w:rPr>
                <w:rStyle w:val="IndexLink"/>
                <w:rtl w:val="true"/>
              </w:rPr>
              <w:t xml:space="preserve">: </w:t>
            </w:r>
            <w:r>
              <w:rPr>
                <w:rStyle w:val="IndexLink"/>
                <w:rtl w:val="true"/>
              </w:rPr>
              <w:t>یهودیت و صهیونیسم</w:t>
            </w:r>
            <w:r>
              <w:rPr>
                <w:rStyle w:val="IndexLink"/>
                <w:rtl w:val="true"/>
              </w:rPr>
              <w:t xml:space="preserve">: </w:t>
            </w:r>
            <w:r>
              <w:rPr>
                <w:rStyle w:val="IndexLink"/>
                <w:rtl w:val="true"/>
              </w:rPr>
              <w:t>تمایزها، تضادها</w:t>
            </w:r>
            <w:r>
              <w:rPr>
                <w:rStyle w:val="IndexLink"/>
                <w:rtl w:val="true"/>
              </w:rPr>
              <w:t>:</w:t>
              <w:tab/>
            </w:r>
            <w:r>
              <w:rPr>
                <w:rStyle w:val="IndexLink"/>
              </w:rPr>
              <w:t>40</w:t>
            </w:r>
          </w:hyperlink>
        </w:p>
        <w:p>
          <w:pPr>
            <w:pStyle w:val="Contents3"/>
            <w:tabs>
              <w:tab w:val="clear" w:pos="8459"/>
              <w:tab w:val="right" w:pos="9026" w:leader="dot"/>
            </w:tabs>
            <w:rPr/>
          </w:pPr>
          <w:hyperlink w:anchor="__RefHeading___Toc13791755_1280447820">
            <w:r>
              <w:rPr>
                <w:webHidden/>
                <w:rStyle w:val="IndexLink"/>
              </w:rPr>
              <w:t>1-2</w:t>
            </w:r>
            <w:r>
              <w:rPr>
                <w:rStyle w:val="IndexLink"/>
                <w:rtl w:val="true"/>
              </w:rPr>
              <w:t xml:space="preserve">- </w:t>
            </w:r>
            <w:r>
              <w:rPr>
                <w:rStyle w:val="IndexLink"/>
                <w:rtl w:val="true"/>
              </w:rPr>
              <w:t>بخش اول</w:t>
            </w:r>
            <w:r>
              <w:rPr>
                <w:rStyle w:val="IndexLink"/>
                <w:rtl w:val="true"/>
              </w:rPr>
              <w:t xml:space="preserve">: </w:t>
            </w:r>
            <w:r>
              <w:rPr>
                <w:rStyle w:val="IndexLink"/>
                <w:rtl w:val="true"/>
              </w:rPr>
              <w:t>چیستی صهیونیسم</w:t>
            </w:r>
            <w:r>
              <w:rPr>
                <w:rStyle w:val="IndexLink"/>
                <w:rtl w:val="true"/>
              </w:rPr>
              <w:t>:</w:t>
              <w:tab/>
            </w:r>
            <w:r>
              <w:rPr>
                <w:rStyle w:val="IndexLink"/>
              </w:rPr>
              <w:t>40</w:t>
            </w:r>
          </w:hyperlink>
        </w:p>
        <w:p>
          <w:pPr>
            <w:pStyle w:val="Contents3"/>
            <w:tabs>
              <w:tab w:val="clear" w:pos="8459"/>
              <w:tab w:val="right" w:pos="9026" w:leader="dot"/>
            </w:tabs>
            <w:rPr/>
          </w:pPr>
          <w:hyperlink w:anchor="__RefHeading___Toc13791757_1280447820">
            <w:r>
              <w:rPr>
                <w:webHidden/>
                <w:rStyle w:val="IndexLink"/>
              </w:rPr>
              <w:t>2-2</w:t>
            </w:r>
            <w:r>
              <w:rPr>
                <w:rStyle w:val="IndexLink"/>
                <w:rtl w:val="true"/>
              </w:rPr>
              <w:t xml:space="preserve">- </w:t>
            </w:r>
            <w:r>
              <w:rPr>
                <w:rStyle w:val="IndexLink"/>
                <w:rtl w:val="true"/>
              </w:rPr>
              <w:t>بخش دوم</w:t>
            </w:r>
            <w:r>
              <w:rPr>
                <w:rStyle w:val="IndexLink"/>
                <w:rtl w:val="true"/>
              </w:rPr>
              <w:t xml:space="preserve">: </w:t>
            </w:r>
            <w:r>
              <w:rPr>
                <w:rStyle w:val="IndexLink"/>
                <w:rtl w:val="true"/>
              </w:rPr>
              <w:t>انواع صهیونیسم</w:t>
            </w:r>
            <w:r>
              <w:rPr>
                <w:rStyle w:val="IndexLink"/>
                <w:rtl w:val="true"/>
              </w:rPr>
              <w:t>:</w:t>
              <w:tab/>
            </w:r>
            <w:r>
              <w:rPr>
                <w:rStyle w:val="IndexLink"/>
              </w:rPr>
              <w:t>41</w:t>
            </w:r>
          </w:hyperlink>
        </w:p>
        <w:p>
          <w:pPr>
            <w:pStyle w:val="Contents3"/>
            <w:tabs>
              <w:tab w:val="clear" w:pos="8459"/>
              <w:tab w:val="right" w:pos="9026" w:leader="dot"/>
            </w:tabs>
            <w:rPr/>
          </w:pPr>
          <w:hyperlink w:anchor="__RefHeading___Toc13791759_1280447820">
            <w:r>
              <w:rPr>
                <w:webHidden/>
                <w:rStyle w:val="IndexLink"/>
              </w:rPr>
              <w:t>3-2</w:t>
            </w:r>
            <w:r>
              <w:rPr>
                <w:rStyle w:val="IndexLink"/>
                <w:rtl w:val="true"/>
              </w:rPr>
              <w:t xml:space="preserve">- </w:t>
            </w:r>
            <w:r>
              <w:rPr>
                <w:rStyle w:val="IndexLink"/>
                <w:rtl w:val="true"/>
              </w:rPr>
              <w:t>بخش سوم</w:t>
            </w:r>
            <w:r>
              <w:rPr>
                <w:rStyle w:val="IndexLink"/>
                <w:rtl w:val="true"/>
              </w:rPr>
              <w:t xml:space="preserve">: </w:t>
            </w:r>
            <w:r>
              <w:rPr>
                <w:rStyle w:val="IndexLink"/>
                <w:rtl w:val="true"/>
              </w:rPr>
              <w:t>ایدئولوژی صهیونیستی</w:t>
            </w:r>
            <w:r>
              <w:rPr>
                <w:rStyle w:val="IndexLink"/>
                <w:rtl w:val="true"/>
              </w:rPr>
              <w:t>:</w:t>
              <w:tab/>
            </w:r>
            <w:r>
              <w:rPr>
                <w:rStyle w:val="IndexLink"/>
              </w:rPr>
              <w:t>44</w:t>
            </w:r>
          </w:hyperlink>
        </w:p>
        <w:p>
          <w:pPr>
            <w:pStyle w:val="Contents3"/>
            <w:tabs>
              <w:tab w:val="clear" w:pos="8459"/>
              <w:tab w:val="right" w:pos="9026" w:leader="dot"/>
            </w:tabs>
            <w:rPr/>
          </w:pPr>
          <w:hyperlink w:anchor="__RefHeading___Toc13791761_1280447820">
            <w:r>
              <w:rPr>
                <w:webHidden/>
                <w:rStyle w:val="IndexLink"/>
              </w:rPr>
              <w:t>4-2</w:t>
            </w:r>
            <w:r>
              <w:rPr>
                <w:rStyle w:val="IndexLink"/>
                <w:rtl w:val="true"/>
              </w:rPr>
              <w:t xml:space="preserve">- </w:t>
            </w:r>
            <w:r>
              <w:rPr>
                <w:rStyle w:val="IndexLink"/>
                <w:rtl w:val="true"/>
              </w:rPr>
              <w:t>بخش چهارم</w:t>
            </w:r>
            <w:r>
              <w:rPr>
                <w:rStyle w:val="IndexLink"/>
                <w:rtl w:val="true"/>
              </w:rPr>
              <w:t xml:space="preserve">: </w:t>
            </w:r>
            <w:r>
              <w:rPr>
                <w:rStyle w:val="IndexLink"/>
                <w:rtl w:val="true"/>
              </w:rPr>
              <w:t>کارکرد سیاسی صهیونیسم و پیامدهای آن بر یهودیان</w:t>
            </w:r>
            <w:r>
              <w:rPr>
                <w:rStyle w:val="IndexLink"/>
                <w:rtl w:val="true"/>
              </w:rPr>
              <w:t>:</w:t>
              <w:tab/>
            </w:r>
            <w:r>
              <w:rPr>
                <w:rStyle w:val="IndexLink"/>
              </w:rPr>
              <w:t>46</w:t>
            </w:r>
          </w:hyperlink>
        </w:p>
        <w:p>
          <w:pPr>
            <w:pStyle w:val="Contents4"/>
            <w:tabs>
              <w:tab w:val="clear" w:pos="8176"/>
              <w:tab w:val="right" w:pos="9026" w:leader="dot"/>
            </w:tabs>
            <w:rPr/>
          </w:pPr>
          <w:hyperlink w:anchor="__RefHeading___Toc13791763_1280447820">
            <w:r>
              <w:rPr>
                <w:webHidden/>
                <w:rStyle w:val="IndexLink"/>
              </w:rPr>
              <w:t>1-4-2</w:t>
            </w:r>
            <w:r>
              <w:rPr>
                <w:rStyle w:val="IndexLink"/>
                <w:rtl w:val="true"/>
              </w:rPr>
              <w:t xml:space="preserve">- </w:t>
            </w:r>
            <w:r>
              <w:rPr>
                <w:rStyle w:val="IndexLink"/>
                <w:rtl w:val="true"/>
              </w:rPr>
              <w:t>گروگان‌گیری هویت یهودی</w:t>
            </w:r>
            <w:r>
              <w:rPr>
                <w:rStyle w:val="IndexLink"/>
                <w:rtl w:val="true"/>
              </w:rPr>
              <w:t>:</w:t>
              <w:tab/>
            </w:r>
            <w:r>
              <w:rPr>
                <w:rStyle w:val="IndexLink"/>
              </w:rPr>
              <w:t>46</w:t>
            </w:r>
          </w:hyperlink>
        </w:p>
        <w:p>
          <w:pPr>
            <w:pStyle w:val="Contents4"/>
            <w:tabs>
              <w:tab w:val="clear" w:pos="8176"/>
              <w:tab w:val="right" w:pos="9026" w:leader="dot"/>
            </w:tabs>
            <w:rPr/>
          </w:pPr>
          <w:hyperlink w:anchor="__RefHeading___Toc13791765_1280447820">
            <w:r>
              <w:rPr>
                <w:webHidden/>
                <w:rStyle w:val="IndexLink"/>
              </w:rPr>
              <w:t>2-4-2</w:t>
            </w:r>
            <w:r>
              <w:rPr>
                <w:rStyle w:val="IndexLink"/>
                <w:rtl w:val="true"/>
              </w:rPr>
              <w:t xml:space="preserve">- </w:t>
            </w:r>
            <w:r>
              <w:rPr>
                <w:rStyle w:val="IndexLink"/>
                <w:rtl w:val="true"/>
              </w:rPr>
              <w:t>استفاده ابزاری از دین برای اهداف سیاسی</w:t>
            </w:r>
            <w:r>
              <w:rPr>
                <w:rStyle w:val="IndexLink"/>
                <w:rtl w:val="true"/>
              </w:rPr>
              <w:t>:</w:t>
              <w:tab/>
            </w:r>
            <w:r>
              <w:rPr>
                <w:rStyle w:val="IndexLink"/>
              </w:rPr>
              <w:t>47</w:t>
            </w:r>
          </w:hyperlink>
        </w:p>
        <w:p>
          <w:pPr>
            <w:pStyle w:val="Contents4"/>
            <w:tabs>
              <w:tab w:val="clear" w:pos="8176"/>
              <w:tab w:val="right" w:pos="9026" w:leader="dot"/>
            </w:tabs>
            <w:rPr/>
          </w:pPr>
          <w:hyperlink w:anchor="__RefHeading___Toc13791767_1280447820">
            <w:r>
              <w:rPr>
                <w:webHidden/>
                <w:rStyle w:val="IndexLink"/>
              </w:rPr>
              <w:t>3-4-2</w:t>
            </w:r>
            <w:r>
              <w:rPr>
                <w:rStyle w:val="IndexLink"/>
                <w:rtl w:val="true"/>
              </w:rPr>
              <w:t xml:space="preserve">- </w:t>
            </w:r>
            <w:r>
              <w:rPr>
                <w:rStyle w:val="IndexLink"/>
                <w:rtl w:val="true"/>
              </w:rPr>
              <w:t>تبعیض سیستماتیک علیه یهودیان شرقی</w:t>
            </w:r>
            <w:r>
              <w:rPr>
                <w:rStyle w:val="IndexLink"/>
                <w:rtl w:val="true"/>
              </w:rPr>
              <w:t>:</w:t>
              <w:tab/>
            </w:r>
            <w:r>
              <w:rPr>
                <w:rStyle w:val="IndexLink"/>
              </w:rPr>
              <w:t>48</w:t>
            </w:r>
          </w:hyperlink>
        </w:p>
        <w:p>
          <w:pPr>
            <w:pStyle w:val="Contents3"/>
            <w:tabs>
              <w:tab w:val="clear" w:pos="8459"/>
              <w:tab w:val="right" w:pos="9026" w:leader="dot"/>
            </w:tabs>
            <w:rPr/>
          </w:pPr>
          <w:hyperlink w:anchor="__RefHeading___Toc13791769_1280447820">
            <w:r>
              <w:rPr>
                <w:webHidden/>
                <w:rStyle w:val="IndexLink"/>
              </w:rPr>
              <w:t>5-2</w:t>
            </w:r>
            <w:r>
              <w:rPr>
                <w:rStyle w:val="IndexLink"/>
                <w:rtl w:val="true"/>
              </w:rPr>
              <w:t xml:space="preserve">- </w:t>
            </w:r>
            <w:r>
              <w:rPr>
                <w:rStyle w:val="IndexLink"/>
                <w:rtl w:val="true"/>
              </w:rPr>
              <w:t>بخش پنجم</w:t>
            </w:r>
            <w:r>
              <w:rPr>
                <w:rStyle w:val="IndexLink"/>
                <w:rtl w:val="true"/>
              </w:rPr>
              <w:t xml:space="preserve">: </w:t>
            </w:r>
            <w:r>
              <w:rPr>
                <w:rStyle w:val="IndexLink"/>
                <w:rtl w:val="true"/>
              </w:rPr>
              <w:t>مخالفت‌های تاریخی یهودیان با صهیونیسم</w:t>
            </w:r>
            <w:r>
              <w:rPr>
                <w:rStyle w:val="IndexLink"/>
                <w:rtl w:val="true"/>
              </w:rPr>
              <w:t>:</w:t>
              <w:tab/>
            </w:r>
            <w:r>
              <w:rPr>
                <w:rStyle w:val="IndexLink"/>
              </w:rPr>
              <w:t>50</w:t>
            </w:r>
          </w:hyperlink>
        </w:p>
        <w:p>
          <w:pPr>
            <w:pStyle w:val="Contents4"/>
            <w:tabs>
              <w:tab w:val="clear" w:pos="8176"/>
              <w:tab w:val="right" w:pos="9026" w:leader="dot"/>
            </w:tabs>
            <w:rPr/>
          </w:pPr>
          <w:hyperlink w:anchor="__RefHeading___Toc13791771_1280447820">
            <w:r>
              <w:rPr>
                <w:webHidden/>
                <w:rStyle w:val="IndexLink"/>
              </w:rPr>
              <w:t>1-5-2</w:t>
            </w:r>
            <w:r>
              <w:rPr>
                <w:rStyle w:val="IndexLink"/>
                <w:rtl w:val="true"/>
              </w:rPr>
              <w:t xml:space="preserve">- </w:t>
            </w:r>
            <w:r>
              <w:rPr>
                <w:rStyle w:val="IndexLink"/>
                <w:rtl w:val="true"/>
              </w:rPr>
              <w:t>جنبش‌های یهودی ضدصهیونیسم</w:t>
            </w:r>
            <w:r>
              <w:rPr>
                <w:rStyle w:val="IndexLink"/>
                <w:rtl w:val="true"/>
              </w:rPr>
              <w:t>:</w:t>
              <w:tab/>
            </w:r>
            <w:r>
              <w:rPr>
                <w:rStyle w:val="IndexLink"/>
              </w:rPr>
              <w:t>50</w:t>
            </w:r>
          </w:hyperlink>
        </w:p>
        <w:p>
          <w:pPr>
            <w:pStyle w:val="Contents4"/>
            <w:tabs>
              <w:tab w:val="clear" w:pos="8176"/>
              <w:tab w:val="right" w:pos="9026" w:leader="dot"/>
            </w:tabs>
            <w:rPr/>
          </w:pPr>
          <w:hyperlink w:anchor="__RefHeading___Toc13791773_1280447820">
            <w:r>
              <w:rPr>
                <w:webHidden/>
                <w:rStyle w:val="IndexLink"/>
              </w:rPr>
              <w:t>2-5-2</w:t>
            </w:r>
            <w:r>
              <w:rPr>
                <w:rStyle w:val="IndexLink"/>
                <w:rtl w:val="true"/>
              </w:rPr>
              <w:t xml:space="preserve">- </w:t>
            </w:r>
            <w:r>
              <w:rPr>
                <w:rStyle w:val="IndexLink"/>
                <w:rtl w:val="true"/>
              </w:rPr>
              <w:t>مواضع شخصیت‌های برجسته</w:t>
            </w:r>
            <w:r>
              <w:rPr>
                <w:rStyle w:val="IndexLink"/>
                <w:rtl w:val="true"/>
              </w:rPr>
              <w:t>:</w:t>
              <w:tab/>
            </w:r>
            <w:r>
              <w:rPr>
                <w:rStyle w:val="IndexLink"/>
              </w:rPr>
              <w:t>51</w:t>
            </w:r>
          </w:hyperlink>
        </w:p>
        <w:p>
          <w:pPr>
            <w:pStyle w:val="Contents3"/>
            <w:tabs>
              <w:tab w:val="clear" w:pos="8459"/>
              <w:tab w:val="right" w:pos="9026" w:leader="dot"/>
            </w:tabs>
            <w:rPr/>
          </w:pPr>
          <w:hyperlink w:anchor="__RefHeading___Toc13791775_1280447820">
            <w:r>
              <w:rPr>
                <w:webHidden/>
                <w:rStyle w:val="IndexLink"/>
              </w:rPr>
              <w:t>6-2</w:t>
            </w:r>
            <w:r>
              <w:rPr>
                <w:rStyle w:val="IndexLink"/>
                <w:rtl w:val="true"/>
              </w:rPr>
              <w:t xml:space="preserve">- </w:t>
            </w:r>
            <w:r>
              <w:rPr>
                <w:rStyle w:val="IndexLink"/>
                <w:rtl w:val="true"/>
              </w:rPr>
              <w:t>بخش ششم</w:t>
            </w:r>
            <w:r>
              <w:rPr>
                <w:rStyle w:val="IndexLink"/>
                <w:rtl w:val="true"/>
              </w:rPr>
              <w:t xml:space="preserve">: </w:t>
            </w:r>
            <w:r>
              <w:rPr>
                <w:rStyle w:val="IndexLink"/>
                <w:rtl w:val="true"/>
              </w:rPr>
              <w:t>مکان‌های مقدس و مراکز صهیونی</w:t>
            </w:r>
            <w:r>
              <w:rPr>
                <w:rStyle w:val="IndexLink"/>
                <w:rtl w:val="true"/>
              </w:rPr>
              <w:t>:</w:t>
              <w:tab/>
            </w:r>
            <w:r>
              <w:rPr>
                <w:rStyle w:val="IndexLink"/>
              </w:rPr>
              <w:t>52</w:t>
            </w:r>
          </w:hyperlink>
        </w:p>
        <w:p>
          <w:pPr>
            <w:pStyle w:val="Contents4"/>
            <w:tabs>
              <w:tab w:val="clear" w:pos="8176"/>
              <w:tab w:val="right" w:pos="9026" w:leader="dot"/>
            </w:tabs>
            <w:rPr/>
          </w:pPr>
          <w:hyperlink w:anchor="__RefHeading___Toc13791777_12804478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3791779_1280447820">
            <w:r>
              <w:rPr>
                <w:webHidden/>
                <w:rStyle w:val="IndexLink"/>
              </w:rPr>
              <w:t>1-6-2</w:t>
            </w:r>
            <w:r>
              <w:rPr>
                <w:rStyle w:val="IndexLink"/>
                <w:rtl w:val="true"/>
              </w:rPr>
              <w:t xml:space="preserve">- </w:t>
            </w:r>
            <w:r>
              <w:rPr>
                <w:rStyle w:val="IndexLink"/>
                <w:rtl w:val="true"/>
              </w:rPr>
              <w:t>کوه صهیون و قبرستان روش پینا</w:t>
            </w:r>
            <w:r>
              <w:rPr>
                <w:rStyle w:val="IndexLink"/>
                <w:rtl w:val="true"/>
              </w:rPr>
              <w:t>:</w:t>
              <w:tab/>
            </w:r>
            <w:r>
              <w:rPr>
                <w:rStyle w:val="IndexLink"/>
              </w:rPr>
              <w:t>53</w:t>
            </w:r>
          </w:hyperlink>
        </w:p>
        <w:p>
          <w:pPr>
            <w:pStyle w:val="Contents4"/>
            <w:tabs>
              <w:tab w:val="clear" w:pos="8176"/>
              <w:tab w:val="right" w:pos="9026" w:leader="dot"/>
            </w:tabs>
            <w:rPr/>
          </w:pPr>
          <w:hyperlink w:anchor="__RefHeading___Toc13791781_1280447820">
            <w:r>
              <w:rPr>
                <w:webHidden/>
                <w:rStyle w:val="IndexLink"/>
              </w:rPr>
              <w:t>2-6-2</w:t>
            </w:r>
            <w:r>
              <w:rPr>
                <w:rStyle w:val="IndexLink"/>
                <w:rtl w:val="true"/>
              </w:rPr>
              <w:t xml:space="preserve">- </w:t>
            </w:r>
            <w:r>
              <w:rPr>
                <w:rStyle w:val="IndexLink"/>
                <w:rtl w:val="true"/>
              </w:rPr>
              <w:t xml:space="preserve">دیوار ندبه </w:t>
            </w:r>
            <w:r>
              <w:rPr>
                <w:rStyle w:val="IndexLink"/>
                <w:rtl w:val="true"/>
              </w:rPr>
              <w:t>(</w:t>
            </w:r>
            <w:r>
              <w:rPr>
                <w:rStyle w:val="IndexLink"/>
                <w:rtl w:val="true"/>
              </w:rPr>
              <w:t>اورشلیم</w:t>
            </w:r>
            <w:r>
              <w:rPr>
                <w:rStyle w:val="IndexLink"/>
                <w:rtl w:val="true"/>
              </w:rPr>
              <w:t>):</w:t>
              <w:tab/>
            </w:r>
            <w:r>
              <w:rPr>
                <w:rStyle w:val="IndexLink"/>
              </w:rPr>
              <w:t>53</w:t>
            </w:r>
          </w:hyperlink>
        </w:p>
        <w:p>
          <w:pPr>
            <w:pStyle w:val="Contents3"/>
            <w:tabs>
              <w:tab w:val="clear" w:pos="8459"/>
              <w:tab w:val="right" w:pos="9026" w:leader="dot"/>
            </w:tabs>
            <w:rPr/>
          </w:pPr>
          <w:hyperlink w:anchor="__RefHeading___Toc13791783_1280447820">
            <w:r>
              <w:rPr>
                <w:webHidden/>
                <w:rStyle w:val="IndexLink"/>
                <w:rtl w:val="true"/>
              </w:rPr>
              <w:t>جمع بندی فصل دوم</w:t>
            </w:r>
            <w:r>
              <w:rPr>
                <w:rStyle w:val="IndexLink"/>
                <w:rtl w:val="true"/>
              </w:rPr>
              <w:t>:</w:t>
              <w:tab/>
            </w:r>
            <w:r>
              <w:rPr>
                <w:rStyle w:val="IndexLink"/>
              </w:rPr>
              <w:t>54</w:t>
            </w:r>
          </w:hyperlink>
        </w:p>
        <w:p>
          <w:pPr>
            <w:pStyle w:val="Contents2"/>
            <w:tabs>
              <w:tab w:val="clear" w:pos="8743"/>
              <w:tab w:val="right" w:pos="9026" w:leader="dot"/>
            </w:tabs>
            <w:rPr/>
          </w:pPr>
          <w:hyperlink w:anchor="__RefHeading___Toc13791785_1280447820">
            <w:r>
              <w:rPr>
                <w:webHidden/>
                <w:rStyle w:val="IndexLink"/>
              </w:rPr>
              <w:t>3</w:t>
            </w:r>
            <w:r>
              <w:rPr>
                <w:rStyle w:val="IndexLink"/>
                <w:rtl w:val="true"/>
              </w:rPr>
              <w:t xml:space="preserve">- </w:t>
            </w:r>
            <w:r>
              <w:rPr>
                <w:rStyle w:val="IndexLink"/>
                <w:rtl w:val="true"/>
              </w:rPr>
              <w:t xml:space="preserve">فصل سوم </w:t>
            </w:r>
            <w:r>
              <w:rPr>
                <w:rStyle w:val="IndexLink"/>
                <w:rtl w:val="true"/>
              </w:rPr>
              <w:t xml:space="preserve">: </w:t>
            </w:r>
            <w:r>
              <w:rPr>
                <w:rStyle w:val="IndexLink"/>
                <w:rtl w:val="true"/>
              </w:rPr>
              <w:t xml:space="preserve">عرفان یهودی </w:t>
            </w:r>
            <w:r>
              <w:rPr>
                <w:rStyle w:val="IndexLink"/>
                <w:rtl w:val="true"/>
              </w:rPr>
              <w:t>(</w:t>
            </w:r>
            <w:r>
              <w:rPr>
                <w:rStyle w:val="IndexLink"/>
                <w:rtl w:val="true"/>
              </w:rPr>
              <w:t>کابالا</w:t>
            </w:r>
            <w:r>
              <w:rPr>
                <w:rStyle w:val="IndexLink"/>
                <w:rtl w:val="true"/>
              </w:rPr>
              <w:t xml:space="preserve">) </w:t>
            </w:r>
            <w:r>
              <w:rPr>
                <w:rStyle w:val="IndexLink"/>
                <w:rtl w:val="true"/>
              </w:rPr>
              <w:t>و جادوگری</w:t>
            </w:r>
            <w:r>
              <w:rPr>
                <w:rStyle w:val="IndexLink"/>
                <w:rtl w:val="true"/>
              </w:rPr>
              <w:t>:</w:t>
              <w:tab/>
            </w:r>
            <w:r>
              <w:rPr>
                <w:rStyle w:val="IndexLink"/>
              </w:rPr>
              <w:t>56</w:t>
            </w:r>
          </w:hyperlink>
        </w:p>
        <w:p>
          <w:pPr>
            <w:pStyle w:val="Contents3"/>
            <w:tabs>
              <w:tab w:val="clear" w:pos="8459"/>
              <w:tab w:val="right" w:pos="9026" w:leader="dot"/>
            </w:tabs>
            <w:rPr/>
          </w:pPr>
          <w:hyperlink w:anchor="__RefHeading___Toc13791787_1280447820">
            <w:r>
              <w:rPr>
                <w:webHidden/>
                <w:rStyle w:val="IndexLink"/>
              </w:rPr>
              <w:t>1-3</w:t>
            </w:r>
            <w:r>
              <w:rPr>
                <w:rStyle w:val="IndexLink"/>
                <w:rtl w:val="true"/>
              </w:rPr>
              <w:t xml:space="preserve">- </w:t>
            </w:r>
            <w:r>
              <w:rPr>
                <w:rStyle w:val="IndexLink"/>
                <w:rtl w:val="true"/>
              </w:rPr>
              <w:t>نظریه عرفانی و عمل جادویی</w:t>
            </w:r>
            <w:r>
              <w:rPr>
                <w:rStyle w:val="IndexLink"/>
                <w:rtl w:val="true"/>
              </w:rPr>
              <w:t>:</w:t>
              <w:tab/>
            </w:r>
            <w:r>
              <w:rPr>
                <w:rStyle w:val="IndexLink"/>
              </w:rPr>
              <w:t>56</w:t>
            </w:r>
          </w:hyperlink>
        </w:p>
        <w:p>
          <w:pPr>
            <w:pStyle w:val="Contents3"/>
            <w:tabs>
              <w:tab w:val="clear" w:pos="8459"/>
              <w:tab w:val="right" w:pos="9026" w:leader="dot"/>
            </w:tabs>
            <w:rPr/>
          </w:pPr>
          <w:hyperlink w:anchor="__RefHeading___Toc13791789_1280447820">
            <w:r>
              <w:rPr>
                <w:webHidden/>
                <w:rStyle w:val="IndexLink"/>
              </w:rPr>
              <w:t>2-3</w:t>
            </w:r>
            <w:r>
              <w:rPr>
                <w:rStyle w:val="IndexLink"/>
                <w:rtl w:val="true"/>
              </w:rPr>
              <w:t xml:space="preserve">- </w:t>
            </w:r>
            <w:r>
              <w:rPr>
                <w:rStyle w:val="IndexLink"/>
                <w:rtl w:val="true"/>
              </w:rPr>
              <w:t>احضار ارواح در آیین یهود</w:t>
            </w:r>
            <w:r>
              <w:rPr>
                <w:rStyle w:val="IndexLink"/>
                <w:rtl w:val="true"/>
              </w:rPr>
              <w:t>:</w:t>
              <w:tab/>
            </w:r>
            <w:r>
              <w:rPr>
                <w:rStyle w:val="IndexLink"/>
              </w:rPr>
              <w:t>58</w:t>
            </w:r>
          </w:hyperlink>
        </w:p>
        <w:p>
          <w:pPr>
            <w:pStyle w:val="Contents3"/>
            <w:tabs>
              <w:tab w:val="clear" w:pos="8459"/>
              <w:tab w:val="right" w:pos="9026" w:leader="dot"/>
            </w:tabs>
            <w:rPr/>
          </w:pPr>
          <w:hyperlink w:anchor="__RefHeading___Toc13791791_1280447820">
            <w:r>
              <w:rPr>
                <w:webHidden/>
                <w:rStyle w:val="IndexLink"/>
              </w:rPr>
              <w:t>3-3</w:t>
            </w:r>
            <w:r>
              <w:rPr>
                <w:rStyle w:val="IndexLink"/>
                <w:rtl w:val="true"/>
              </w:rPr>
              <w:t xml:space="preserve">- </w:t>
            </w:r>
            <w:r>
              <w:rPr>
                <w:rStyle w:val="IndexLink"/>
                <w:rtl w:val="true"/>
              </w:rPr>
              <w:t>دوگانگی نگرش به جادو در یهودیت</w:t>
            </w:r>
            <w:r>
              <w:rPr>
                <w:rStyle w:val="IndexLink"/>
                <w:rtl w:val="true"/>
              </w:rPr>
              <w:t>:</w:t>
              <w:tab/>
            </w:r>
            <w:r>
              <w:rPr>
                <w:rStyle w:val="IndexLink"/>
              </w:rPr>
              <w:t>60</w:t>
            </w:r>
          </w:hyperlink>
        </w:p>
        <w:p>
          <w:pPr>
            <w:pStyle w:val="Contents4"/>
            <w:tabs>
              <w:tab w:val="clear" w:pos="8176"/>
              <w:tab w:val="right" w:pos="9026" w:leader="dot"/>
            </w:tabs>
            <w:rPr/>
          </w:pPr>
          <w:hyperlink w:anchor="__RefHeading___Toc13791793_12804478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3791795_1280447820">
            <w:r>
              <w:rPr>
                <w:webHidden/>
                <w:rStyle w:val="IndexLink"/>
              </w:rPr>
              <w:t>1-3-3</w:t>
            </w:r>
            <w:r>
              <w:rPr>
                <w:rStyle w:val="IndexLink"/>
                <w:rtl w:val="true"/>
              </w:rPr>
              <w:t xml:space="preserve">- </w:t>
            </w:r>
            <w:r>
              <w:rPr>
                <w:rStyle w:val="IndexLink"/>
                <w:rtl w:val="true"/>
              </w:rPr>
              <w:t xml:space="preserve">حمسا </w:t>
            </w:r>
            <w:r>
              <w:rPr>
                <w:rStyle w:val="IndexLink"/>
                <w:rtl w:val="true"/>
              </w:rPr>
              <w:t xml:space="preserve">- </w:t>
            </w:r>
            <w:r>
              <w:rPr>
                <w:rStyle w:val="IndexLink"/>
                <w:rtl w:val="true"/>
              </w:rPr>
              <w:t>دست پنجه‌دار</w:t>
            </w:r>
            <w:r>
              <w:rPr>
                <w:rStyle w:val="IndexLink"/>
                <w:rtl w:val="true"/>
              </w:rPr>
              <w:t>:</w:t>
              <w:tab/>
            </w:r>
            <w:r>
              <w:rPr>
                <w:rStyle w:val="IndexLink"/>
              </w:rPr>
              <w:t>62</w:t>
            </w:r>
          </w:hyperlink>
        </w:p>
        <w:p>
          <w:pPr>
            <w:pStyle w:val="Contents4"/>
            <w:tabs>
              <w:tab w:val="clear" w:pos="8176"/>
              <w:tab w:val="right" w:pos="9026" w:leader="dot"/>
            </w:tabs>
            <w:rPr/>
          </w:pPr>
          <w:hyperlink w:anchor="__RefHeading___Toc13791797_1280447820">
            <w:r>
              <w:rPr>
                <w:webHidden/>
                <w:rStyle w:val="IndexLink"/>
              </w:rPr>
              <w:t>2-3-3</w:t>
            </w:r>
            <w:r>
              <w:rPr>
                <w:rStyle w:val="IndexLink"/>
                <w:rtl w:val="true"/>
              </w:rPr>
              <w:t xml:space="preserve">- </w:t>
            </w:r>
            <w:r>
              <w:rPr>
                <w:rStyle w:val="IndexLink"/>
                <w:rtl w:val="true"/>
              </w:rPr>
              <w:t xml:space="preserve">طلسم مَگِن داوید </w:t>
            </w:r>
            <w:r>
              <w:rPr>
                <w:rStyle w:val="IndexLink"/>
                <w:rtl w:val="true"/>
              </w:rPr>
              <w:t>(</w:t>
            </w:r>
            <w:r>
              <w:rPr>
                <w:rStyle w:val="IndexLink"/>
              </w:rPr>
              <w:t>Magen David</w:t>
            </w:r>
            <w:r>
              <w:rPr>
                <w:rStyle w:val="IndexLink"/>
                <w:rtl w:val="true"/>
              </w:rPr>
              <w:t xml:space="preserve"> - </w:t>
            </w:r>
            <w:r>
              <w:rPr>
                <w:rStyle w:val="IndexLink"/>
                <w:rtl w:val="true"/>
              </w:rPr>
              <w:t>ستاره داوود</w:t>
            </w:r>
            <w:r>
              <w:rPr>
                <w:rStyle w:val="IndexLink"/>
                <w:rtl w:val="true"/>
              </w:rPr>
              <w:t>):</w:t>
              <w:tab/>
            </w:r>
            <w:r>
              <w:rPr>
                <w:rStyle w:val="IndexLink"/>
              </w:rPr>
              <w:t>63</w:t>
            </w:r>
          </w:hyperlink>
        </w:p>
        <w:p>
          <w:pPr>
            <w:pStyle w:val="Contents4"/>
            <w:tabs>
              <w:tab w:val="clear" w:pos="8176"/>
              <w:tab w:val="right" w:pos="9026" w:leader="dot"/>
            </w:tabs>
            <w:rPr/>
          </w:pPr>
          <w:hyperlink w:anchor="__RefHeading___Toc13791799_1280447820">
            <w:r>
              <w:rPr>
                <w:webHidden/>
                <w:rStyle w:val="IndexLink"/>
              </w:rPr>
              <w:t>3-3-3</w:t>
            </w:r>
            <w:r>
              <w:rPr>
                <w:rStyle w:val="IndexLink"/>
                <w:rtl w:val="true"/>
              </w:rPr>
              <w:t xml:space="preserve">- </w:t>
            </w:r>
            <w:r>
              <w:rPr>
                <w:rStyle w:val="IndexLink"/>
                <w:rtl w:val="true"/>
              </w:rPr>
              <w:t xml:space="preserve">طلسم شَدای </w:t>
            </w:r>
            <w:r>
              <w:rPr>
                <w:rStyle w:val="IndexLink"/>
                <w:rtl w:val="true"/>
              </w:rPr>
              <w:t>(</w:t>
            </w:r>
            <w:r>
              <w:rPr>
                <w:rStyle w:val="IndexLink"/>
              </w:rPr>
              <w:t>Shaddai</w:t>
            </w:r>
            <w:r>
              <w:rPr>
                <w:rStyle w:val="IndexLink"/>
                <w:rtl w:val="true"/>
              </w:rPr>
              <w:t xml:space="preserve"> - </w:t>
            </w:r>
            <w:r>
              <w:rPr>
                <w:rStyle w:val="IndexLink"/>
                <w:rtl w:val="true"/>
              </w:rPr>
              <w:t>از نام‌های الهی</w:t>
            </w:r>
            <w:r>
              <w:rPr>
                <w:rStyle w:val="IndexLink"/>
                <w:rtl w:val="true"/>
              </w:rPr>
              <w:t>)</w:t>
              <w:tab/>
            </w:r>
            <w:r>
              <w:rPr>
                <w:rStyle w:val="IndexLink"/>
              </w:rPr>
              <w:t>64</w:t>
            </w:r>
          </w:hyperlink>
        </w:p>
        <w:p>
          <w:pPr>
            <w:pStyle w:val="Contents4"/>
            <w:tabs>
              <w:tab w:val="clear" w:pos="8176"/>
              <w:tab w:val="right" w:pos="9026" w:leader="dot"/>
            </w:tabs>
            <w:rPr/>
          </w:pPr>
          <w:hyperlink w:anchor="__RefHeading___Toc13791801_1280447820">
            <w:r>
              <w:rPr>
                <w:webHidden/>
                <w:rStyle w:val="IndexLink"/>
              </w:rPr>
              <w:t>4-3-3</w:t>
            </w:r>
            <w:r>
              <w:rPr>
                <w:rStyle w:val="IndexLink"/>
                <w:rtl w:val="true"/>
              </w:rPr>
              <w:t xml:space="preserve">- </w:t>
            </w:r>
            <w:r>
              <w:rPr>
                <w:rStyle w:val="IndexLink"/>
                <w:rtl w:val="true"/>
              </w:rPr>
              <w:t>طلسم برای زنان باردار</w:t>
            </w:r>
            <w:r>
              <w:rPr>
                <w:rStyle w:val="IndexLink"/>
                <w:rtl w:val="true"/>
              </w:rPr>
              <w:t>:</w:t>
              <w:tab/>
            </w:r>
            <w:r>
              <w:rPr>
                <w:rStyle w:val="IndexLink"/>
              </w:rPr>
              <w:t>65</w:t>
            </w:r>
          </w:hyperlink>
        </w:p>
        <w:p>
          <w:pPr>
            <w:pStyle w:val="Contents4"/>
            <w:tabs>
              <w:tab w:val="clear" w:pos="8176"/>
              <w:tab w:val="right" w:pos="9026" w:leader="dot"/>
            </w:tabs>
            <w:rPr/>
          </w:pPr>
          <w:hyperlink w:anchor="__RefHeading___Toc13791803_1280447820">
            <w:r>
              <w:rPr>
                <w:webHidden/>
                <w:rStyle w:val="IndexLink"/>
              </w:rPr>
              <w:t>5-3-3</w:t>
            </w:r>
            <w:r>
              <w:rPr>
                <w:rStyle w:val="IndexLink"/>
                <w:rtl w:val="true"/>
              </w:rPr>
              <w:t xml:space="preserve">- </w:t>
            </w:r>
            <w:r>
              <w:rPr>
                <w:rStyle w:val="IndexLink"/>
                <w:rtl w:val="true"/>
              </w:rPr>
              <w:t xml:space="preserve">طلسم حای </w:t>
            </w:r>
            <w:r>
              <w:rPr>
                <w:rStyle w:val="IndexLink"/>
                <w:rtl w:val="true"/>
              </w:rPr>
              <w:t>(</w:t>
            </w:r>
            <w:r>
              <w:rPr>
                <w:rStyle w:val="IndexLink"/>
              </w:rPr>
              <w:t>Chai</w:t>
            </w:r>
            <w:r>
              <w:rPr>
                <w:rStyle w:val="IndexLink"/>
                <w:rtl w:val="true"/>
              </w:rPr>
              <w:t xml:space="preserve"> - </w:t>
            </w:r>
            <w:r>
              <w:rPr>
                <w:rStyle w:val="IndexLink"/>
                <w:rtl w:val="true"/>
              </w:rPr>
              <w:t>حیات</w:t>
            </w:r>
            <w:r>
              <w:rPr>
                <w:rStyle w:val="IndexLink"/>
                <w:rtl w:val="true"/>
              </w:rPr>
              <w:t>)</w:t>
              <w:tab/>
            </w:r>
            <w:r>
              <w:rPr>
                <w:rStyle w:val="IndexLink"/>
              </w:rPr>
              <w:t>66</w:t>
            </w:r>
          </w:hyperlink>
        </w:p>
        <w:p>
          <w:pPr>
            <w:pStyle w:val="Contents4"/>
            <w:tabs>
              <w:tab w:val="clear" w:pos="8176"/>
              <w:tab w:val="right" w:pos="9026" w:leader="dot"/>
            </w:tabs>
            <w:rPr/>
          </w:pPr>
          <w:hyperlink w:anchor="__RefHeading___Toc13791805_1280447820">
            <w:r>
              <w:rPr>
                <w:webHidden/>
                <w:rStyle w:val="IndexLink"/>
              </w:rPr>
              <w:t>6-3-3</w:t>
            </w:r>
            <w:r>
              <w:rPr>
                <w:rStyle w:val="IndexLink"/>
                <w:rtl w:val="true"/>
              </w:rPr>
              <w:t xml:space="preserve">- </w:t>
            </w:r>
            <w:r>
              <w:rPr>
                <w:rStyle w:val="IndexLink"/>
                <w:rtl w:val="true"/>
              </w:rPr>
              <w:t xml:space="preserve">طلسم مربع جادویی </w:t>
            </w:r>
            <w:r>
              <w:rPr>
                <w:rStyle w:val="IndexLink"/>
                <w:rtl w:val="true"/>
              </w:rPr>
              <w:t>(</w:t>
            </w:r>
            <w:r>
              <w:rPr>
                <w:rStyle w:val="IndexLink"/>
              </w:rPr>
              <w:t>Kamea</w:t>
            </w:r>
            <w:r>
              <w:rPr>
                <w:rStyle w:val="IndexLink"/>
                <w:rtl w:val="true"/>
              </w:rPr>
              <w:t>)</w:t>
              <w:tab/>
            </w:r>
            <w:r>
              <w:rPr>
                <w:rStyle w:val="IndexLink"/>
              </w:rPr>
              <w:t>67</w:t>
            </w:r>
          </w:hyperlink>
        </w:p>
        <w:p>
          <w:pPr>
            <w:pStyle w:val="Contents4"/>
            <w:tabs>
              <w:tab w:val="clear" w:pos="8176"/>
              <w:tab w:val="right" w:pos="9026" w:leader="dot"/>
            </w:tabs>
            <w:rPr/>
          </w:pPr>
          <w:hyperlink w:anchor="__RefHeading___Toc13791807_1280447820">
            <w:r>
              <w:rPr>
                <w:webHidden/>
                <w:rStyle w:val="IndexLink"/>
              </w:rPr>
              <w:t>7-3-3</w:t>
            </w:r>
            <w:r>
              <w:rPr>
                <w:rStyle w:val="IndexLink"/>
                <w:rtl w:val="true"/>
              </w:rPr>
              <w:t xml:space="preserve">- </w:t>
            </w:r>
            <w:r>
              <w:rPr>
                <w:rStyle w:val="IndexLink"/>
                <w:rtl w:val="true"/>
              </w:rPr>
              <w:t xml:space="preserve">طَلِسْمِ مِزوزا </w:t>
            </w:r>
            <w:r>
              <w:rPr>
                <w:rStyle w:val="IndexLink"/>
                <w:rtl w:val="true"/>
              </w:rPr>
              <w:t>(</w:t>
            </w:r>
            <w:r>
              <w:rPr>
                <w:rStyle w:val="IndexLink"/>
              </w:rPr>
              <w:t>Mezuzah</w:t>
            </w:r>
            <w:r>
              <w:rPr>
                <w:rStyle w:val="IndexLink"/>
                <w:rtl w:val="true"/>
              </w:rPr>
              <w:t>)</w:t>
              <w:tab/>
            </w:r>
            <w:r>
              <w:rPr>
                <w:rStyle w:val="IndexLink"/>
              </w:rPr>
              <w:t>69</w:t>
            </w:r>
          </w:hyperlink>
        </w:p>
        <w:p>
          <w:pPr>
            <w:pStyle w:val="Contents3"/>
            <w:tabs>
              <w:tab w:val="clear" w:pos="8459"/>
              <w:tab w:val="right" w:pos="9026" w:leader="dot"/>
            </w:tabs>
            <w:rPr/>
          </w:pPr>
          <w:hyperlink w:anchor="__RefHeading___Toc13791809_1280447820">
            <w:r>
              <w:rPr>
                <w:webHidden/>
                <w:rStyle w:val="IndexLink"/>
              </w:rPr>
              <w:t>4-3</w:t>
            </w:r>
            <w:r>
              <w:rPr>
                <w:rStyle w:val="IndexLink"/>
                <w:rtl w:val="true"/>
              </w:rPr>
              <w:t xml:space="preserve">- </w:t>
            </w:r>
            <w:r>
              <w:rPr>
                <w:rStyle w:val="IndexLink"/>
                <w:rtl w:val="true"/>
              </w:rPr>
              <w:t>مشهورترین حرزهای یهودی</w:t>
            </w:r>
            <w:r>
              <w:rPr>
                <w:rStyle w:val="IndexLink"/>
                <w:rtl w:val="true"/>
              </w:rPr>
              <w:t>:</w:t>
              <w:tab/>
            </w:r>
            <w:r>
              <w:rPr>
                <w:rStyle w:val="IndexLink"/>
              </w:rPr>
              <w:t>72</w:t>
            </w:r>
          </w:hyperlink>
        </w:p>
        <w:p>
          <w:pPr>
            <w:pStyle w:val="Contents4"/>
            <w:tabs>
              <w:tab w:val="clear" w:pos="8176"/>
              <w:tab w:val="right" w:pos="9026" w:leader="dot"/>
            </w:tabs>
            <w:rPr/>
          </w:pPr>
          <w:hyperlink w:anchor="__RefHeading___Toc13791811_128044782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3791813_1280447820">
            <w:r>
              <w:rPr>
                <w:webHidden/>
                <w:rStyle w:val="IndexLink"/>
              </w:rPr>
              <w:t>1-4-3</w:t>
            </w:r>
            <w:r>
              <w:rPr>
                <w:rStyle w:val="IndexLink"/>
                <w:rtl w:val="true"/>
              </w:rPr>
              <w:t xml:space="preserve">- </w:t>
            </w:r>
            <w:r>
              <w:rPr>
                <w:rStyle w:val="IndexLink"/>
                <w:rtl w:val="true"/>
              </w:rPr>
              <w:t xml:space="preserve">حرز </w:t>
            </w:r>
            <w:r>
              <w:rPr>
                <w:rStyle w:val="IndexLink"/>
                <w:rtl w:val="true"/>
              </w:rPr>
              <w:t>«</w:t>
            </w:r>
            <w:r>
              <w:rPr>
                <w:rStyle w:val="IndexLink"/>
                <w:rtl w:val="true"/>
              </w:rPr>
              <w:t>شَدای</w:t>
            </w:r>
            <w:r>
              <w:rPr>
                <w:rStyle w:val="IndexLink"/>
                <w:rtl w:val="true"/>
              </w:rPr>
              <w:t>» (</w:t>
            </w:r>
            <w:r>
              <w:rPr>
                <w:rStyle w:val="IndexLink"/>
                <w:rtl w:val="true"/>
              </w:rPr>
              <w:t>שדי</w:t>
            </w:r>
            <w:r>
              <w:rPr>
                <w:rStyle w:val="IndexLink"/>
                <w:rtl w:val="true"/>
              </w:rPr>
              <w:t>):</w:t>
              <w:tab/>
            </w:r>
            <w:r>
              <w:rPr>
                <w:rStyle w:val="IndexLink"/>
              </w:rPr>
              <w:t>73</w:t>
            </w:r>
          </w:hyperlink>
        </w:p>
        <w:p>
          <w:pPr>
            <w:pStyle w:val="Contents4"/>
            <w:tabs>
              <w:tab w:val="clear" w:pos="8176"/>
              <w:tab w:val="right" w:pos="9026" w:leader="dot"/>
            </w:tabs>
            <w:rPr/>
          </w:pPr>
          <w:hyperlink w:anchor="__RefHeading___Toc13791815_1280447820">
            <w:r>
              <w:rPr>
                <w:webHidden/>
                <w:rStyle w:val="IndexLink"/>
              </w:rPr>
              <w:t>2-4-3</w:t>
            </w:r>
            <w:r>
              <w:rPr>
                <w:rStyle w:val="IndexLink"/>
                <w:rtl w:val="true"/>
              </w:rPr>
              <w:t xml:space="preserve">- </w:t>
            </w:r>
            <w:r>
              <w:rPr>
                <w:rStyle w:val="IndexLink"/>
                <w:rtl w:val="true"/>
              </w:rPr>
              <w:t xml:space="preserve">حرز </w:t>
            </w:r>
            <w:r>
              <w:rPr>
                <w:rStyle w:val="IndexLink"/>
                <w:rtl w:val="true"/>
              </w:rPr>
              <w:t>«</w:t>
            </w:r>
            <w:r>
              <w:rPr>
                <w:rStyle w:val="IndexLink"/>
                <w:rtl w:val="true"/>
              </w:rPr>
              <w:t>مِزوزاه</w:t>
            </w:r>
            <w:r>
              <w:rPr>
                <w:rStyle w:val="IndexLink"/>
                <w:rtl w:val="true"/>
              </w:rPr>
              <w:t>» (</w:t>
            </w:r>
            <w:r>
              <w:rPr>
                <w:rStyle w:val="IndexLink"/>
                <w:rtl w:val="true"/>
              </w:rPr>
              <w:t>מזוזה</w:t>
            </w:r>
            <w:r>
              <w:rPr>
                <w:rStyle w:val="IndexLink"/>
                <w:rtl w:val="true"/>
              </w:rPr>
              <w:t>)</w:t>
              <w:tab/>
            </w:r>
            <w:r>
              <w:rPr>
                <w:rStyle w:val="IndexLink"/>
              </w:rPr>
              <w:t>74</w:t>
            </w:r>
          </w:hyperlink>
        </w:p>
        <w:p>
          <w:pPr>
            <w:pStyle w:val="Contents4"/>
            <w:tabs>
              <w:tab w:val="clear" w:pos="8176"/>
              <w:tab w:val="right" w:pos="9026" w:leader="dot"/>
            </w:tabs>
            <w:rPr/>
          </w:pPr>
          <w:hyperlink w:anchor="__RefHeading___Toc13791817_1280447820">
            <w:r>
              <w:rPr>
                <w:webHidden/>
                <w:rStyle w:val="IndexLink"/>
              </w:rPr>
              <w:t>3-4-3</w:t>
            </w:r>
            <w:r>
              <w:rPr>
                <w:rStyle w:val="IndexLink"/>
                <w:rtl w:val="true"/>
              </w:rPr>
              <w:t xml:space="preserve">- </w:t>
            </w:r>
            <w:r>
              <w:rPr>
                <w:rStyle w:val="IndexLink"/>
                <w:rtl w:val="true"/>
              </w:rPr>
              <w:t xml:space="preserve">حرز </w:t>
            </w:r>
            <w:r>
              <w:rPr>
                <w:rStyle w:val="IndexLink"/>
                <w:rtl w:val="true"/>
              </w:rPr>
              <w:t>«</w:t>
            </w:r>
            <w:r>
              <w:rPr>
                <w:rStyle w:val="IndexLink"/>
                <w:rtl w:val="true"/>
              </w:rPr>
              <w:t>بِرکَت هاباییت</w:t>
            </w:r>
            <w:r>
              <w:rPr>
                <w:rStyle w:val="IndexLink"/>
                <w:rtl w:val="true"/>
              </w:rPr>
              <w:t>» (</w:t>
            </w:r>
            <w:r>
              <w:rPr>
                <w:rStyle w:val="IndexLink"/>
                <w:rtl w:val="true"/>
              </w:rPr>
              <w:t>ברכת הבית</w:t>
            </w:r>
            <w:r>
              <w:rPr>
                <w:rStyle w:val="IndexLink"/>
                <w:rtl w:val="true"/>
              </w:rPr>
              <w:t>)</w:t>
              <w:tab/>
            </w:r>
            <w:r>
              <w:rPr>
                <w:rStyle w:val="IndexLink"/>
              </w:rPr>
              <w:t>75</w:t>
            </w:r>
          </w:hyperlink>
        </w:p>
        <w:p>
          <w:pPr>
            <w:pStyle w:val="Contents4"/>
            <w:tabs>
              <w:tab w:val="clear" w:pos="8176"/>
              <w:tab w:val="right" w:pos="9026" w:leader="dot"/>
            </w:tabs>
            <w:rPr/>
          </w:pPr>
          <w:hyperlink w:anchor="__RefHeading___Toc13791819_1280447820">
            <w:r>
              <w:rPr>
                <w:webHidden/>
                <w:rStyle w:val="IndexLink"/>
              </w:rPr>
              <w:t>4-4-3</w:t>
            </w:r>
            <w:r>
              <w:rPr>
                <w:rStyle w:val="IndexLink"/>
                <w:rtl w:val="true"/>
              </w:rPr>
              <w:t xml:space="preserve">- </w:t>
            </w:r>
            <w:r>
              <w:rPr>
                <w:rStyle w:val="IndexLink"/>
                <w:rtl w:val="true"/>
              </w:rPr>
              <w:t xml:space="preserve">حرز </w:t>
            </w:r>
            <w:r>
              <w:rPr>
                <w:rStyle w:val="IndexLink"/>
                <w:rtl w:val="true"/>
              </w:rPr>
              <w:t>«</w:t>
            </w:r>
            <w:r>
              <w:rPr>
                <w:rStyle w:val="IndexLink"/>
                <w:rtl w:val="true"/>
              </w:rPr>
              <w:t>هاشِمِرینی</w:t>
            </w:r>
            <w:r>
              <w:rPr>
                <w:rStyle w:val="IndexLink"/>
                <w:rtl w:val="true"/>
              </w:rPr>
              <w:t>» (</w:t>
            </w:r>
            <w:r>
              <w:rPr>
                <w:rStyle w:val="IndexLink"/>
                <w:rtl w:val="true"/>
              </w:rPr>
              <w:t>השמירני</w:t>
            </w:r>
            <w:r>
              <w:rPr>
                <w:rStyle w:val="IndexLink"/>
                <w:rtl w:val="true"/>
              </w:rPr>
              <w:t>)</w:t>
              <w:tab/>
            </w:r>
            <w:r>
              <w:rPr>
                <w:rStyle w:val="IndexLink"/>
              </w:rPr>
              <w:t>76</w:t>
            </w:r>
          </w:hyperlink>
        </w:p>
        <w:p>
          <w:pPr>
            <w:pStyle w:val="Contents4"/>
            <w:tabs>
              <w:tab w:val="clear" w:pos="8176"/>
              <w:tab w:val="right" w:pos="9026" w:leader="dot"/>
            </w:tabs>
            <w:rPr/>
          </w:pPr>
          <w:hyperlink w:anchor="__RefHeading___Toc13791821_1280447820">
            <w:r>
              <w:rPr>
                <w:webHidden/>
                <w:rStyle w:val="IndexLink"/>
              </w:rPr>
              <w:t>5-4-3</w:t>
            </w:r>
            <w:r>
              <w:rPr>
                <w:rStyle w:val="IndexLink"/>
                <w:rtl w:val="true"/>
              </w:rPr>
              <w:t xml:space="preserve">- </w:t>
            </w:r>
            <w:r>
              <w:rPr>
                <w:rStyle w:val="IndexLink"/>
                <w:rtl w:val="true"/>
              </w:rPr>
              <w:t xml:space="preserve">حرز </w:t>
            </w:r>
            <w:r>
              <w:rPr>
                <w:rStyle w:val="IndexLink"/>
                <w:rtl w:val="true"/>
              </w:rPr>
              <w:t>«</w:t>
            </w:r>
            <w:r>
              <w:rPr>
                <w:rStyle w:val="IndexLink"/>
                <w:rtl w:val="true"/>
              </w:rPr>
              <w:t>کَمیَع راشی</w:t>
            </w:r>
            <w:r>
              <w:rPr>
                <w:rStyle w:val="IndexLink"/>
                <w:rtl w:val="true"/>
              </w:rPr>
              <w:t>» (</w:t>
            </w:r>
            <w:r>
              <w:rPr>
                <w:rStyle w:val="IndexLink"/>
                <w:rtl w:val="true"/>
              </w:rPr>
              <w:t>קמיע רש</w:t>
            </w:r>
            <w:r>
              <w:rPr>
                <w:rStyle w:val="IndexLink"/>
                <w:rtl w:val="true"/>
              </w:rPr>
              <w:t>"</w:t>
            </w:r>
            <w:r>
              <w:rPr>
                <w:rStyle w:val="IndexLink"/>
                <w:rtl w:val="true"/>
              </w:rPr>
              <w:t>י</w:t>
            </w:r>
            <w:r>
              <w:rPr>
                <w:rStyle w:val="IndexLink"/>
                <w:rtl w:val="true"/>
              </w:rPr>
              <w:t>)</w:t>
              <w:tab/>
            </w:r>
            <w:r>
              <w:rPr>
                <w:rStyle w:val="IndexLink"/>
              </w:rPr>
              <w:t>77</w:t>
            </w:r>
          </w:hyperlink>
        </w:p>
        <w:p>
          <w:pPr>
            <w:pStyle w:val="Contents3"/>
            <w:tabs>
              <w:tab w:val="clear" w:pos="8459"/>
              <w:tab w:val="right" w:pos="9026" w:leader="dot"/>
            </w:tabs>
            <w:rPr/>
          </w:pPr>
          <w:hyperlink w:anchor="__RefHeading___Toc13791823_1280447820">
            <w:r>
              <w:rPr>
                <w:webHidden/>
                <w:rStyle w:val="IndexLink"/>
              </w:rPr>
              <w:t>5-3</w:t>
            </w:r>
            <w:r>
              <w:rPr>
                <w:rStyle w:val="IndexLink"/>
                <w:rtl w:val="true"/>
              </w:rPr>
              <w:t xml:space="preserve">- </w:t>
            </w:r>
            <w:r>
              <w:rPr>
                <w:rStyle w:val="IndexLink"/>
                <w:rtl w:val="true"/>
              </w:rPr>
              <w:t>ساحران بزرگ در اندیشه یهودیان</w:t>
            </w:r>
            <w:r>
              <w:rPr>
                <w:rStyle w:val="IndexLink"/>
                <w:rtl w:val="true"/>
              </w:rPr>
              <w:t>:</w:t>
              <w:tab/>
            </w:r>
            <w:r>
              <w:rPr>
                <w:rStyle w:val="IndexLink"/>
              </w:rPr>
              <w:t>77</w:t>
            </w:r>
          </w:hyperlink>
        </w:p>
        <w:p>
          <w:pPr>
            <w:pStyle w:val="Contents4"/>
            <w:tabs>
              <w:tab w:val="clear" w:pos="8176"/>
              <w:tab w:val="right" w:pos="9026" w:leader="dot"/>
            </w:tabs>
            <w:rPr/>
          </w:pPr>
          <w:hyperlink w:anchor="__RefHeading___Toc13791825_12804478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3791827_1280447820">
            <w:r>
              <w:rPr>
                <w:webHidden/>
                <w:rStyle w:val="IndexLink"/>
              </w:rPr>
              <w:t>1-5-3</w:t>
            </w:r>
            <w:r>
              <w:rPr>
                <w:rStyle w:val="IndexLink"/>
                <w:rtl w:val="true"/>
              </w:rPr>
              <w:t xml:space="preserve">- </w:t>
            </w:r>
            <w:r>
              <w:rPr>
                <w:rStyle w:val="IndexLink"/>
                <w:rtl w:val="true"/>
              </w:rPr>
              <w:t xml:space="preserve">حضرت سلیمان </w:t>
            </w:r>
            <w:r>
              <w:rPr>
                <w:rStyle w:val="IndexLink"/>
                <w:rtl w:val="true"/>
              </w:rPr>
              <w:t>(</w:t>
            </w:r>
            <w:r>
              <w:rPr>
                <w:rStyle w:val="IndexLink"/>
                <w:rtl w:val="true"/>
              </w:rPr>
              <w:t>شلومو ه</w:t>
            </w:r>
            <w:r>
              <w:rPr>
                <w:rStyle w:val="IndexLink"/>
                <w:rtl w:val="true"/>
              </w:rPr>
              <w:t>-</w:t>
            </w:r>
            <w:r>
              <w:rPr>
                <w:rStyle w:val="IndexLink"/>
                <w:rtl w:val="true"/>
              </w:rPr>
              <w:t>َمِلِخ</w:t>
            </w:r>
            <w:r>
              <w:rPr>
                <w:rStyle w:val="IndexLink"/>
                <w:rtl w:val="true"/>
              </w:rPr>
              <w:t>):</w:t>
              <w:tab/>
            </w:r>
            <w:r>
              <w:rPr>
                <w:rStyle w:val="IndexLink"/>
              </w:rPr>
              <w:t>79</w:t>
            </w:r>
          </w:hyperlink>
        </w:p>
        <w:p>
          <w:pPr>
            <w:pStyle w:val="Contents4"/>
            <w:tabs>
              <w:tab w:val="clear" w:pos="8176"/>
              <w:tab w:val="right" w:pos="9026" w:leader="dot"/>
            </w:tabs>
            <w:rPr/>
          </w:pPr>
          <w:hyperlink w:anchor="__RefHeading___Toc13791829_1280447820">
            <w:r>
              <w:rPr>
                <w:webHidden/>
                <w:rStyle w:val="IndexLink"/>
              </w:rPr>
              <w:t>2-5-3</w:t>
            </w:r>
            <w:r>
              <w:rPr>
                <w:rStyle w:val="IndexLink"/>
                <w:rtl w:val="true"/>
              </w:rPr>
              <w:t xml:space="preserve">- </w:t>
            </w:r>
            <w:r>
              <w:rPr>
                <w:rStyle w:val="IndexLink"/>
                <w:rtl w:val="true"/>
              </w:rPr>
              <w:t>ربی شیمعون بار یوحای</w:t>
            </w:r>
            <w:r>
              <w:rPr>
                <w:rStyle w:val="IndexLink"/>
                <w:rtl w:val="true"/>
              </w:rPr>
              <w:t>:</w:t>
              <w:tab/>
            </w:r>
            <w:r>
              <w:rPr>
                <w:rStyle w:val="IndexLink"/>
              </w:rPr>
              <w:t>79</w:t>
            </w:r>
          </w:hyperlink>
        </w:p>
        <w:p>
          <w:pPr>
            <w:pStyle w:val="Contents4"/>
            <w:tabs>
              <w:tab w:val="clear" w:pos="8176"/>
              <w:tab w:val="right" w:pos="9026" w:leader="dot"/>
            </w:tabs>
            <w:rPr/>
          </w:pPr>
          <w:hyperlink w:anchor="__RefHeading___Toc13791831_1280447820">
            <w:r>
              <w:rPr>
                <w:webHidden/>
                <w:rStyle w:val="IndexLink"/>
              </w:rPr>
              <w:t>3-5-3</w:t>
            </w:r>
            <w:r>
              <w:rPr>
                <w:rStyle w:val="IndexLink"/>
                <w:rtl w:val="true"/>
              </w:rPr>
              <w:t xml:space="preserve">- </w:t>
            </w:r>
            <w:r>
              <w:rPr>
                <w:rStyle w:val="IndexLink"/>
                <w:rtl w:val="true"/>
              </w:rPr>
              <w:t xml:space="preserve">ربی یهودا لووی بن بزقل </w:t>
            </w:r>
            <w:r>
              <w:rPr>
                <w:rStyle w:val="IndexLink"/>
                <w:rtl w:val="true"/>
              </w:rPr>
              <w:t>(</w:t>
            </w:r>
            <w:r>
              <w:rPr>
                <w:rStyle w:val="IndexLink"/>
                <w:rtl w:val="true"/>
              </w:rPr>
              <w:t>ماهارال پراگ</w:t>
            </w:r>
            <w:r>
              <w:rPr>
                <w:rStyle w:val="IndexLink"/>
                <w:rtl w:val="true"/>
              </w:rPr>
              <w:t>):</w:t>
              <w:tab/>
            </w:r>
            <w:r>
              <w:rPr>
                <w:rStyle w:val="IndexLink"/>
              </w:rPr>
              <w:t>80</w:t>
            </w:r>
          </w:hyperlink>
        </w:p>
        <w:p>
          <w:pPr>
            <w:pStyle w:val="Contents4"/>
            <w:tabs>
              <w:tab w:val="clear" w:pos="8176"/>
              <w:tab w:val="right" w:pos="9026" w:leader="dot"/>
            </w:tabs>
            <w:rPr/>
          </w:pPr>
          <w:hyperlink w:anchor="__RefHeading___Toc13791833_1280447820">
            <w:r>
              <w:rPr>
                <w:webHidden/>
                <w:rStyle w:val="IndexLink"/>
              </w:rPr>
              <w:t>4-5-3</w:t>
            </w:r>
            <w:r>
              <w:rPr>
                <w:rStyle w:val="IndexLink"/>
                <w:rtl w:val="true"/>
              </w:rPr>
              <w:t xml:space="preserve">- </w:t>
            </w:r>
            <w:r>
              <w:rPr>
                <w:rStyle w:val="IndexLink"/>
                <w:rtl w:val="true"/>
              </w:rPr>
              <w:t xml:space="preserve">ربی اسحاق لوریا </w:t>
            </w:r>
            <w:r>
              <w:rPr>
                <w:rStyle w:val="IndexLink"/>
                <w:rtl w:val="true"/>
              </w:rPr>
              <w:t>(</w:t>
            </w:r>
            <w:r>
              <w:rPr>
                <w:rStyle w:val="IndexLink"/>
                <w:rtl w:val="true"/>
              </w:rPr>
              <w:t>آریزال</w:t>
            </w:r>
            <w:r>
              <w:rPr>
                <w:rStyle w:val="IndexLink"/>
                <w:rtl w:val="true"/>
              </w:rPr>
              <w:t>):</w:t>
              <w:tab/>
            </w:r>
            <w:r>
              <w:rPr>
                <w:rStyle w:val="IndexLink"/>
              </w:rPr>
              <w:t>81</w:t>
            </w:r>
          </w:hyperlink>
        </w:p>
        <w:p>
          <w:pPr>
            <w:pStyle w:val="Contents4"/>
            <w:tabs>
              <w:tab w:val="clear" w:pos="8176"/>
              <w:tab w:val="right" w:pos="9026" w:leader="dot"/>
            </w:tabs>
            <w:rPr/>
          </w:pPr>
          <w:hyperlink w:anchor="__RefHeading___Toc13791835_1280447820">
            <w:r>
              <w:rPr>
                <w:webHidden/>
                <w:rStyle w:val="IndexLink"/>
              </w:rPr>
              <w:t>5-5-3</w:t>
            </w:r>
            <w:r>
              <w:rPr>
                <w:rStyle w:val="IndexLink"/>
                <w:rtl w:val="true"/>
              </w:rPr>
              <w:t xml:space="preserve">- </w:t>
            </w:r>
            <w:r>
              <w:rPr>
                <w:rStyle w:val="IndexLink"/>
                <w:rtl w:val="true"/>
              </w:rPr>
              <w:t>ربی حییم ویتال</w:t>
            </w:r>
            <w:r>
              <w:rPr>
                <w:rStyle w:val="IndexLink"/>
                <w:rtl w:val="true"/>
              </w:rPr>
              <w:t>:</w:t>
              <w:tab/>
            </w:r>
            <w:r>
              <w:rPr>
                <w:rStyle w:val="IndexLink"/>
              </w:rPr>
              <w:t>81</w:t>
            </w:r>
          </w:hyperlink>
        </w:p>
        <w:p>
          <w:pPr>
            <w:pStyle w:val="Contents4"/>
            <w:tabs>
              <w:tab w:val="clear" w:pos="8176"/>
              <w:tab w:val="right" w:pos="9026" w:leader="dot"/>
            </w:tabs>
            <w:rPr/>
          </w:pPr>
          <w:hyperlink w:anchor="__RefHeading___Toc13791837_1280447820">
            <w:r>
              <w:rPr>
                <w:webHidden/>
                <w:rStyle w:val="IndexLink"/>
              </w:rPr>
              <w:t>6-5-3</w:t>
            </w:r>
            <w:r>
              <w:rPr>
                <w:rStyle w:val="IndexLink"/>
                <w:rtl w:val="true"/>
              </w:rPr>
              <w:t xml:space="preserve">- </w:t>
            </w:r>
            <w:r>
              <w:rPr>
                <w:rStyle w:val="IndexLink"/>
                <w:rtl w:val="true"/>
              </w:rPr>
              <w:t>ربی آبراهام ابولعافیا</w:t>
            </w:r>
            <w:r>
              <w:rPr>
                <w:rStyle w:val="IndexLink"/>
                <w:rtl w:val="true"/>
              </w:rPr>
              <w:t>:</w:t>
              <w:tab/>
            </w:r>
            <w:r>
              <w:rPr>
                <w:rStyle w:val="IndexLink"/>
              </w:rPr>
              <w:t>82</w:t>
            </w:r>
          </w:hyperlink>
        </w:p>
        <w:p>
          <w:pPr>
            <w:pStyle w:val="Contents4"/>
            <w:tabs>
              <w:tab w:val="clear" w:pos="8176"/>
              <w:tab w:val="right" w:pos="9026" w:leader="dot"/>
            </w:tabs>
            <w:rPr/>
          </w:pPr>
          <w:hyperlink w:anchor="__RefHeading___Toc13791839_1280447820">
            <w:r>
              <w:rPr>
                <w:webHidden/>
                <w:rStyle w:val="IndexLink"/>
              </w:rPr>
              <w:t>7-5-3</w:t>
            </w:r>
            <w:r>
              <w:rPr>
                <w:rStyle w:val="IndexLink"/>
                <w:rtl w:val="true"/>
              </w:rPr>
              <w:t xml:space="preserve">- </w:t>
            </w:r>
            <w:r>
              <w:rPr>
                <w:rStyle w:val="IndexLink"/>
                <w:rtl w:val="true"/>
              </w:rPr>
              <w:t>ربی الیعازر از ورمز</w:t>
            </w:r>
            <w:r>
              <w:rPr>
                <w:rStyle w:val="IndexLink"/>
                <w:rtl w:val="true"/>
              </w:rPr>
              <w:t>:</w:t>
              <w:tab/>
            </w:r>
            <w:r>
              <w:rPr>
                <w:rStyle w:val="IndexLink"/>
              </w:rPr>
              <w:t>82</w:t>
            </w:r>
          </w:hyperlink>
        </w:p>
        <w:p>
          <w:pPr>
            <w:pStyle w:val="Contents4"/>
            <w:tabs>
              <w:tab w:val="clear" w:pos="8176"/>
              <w:tab w:val="right" w:pos="9026" w:leader="dot"/>
            </w:tabs>
            <w:rPr/>
          </w:pPr>
          <w:hyperlink w:anchor="__RefHeading___Toc13791841_1280447820">
            <w:r>
              <w:rPr>
                <w:webHidden/>
                <w:rStyle w:val="IndexLink"/>
              </w:rPr>
              <w:t>8-5-3</w:t>
            </w:r>
            <w:r>
              <w:rPr>
                <w:rStyle w:val="IndexLink"/>
                <w:rtl w:val="true"/>
              </w:rPr>
              <w:t xml:space="preserve">- </w:t>
            </w:r>
            <w:r>
              <w:rPr>
                <w:rStyle w:val="IndexLink"/>
                <w:rtl w:val="true"/>
              </w:rPr>
              <w:t xml:space="preserve">بابا سالی </w:t>
            </w:r>
            <w:r>
              <w:rPr>
                <w:rStyle w:val="IndexLink"/>
                <w:rtl w:val="true"/>
              </w:rPr>
              <w:t>(</w:t>
            </w:r>
            <w:r>
              <w:rPr>
                <w:rStyle w:val="IndexLink"/>
                <w:rtl w:val="true"/>
              </w:rPr>
              <w:t>ربی ییسرائل ابوحاتسیرا</w:t>
            </w:r>
            <w:r>
              <w:rPr>
                <w:rStyle w:val="IndexLink"/>
                <w:rtl w:val="true"/>
              </w:rPr>
              <w:t>):</w:t>
              <w:tab/>
            </w:r>
            <w:r>
              <w:rPr>
                <w:rStyle w:val="IndexLink"/>
              </w:rPr>
              <w:t>83</w:t>
            </w:r>
          </w:hyperlink>
        </w:p>
        <w:p>
          <w:pPr>
            <w:pStyle w:val="Contents3"/>
            <w:tabs>
              <w:tab w:val="clear" w:pos="8459"/>
              <w:tab w:val="right" w:pos="9026" w:leader="dot"/>
            </w:tabs>
            <w:rPr/>
          </w:pPr>
          <w:hyperlink w:anchor="__RefHeading___Toc13791843_1280447820">
            <w:r>
              <w:rPr>
                <w:webHidden/>
                <w:rStyle w:val="IndexLink"/>
              </w:rPr>
              <w:t>4-2</w:t>
            </w:r>
            <w:r>
              <w:rPr>
                <w:rStyle w:val="IndexLink"/>
                <w:rtl w:val="true"/>
              </w:rPr>
              <w:t xml:space="preserve">- </w:t>
            </w:r>
            <w:r>
              <w:rPr>
                <w:rStyle w:val="IndexLink"/>
                <w:rtl w:val="true"/>
              </w:rPr>
              <w:t xml:space="preserve">جاسوسان نامرئی </w:t>
            </w:r>
            <w:r>
              <w:rPr>
                <w:rStyle w:val="IndexLink"/>
                <w:rtl w:val="true"/>
              </w:rPr>
              <w:t>«</w:t>
            </w:r>
            <w:r>
              <w:rPr>
                <w:rStyle w:val="IndexLink"/>
                <w:rtl w:val="true"/>
              </w:rPr>
              <w:t>از پمبا تا ماریانا</w:t>
            </w:r>
            <w:r>
              <w:rPr>
                <w:rStyle w:val="IndexLink"/>
                <w:rtl w:val="true"/>
              </w:rPr>
              <w:t>»</w:t>
              <w:tab/>
            </w:r>
            <w:r>
              <w:rPr>
                <w:rStyle w:val="IndexLink"/>
              </w:rPr>
              <w:t>84</w:t>
            </w:r>
          </w:hyperlink>
        </w:p>
        <w:p>
          <w:pPr>
            <w:pStyle w:val="Contents3"/>
            <w:tabs>
              <w:tab w:val="clear" w:pos="8459"/>
              <w:tab w:val="right" w:pos="9026" w:leader="dot"/>
            </w:tabs>
            <w:rPr/>
          </w:pPr>
          <w:hyperlink w:anchor="__RefHeading___Toc13791845_1280447820">
            <w:r>
              <w:rPr>
                <w:webHidden/>
                <w:rStyle w:val="IndexLink"/>
                <w:rtl w:val="true"/>
              </w:rPr>
              <w:t>تحلیل و نقد ادعاهای کتاب</w:t>
            </w:r>
            <w:r>
              <w:rPr>
                <w:rStyle w:val="IndexLink"/>
                <w:rtl w:val="true"/>
              </w:rPr>
              <w:t>:</w:t>
              <w:tab/>
            </w:r>
            <w:r>
              <w:rPr>
                <w:rStyle w:val="IndexLink"/>
              </w:rPr>
              <w:t>85</w:t>
            </w:r>
          </w:hyperlink>
        </w:p>
        <w:p>
          <w:pPr>
            <w:pStyle w:val="Contents3"/>
            <w:tabs>
              <w:tab w:val="clear" w:pos="8459"/>
              <w:tab w:val="right" w:pos="9026" w:leader="dot"/>
            </w:tabs>
            <w:rPr/>
          </w:pPr>
          <w:hyperlink w:anchor="__RefHeading___Toc13791847_1280447820">
            <w:r>
              <w:rPr>
                <w:webHidden/>
                <w:rStyle w:val="IndexLink"/>
                <w:rtl w:val="true"/>
              </w:rPr>
              <w:t>نتیجه‌گیری فصل سوم</w:t>
            </w:r>
            <w:r>
              <w:rPr>
                <w:rStyle w:val="IndexLink"/>
                <w:rtl w:val="true"/>
              </w:rPr>
              <w:t>:</w:t>
              <w:tab/>
            </w:r>
            <w:r>
              <w:rPr>
                <w:rStyle w:val="IndexLink"/>
              </w:rPr>
              <w:t>86</w:t>
            </w:r>
          </w:hyperlink>
        </w:p>
        <w:p>
          <w:pPr>
            <w:pStyle w:val="Contents2"/>
            <w:tabs>
              <w:tab w:val="clear" w:pos="8743"/>
              <w:tab w:val="right" w:pos="9026" w:leader="dot"/>
            </w:tabs>
            <w:rPr/>
          </w:pPr>
          <w:hyperlink w:anchor="__RefHeading___Toc13791849_1280447820">
            <w:r>
              <w:rPr>
                <w:webHidden/>
                <w:rStyle w:val="IndexLink"/>
              </w:rPr>
              <w:t>4</w:t>
            </w:r>
            <w:r>
              <w:rPr>
                <w:rStyle w:val="IndexLink"/>
                <w:rtl w:val="true"/>
              </w:rPr>
              <w:t xml:space="preserve">- </w:t>
            </w:r>
            <w:r>
              <w:rPr>
                <w:rStyle w:val="IndexLink"/>
                <w:rtl w:val="true"/>
              </w:rPr>
              <w:t>فصل چهارم</w:t>
            </w:r>
            <w:r>
              <w:rPr>
                <w:rStyle w:val="IndexLink"/>
                <w:rtl w:val="true"/>
              </w:rPr>
              <w:t xml:space="preserve">: </w:t>
            </w:r>
            <w:r>
              <w:rPr>
                <w:rStyle w:val="IndexLink"/>
                <w:rtl w:val="true"/>
              </w:rPr>
              <w:t>شبکه نفوذ</w:t>
            </w:r>
            <w:r>
              <w:rPr>
                <w:rStyle w:val="IndexLink"/>
                <w:rtl w:val="true"/>
              </w:rPr>
              <w:t xml:space="preserve">: </w:t>
            </w:r>
            <w:r>
              <w:rPr>
                <w:rStyle w:val="IndexLink"/>
                <w:rtl w:val="true"/>
              </w:rPr>
              <w:t>قدرت، فرهنگ و هویت یهودیت در جهان معاصر</w:t>
            </w:r>
            <w:r>
              <w:rPr>
                <w:rStyle w:val="IndexLink"/>
                <w:rtl w:val="true"/>
              </w:rPr>
              <w:t>:</w:t>
              <w:tab/>
            </w:r>
            <w:r>
              <w:rPr>
                <w:rStyle w:val="IndexLink"/>
              </w:rPr>
              <w:t>90</w:t>
            </w:r>
          </w:hyperlink>
        </w:p>
        <w:p>
          <w:pPr>
            <w:pStyle w:val="Contents3"/>
            <w:tabs>
              <w:tab w:val="clear" w:pos="8459"/>
              <w:tab w:val="right" w:pos="9026" w:leader="dot"/>
            </w:tabs>
            <w:rPr/>
          </w:pPr>
          <w:hyperlink w:anchor="__RefHeading___Toc13791851_1280447820">
            <w:r>
              <w:rPr>
                <w:webHidden/>
                <w:rStyle w:val="IndexLink"/>
              </w:rPr>
              <w:t>1-4</w:t>
            </w:r>
            <w:r>
              <w:rPr>
                <w:rStyle w:val="IndexLink"/>
                <w:rtl w:val="true"/>
              </w:rPr>
              <w:t xml:space="preserve">- </w:t>
            </w:r>
            <w:r>
              <w:rPr>
                <w:rStyle w:val="IndexLink"/>
                <w:rtl w:val="true"/>
              </w:rPr>
              <w:t>معماران خاموش قدرت</w:t>
            </w:r>
            <w:r>
              <w:rPr>
                <w:rStyle w:val="IndexLink"/>
                <w:rtl w:val="true"/>
              </w:rPr>
              <w:t xml:space="preserve">: </w:t>
            </w:r>
            <w:r>
              <w:rPr>
                <w:rStyle w:val="IndexLink"/>
                <w:rtl w:val="true"/>
              </w:rPr>
              <w:t>خاندان‌های بزرگ یهودی</w:t>
            </w:r>
            <w:r>
              <w:rPr>
                <w:rStyle w:val="IndexLink"/>
                <w:rtl w:val="true"/>
              </w:rPr>
              <w:t>:</w:t>
              <w:tab/>
            </w:r>
            <w:r>
              <w:rPr>
                <w:rStyle w:val="IndexLink"/>
              </w:rPr>
              <w:t>90</w:t>
            </w:r>
          </w:hyperlink>
        </w:p>
        <w:p>
          <w:pPr>
            <w:pStyle w:val="Contents4"/>
            <w:tabs>
              <w:tab w:val="clear" w:pos="8176"/>
              <w:tab w:val="right" w:pos="9026" w:leader="dot"/>
            </w:tabs>
            <w:rPr/>
          </w:pPr>
          <w:hyperlink w:anchor="__RefHeading___Toc13791853_1280447820">
            <w:r>
              <w:rPr>
                <w:webHidden/>
                <w:rStyle w:val="IndexLink"/>
              </w:rPr>
              <w:t>1-1-4</w:t>
            </w:r>
            <w:r>
              <w:rPr>
                <w:rStyle w:val="IndexLink"/>
                <w:rtl w:val="true"/>
              </w:rPr>
              <w:t xml:space="preserve">- </w:t>
            </w:r>
            <w:r>
              <w:rPr>
                <w:rStyle w:val="IndexLink"/>
                <w:rtl w:val="true"/>
              </w:rPr>
              <w:t>سلاطین مالی</w:t>
            </w:r>
            <w:r>
              <w:rPr>
                <w:rStyle w:val="IndexLink"/>
                <w:rtl w:val="true"/>
              </w:rPr>
              <w:t xml:space="preserve">: </w:t>
            </w:r>
            <w:r>
              <w:rPr>
                <w:rStyle w:val="IndexLink"/>
                <w:rtl w:val="true"/>
              </w:rPr>
              <w:t>بانکداری و سرمایه‌گذاری جهانی</w:t>
            </w:r>
            <w:r>
              <w:rPr>
                <w:rStyle w:val="IndexLink"/>
                <w:rtl w:val="true"/>
              </w:rPr>
              <w:t>:</w:t>
              <w:tab/>
            </w:r>
            <w:r>
              <w:rPr>
                <w:rStyle w:val="IndexLink"/>
              </w:rPr>
              <w:t>90</w:t>
            </w:r>
          </w:hyperlink>
        </w:p>
        <w:p>
          <w:pPr>
            <w:pStyle w:val="Contents5"/>
            <w:tabs>
              <w:tab w:val="clear" w:pos="7892"/>
              <w:tab w:val="right" w:pos="9026" w:leader="dot"/>
            </w:tabs>
            <w:rPr/>
          </w:pPr>
          <w:hyperlink w:anchor="__RefHeading___Toc13791855_128044782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3791857_1280447820">
            <w:r>
              <w:rPr>
                <w:webHidden/>
                <w:rStyle w:val="IndexLink"/>
              </w:rPr>
              <w:t>1-1-1-4</w:t>
            </w:r>
            <w:r>
              <w:rPr>
                <w:rStyle w:val="IndexLink"/>
                <w:rtl w:val="true"/>
              </w:rPr>
              <w:t xml:space="preserve">- </w:t>
            </w:r>
            <w:r>
              <w:rPr>
                <w:rStyle w:val="IndexLink"/>
                <w:rtl w:val="true"/>
              </w:rPr>
              <w:t>خاندان روچیلد</w:t>
            </w:r>
            <w:r>
              <w:rPr>
                <w:rStyle w:val="IndexLink"/>
                <w:rtl w:val="true"/>
              </w:rPr>
              <w:t xml:space="preserve">: </w:t>
            </w:r>
            <w:r>
              <w:rPr>
                <w:rStyle w:val="IndexLink"/>
                <w:rtl w:val="true"/>
              </w:rPr>
              <w:t>امپراتوری بانکداری بین‌المللی</w:t>
            </w:r>
            <w:r>
              <w:rPr>
                <w:rStyle w:val="IndexLink"/>
                <w:rtl w:val="true"/>
              </w:rPr>
              <w:t>:</w:t>
              <w:tab/>
            </w:r>
            <w:r>
              <w:rPr>
                <w:rStyle w:val="IndexLink"/>
              </w:rPr>
              <w:t>90</w:t>
            </w:r>
          </w:hyperlink>
        </w:p>
        <w:p>
          <w:pPr>
            <w:pStyle w:val="Contents5"/>
            <w:tabs>
              <w:tab w:val="clear" w:pos="7892"/>
              <w:tab w:val="right" w:pos="9026" w:leader="dot"/>
            </w:tabs>
            <w:rPr/>
          </w:pPr>
          <w:hyperlink w:anchor="__RefHeading___Toc13791859_1280447820">
            <w:r>
              <w:rPr>
                <w:webHidden/>
                <w:rStyle w:val="IndexLink"/>
              </w:rPr>
              <w:t>2-1-1-4</w:t>
            </w:r>
            <w:r>
              <w:rPr>
                <w:rStyle w:val="IndexLink"/>
                <w:rtl w:val="true"/>
              </w:rPr>
              <w:t xml:space="preserve">- </w:t>
            </w:r>
            <w:r>
              <w:rPr>
                <w:rStyle w:val="IndexLink"/>
                <w:rtl w:val="true"/>
              </w:rPr>
              <w:t>خاندان واربورگ و لمان</w:t>
            </w:r>
            <w:r>
              <w:rPr>
                <w:rStyle w:val="IndexLink"/>
                <w:rtl w:val="true"/>
              </w:rPr>
              <w:t xml:space="preserve">: </w:t>
            </w:r>
            <w:r>
              <w:rPr>
                <w:rStyle w:val="IndexLink"/>
                <w:rtl w:val="true"/>
              </w:rPr>
              <w:t>غول‌های وال استریت</w:t>
            </w:r>
            <w:r>
              <w:rPr>
                <w:rStyle w:val="IndexLink"/>
                <w:rtl w:val="true"/>
              </w:rPr>
              <w:t>:</w:t>
              <w:tab/>
            </w:r>
            <w:r>
              <w:rPr>
                <w:rStyle w:val="IndexLink"/>
              </w:rPr>
              <w:t>92</w:t>
            </w:r>
          </w:hyperlink>
        </w:p>
        <w:p>
          <w:pPr>
            <w:pStyle w:val="Contents5"/>
            <w:tabs>
              <w:tab w:val="clear" w:pos="7892"/>
              <w:tab w:val="right" w:pos="9026" w:leader="dot"/>
            </w:tabs>
            <w:rPr/>
          </w:pPr>
          <w:hyperlink w:anchor="__RefHeading___Toc13791861_1280447820">
            <w:r>
              <w:rPr>
                <w:webHidden/>
                <w:rStyle w:val="IndexLink"/>
              </w:rPr>
              <w:t>3-1-1-4</w:t>
            </w:r>
            <w:r>
              <w:rPr>
                <w:rStyle w:val="IndexLink"/>
                <w:rtl w:val="true"/>
              </w:rPr>
              <w:t xml:space="preserve">- </w:t>
            </w:r>
            <w:r>
              <w:rPr>
                <w:rStyle w:val="IndexLink"/>
                <w:rtl w:val="true"/>
              </w:rPr>
              <w:t>خاندان ساچز و برنارد</w:t>
            </w:r>
            <w:r>
              <w:rPr>
                <w:rStyle w:val="IndexLink"/>
                <w:rtl w:val="true"/>
              </w:rPr>
              <w:t xml:space="preserve">: </w:t>
            </w:r>
            <w:r>
              <w:rPr>
                <w:rStyle w:val="IndexLink"/>
                <w:rtl w:val="true"/>
              </w:rPr>
              <w:t>شکل‌دهی به بانکداری مدرن</w:t>
            </w:r>
            <w:r>
              <w:rPr>
                <w:rStyle w:val="IndexLink"/>
                <w:rtl w:val="true"/>
              </w:rPr>
              <w:t>:</w:t>
              <w:tab/>
            </w:r>
            <w:r>
              <w:rPr>
                <w:rStyle w:val="IndexLink"/>
              </w:rPr>
              <w:t>94</w:t>
            </w:r>
          </w:hyperlink>
        </w:p>
        <w:p>
          <w:pPr>
            <w:pStyle w:val="Contents4"/>
            <w:tabs>
              <w:tab w:val="clear" w:pos="8176"/>
              <w:tab w:val="right" w:pos="9026" w:leader="dot"/>
            </w:tabs>
            <w:rPr/>
          </w:pPr>
          <w:hyperlink w:anchor="__RefHeading___Toc13791863_1280447820">
            <w:r>
              <w:rPr>
                <w:webHidden/>
                <w:rStyle w:val="IndexLink"/>
              </w:rPr>
              <w:t>2-1-4</w:t>
            </w:r>
            <w:r>
              <w:rPr>
                <w:rStyle w:val="IndexLink"/>
                <w:rtl w:val="true"/>
              </w:rPr>
              <w:t xml:space="preserve">- </w:t>
            </w:r>
            <w:r>
              <w:rPr>
                <w:rStyle w:val="IndexLink"/>
                <w:rtl w:val="true"/>
              </w:rPr>
              <w:t>فرمانروایان منابع طبیعی</w:t>
            </w:r>
            <w:r>
              <w:rPr>
                <w:rStyle w:val="IndexLink"/>
                <w:rtl w:val="true"/>
              </w:rPr>
              <w:t xml:space="preserve">: </w:t>
            </w:r>
            <w:r>
              <w:rPr>
                <w:rStyle w:val="IndexLink"/>
                <w:rtl w:val="true"/>
              </w:rPr>
              <w:t>از الماس تا نفت</w:t>
            </w:r>
            <w:r>
              <w:rPr>
                <w:rStyle w:val="IndexLink"/>
                <w:rtl w:val="true"/>
              </w:rPr>
              <w:tab/>
            </w:r>
            <w:r>
              <w:rPr>
                <w:rStyle w:val="IndexLink"/>
              </w:rPr>
              <w:t>96</w:t>
            </w:r>
          </w:hyperlink>
        </w:p>
        <w:p>
          <w:pPr>
            <w:pStyle w:val="Contents5"/>
            <w:tabs>
              <w:tab w:val="clear" w:pos="7892"/>
              <w:tab w:val="right" w:pos="9026" w:leader="dot"/>
            </w:tabs>
            <w:rPr/>
          </w:pPr>
          <w:hyperlink w:anchor="__RefHeading___Toc13791865_128044782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3791867_1280447820">
            <w:r>
              <w:rPr>
                <w:webHidden/>
                <w:rStyle w:val="IndexLink"/>
              </w:rPr>
              <w:t>1-2-1-4</w:t>
            </w:r>
            <w:r>
              <w:rPr>
                <w:rStyle w:val="IndexLink"/>
                <w:rtl w:val="true"/>
              </w:rPr>
              <w:t xml:space="preserve">- </w:t>
            </w:r>
            <w:r>
              <w:rPr>
                <w:rStyle w:val="IndexLink"/>
                <w:rtl w:val="true"/>
              </w:rPr>
              <w:t>خاندان اوپنهایمر</w:t>
            </w:r>
            <w:r>
              <w:rPr>
                <w:rStyle w:val="IndexLink"/>
                <w:rtl w:val="true"/>
              </w:rPr>
              <w:t xml:space="preserve">: </w:t>
            </w:r>
            <w:r>
              <w:rPr>
                <w:rStyle w:val="IndexLink"/>
                <w:rtl w:val="true"/>
              </w:rPr>
              <w:t>امپراتوری الماس آفریقا</w:t>
            </w:r>
            <w:r>
              <w:rPr>
                <w:rStyle w:val="IndexLink"/>
                <w:rtl w:val="true"/>
              </w:rPr>
              <w:t>:</w:t>
              <w:tab/>
            </w:r>
            <w:r>
              <w:rPr>
                <w:rStyle w:val="IndexLink"/>
              </w:rPr>
              <w:t>96</w:t>
            </w:r>
          </w:hyperlink>
        </w:p>
        <w:p>
          <w:pPr>
            <w:pStyle w:val="Contents5"/>
            <w:tabs>
              <w:tab w:val="clear" w:pos="7892"/>
              <w:tab w:val="right" w:pos="9026" w:leader="dot"/>
            </w:tabs>
            <w:rPr/>
          </w:pPr>
          <w:hyperlink w:anchor="__RefHeading___Toc13791869_1280447820">
            <w:r>
              <w:rPr>
                <w:webHidden/>
                <w:rStyle w:val="IndexLink"/>
              </w:rPr>
              <w:t>2-2-1-4</w:t>
            </w:r>
            <w:r>
              <w:rPr>
                <w:rStyle w:val="IndexLink"/>
                <w:rtl w:val="true"/>
              </w:rPr>
              <w:t xml:space="preserve">- </w:t>
            </w:r>
            <w:r>
              <w:rPr>
                <w:rStyle w:val="IndexLink"/>
                <w:rtl w:val="true"/>
              </w:rPr>
              <w:t>خاندان ساموئل</w:t>
            </w:r>
            <w:r>
              <w:rPr>
                <w:rStyle w:val="IndexLink"/>
                <w:rtl w:val="true"/>
              </w:rPr>
              <w:t xml:space="preserve">: </w:t>
            </w:r>
            <w:r>
              <w:rPr>
                <w:rStyle w:val="IndexLink"/>
                <w:rtl w:val="true"/>
              </w:rPr>
              <w:t>تأسیس امپراتوری نفت شل</w:t>
            </w:r>
            <w:r>
              <w:rPr>
                <w:rStyle w:val="IndexLink"/>
                <w:rtl w:val="true"/>
              </w:rPr>
              <w:t>:</w:t>
              <w:tab/>
            </w:r>
            <w:r>
              <w:rPr>
                <w:rStyle w:val="IndexLink"/>
              </w:rPr>
              <w:t>98</w:t>
            </w:r>
          </w:hyperlink>
        </w:p>
        <w:p>
          <w:pPr>
            <w:pStyle w:val="Contents4"/>
            <w:tabs>
              <w:tab w:val="clear" w:pos="8176"/>
              <w:tab w:val="right" w:pos="9026" w:leader="dot"/>
            </w:tabs>
            <w:rPr/>
          </w:pPr>
          <w:hyperlink w:anchor="__RefHeading___Toc13791871_1280447820">
            <w:r>
              <w:rPr>
                <w:webHidden/>
                <w:rStyle w:val="IndexLink"/>
              </w:rPr>
              <w:t>3-1-4</w:t>
            </w:r>
            <w:r>
              <w:rPr>
                <w:rStyle w:val="IndexLink"/>
                <w:rtl w:val="true"/>
              </w:rPr>
              <w:t xml:space="preserve">- </w:t>
            </w:r>
            <w:r>
              <w:rPr>
                <w:rStyle w:val="IndexLink"/>
                <w:rtl w:val="true"/>
              </w:rPr>
              <w:t>تجارت مرگ</w:t>
            </w:r>
            <w:r>
              <w:rPr>
                <w:rStyle w:val="IndexLink"/>
                <w:rtl w:val="true"/>
              </w:rPr>
              <w:t xml:space="preserve">: </w:t>
            </w:r>
            <w:r>
              <w:rPr>
                <w:rStyle w:val="IndexLink"/>
                <w:rtl w:val="true"/>
              </w:rPr>
              <w:t>نقش خاندان‌ها در صنعت اسلحه</w:t>
            </w:r>
            <w:r>
              <w:rPr>
                <w:rStyle w:val="IndexLink"/>
                <w:rtl w:val="true"/>
              </w:rPr>
              <w:t>:</w:t>
              <w:tab/>
            </w:r>
            <w:r>
              <w:rPr>
                <w:rStyle w:val="IndexLink"/>
              </w:rPr>
              <w:t>100</w:t>
            </w:r>
          </w:hyperlink>
        </w:p>
        <w:p>
          <w:pPr>
            <w:pStyle w:val="Contents3"/>
            <w:tabs>
              <w:tab w:val="clear" w:pos="8459"/>
              <w:tab w:val="right" w:pos="9026" w:leader="dot"/>
            </w:tabs>
            <w:rPr/>
          </w:pPr>
          <w:hyperlink w:anchor="__RefHeading___Toc13791873_1280447820">
            <w:r>
              <w:rPr>
                <w:webHidden/>
                <w:rStyle w:val="IndexLink"/>
              </w:rPr>
              <w:t>2-4</w:t>
            </w:r>
            <w:r>
              <w:rPr>
                <w:rStyle w:val="IndexLink"/>
                <w:rtl w:val="true"/>
              </w:rPr>
              <w:t xml:space="preserve">- </w:t>
            </w:r>
            <w:r>
              <w:rPr>
                <w:rStyle w:val="IndexLink"/>
                <w:rtl w:val="true"/>
              </w:rPr>
              <w:t>سلطه بر افکار</w:t>
            </w:r>
            <w:r>
              <w:rPr>
                <w:rStyle w:val="IndexLink"/>
                <w:rtl w:val="true"/>
              </w:rPr>
              <w:t xml:space="preserve">: </w:t>
            </w:r>
            <w:r>
              <w:rPr>
                <w:rStyle w:val="IndexLink"/>
                <w:rtl w:val="true"/>
              </w:rPr>
              <w:t>نفوذ در فرهنگ، رسانه و ذائقه جهانی</w:t>
            </w:r>
            <w:r>
              <w:rPr>
                <w:rStyle w:val="IndexLink"/>
                <w:rtl w:val="true"/>
              </w:rPr>
              <w:t>:</w:t>
              <w:tab/>
            </w:r>
            <w:r>
              <w:rPr>
                <w:rStyle w:val="IndexLink"/>
              </w:rPr>
              <w:t>103</w:t>
            </w:r>
          </w:hyperlink>
        </w:p>
        <w:p>
          <w:pPr>
            <w:pStyle w:val="Contents4"/>
            <w:tabs>
              <w:tab w:val="clear" w:pos="8176"/>
              <w:tab w:val="right" w:pos="9026" w:leader="dot"/>
            </w:tabs>
            <w:rPr/>
          </w:pPr>
          <w:hyperlink w:anchor="__RefHeading___Toc13791875_1280447820">
            <w:r>
              <w:rPr>
                <w:webHidden/>
                <w:rStyle w:val="IndexLink"/>
              </w:rPr>
              <w:t>1-2-4</w:t>
            </w:r>
            <w:r>
              <w:rPr>
                <w:rStyle w:val="IndexLink"/>
                <w:rtl w:val="true"/>
              </w:rPr>
              <w:t xml:space="preserve">- </w:t>
            </w:r>
            <w:r>
              <w:rPr>
                <w:rStyle w:val="IndexLink"/>
                <w:rtl w:val="true"/>
              </w:rPr>
              <w:t>هالیوود</w:t>
            </w:r>
            <w:r>
              <w:rPr>
                <w:rStyle w:val="IndexLink"/>
                <w:rtl w:val="true"/>
              </w:rPr>
              <w:t xml:space="preserve">: </w:t>
            </w:r>
            <w:r>
              <w:rPr>
                <w:rStyle w:val="IndexLink"/>
                <w:rtl w:val="true"/>
              </w:rPr>
              <w:t>از پیشگامان مهاجر تا امپراتوری سرگرمی</w:t>
            </w:r>
            <w:r>
              <w:rPr>
                <w:rStyle w:val="IndexLink"/>
                <w:rtl w:val="true"/>
              </w:rPr>
              <w:t>:</w:t>
              <w:tab/>
            </w:r>
            <w:r>
              <w:rPr>
                <w:rStyle w:val="IndexLink"/>
              </w:rPr>
              <w:t>103</w:t>
            </w:r>
          </w:hyperlink>
        </w:p>
        <w:p>
          <w:pPr>
            <w:pStyle w:val="Contents5"/>
            <w:tabs>
              <w:tab w:val="clear" w:pos="7892"/>
              <w:tab w:val="right" w:pos="9026" w:leader="dot"/>
            </w:tabs>
            <w:rPr/>
          </w:pPr>
          <w:hyperlink w:anchor="__RefHeading___Toc13791877_128044782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3791879_1280447820">
            <w:r>
              <w:rPr>
                <w:webHidden/>
                <w:rStyle w:val="IndexLink"/>
              </w:rPr>
              <w:t>1-1-2-4</w:t>
            </w:r>
            <w:r>
              <w:rPr>
                <w:rStyle w:val="IndexLink"/>
                <w:rtl w:val="true"/>
              </w:rPr>
              <w:t xml:space="preserve">- </w:t>
            </w:r>
            <w:r>
              <w:rPr>
                <w:rStyle w:val="IndexLink"/>
                <w:rtl w:val="true"/>
              </w:rPr>
              <w:t>بنیان‌گذاران یهودی استودیوهای بزرگ</w:t>
            </w:r>
            <w:r>
              <w:rPr>
                <w:rStyle w:val="IndexLink"/>
                <w:rtl w:val="true"/>
              </w:rPr>
              <w:t>:</w:t>
              <w:tab/>
            </w:r>
            <w:r>
              <w:rPr>
                <w:rStyle w:val="IndexLink"/>
              </w:rPr>
              <w:t>104</w:t>
            </w:r>
          </w:hyperlink>
        </w:p>
        <w:p>
          <w:pPr>
            <w:pStyle w:val="Contents5"/>
            <w:tabs>
              <w:tab w:val="clear" w:pos="7892"/>
              <w:tab w:val="right" w:pos="9026" w:leader="dot"/>
            </w:tabs>
            <w:rPr/>
          </w:pPr>
          <w:hyperlink w:anchor="__RefHeading___Toc13791881_1280447820">
            <w:r>
              <w:rPr>
                <w:webHidden/>
                <w:rStyle w:val="IndexLink"/>
              </w:rPr>
              <w:t>2-1-2-4</w:t>
            </w:r>
            <w:r>
              <w:rPr>
                <w:rStyle w:val="IndexLink"/>
                <w:rtl w:val="true"/>
              </w:rPr>
              <w:t xml:space="preserve">- </w:t>
            </w:r>
            <w:r>
              <w:rPr>
                <w:rStyle w:val="IndexLink"/>
                <w:rtl w:val="true"/>
              </w:rPr>
              <w:t>خلاقیت در انیمیشن</w:t>
            </w:r>
            <w:r>
              <w:rPr>
                <w:rStyle w:val="IndexLink"/>
                <w:rtl w:val="true"/>
              </w:rPr>
              <w:t xml:space="preserve">: </w:t>
            </w:r>
            <w:r>
              <w:rPr>
                <w:rStyle w:val="IndexLink"/>
                <w:rtl w:val="true"/>
              </w:rPr>
              <w:t>از مکس فلایشر تا هانا</w:t>
            </w:r>
            <w:r>
              <w:rPr>
                <w:rStyle w:val="IndexLink"/>
                <w:rtl w:val="true"/>
              </w:rPr>
              <w:t>-</w:t>
            </w:r>
            <w:r>
              <w:rPr>
                <w:rStyle w:val="IndexLink"/>
                <w:rtl w:val="true"/>
              </w:rPr>
              <w:t>باربرا</w:t>
            </w:r>
            <w:r>
              <w:rPr>
                <w:rStyle w:val="IndexLink"/>
                <w:rtl w:val="true"/>
              </w:rPr>
              <w:t>:</w:t>
              <w:tab/>
            </w:r>
            <w:r>
              <w:rPr>
                <w:rStyle w:val="IndexLink"/>
              </w:rPr>
              <w:t>105</w:t>
            </w:r>
          </w:hyperlink>
        </w:p>
        <w:p>
          <w:pPr>
            <w:pStyle w:val="Contents4"/>
            <w:tabs>
              <w:tab w:val="clear" w:pos="8176"/>
              <w:tab w:val="right" w:pos="9026" w:leader="dot"/>
            </w:tabs>
            <w:rPr/>
          </w:pPr>
          <w:hyperlink w:anchor="__RefHeading___Toc13791883_1280447820">
            <w:r>
              <w:rPr>
                <w:webHidden/>
                <w:rStyle w:val="IndexLink"/>
              </w:rPr>
              <w:t>2-2-4</w:t>
            </w:r>
            <w:r>
              <w:rPr>
                <w:rStyle w:val="IndexLink"/>
                <w:rtl w:val="true"/>
              </w:rPr>
              <w:t xml:space="preserve">- </w:t>
            </w:r>
            <w:r>
              <w:rPr>
                <w:rStyle w:val="IndexLink"/>
                <w:rtl w:val="true"/>
              </w:rPr>
              <w:t>کل‌دهی به اخبار</w:t>
            </w:r>
            <w:r>
              <w:rPr>
                <w:rStyle w:val="IndexLink"/>
                <w:rtl w:val="true"/>
              </w:rPr>
              <w:t xml:space="preserve">: </w:t>
            </w:r>
            <w:r>
              <w:rPr>
                <w:rStyle w:val="IndexLink"/>
                <w:rtl w:val="true"/>
              </w:rPr>
              <w:t>مالکیت و مدیریت شبکه‌های خبری</w:t>
            </w:r>
            <w:r>
              <w:rPr>
                <w:rStyle w:val="IndexLink"/>
                <w:rtl w:val="true"/>
              </w:rPr>
              <w:t>:</w:t>
              <w:tab/>
            </w:r>
            <w:r>
              <w:rPr>
                <w:rStyle w:val="IndexLink"/>
              </w:rPr>
              <w:t>107</w:t>
            </w:r>
          </w:hyperlink>
        </w:p>
        <w:p>
          <w:pPr>
            <w:pStyle w:val="Contents4"/>
            <w:tabs>
              <w:tab w:val="clear" w:pos="8176"/>
              <w:tab w:val="right" w:pos="9026" w:leader="dot"/>
            </w:tabs>
            <w:rPr/>
          </w:pPr>
          <w:hyperlink w:anchor="__RefHeading___Toc13791885_1280447820">
            <w:r>
              <w:rPr>
                <w:webHidden/>
                <w:rStyle w:val="IndexLink"/>
              </w:rPr>
              <w:t>3-2-4</w:t>
            </w:r>
            <w:r>
              <w:rPr>
                <w:rStyle w:val="IndexLink"/>
                <w:rtl w:val="true"/>
              </w:rPr>
              <w:t xml:space="preserve">- </w:t>
            </w:r>
            <w:r>
              <w:rPr>
                <w:rStyle w:val="IndexLink"/>
                <w:rtl w:val="true"/>
              </w:rPr>
              <w:t>نفوذ در ذائقه</w:t>
            </w:r>
            <w:r>
              <w:rPr>
                <w:rStyle w:val="IndexLink"/>
                <w:rtl w:val="true"/>
              </w:rPr>
              <w:t xml:space="preserve">: </w:t>
            </w:r>
            <w:r>
              <w:rPr>
                <w:rStyle w:val="IndexLink"/>
                <w:rtl w:val="true"/>
              </w:rPr>
              <w:t>صنعت غذا و جدال بر سر هویت</w:t>
            </w:r>
            <w:r>
              <w:rPr>
                <w:rStyle w:val="IndexLink"/>
                <w:rtl w:val="true"/>
              </w:rPr>
              <w:tab/>
            </w:r>
            <w:r>
              <w:rPr>
                <w:rStyle w:val="IndexLink"/>
              </w:rPr>
              <w:t>109</w:t>
            </w:r>
          </w:hyperlink>
        </w:p>
        <w:p>
          <w:pPr>
            <w:pStyle w:val="Contents5"/>
            <w:tabs>
              <w:tab w:val="clear" w:pos="7892"/>
              <w:tab w:val="right" w:pos="9026" w:leader="dot"/>
            </w:tabs>
            <w:rPr/>
          </w:pPr>
          <w:hyperlink w:anchor="__RefHeading___Toc13791887_128044782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3791889_1280447820">
            <w:r>
              <w:rPr>
                <w:webHidden/>
                <w:rStyle w:val="IndexLink"/>
              </w:rPr>
              <w:t>1-3-2-4</w:t>
            </w:r>
            <w:r>
              <w:rPr>
                <w:rStyle w:val="IndexLink"/>
                <w:rtl w:val="true"/>
              </w:rPr>
              <w:t xml:space="preserve">- </w:t>
            </w:r>
            <w:r>
              <w:rPr>
                <w:rStyle w:val="IndexLink"/>
                <w:rtl w:val="true"/>
              </w:rPr>
              <w:t>امپراتوری فست‌فود</w:t>
            </w:r>
            <w:r>
              <w:rPr>
                <w:rStyle w:val="IndexLink"/>
                <w:rtl w:val="true"/>
              </w:rPr>
              <w:t xml:space="preserve">: </w:t>
            </w:r>
            <w:r>
              <w:rPr>
                <w:rStyle w:val="IndexLink"/>
                <w:rtl w:val="true"/>
              </w:rPr>
              <w:t>موفقیت اقتصادی در برابر آسیب سلامتی</w:t>
            </w:r>
            <w:r>
              <w:rPr>
                <w:rStyle w:val="IndexLink"/>
                <w:rtl w:val="true"/>
              </w:rPr>
              <w:t>:</w:t>
              <w:tab/>
            </w:r>
            <w:r>
              <w:rPr>
                <w:rStyle w:val="IndexLink"/>
              </w:rPr>
              <w:t>110</w:t>
            </w:r>
          </w:hyperlink>
        </w:p>
        <w:p>
          <w:pPr>
            <w:pStyle w:val="Contents5"/>
            <w:tabs>
              <w:tab w:val="clear" w:pos="7892"/>
              <w:tab w:val="right" w:pos="9026" w:leader="dot"/>
            </w:tabs>
            <w:rPr/>
          </w:pPr>
          <w:hyperlink w:anchor="__RefHeading___Toc13791891_1280447820">
            <w:r>
              <w:rPr>
                <w:webHidden/>
                <w:rStyle w:val="IndexLink"/>
              </w:rPr>
              <w:t>2-3-2-4</w:t>
            </w:r>
            <w:r>
              <w:rPr>
                <w:rStyle w:val="IndexLink"/>
                <w:rtl w:val="true"/>
              </w:rPr>
              <w:t xml:space="preserve">- </w:t>
            </w:r>
            <w:r>
              <w:rPr>
                <w:rStyle w:val="IndexLink"/>
                <w:rtl w:val="true"/>
              </w:rPr>
              <w:t>فلافل</w:t>
            </w:r>
            <w:r>
              <w:rPr>
                <w:rStyle w:val="IndexLink"/>
                <w:rtl w:val="true"/>
              </w:rPr>
              <w:t xml:space="preserve">: </w:t>
            </w:r>
            <w:r>
              <w:rPr>
                <w:rStyle w:val="IndexLink"/>
                <w:rtl w:val="true"/>
              </w:rPr>
              <w:t>مصادره فرهنگی به مثابه ابزار سیاسی</w:t>
            </w:r>
            <w:r>
              <w:rPr>
                <w:rStyle w:val="IndexLink"/>
                <w:rtl w:val="true"/>
              </w:rPr>
              <w:t>:</w:t>
              <w:tab/>
            </w:r>
            <w:r>
              <w:rPr>
                <w:rStyle w:val="IndexLink"/>
              </w:rPr>
              <w:t>111</w:t>
            </w:r>
          </w:hyperlink>
        </w:p>
        <w:p>
          <w:pPr>
            <w:pStyle w:val="Contents3"/>
            <w:tabs>
              <w:tab w:val="clear" w:pos="8459"/>
              <w:tab w:val="right" w:pos="9026" w:leader="dot"/>
            </w:tabs>
            <w:rPr/>
          </w:pPr>
          <w:hyperlink w:anchor="__RefHeading___Toc13791893_1280447820">
            <w:r>
              <w:rPr>
                <w:webHidden/>
                <w:rStyle w:val="IndexLink"/>
              </w:rPr>
              <w:t>3-4</w:t>
            </w:r>
            <w:r>
              <w:rPr>
                <w:rStyle w:val="IndexLink"/>
                <w:rtl w:val="true"/>
              </w:rPr>
              <w:t xml:space="preserve">- </w:t>
            </w:r>
            <w:r>
              <w:rPr>
                <w:rStyle w:val="IndexLink"/>
                <w:rtl w:val="true"/>
              </w:rPr>
              <w:t>اهرم‌های فشار</w:t>
            </w:r>
            <w:r>
              <w:rPr>
                <w:rStyle w:val="IndexLink"/>
                <w:rtl w:val="true"/>
              </w:rPr>
              <w:t xml:space="preserve">: </w:t>
            </w:r>
            <w:r>
              <w:rPr>
                <w:rStyle w:val="IndexLink"/>
                <w:rtl w:val="true"/>
              </w:rPr>
              <w:t>لابی‌گری و اثرگذاری سیاسی</w:t>
            </w:r>
            <w:r>
              <w:rPr>
                <w:rStyle w:val="IndexLink"/>
                <w:rtl w:val="true"/>
              </w:rPr>
              <w:t>:</w:t>
              <w:tab/>
            </w:r>
            <w:r>
              <w:rPr>
                <w:rStyle w:val="IndexLink"/>
              </w:rPr>
              <w:t>112</w:t>
            </w:r>
          </w:hyperlink>
        </w:p>
        <w:p>
          <w:pPr>
            <w:pStyle w:val="Contents3"/>
            <w:tabs>
              <w:tab w:val="clear" w:pos="8459"/>
              <w:tab w:val="right" w:pos="9026" w:leader="dot"/>
            </w:tabs>
            <w:rPr/>
          </w:pPr>
          <w:hyperlink w:anchor="__RefHeading___Toc13791895_1280447820">
            <w:r>
              <w:rPr>
                <w:webHidden/>
                <w:rStyle w:val="IndexLink"/>
              </w:rPr>
              <w:t>4-4</w:t>
            </w:r>
            <w:r>
              <w:rPr>
                <w:rStyle w:val="IndexLink"/>
                <w:rtl w:val="true"/>
              </w:rPr>
              <w:t xml:space="preserve">- </w:t>
            </w:r>
            <w:r>
              <w:rPr>
                <w:rStyle w:val="IndexLink"/>
                <w:rtl w:val="true"/>
              </w:rPr>
              <w:t>پیشگامان آینده</w:t>
            </w:r>
            <w:r>
              <w:rPr>
                <w:rStyle w:val="IndexLink"/>
                <w:rtl w:val="true"/>
              </w:rPr>
              <w:t xml:space="preserve">: </w:t>
            </w:r>
            <w:r>
              <w:rPr>
                <w:rStyle w:val="IndexLink"/>
                <w:rtl w:val="true"/>
              </w:rPr>
              <w:t>نفوذ در علم و فناوری</w:t>
            </w:r>
            <w:r>
              <w:rPr>
                <w:rStyle w:val="IndexLink"/>
                <w:rtl w:val="true"/>
              </w:rPr>
              <w:t>:</w:t>
              <w:tab/>
            </w:r>
            <w:r>
              <w:rPr>
                <w:rStyle w:val="IndexLink"/>
              </w:rPr>
              <w:t>114</w:t>
            </w:r>
          </w:hyperlink>
        </w:p>
        <w:p>
          <w:pPr>
            <w:pStyle w:val="Contents4"/>
            <w:tabs>
              <w:tab w:val="clear" w:pos="8176"/>
              <w:tab w:val="right" w:pos="9026" w:leader="dot"/>
            </w:tabs>
            <w:rPr/>
          </w:pPr>
          <w:hyperlink w:anchor="__RefHeading___Toc13791897_12804478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3791899_1280447820">
            <w:r>
              <w:rPr>
                <w:webHidden/>
                <w:rStyle w:val="IndexLink"/>
              </w:rPr>
              <w:t>1-4-4</w:t>
            </w:r>
            <w:r>
              <w:rPr>
                <w:rStyle w:val="IndexLink"/>
                <w:rtl w:val="true"/>
              </w:rPr>
              <w:t xml:space="preserve">- </w:t>
            </w:r>
            <w:r>
              <w:rPr>
                <w:rStyle w:val="IndexLink"/>
                <w:rtl w:val="true"/>
              </w:rPr>
              <w:t>سیلیکون وادی</w:t>
            </w:r>
            <w:r>
              <w:rPr>
                <w:rStyle w:val="IndexLink"/>
                <w:rtl w:val="true"/>
              </w:rPr>
              <w:t xml:space="preserve">: </w:t>
            </w:r>
            <w:r>
              <w:rPr>
                <w:rStyle w:val="IndexLink"/>
                <w:rtl w:val="true"/>
              </w:rPr>
              <w:t>شکل‌دهی به اقتصاد و فناوری نوین</w:t>
            </w:r>
            <w:r>
              <w:rPr>
                <w:rStyle w:val="IndexLink"/>
                <w:rtl w:val="true"/>
              </w:rPr>
              <w:t>:</w:t>
              <w:tab/>
            </w:r>
            <w:r>
              <w:rPr>
                <w:rStyle w:val="IndexLink"/>
              </w:rPr>
              <w:t>115</w:t>
            </w:r>
          </w:hyperlink>
        </w:p>
        <w:p>
          <w:pPr>
            <w:pStyle w:val="Contents4"/>
            <w:tabs>
              <w:tab w:val="clear" w:pos="8176"/>
              <w:tab w:val="right" w:pos="9026" w:leader="dot"/>
            </w:tabs>
            <w:rPr/>
          </w:pPr>
          <w:hyperlink w:anchor="__RefHeading___Toc13791901_1280447820">
            <w:r>
              <w:rPr>
                <w:webHidden/>
                <w:rStyle w:val="IndexLink"/>
              </w:rPr>
              <w:t>2-4-4</w:t>
            </w:r>
            <w:r>
              <w:rPr>
                <w:rStyle w:val="IndexLink"/>
                <w:rtl w:val="true"/>
              </w:rPr>
              <w:t xml:space="preserve">- </w:t>
            </w:r>
            <w:r>
              <w:rPr>
                <w:rStyle w:val="IndexLink"/>
                <w:rtl w:val="true"/>
              </w:rPr>
              <w:t>میراث علمی و فکری</w:t>
            </w:r>
            <w:r>
              <w:rPr>
                <w:rStyle w:val="IndexLink"/>
                <w:rtl w:val="true"/>
              </w:rPr>
              <w:t xml:space="preserve">: </w:t>
            </w:r>
            <w:r>
              <w:rPr>
                <w:rStyle w:val="IndexLink"/>
                <w:rtl w:val="true"/>
              </w:rPr>
              <w:t>چهره‌های برجسته در تاریخ علم</w:t>
            </w:r>
            <w:r>
              <w:rPr>
                <w:rStyle w:val="IndexLink"/>
                <w:rtl w:val="true"/>
              </w:rPr>
              <w:t>:</w:t>
              <w:tab/>
            </w:r>
            <w:r>
              <w:rPr>
                <w:rStyle w:val="IndexLink"/>
              </w:rPr>
              <w:t>117</w:t>
            </w:r>
          </w:hyperlink>
        </w:p>
        <w:p>
          <w:pPr>
            <w:pStyle w:val="Contents3"/>
            <w:tabs>
              <w:tab w:val="clear" w:pos="8459"/>
              <w:tab w:val="right" w:pos="9026" w:leader="dot"/>
            </w:tabs>
            <w:rPr/>
          </w:pPr>
          <w:hyperlink w:anchor="__RefHeading___Toc13791903_1280447820">
            <w:r>
              <w:rPr>
                <w:webHidden/>
                <w:rStyle w:val="IndexLink"/>
              </w:rPr>
              <w:t>5-4</w:t>
            </w:r>
            <w:r>
              <w:rPr>
                <w:rStyle w:val="IndexLink"/>
                <w:rtl w:val="true"/>
              </w:rPr>
              <w:t xml:space="preserve">- </w:t>
            </w:r>
            <w:r>
              <w:rPr>
                <w:rStyle w:val="IndexLink"/>
                <w:rtl w:val="true"/>
              </w:rPr>
              <w:t>یهودیت در آینه امروز</w:t>
            </w:r>
            <w:r>
              <w:rPr>
                <w:rStyle w:val="IndexLink"/>
                <w:rtl w:val="true"/>
              </w:rPr>
              <w:t xml:space="preserve">: </w:t>
            </w:r>
            <w:r>
              <w:rPr>
                <w:rStyle w:val="IndexLink"/>
                <w:rtl w:val="true"/>
              </w:rPr>
              <w:t>تلاقی سنت و مدرنیته</w:t>
            </w:r>
            <w:r>
              <w:rPr>
                <w:rStyle w:val="IndexLink"/>
                <w:rtl w:val="true"/>
              </w:rPr>
              <w:t>:</w:t>
              <w:tab/>
            </w:r>
            <w:r>
              <w:rPr>
                <w:rStyle w:val="IndexLink"/>
              </w:rPr>
              <w:t>118</w:t>
            </w:r>
          </w:hyperlink>
        </w:p>
        <w:p>
          <w:pPr>
            <w:pStyle w:val="Contents4"/>
            <w:tabs>
              <w:tab w:val="clear" w:pos="8176"/>
              <w:tab w:val="right" w:pos="9026" w:leader="dot"/>
            </w:tabs>
            <w:rPr/>
          </w:pPr>
          <w:hyperlink w:anchor="__RefHeading___Toc13791905_128044782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3791907_1280447820">
            <w:r>
              <w:rPr>
                <w:webHidden/>
                <w:rStyle w:val="IndexLink"/>
              </w:rPr>
              <w:t>1-5-4</w:t>
            </w:r>
            <w:r>
              <w:rPr>
                <w:rStyle w:val="IndexLink"/>
                <w:rtl w:val="true"/>
              </w:rPr>
              <w:t xml:space="preserve">- </w:t>
            </w:r>
            <w:r>
              <w:rPr>
                <w:rStyle w:val="IndexLink"/>
                <w:rtl w:val="true"/>
              </w:rPr>
              <w:t>تلاویو</w:t>
            </w:r>
            <w:r>
              <w:rPr>
                <w:rStyle w:val="IndexLink"/>
                <w:rtl w:val="true"/>
              </w:rPr>
              <w:t xml:space="preserve">: </w:t>
            </w:r>
            <w:r>
              <w:rPr>
                <w:rStyle w:val="IndexLink"/>
                <w:rtl w:val="true"/>
              </w:rPr>
              <w:t>نماد مدرنیته و سبک زندگی معاصر</w:t>
            </w:r>
            <w:r>
              <w:rPr>
                <w:rStyle w:val="IndexLink"/>
                <w:rtl w:val="true"/>
              </w:rPr>
              <w:t>:</w:t>
              <w:tab/>
            </w:r>
            <w:r>
              <w:rPr>
                <w:rStyle w:val="IndexLink"/>
              </w:rPr>
              <w:t>119</w:t>
            </w:r>
          </w:hyperlink>
        </w:p>
        <w:p>
          <w:pPr>
            <w:pStyle w:val="Contents4"/>
            <w:tabs>
              <w:tab w:val="clear" w:pos="8176"/>
              <w:tab w:val="right" w:pos="9026" w:leader="dot"/>
            </w:tabs>
            <w:rPr/>
          </w:pPr>
          <w:hyperlink w:anchor="__RefHeading___Toc13791909_1280447820">
            <w:r>
              <w:rPr>
                <w:webHidden/>
                <w:rStyle w:val="IndexLink"/>
              </w:rPr>
              <w:t>2-5-4</w:t>
            </w:r>
            <w:r>
              <w:rPr>
                <w:rStyle w:val="IndexLink"/>
                <w:rtl w:val="true"/>
              </w:rPr>
              <w:t xml:space="preserve">- </w:t>
            </w:r>
            <w:r>
              <w:rPr>
                <w:rStyle w:val="IndexLink"/>
                <w:rtl w:val="true"/>
              </w:rPr>
              <w:t>چالش‌های هویتی</w:t>
            </w:r>
            <w:r>
              <w:rPr>
                <w:rStyle w:val="IndexLink"/>
                <w:rtl w:val="true"/>
              </w:rPr>
              <w:t xml:space="preserve">: </w:t>
            </w:r>
            <w:r>
              <w:rPr>
                <w:rStyle w:val="IndexLink"/>
                <w:rtl w:val="true"/>
              </w:rPr>
              <w:t>از سکولاریسم تا ازدواج‌های بین ادیانی</w:t>
            </w:r>
            <w:r>
              <w:rPr>
                <w:rStyle w:val="IndexLink"/>
                <w:rtl w:val="true"/>
              </w:rPr>
              <w:t>:</w:t>
              <w:tab/>
            </w:r>
            <w:r>
              <w:rPr>
                <w:rStyle w:val="IndexLink"/>
              </w:rPr>
              <w:t>121</w:t>
            </w:r>
          </w:hyperlink>
        </w:p>
        <w:p>
          <w:pPr>
            <w:pStyle w:val="Contents3"/>
            <w:tabs>
              <w:tab w:val="clear" w:pos="8459"/>
              <w:tab w:val="right" w:pos="9026" w:leader="dot"/>
            </w:tabs>
            <w:rPr/>
          </w:pPr>
          <w:hyperlink w:anchor="__RefHeading___Toc13791911_1280447820">
            <w:r>
              <w:rPr>
                <w:webHidden/>
                <w:rStyle w:val="IndexLink"/>
                <w:rtl w:val="true"/>
              </w:rPr>
              <w:t>جمع‌بندی فصل چهارم</w:t>
            </w:r>
            <w:r>
              <w:rPr>
                <w:rStyle w:val="IndexLink"/>
                <w:rtl w:val="true"/>
              </w:rPr>
              <w:t>:</w:t>
              <w:tab/>
            </w:r>
            <w:r>
              <w:rPr>
                <w:rStyle w:val="IndexLink"/>
              </w:rPr>
              <w:t>123</w:t>
            </w:r>
          </w:hyperlink>
        </w:p>
        <w:p>
          <w:pPr>
            <w:pStyle w:val="Contents2"/>
            <w:tabs>
              <w:tab w:val="clear" w:pos="8743"/>
              <w:tab w:val="right" w:pos="9026" w:leader="dot"/>
            </w:tabs>
            <w:rPr/>
          </w:pPr>
          <w:hyperlink w:anchor="__RefHeading___Toc13791913_1280447820">
            <w:r>
              <w:rPr>
                <w:webHidden/>
                <w:rStyle w:val="IndexLink"/>
                <w:rtl w:val="true"/>
              </w:rPr>
              <w:t>نتیجه‌گیری نهایی</w:t>
            </w:r>
            <w:r>
              <w:rPr>
                <w:rStyle w:val="IndexLink"/>
                <w:rtl w:val="true"/>
              </w:rPr>
              <w:t>:</w:t>
              <w:tab/>
            </w:r>
            <w:r>
              <w:rPr>
                <w:rStyle w:val="IndexLink"/>
              </w:rPr>
              <w:t>125</w:t>
            </w:r>
          </w:hyperlink>
        </w:p>
        <w:p>
          <w:pPr>
            <w:pStyle w:val="Contents2"/>
            <w:tabs>
              <w:tab w:val="clear" w:pos="8743"/>
              <w:tab w:val="right" w:pos="9026" w:leader="dot"/>
            </w:tabs>
            <w:rPr/>
          </w:pPr>
          <w:hyperlink w:anchor="__RefHeading___Toc13791915_1280447820">
            <w:r>
              <w:rPr>
                <w:webHidden/>
                <w:rStyle w:val="IndexLink"/>
                <w:rtl w:val="true"/>
              </w:rPr>
              <w:t>فهرست منابع</w:t>
            </w:r>
            <w:r>
              <w:rPr>
                <w:rStyle w:val="IndexLink"/>
                <w:rtl w:val="true"/>
              </w:rPr>
              <w:tab/>
            </w:r>
            <w:r>
              <w:rPr>
                <w:rStyle w:val="IndexLink"/>
              </w:rPr>
              <w:t>127</w:t>
            </w:r>
          </w:hyperlink>
        </w:p>
        <w:p>
          <w:pPr>
            <w:pStyle w:val="Contents2"/>
            <w:tabs>
              <w:tab w:val="clear" w:pos="8743"/>
              <w:tab w:val="right" w:pos="9026" w:leader="dot"/>
            </w:tabs>
            <w:rPr/>
          </w:pPr>
          <w:hyperlink w:anchor="__RefHeading___Toc13791917_1280447820">
            <w:r>
              <w:rPr>
                <w:webHidden/>
                <w:rStyle w:val="IndexLink"/>
                <w:rtl w:val="true"/>
              </w:rPr>
              <w:t>نگار خانه</w:t>
            </w:r>
            <w:r>
              <w:rPr>
                <w:rStyle w:val="IndexLink"/>
                <w:rtl w:val="true"/>
              </w:rPr>
              <w:t>:</w:t>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24_246354"/>
      <w:bookmarkStart w:id="1" w:name="pg19224_246354"/>
      <w:bookmarkEnd w:id="1"/>
    </w:p>
    <w:p>
      <w:pPr>
        <w:pStyle w:val="Heading2"/>
        <w:numPr>
          <w:ilvl w:val="1"/>
          <w:numId w:val="1"/>
        </w:numPr>
        <w:rPr/>
      </w:pPr>
      <w:bookmarkStart w:id="2" w:name="pg19224_246354"/>
      <w:bookmarkStart w:id="3" w:name="__RefHeading___Toc1379168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دارانی، علی،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تلمود تا تل آویو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سلیمانی‌دارانی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الحیات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w:t>
      </w:r>
    </w:p>
    <w:p>
      <w:pPr>
        <w:pStyle w:val="BookText"/>
        <w:rPr/>
      </w:pPr>
      <w:r>
        <w:rPr>
          <w:rFonts w:eastAsia="Times New Roman" w:cs="Times New Roman" w:ascii="Times New Roman" w:hAnsi="Times New Roman"/>
          <w:color w:val="111111"/>
          <w:sz w:val="28"/>
          <w:szCs w:val="28"/>
          <w:lang w:val="en-US" w:bidi="en-US"/>
        </w:rPr>
        <w:t>Judaism</w:t>
      </w:r>
    </w:p>
    <w:p>
      <w:pPr>
        <w:pStyle w:val="BookText"/>
        <w:rPr/>
      </w:pPr>
      <w:r>
        <w:rPr>
          <w:rFonts w:ascii="IRNazanin" w:hAnsi="IRNazanin" w:eastAsia="IRNazanin"/>
          <w:color w:val="111111"/>
          <w:sz w:val="28"/>
          <w:sz w:val="28"/>
          <w:szCs w:val="28"/>
          <w:rtl w:val="true"/>
          <w:lang w:bidi="fa-IR"/>
        </w:rPr>
        <w:t xml:space="preserve">یهودیت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Times New Roman" w:cs="Times New Roman" w:ascii="Times New Roman" w:hAnsi="Times New Roman"/>
          <w:color w:val="111111"/>
          <w:sz w:val="28"/>
          <w:szCs w:val="28"/>
          <w:lang w:val="en-US" w:bidi="en-US"/>
        </w:rPr>
        <w:t>Judaism -- History</w:t>
      </w:r>
    </w:p>
    <w:p>
      <w:pPr>
        <w:pStyle w:val="BookText"/>
        <w:rPr/>
      </w:pP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Judaism-- Doctrines</w:t>
      </w:r>
    </w:p>
    <w:p>
      <w:p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قومی</w:t>
      </w:r>
    </w:p>
    <w:p>
      <w:pPr>
        <w:pStyle w:val="BookText"/>
        <w:rPr/>
      </w:pPr>
      <w:r>
        <w:rPr>
          <w:rFonts w:eastAsia="Times New Roman" w:cs="Times New Roman" w:ascii="Times New Roman" w:hAnsi="Times New Roman"/>
          <w:color w:val="111111"/>
          <w:sz w:val="28"/>
          <w:szCs w:val="28"/>
          <w:lang w:val="en-US" w:bidi="en-US"/>
        </w:rPr>
        <w:t>Jews -- Identity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DS113/2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305/80095694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10170067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91685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از تلمود تا تل آویو</w:t>
      </w:r>
    </w:p>
    <w:p>
      <w:pPr>
        <w:pStyle w:val="BookText"/>
        <w:rPr/>
      </w:pPr>
      <w:r>
        <w:rPr>
          <w:rFonts w:ascii="IRNazanin" w:hAnsi="IRNazanin" w:eastAsia="IRNazanin"/>
          <w:color w:val="111111"/>
          <w:sz w:val="28"/>
          <w:sz w:val="28"/>
          <w:szCs w:val="28"/>
          <w:rtl w:val="true"/>
          <w:lang w:bidi="fa-IR"/>
        </w:rPr>
        <w:t>علی سلیمانی دارانی</w:t>
      </w:r>
    </w:p>
    <w:p>
      <w:pPr>
        <w:pStyle w:val="BookText"/>
        <w:rPr/>
      </w:pPr>
      <w:r>
        <w:rPr>
          <w:rFonts w:ascii="Times New Roman" w:hAnsi="Times New Roman" w:eastAsia="Times New Roman" w:cs="Times New Roman"/>
          <w:color w:val="111111"/>
          <w:sz w:val="28"/>
          <w:sz w:val="28"/>
          <w:szCs w:val="28"/>
          <w:rtl w:val="true"/>
          <w:lang w:val="en-US" w:bidi="en-US"/>
        </w:rPr>
        <w:t>מוקדש לכל המוסלמים הפלסטינים</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אלו אשרבהתנגדותם הראו את האסלאם האמיתי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Dedicated to all Palestinian Muslims, who through their resistance have shown the true Islam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همه مسلمانان فلسطینی که با مقاومتشان، اسلام واقعی را نشان دادند</w:t>
      </w:r>
      <w:r>
        <w:rPr>
          <w:rFonts w:eastAsia="IRNazanin" w:cs="IRNazanin"/>
          <w:color w:val="111111"/>
          <w:sz w:val="28"/>
          <w:szCs w:val="28"/>
          <w:rtl w:val="true"/>
          <w:lang w:bidi="fa-IR"/>
        </w:rPr>
        <w:t xml:space="preserve">. </w:t>
      </w:r>
      <w:bookmarkStart w:id="7" w:name="pg19224_246356"/>
    </w:p>
    <w:p>
      <w:pPr>
        <w:pStyle w:val="Heading2"/>
        <w:numPr>
          <w:ilvl w:val="1"/>
          <w:numId w:val="1"/>
        </w:numPr>
        <w:rPr/>
      </w:pPr>
      <w:bookmarkStart w:id="8" w:name="__RefHeading___Toc13791687_1280447820"/>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به پیشگاه با عظمت علم دوستان و محققان ،</w:t>
      </w:r>
    </w:p>
    <w:p>
      <w:pPr>
        <w:pStyle w:val="BookText"/>
        <w:rPr/>
      </w:pPr>
      <w:r>
        <w:rPr>
          <w:rFonts w:ascii="IRNazanin" w:hAnsi="IRNazanin" w:eastAsia="IRNazanin"/>
          <w:color w:val="111111"/>
          <w:sz w:val="28"/>
          <w:sz w:val="28"/>
          <w:szCs w:val="28"/>
          <w:rtl w:val="true"/>
          <w:lang w:bidi="fa-IR"/>
        </w:rPr>
        <w:t>به استادانی که الفبای اندیشه را به من آموختند،</w:t>
      </w:r>
    </w:p>
    <w:p>
      <w:pPr>
        <w:pStyle w:val="BookText"/>
        <w:rPr/>
      </w:pPr>
      <w:r>
        <w:rPr>
          <w:rFonts w:ascii="IRNazanin" w:hAnsi="IRNazanin" w:eastAsia="IRNazanin"/>
          <w:color w:val="111111"/>
          <w:sz w:val="28"/>
          <w:sz w:val="28"/>
          <w:szCs w:val="28"/>
          <w:rtl w:val="true"/>
          <w:lang w:bidi="fa-IR"/>
        </w:rPr>
        <w:t xml:space="preserve">و به آن استاد عزیز و دانشمندم جناب حجت الاسلام والمسلمین جمشیدی که مرا از تاریکی نادانی به روشنایی دانایی رهنمون کرد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سطور، بازتاب نور چراغ‌هایی است که شما در راهم افروختید، استاد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10" w:name="pg19224_246358"/>
    </w:p>
    <w:p>
      <w:pPr>
        <w:pStyle w:val="Heading2"/>
        <w:numPr>
          <w:ilvl w:val="1"/>
          <w:numId w:val="1"/>
        </w:numPr>
        <w:rPr/>
      </w:pPr>
      <w:bookmarkStart w:id="11" w:name="__RefHeading___Toc13791689_12804478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هویت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باورها، متون و نمادها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یهودیان درباره تبار خود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تبعید تا بقاء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اعتقادی و اصول دین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مقدس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وایکرا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מִשְׁנָה</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גְּמָרָא</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قرائیم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ارتدوکس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یهودیت حسیدی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محافظه‌کار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معنوی یهودیت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انتظارها برای هیکل سوم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گمشده معبد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سرنوشت و نمادگرایی آن در یهودیت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جمع بندی 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و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تمایزها، تضادها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صهیونیسم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صهیونیسم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صهیونیستی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سیاسی صهیونیسم و پیامدهای آن بر یهودیان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گروگان‌گیری هویت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ابزاری از دین برای اهداف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سیستماتیک علیه یهودیان شرقی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مخالفت‌های تاریخی یهودیان با صهیونیسم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یهودی ضدصهیونیسم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شخصیت‌های برجسته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مقدس و مراکز صهیونی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صهیون و قبرستان روش پینا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جمع بندی 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جادوگری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نظریه عرفانی و عمل جادویی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ارواح در آیین یهود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نگرش به جادو در یهودیت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پنجه‌دار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مَگِن داوید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Magen David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ستاره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طلسم شَدای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Shaddai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نام‌های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برای زنان باردار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حای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مربع جادویی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Kamea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طَلِسْمِ مِزوزا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Mezuzah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حرزهای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שדי</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مِزوزاه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מזוזה</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بِرکَت هاباییت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ברכת הבית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هاشِمِرینی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השמירני</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کَمیَع راشی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קמיע רש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י</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بزرگ در اندیشه یهودیان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شلومو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شیمعون بار یوحای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یهودا لووی بن بزقل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ماهارال پراگ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اسحاق لوریا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آریزال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حییم ویتال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آبراهام ابولعافیا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الیعازر از ورمز</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ییسرائل ابوحاتسیرا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نامرئی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پمبا تا ماریانا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تحلیل و نقد ادعاهای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 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فرهنگ و هویت یهودیت در جهان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خاموش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خاندان‌های بزرگ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و سرمایه‌گذاری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الماس تا نفت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خاندان‌ها در صنعت اسلحه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بر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فرهنگ، رسانه و ذائقه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مهاجر تا امپراتوری سرگرمی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کل‌دهی به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مدیریت شبکه‌های خبری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ذائقه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غذا و جدال بر سر هویت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اهرم‌های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لابی‌گری و اثرگذاری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علم و فناوری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سیلیکون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شکل‌دهی به اقتصاد و فناوری نوین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علمی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برجسته در تاریخ علم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در آینه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سنت و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مدرنیته و سبک زندگی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سکولاریسم تا ازدواج‌های بین ادیانی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 فصل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نتیجه‌گیری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3" w:name="pg19225_246364"/>
    </w:p>
    <w:p>
      <w:pPr>
        <w:pStyle w:val="Heading2"/>
        <w:numPr>
          <w:ilvl w:val="1"/>
          <w:numId w:val="1"/>
        </w:numPr>
        <w:rPr/>
      </w:pPr>
      <w:bookmarkStart w:id="14" w:name="__RefHeading___Toc13791691_1280447820"/>
      <w:bookmarkStart w:id="15" w:name="_Toc5"/>
      <w:bookmarkEnd w:id="13"/>
      <w:bookmarkEnd w:id="14"/>
      <w:r>
        <w:rPr>
          <w:rtl w:val="true"/>
        </w:rPr>
        <w:t>مقدمه</w:t>
      </w:r>
      <w:r>
        <w:rPr>
          <w:rtl w:val="true"/>
        </w:rPr>
        <w:t>:</w:t>
      </w:r>
      <w:bookmarkEnd w:id="15"/>
    </w:p>
    <w:p>
      <w:pPr>
        <w:pStyle w:val="BookText"/>
        <w:rPr/>
      </w:pPr>
      <w:r>
        <w:rPr>
          <w:rFonts w:ascii="IRNazanin" w:hAnsi="IRNazanin" w:eastAsia="IRNazanin"/>
          <w:color w:val="111111"/>
          <w:sz w:val="28"/>
          <w:sz w:val="28"/>
          <w:szCs w:val="28"/>
          <w:rtl w:val="true"/>
          <w:lang w:bidi="fa-IR"/>
        </w:rPr>
        <w:t>در عصری که ابهام‌زدایی از مفاهیم پیچیده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 ضرورتی حیاتی تبدیل شده، این کتاب با رویکردی تحلیلی به بررسی ژرف‌بینانه دو پدیده متمایز ولی اغلب خلط‌شده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به عنوان یک سنت دینی کهن، و صهیونیسم به مثابه ایدئولوژی سیاسی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اتکا به مستندات تاریخی و تحلیل‌های جامعه‌شناختی، مرزهای روشنی بین این دو حوزه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محوری این پژوهش در نگاه تفکیک‌گرایانه آن به دو سطح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یهودیت به مثابه نظام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پیشینه‌ای حدود دو هزار ساله که بر مبانی اخلاقی، عرفانی و شرعی استوار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صهیونیسم به عنوان پروژه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خاستگاهی قرن نوزدهمی که از مفاهیم دینی برای اهداف ملی‌گرایانه بهره‌برداری می‌کند ساختار کتاب حاضر در شش بخش اصلی طراحی شده که هر یک زوایای مختلف این تمایز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واکاوی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تبارشناختی در فصل نخست تا تحلیل شبکه‌های قدرت اقتصادی و فرهنگی در فصل‌های میانی، همگی در جهت اثبات این مدعای محوری است که صهیونیسم نه تنها ادامه‌دهنده سنت </w:t>
      </w:r>
    </w:p>
    <w:p>
      <w:pPr>
        <w:pStyle w:val="BookText"/>
        <w:rPr/>
      </w:pPr>
      <w:r>
        <w:rPr>
          <w:rFonts w:ascii="IRNazanin" w:hAnsi="IRNazanin" w:eastAsia="IRNazanin"/>
          <w:color w:val="111111"/>
          <w:sz w:val="28"/>
          <w:sz w:val="28"/>
          <w:szCs w:val="28"/>
          <w:rtl w:val="true"/>
          <w:lang w:bidi="fa-IR"/>
        </w:rPr>
        <w:t>یهودی نیست، بلکه ناقض اصول بنیادین این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انتقادی این کتاب به صهیونیسم، ریشه در تضادهای ذاتی این ایدئولوژی با تعالیم اصیل توراتی و تلمودی دارد؛ از تحریف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تبدیل یهودیت از یک دین جهان‌شمول به ملی‌گرایی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استناد به آرای علمای یهود ضدصهیونیست نشان می‌دهد که مقاومت در برابر صهیونیسم، در واقع دفاع از یهودیت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این اثر، از دو روش اصلی بهره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محتوای متون مقدس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اسناد تاریخی و گزارش‌های آرشیوی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خواننده فارسی‌زبان این امکان را می‌دهد که بدون افتادن در دام ، به درکی متعادل و مستند از این موضوع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تمایزات نه تنها برای محققان حوزه ادیان، بلکه برای هر شهروند جهانی که پیامدهای سیاسی این ایدئولوژی را در خاورمیانه شاهد بوده،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سلیمانی دارانی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bookmarkStart w:id="16" w:name="pg19225_246366"/>
    </w:p>
    <w:p>
      <w:pPr>
        <w:pStyle w:val="Heading2"/>
        <w:numPr>
          <w:ilvl w:val="1"/>
          <w:numId w:val="1"/>
        </w:numPr>
        <w:rPr/>
      </w:pPr>
      <w:bookmarkStart w:id="17" w:name="__RefHeading___Toc13791693_1280447820"/>
      <w:bookmarkStart w:id="18" w:name="_Toc6"/>
      <w:bookmarkEnd w:id="16"/>
      <w:bookmarkEnd w:id="17"/>
      <w:r>
        <w:rPr/>
        <w:t>1</w:t>
      </w:r>
      <w:r>
        <w:rPr>
          <w:rtl w:val="true"/>
        </w:rPr>
        <w:t xml:space="preserve">- </w:t>
      </w:r>
      <w:r>
        <w:rPr>
          <w:rtl w:val="true"/>
        </w:rPr>
        <w:t>فصل اول</w:t>
      </w:r>
      <w:r>
        <w:rPr>
          <w:rtl w:val="true"/>
        </w:rPr>
        <w:t xml:space="preserve">: </w:t>
      </w:r>
      <w:r>
        <w:rPr>
          <w:rtl w:val="true"/>
        </w:rPr>
        <w:t>مبانی هویت یهودی</w:t>
      </w:r>
      <w:r>
        <w:rPr>
          <w:rtl w:val="true"/>
        </w:rPr>
        <w:t xml:space="preserve">: </w:t>
      </w:r>
      <w:r>
        <w:rPr>
          <w:rtl w:val="true"/>
        </w:rPr>
        <w:t>تبار، باورها، متون و نمادها</w:t>
      </w:r>
      <w:r>
        <w:rPr>
          <w:rtl w:val="true"/>
        </w:rPr>
        <w:t>:</w:t>
      </w:r>
      <w:bookmarkEnd w:id="18"/>
    </w:p>
    <w:p>
      <w:pPr>
        <w:pStyle w:val="Heading3"/>
        <w:numPr>
          <w:ilvl w:val="2"/>
          <w:numId w:val="1"/>
        </w:numPr>
        <w:rPr/>
      </w:pPr>
      <w:bookmarkStart w:id="19" w:name="__RefHeading___Toc13791695_1280447820"/>
      <w:bookmarkStart w:id="20" w:name="_Toc7"/>
      <w:bookmarkEnd w:id="19"/>
      <w:r>
        <w:rPr/>
        <w:t>1-1</w:t>
      </w:r>
      <w:r>
        <w:rPr>
          <w:rtl w:val="true"/>
        </w:rPr>
        <w:t xml:space="preserve">- </w:t>
      </w:r>
      <w:r>
        <w:rPr>
          <w:rtl w:val="true"/>
        </w:rPr>
        <w:t>بخش اول</w:t>
      </w:r>
      <w:r>
        <w:rPr>
          <w:rtl w:val="true"/>
        </w:rPr>
        <w:t xml:space="preserve">: </w:t>
      </w:r>
      <w:r>
        <w:rPr>
          <w:rtl w:val="true"/>
        </w:rPr>
        <w:t>تبارشناسی</w:t>
      </w:r>
      <w:r>
        <w:rPr>
          <w:rtl w:val="true"/>
        </w:rPr>
        <w:t>:</w:t>
      </w:r>
      <w:bookmarkEnd w:id="20"/>
    </w:p>
    <w:p>
      <w:pPr>
        <w:pStyle w:val="Heading4"/>
        <w:numPr>
          <w:ilvl w:val="3"/>
          <w:numId w:val="1"/>
        </w:numPr>
        <w:rPr/>
      </w:pPr>
      <w:bookmarkStart w:id="21" w:name="__RefHeading___Toc13791697_12804478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در میان تمدن‌های باستانی که روزگاری شکوه داشتند و امروز تنها نامی از آنها باقی مانده، قوم یهود به عنوان پدیده‌ای منحصر به فرد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کهن، با وجود پراکندگی جغرافیایی و فشارهای تاریخی بی‌شمار، نه تنها هویت خود را حفظ کرده، بلکه به یکی از تأثیرگذارترین اقوام جهان تبدیل شده است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3791699_1280447820"/>
      <w:bookmarkStart w:id="24" w:name="_Toc9"/>
      <w:bookmarkEnd w:id="23"/>
      <w:r>
        <w:rPr/>
        <w:t>1-1-1</w:t>
      </w:r>
      <w:r>
        <w:rPr>
          <w:rtl w:val="true"/>
        </w:rPr>
        <w:t xml:space="preserve">- </w:t>
      </w:r>
      <w:r>
        <w:rPr>
          <w:rtl w:val="true"/>
        </w:rPr>
        <w:t>ادعای یهودیان درباره تبار خود</w:t>
      </w:r>
      <w:r>
        <w:rPr>
          <w:rtl w:val="true"/>
        </w:rPr>
        <w:t>:</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 یهودیان در هاله‌ای از اسطوره و تاریخ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اساس روایات توراتی، تبار خود را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می‌رسانند که در حدود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 شهر اور کلده می‌زیست</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که بنیان هویت یهودی را </w:t>
      </w:r>
      <w:bookmarkStart w:id="25" w:name="pg19225_246367"/>
    </w:p>
    <w:p>
      <w:pPr>
        <w:pStyle w:val="BookText"/>
        <w:rPr/>
      </w:pPr>
      <w:bookmarkEnd w:id="25"/>
      <w:r>
        <w:rPr>
          <w:rFonts w:ascii="IRNazanin" w:hAnsi="IRNazanin" w:eastAsia="IRNazanin"/>
          <w:color w:val="111111"/>
          <w:sz w:val="28"/>
          <w:sz w:val="28"/>
          <w:szCs w:val="28"/>
          <w:rtl w:val="true"/>
          <w:lang w:bidi="fa-IR"/>
        </w:rPr>
        <w:t>شکل می‌دهد، در متون تاریخی نیز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جانسون به تفصیل به این موضوع پرداخته و در فصل اول به روایت توراتی تبار یهودیان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خود را از نسل ابراهیم عبرانی می‌دانند که از اور کلده به کنعان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اگرچه جنبه اسطوره‌ای دارد، اما با کشفیات باستان‌شناسی در بین‌النهرین تا حدی تأیید شده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13791701_1280447820"/>
      <w:bookmarkStart w:id="27" w:name="_Toc10"/>
      <w:bookmarkEnd w:id="26"/>
      <w:r>
        <w:rPr/>
        <w:t>2-1-1</w:t>
      </w:r>
      <w:r>
        <w:rPr>
          <w:rtl w:val="true"/>
        </w:rPr>
        <w:t xml:space="preserve">- </w:t>
      </w:r>
      <w:r>
        <w:rPr>
          <w:rtl w:val="true"/>
        </w:rPr>
        <w:t xml:space="preserve">پراکندگی یهودیان </w:t>
      </w:r>
      <w:r>
        <w:rPr>
          <w:rtl w:val="true"/>
        </w:rPr>
        <w:t>(</w:t>
      </w:r>
      <w:r>
        <w:rPr>
          <w:rtl w:val="true"/>
        </w:rPr>
        <w:t>از تبعید تا بقاء</w:t>
      </w:r>
      <w:r>
        <w:rPr>
          <w:rtl w:val="true"/>
        </w:rPr>
        <w:t>):</w:t>
      </w:r>
      <w:bookmarkEnd w:id="27"/>
    </w:p>
    <w:p>
      <w:pPr>
        <w:pStyle w:val="BookText"/>
        <w:rPr/>
      </w:pPr>
      <w:r>
        <w:rPr>
          <w:rFonts w:ascii="IRNazanin" w:hAnsi="IRNazanin" w:eastAsia="IRNazanin"/>
          <w:color w:val="111111"/>
          <w:sz w:val="28"/>
          <w:sz w:val="28"/>
          <w:szCs w:val="28"/>
          <w:rtl w:val="true"/>
          <w:lang w:bidi="fa-IR"/>
        </w:rPr>
        <w:t>تاریخ قوم یهود با مجموعه‌ای از تبعیدها و پراکندگی‌ها گره خورده است که نقش مهمی در شکل‌گیری هویت دیاسپورای آن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تبعید بابلی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که نخستین پراکندگی بزرگ یهودیان محسوب می‌شود، پس از تخریب معبد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بخت‌النصر، پادشاه بابل، رخ داد و جامعه یهود را به شدت تحت تأثیر قرار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پراکندگی رومی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ویرانی معبد دوم به دست تیتوس، فرمانده رومی، موج جدید و گسترده‌تری از مهاجرت یهودیان به سراسر امپراتوری روم، از جمله اروپا، شمال آفریقا و دیگر نقاط خاورمیانه آغاز شد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قرون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سده‌های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جوامع یهودی در سرزمین‌های اسلامی و مسیحی با شرایط متفاوتی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وقایع این دوران، اخراج یهودیان از اسپانیا در 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منجر به مهاجرت گسترده آنان به قلمرو امپراتوری عثمانی، شمال آفریقا و ایران شد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با تحولات فکری و سیاسی جدیدی همراه بود که به شکل‌گیری جنبش‌های ملی‌گرایانه و صهیونیستی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مهاجرت گسترده یهودیان از اروپا به ایالات متحده آمریکا، چهره جمعیتی این قوم را دگرگون ساخت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8" w:name="pg19225_246369"/>
    </w:p>
    <w:p>
      <w:pPr>
        <w:pStyle w:val="Heading3"/>
        <w:numPr>
          <w:ilvl w:val="2"/>
          <w:numId w:val="1"/>
        </w:numPr>
        <w:rPr/>
      </w:pPr>
      <w:bookmarkStart w:id="29" w:name="__RefHeading___Toc13791703_1280447820"/>
      <w:bookmarkStart w:id="30" w:name="_Toc11"/>
      <w:bookmarkEnd w:id="28"/>
      <w:bookmarkEnd w:id="29"/>
      <w:r>
        <w:rPr/>
        <w:t>2-1</w:t>
      </w:r>
      <w:r>
        <w:rPr>
          <w:rtl w:val="true"/>
        </w:rPr>
        <w:t xml:space="preserve">- </w:t>
      </w:r>
      <w:r>
        <w:rPr>
          <w:rtl w:val="true"/>
        </w:rPr>
        <w:t>بخش دوم</w:t>
      </w:r>
      <w:r>
        <w:rPr>
          <w:rtl w:val="true"/>
        </w:rPr>
        <w:t xml:space="preserve">: </w:t>
      </w:r>
      <w:r>
        <w:rPr>
          <w:rtl w:val="true"/>
        </w:rPr>
        <w:t>ساختار اعتقادی و اصول دین</w:t>
      </w:r>
      <w:r>
        <w:rPr>
          <w:rtl w:val="true"/>
        </w:rPr>
        <w:t>:</w:t>
      </w:r>
      <w:bookmarkEnd w:id="30"/>
    </w:p>
    <w:p>
      <w:pPr>
        <w:pStyle w:val="BookText"/>
        <w:rPr/>
      </w:pPr>
      <w:r>
        <w:rPr>
          <w:rFonts w:ascii="IRNazanin" w:hAnsi="IRNazanin" w:eastAsia="IRNazanin"/>
          <w:color w:val="111111"/>
          <w:sz w:val="28"/>
          <w:sz w:val="28"/>
          <w:szCs w:val="28"/>
          <w:rtl w:val="true"/>
          <w:lang w:bidi="fa-IR"/>
        </w:rPr>
        <w:t>باورهای بنیادین یهودیت بر سه پایه اصلی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خدای یگانه، خالق جهان که با قوم اسرائیل پیمانی ابدی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پنج کتاب منسوب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کلام الهی و شریعت مکتوبی که راهنمای کامل زندگی فردی و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قوم یهود از سوی خداوند برای دریافت و اجرای رسالتی خاص در جهان انتخاب شده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سه اصل، تأکید بر عمل به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میتزوت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برای ظهور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محوری مطالعه و تفسیر متون مقدس و انعطاف‌پذیری در تطبیق با شرایط زمانه، از دیگر ویژگی‌های برجسته این دین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1" w:name="pg19225_246370"/>
    </w:p>
    <w:p>
      <w:pPr>
        <w:pStyle w:val="BookText"/>
        <w:rPr/>
      </w:pPr>
      <w:bookmarkEnd w:id="31"/>
      <w:r>
        <w:rPr>
          <w:rFonts w:ascii="IRNazanin" w:hAnsi="IRNazanin" w:eastAsia="IRNazanin"/>
          <w:color w:val="111111"/>
          <w:sz w:val="28"/>
          <w:sz w:val="28"/>
          <w:szCs w:val="28"/>
          <w:rtl w:val="true"/>
          <w:lang w:bidi="fa-IR"/>
        </w:rPr>
        <w:t>موسی بن میمون، اندیشمند بزرگ یهودی، اصول سیزده‌گانه‌ای را برای ایمان یهودی تدوین کرد که امروزه نیز مورد پذیرش بسیاری از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بنیادین شامل مواردی چون یکتاپرستی مطلق، نبوت موسی به عنوان سرآمد پیامبران، تغییرناپذیری تورات، اعتقاد به معاد جسمانی و روحانی، و برپایی عدالت الهی در روز داوری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3791705_1280447820"/>
      <w:bookmarkStart w:id="33" w:name="_Toc12"/>
      <w:bookmarkEnd w:id="32"/>
      <w:r>
        <w:rPr/>
        <w:t>3-1</w:t>
      </w:r>
      <w:r>
        <w:rPr>
          <w:rtl w:val="true"/>
        </w:rPr>
        <w:t xml:space="preserve">- </w:t>
      </w:r>
      <w:r>
        <w:rPr>
          <w:rtl w:val="true"/>
        </w:rPr>
        <w:t>بخش سوم</w:t>
      </w:r>
      <w:r>
        <w:rPr>
          <w:rtl w:val="true"/>
        </w:rPr>
        <w:t xml:space="preserve">: </w:t>
      </w:r>
      <w:r>
        <w:rPr>
          <w:rtl w:val="true"/>
        </w:rPr>
        <w:t>کتب مقدس</w:t>
      </w:r>
      <w:r>
        <w:rPr>
          <w:rtl w:val="true"/>
        </w:rPr>
        <w:t>:</w:t>
      </w:r>
      <w:bookmarkEnd w:id="33"/>
    </w:p>
    <w:p>
      <w:pPr>
        <w:pStyle w:val="Heading4"/>
        <w:numPr>
          <w:ilvl w:val="3"/>
          <w:numId w:val="1"/>
        </w:numPr>
        <w:rPr/>
      </w:pPr>
      <w:bookmarkStart w:id="34" w:name="__RefHeading___Toc13791707_1280447820"/>
      <w:bookmarkStart w:id="35" w:name="_Toc13"/>
      <w:bookmarkEnd w:id="34"/>
      <w:r>
        <w:rPr/>
        <w:t>1-3-1</w:t>
      </w:r>
      <w:r>
        <w:rPr>
          <w:rtl w:val="true"/>
        </w:rPr>
        <w:t xml:space="preserve">- </w:t>
      </w:r>
      <w:r>
        <w:rPr>
          <w:rtl w:val="true"/>
        </w:rPr>
        <w:t>تورات</w:t>
      </w:r>
      <w:r>
        <w:rPr>
          <w:rtl w:val="true"/>
        </w:rPr>
        <w:t>:</w:t>
      </w:r>
      <w:bookmarkEnd w:id="35"/>
    </w:p>
    <w:p>
      <w:pPr>
        <w:pStyle w:val="Heading5"/>
        <w:numPr>
          <w:ilvl w:val="4"/>
          <w:numId w:val="1"/>
        </w:numPr>
        <w:rPr/>
      </w:pPr>
      <w:bookmarkStart w:id="36" w:name="__RefHeading___Toc13791709_1280447820"/>
      <w:bookmarkStart w:id="37" w:name="_Toc14"/>
      <w:bookmarkEnd w:id="36"/>
      <w:r>
        <w:rPr>
          <w:rtl w:val="true"/>
        </w:rPr>
        <w:t>اشاره</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به پنج کتاب اول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اساس دین یهود را تشکیل می‌دهند و هر یک به زبان عبری نام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اصلی تورات عبری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الفبای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و طبق سنت، هر هفته یک بخش در کنیسه‌ها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فقط بخشی از تنخ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bookmarkStart w:id="38" w:name="pg19225_246371"/>
    </w:p>
    <w:p>
      <w:pPr>
        <w:pStyle w:val="BookText"/>
        <w:rPr/>
      </w:pPr>
      <w:bookmarkEnd w:id="38"/>
      <w:r>
        <w:rPr>
          <w:rFonts w:ascii="IRNazanin" w:hAnsi="IRNazanin" w:eastAsia="IRNazanin"/>
          <w:color w:val="111111"/>
          <w:sz w:val="28"/>
          <w:sz w:val="28"/>
          <w:szCs w:val="28"/>
          <w:rtl w:val="true"/>
          <w:lang w:bidi="fa-IR"/>
        </w:rPr>
        <w:t xml:space="preserve">است که شامل نوییم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کتوویم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معرفی دقیق هر کتاب همراه با محتوای کلیدی آن می‌آید</w:t>
      </w:r>
      <w:r>
        <w:rPr>
          <w:rFonts w:eastAsia="IRNazanin" w:cs="IRNazanin"/>
          <w:color w:val="111111"/>
          <w:sz w:val="28"/>
          <w:szCs w:val="28"/>
          <w:rtl w:val="true"/>
          <w:lang w:bidi="fa-IR"/>
        </w:rPr>
        <w:t>.</w:t>
      </w:r>
    </w:p>
    <w:p>
      <w:pPr>
        <w:pStyle w:val="Heading5"/>
        <w:numPr>
          <w:ilvl w:val="4"/>
          <w:numId w:val="1"/>
        </w:numPr>
        <w:rPr/>
      </w:pPr>
      <w:bookmarkStart w:id="39" w:name="__RefHeading___Toc13791711_1280447820"/>
      <w:bookmarkStart w:id="40" w:name="_Toc15"/>
      <w:bookmarkEnd w:id="39"/>
      <w:r>
        <w:rPr/>
        <w:t>1-3-1</w:t>
      </w:r>
      <w:r>
        <w:rPr>
          <w:rtl w:val="true"/>
        </w:rPr>
        <w:t xml:space="preserve">- </w:t>
      </w:r>
      <w:r>
        <w:rPr/>
        <w:t>1</w:t>
      </w:r>
      <w:r>
        <w:rPr>
          <w:rtl w:val="true"/>
        </w:rPr>
        <w:t xml:space="preserve">- </w:t>
      </w:r>
      <w:r>
        <w:rPr>
          <w:rtl w:val="true"/>
        </w:rPr>
        <w:t>ِرِشیت</w:t>
      </w:r>
      <w:r>
        <w:rPr>
          <w:rtl w:val="true"/>
        </w:rPr>
        <w:t>:</w:t>
      </w:r>
      <w:bookmarkEnd w:id="40"/>
    </w:p>
    <w:p>
      <w:pPr>
        <w:pStyle w:val="BookText"/>
        <w:rPr/>
      </w:pPr>
      <w:r>
        <w:rPr>
          <w:rFonts w:ascii="Amiri" w:hAnsi="Amiri" w:eastAsia="Amiri" w:cs="Amiri"/>
          <w:color w:val="111111"/>
          <w:sz w:val="28"/>
          <w:sz w:val="28"/>
          <w:szCs w:val="28"/>
          <w:rtl w:val="true"/>
          <w:lang w:bidi="ar-SA"/>
        </w:rPr>
        <w:t>رِشیت</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محتوای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جهان، داستان آدم و حوا، نوح و طوفان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ابراهیم، اسحاق، یعقوب و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خدا با ابراهیم و شکل‌گیری قوم بنی‌اسرائیل</w:t>
      </w:r>
      <w:r>
        <w:rPr>
          <w:rFonts w:eastAsia="IRNazanin" w:cs="IRNazanin"/>
          <w:color w:val="111111"/>
          <w:sz w:val="28"/>
          <w:szCs w:val="28"/>
          <w:rtl w:val="true"/>
          <w:lang w:bidi="fa-IR"/>
        </w:rPr>
        <w:t>.</w:t>
      </w:r>
    </w:p>
    <w:p>
      <w:pPr>
        <w:pStyle w:val="Heading5"/>
        <w:numPr>
          <w:ilvl w:val="4"/>
          <w:numId w:val="1"/>
        </w:numPr>
        <w:rPr/>
      </w:pPr>
      <w:bookmarkStart w:id="41" w:name="__RefHeading___Toc13791713_1280447820"/>
      <w:bookmarkStart w:id="42" w:name="_Toc16"/>
      <w:bookmarkEnd w:id="41"/>
      <w:r>
        <w:rPr/>
        <w:t>1-3-1</w:t>
      </w:r>
      <w:r>
        <w:rPr>
          <w:rtl w:val="true"/>
        </w:rPr>
        <w:t xml:space="preserve">- </w:t>
      </w:r>
      <w:r>
        <w:rPr/>
        <w:t>2</w:t>
      </w:r>
      <w:r>
        <w:rPr>
          <w:rtl w:val="true"/>
        </w:rPr>
        <w:t xml:space="preserve">- </w:t>
      </w:r>
      <w:r>
        <w:rPr>
          <w:rtl w:val="true"/>
        </w:rPr>
        <w:t>شِموت</w:t>
      </w:r>
      <w:bookmarkEnd w:id="42"/>
    </w:p>
    <w:p>
      <w:pPr>
        <w:pStyle w:val="BookText"/>
        <w:rPr/>
      </w:pPr>
      <w:r>
        <w:rPr>
          <w:rFonts w:ascii="Amiri" w:hAnsi="Amiri" w:eastAsia="Amiri" w:cs="Amiri"/>
          <w:color w:val="111111"/>
          <w:sz w:val="28"/>
          <w:sz w:val="28"/>
          <w:szCs w:val="28"/>
          <w:rtl w:val="true"/>
          <w:lang w:bidi="ar-SA"/>
        </w:rPr>
        <w:t>شِموت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بنی‌اسرائیل از مصر به رهبری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ده فرمان در کوه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میشکان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عبادت در بیابان</w:t>
      </w:r>
      <w:r>
        <w:rPr>
          <w:rFonts w:eastAsia="IRNazanin" w:cs="IRNazanin"/>
          <w:color w:val="111111"/>
          <w:sz w:val="28"/>
          <w:szCs w:val="28"/>
          <w:rtl w:val="true"/>
          <w:lang w:bidi="fa-IR"/>
        </w:rPr>
        <w:t xml:space="preserve">). </w:t>
      </w:r>
      <w:bookmarkStart w:id="43" w:name="pg19225_246372"/>
    </w:p>
    <w:p>
      <w:pPr>
        <w:pStyle w:val="Heading5"/>
        <w:numPr>
          <w:ilvl w:val="4"/>
          <w:numId w:val="1"/>
        </w:numPr>
        <w:rPr/>
      </w:pPr>
      <w:bookmarkStart w:id="44" w:name="__RefHeading___Toc13791715_1280447820"/>
      <w:bookmarkStart w:id="45" w:name="_Toc17"/>
      <w:bookmarkEnd w:id="43"/>
      <w:bookmarkEnd w:id="44"/>
      <w:r>
        <w:rPr/>
        <w:t>1-3-1</w:t>
      </w:r>
      <w:r>
        <w:rPr>
          <w:rtl w:val="true"/>
        </w:rPr>
        <w:t xml:space="preserve">- </w:t>
      </w:r>
      <w:r>
        <w:rPr/>
        <w:t>3</w:t>
      </w:r>
      <w:r>
        <w:rPr>
          <w:rtl w:val="true"/>
        </w:rPr>
        <w:t xml:space="preserve">- </w:t>
      </w:r>
      <w:r>
        <w:rPr>
          <w:rtl w:val="true"/>
        </w:rPr>
        <w:t>وایکرا</w:t>
      </w:r>
      <w:r>
        <w:rPr>
          <w:rtl w:val="true"/>
        </w:rPr>
        <w:t>:</w:t>
      </w:r>
      <w:bookmarkEnd w:id="45"/>
    </w:p>
    <w:p>
      <w:pPr>
        <w:pStyle w:val="BookText"/>
        <w:rPr/>
      </w:pPr>
      <w:r>
        <w:rPr>
          <w:rFonts w:ascii="IRNazanin" w:hAnsi="IRNazanin" w:eastAsia="IRNazanin"/>
          <w:color w:val="111111"/>
          <w:sz w:val="28"/>
          <w:sz w:val="28"/>
          <w:szCs w:val="28"/>
          <w:rtl w:val="true"/>
          <w:lang w:bidi="fa-IR"/>
        </w:rPr>
        <w:t>وایکرا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محتوای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قربانی‌ها و آیین‌های کهانت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قبیله لاوی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پاکی و ناپاکی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غذاهای حلال و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همسایه‌ات را همچون خودت دوست بدار</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13791717_1280447820"/>
      <w:bookmarkStart w:id="47" w:name="_Toc18"/>
      <w:bookmarkEnd w:id="46"/>
      <w:r>
        <w:rPr/>
        <w:t>1-3-1</w:t>
      </w:r>
      <w:r>
        <w:rPr>
          <w:rtl w:val="true"/>
        </w:rPr>
        <w:t xml:space="preserve">- </w:t>
      </w:r>
      <w:r>
        <w:rPr/>
        <w:t>4</w:t>
      </w:r>
      <w:r>
        <w:rPr>
          <w:rtl w:val="true"/>
        </w:rPr>
        <w:t xml:space="preserve">- </w:t>
      </w:r>
      <w:r>
        <w:rPr>
          <w:rtl w:val="true"/>
        </w:rPr>
        <w:t>ِمیدبار</w:t>
      </w:r>
      <w:r>
        <w:rPr>
          <w:rtl w:val="true"/>
        </w:rPr>
        <w:t>:</w:t>
      </w:r>
      <w:bookmarkEnd w:id="47"/>
    </w:p>
    <w:p>
      <w:pPr>
        <w:pStyle w:val="BookText"/>
        <w:rPr/>
      </w:pPr>
      <w:r>
        <w:rPr>
          <w:rFonts w:ascii="IRNazanin" w:hAnsi="IRNazanin" w:eastAsia="IRNazanin"/>
          <w:color w:val="111111"/>
          <w:sz w:val="28"/>
          <w:sz w:val="28"/>
          <w:szCs w:val="28"/>
          <w:rtl w:val="true"/>
          <w:lang w:bidi="fa-IR"/>
        </w:rPr>
        <w:t>میدبار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محتوای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سرشماری قبایل بنی‌اسرائیل در بیابان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ماجراهای چهل سال سرگردانی در صحرا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شورش‌های قوم علیه موسی و مجازات‌های الهی</w:t>
      </w:r>
      <w:r>
        <w:rPr>
          <w:rFonts w:eastAsia="IRNazanin" w:cs="IRNazanin"/>
          <w:color w:val="111111"/>
          <w:sz w:val="28"/>
          <w:szCs w:val="28"/>
          <w:rtl w:val="true"/>
          <w:lang w:bidi="fa-IR"/>
        </w:rPr>
        <w:t xml:space="preserve">. </w:t>
      </w:r>
      <w:bookmarkStart w:id="48" w:name="pg19225_246373"/>
    </w:p>
    <w:p>
      <w:pPr>
        <w:pStyle w:val="Heading5"/>
        <w:numPr>
          <w:ilvl w:val="4"/>
          <w:numId w:val="1"/>
        </w:numPr>
        <w:rPr/>
      </w:pPr>
      <w:bookmarkStart w:id="49" w:name="__RefHeading___Toc13791719_1280447820"/>
      <w:bookmarkStart w:id="50" w:name="_Toc19"/>
      <w:bookmarkEnd w:id="48"/>
      <w:bookmarkEnd w:id="49"/>
      <w:r>
        <w:rPr/>
        <w:t>1-3-1</w:t>
      </w:r>
      <w:r>
        <w:rPr>
          <w:rtl w:val="true"/>
        </w:rPr>
        <w:t xml:space="preserve">- </w:t>
      </w:r>
      <w:r>
        <w:rPr/>
        <w:t>5</w:t>
      </w:r>
      <w:r>
        <w:rPr>
          <w:rtl w:val="true"/>
        </w:rPr>
        <w:t xml:space="preserve">- </w:t>
      </w:r>
      <w:r>
        <w:rPr>
          <w:rtl w:val="true"/>
        </w:rPr>
        <w:t>دِواریم</w:t>
      </w:r>
      <w:r>
        <w:rPr>
          <w:rtl w:val="true"/>
        </w:rPr>
        <w:t>:</w:t>
      </w:r>
      <w:bookmarkEnd w:id="50"/>
    </w:p>
    <w:p>
      <w:pPr>
        <w:pStyle w:val="BookText"/>
        <w:rPr/>
      </w:pPr>
      <w:r>
        <w:rPr>
          <w:rFonts w:ascii="Amiri" w:hAnsi="Amiri" w:eastAsia="Amiri" w:cs="Amiri"/>
          <w:color w:val="111111"/>
          <w:sz w:val="28"/>
          <w:sz w:val="28"/>
          <w:szCs w:val="28"/>
          <w:rtl w:val="true"/>
          <w:lang w:bidi="ar-SA"/>
        </w:rPr>
        <w:t>دِواریم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محتوای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موعظه‌های پایانی موسی قبل از ورود به سرزمین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ده فرمان و قوانین شریعت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پیشگویی‌هایی درباره آینده بنی‌اسرائیل</w:t>
      </w:r>
      <w:r>
        <w:rPr>
          <w:rFonts w:eastAsia="IRNazanin" w:cs="IRNazanin"/>
          <w:color w:val="111111"/>
          <w:sz w:val="28"/>
          <w:szCs w:val="28"/>
          <w:rtl w:val="true"/>
          <w:lang w:bidi="fa-IR"/>
        </w:rPr>
        <w:t>.</w:t>
      </w:r>
    </w:p>
    <w:p>
      <w:pPr>
        <w:pStyle w:val="Heading4"/>
        <w:numPr>
          <w:ilvl w:val="3"/>
          <w:numId w:val="1"/>
        </w:numPr>
        <w:rPr/>
      </w:pPr>
      <w:bookmarkStart w:id="51" w:name="__RefHeading___Toc13791721_1280447820"/>
      <w:bookmarkStart w:id="52" w:name="_Toc20"/>
      <w:bookmarkEnd w:id="51"/>
      <w:r>
        <w:rPr/>
        <w:t>2-3-1</w:t>
      </w:r>
      <w:r>
        <w:rPr>
          <w:rtl w:val="true"/>
        </w:rPr>
        <w:t xml:space="preserve">- </w:t>
      </w:r>
      <w:r>
        <w:rPr>
          <w:rtl w:val="true"/>
        </w:rPr>
        <w:t>تلمود</w:t>
      </w:r>
      <w:r>
        <w:rPr>
          <w:rtl w:val="true"/>
        </w:rPr>
        <w:t>:</w:t>
      </w:r>
      <w:bookmarkEnd w:id="52"/>
    </w:p>
    <w:p>
      <w:pPr>
        <w:pStyle w:val="Heading5"/>
        <w:numPr>
          <w:ilvl w:val="4"/>
          <w:numId w:val="1"/>
        </w:numPr>
        <w:rPr/>
      </w:pPr>
      <w:bookmarkStart w:id="53" w:name="__RefHeading___Toc13791723_1280447820"/>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تلمود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از مهم‌ترین متون مقدس یهودیت پس از تورات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مجموعه‌ای عظیم و حاصل قرن‌ها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تفاسیر، قوانین، اخلاقیات، داستان‌ها و بحث‌های ربی‌ها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تورات و زندگی عملی یهودیان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کلی</w:t>
      </w:r>
      <w:r>
        <w:rPr>
          <w:rFonts w:eastAsia="IRNazanin" w:cs="IRNazanin"/>
          <w:color w:val="111111"/>
          <w:sz w:val="28"/>
          <w:szCs w:val="28"/>
          <w:rtl w:val="true"/>
          <w:lang w:bidi="fa-IR"/>
        </w:rPr>
        <w:t xml:space="preserve">: </w:t>
      </w:r>
      <w:bookmarkStart w:id="55" w:name="pg19225_246374"/>
    </w:p>
    <w:p>
      <w:pPr>
        <w:pStyle w:val="BookText"/>
        <w:rPr/>
      </w:pPr>
      <w:bookmarkEnd w:id="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قوانین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اخلاقی 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فلسفی، عرفانی و علمی زمان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تلمود از دو بخش اصلی تشکیل شده است</w:t>
      </w:r>
      <w:r>
        <w:rPr>
          <w:rFonts w:eastAsia="IRNazanin" w:cs="IRNazanin"/>
          <w:color w:val="111111"/>
          <w:sz w:val="28"/>
          <w:szCs w:val="28"/>
          <w:rtl w:val="true"/>
          <w:lang w:bidi="fa-IR"/>
        </w:rPr>
        <w:t>:</w:t>
      </w:r>
    </w:p>
    <w:p>
      <w:pPr>
        <w:pStyle w:val="Heading5"/>
        <w:numPr>
          <w:ilvl w:val="4"/>
          <w:numId w:val="1"/>
        </w:numPr>
        <w:rPr/>
      </w:pPr>
      <w:bookmarkStart w:id="56" w:name="__RefHeading___Toc13791725_1280447820"/>
      <w:bookmarkStart w:id="57" w:name="_Toc22"/>
      <w:bookmarkEnd w:id="56"/>
      <w:r>
        <w:rPr/>
        <w:t>2-3-1</w:t>
      </w:r>
      <w:r>
        <w:rPr>
          <w:rtl w:val="true"/>
        </w:rPr>
        <w:t xml:space="preserve">- </w:t>
      </w:r>
      <w:r>
        <w:rPr/>
        <w:t>1</w:t>
      </w:r>
      <w:r>
        <w:rPr>
          <w:rtl w:val="true"/>
        </w:rPr>
        <w:t xml:space="preserve">- </w:t>
      </w:r>
      <w:r>
        <w:rPr>
          <w:rtl w:val="true"/>
        </w:rPr>
        <w:t xml:space="preserve">میشنا </w:t>
      </w:r>
      <w:r>
        <w:rPr>
          <w:rtl w:val="true"/>
        </w:rPr>
        <w:t>(</w:t>
      </w:r>
      <w:r>
        <w:rPr>
          <w:rtl w:val="true"/>
        </w:rPr>
        <w:t>מִשְׁנָה</w:t>
      </w:r>
      <w:r>
        <w:rPr>
          <w:rtl w:val="true"/>
        </w:rPr>
        <w:t>):</w:t>
      </w:r>
      <w:bookmarkEnd w:id="57"/>
    </w:p>
    <w:p>
      <w:pPr>
        <w:pStyle w:val="BookText"/>
        <w:rPr/>
      </w:pPr>
      <w:r>
        <w:rPr>
          <w:rFonts w:ascii="IRNazanin" w:hAnsi="IRNazanin" w:eastAsia="IRNazanin"/>
          <w:color w:val="111111"/>
          <w:sz w:val="28"/>
          <w:sz w:val="28"/>
          <w:szCs w:val="28"/>
          <w:rtl w:val="true"/>
          <w:lang w:bidi="fa-IR"/>
        </w:rPr>
        <w:t>در قرن دوم میلادی توسط ربی یهودا هناسی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خلاصه‌ای از تورات شفاهی است که قبلاً سینه‌به‌سینه نقل می‌شد و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کشاورزی و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شبات و اعیاد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خانواده و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حقوقی و کیفری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معبد و قربانی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پاکی و ناپاکی</w:t>
      </w:r>
      <w:r>
        <w:rPr>
          <w:rFonts w:eastAsia="IRNazanin" w:cs="IRNazanin"/>
          <w:color w:val="111111"/>
          <w:sz w:val="28"/>
          <w:szCs w:val="28"/>
          <w:rtl w:val="true"/>
          <w:lang w:bidi="fa-IR"/>
        </w:rPr>
        <w:t xml:space="preserve">). </w:t>
      </w:r>
      <w:bookmarkStart w:id="58" w:name="pg19225_246375"/>
    </w:p>
    <w:p>
      <w:pPr>
        <w:pStyle w:val="Heading5"/>
        <w:numPr>
          <w:ilvl w:val="4"/>
          <w:numId w:val="1"/>
        </w:numPr>
        <w:rPr/>
      </w:pPr>
      <w:bookmarkStart w:id="59" w:name="__RefHeading___Toc13791727_1280447820"/>
      <w:bookmarkStart w:id="60" w:name="_Toc23"/>
      <w:bookmarkEnd w:id="58"/>
      <w:bookmarkEnd w:id="59"/>
      <w:r>
        <w:rPr/>
        <w:t>2-3-1</w:t>
      </w:r>
      <w:r>
        <w:rPr>
          <w:rtl w:val="true"/>
        </w:rPr>
        <w:t xml:space="preserve">- </w:t>
      </w:r>
      <w:r>
        <w:rPr/>
        <w:t>2</w:t>
      </w:r>
      <w:r>
        <w:rPr>
          <w:rtl w:val="true"/>
        </w:rPr>
        <w:t xml:space="preserve">- </w:t>
      </w:r>
      <w:r>
        <w:rPr>
          <w:rtl w:val="true"/>
        </w:rPr>
        <w:t xml:space="preserve">گمارا </w:t>
      </w:r>
      <w:r>
        <w:rPr>
          <w:rtl w:val="true"/>
        </w:rPr>
        <w:t>(</w:t>
      </w:r>
      <w:r>
        <w:rPr>
          <w:rtl w:val="true"/>
        </w:rPr>
        <w:t>גְּמָרָא</w:t>
      </w:r>
      <w:r>
        <w:rPr>
          <w:rtl w:val="true"/>
        </w:rPr>
        <w:t>):</w:t>
      </w:r>
      <w:bookmarkEnd w:id="60"/>
    </w:p>
    <w:p>
      <w:pPr>
        <w:pStyle w:val="BookText"/>
        <w:rPr/>
      </w:pPr>
      <w:r>
        <w:rPr>
          <w:rFonts w:ascii="IRNazanin" w:hAnsi="IRNazanin" w:eastAsia="IRNazanin"/>
          <w:color w:val="111111"/>
          <w:sz w:val="28"/>
          <w:sz w:val="28"/>
          <w:szCs w:val="28"/>
          <w:rtl w:val="true"/>
          <w:lang w:bidi="fa-IR"/>
        </w:rPr>
        <w:t>تفسیر و بحث روی میشنا توسط ربی‌های یهودی در دو مرکز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تلمود بابلی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کامل‌ترین و معتبرترین نسخه تلمود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تلمود اورشلیمی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کوتاه‌تر است</w:t>
      </w:r>
      <w:r>
        <w:rPr>
          <w:rFonts w:eastAsia="IRNazanin" w:cs="IRNazanin"/>
          <w:color w:val="111111"/>
          <w:sz w:val="28"/>
          <w:szCs w:val="28"/>
          <w:rtl w:val="true"/>
          <w:lang w:bidi="fa-IR"/>
        </w:rPr>
        <w:t>.</w:t>
      </w:r>
    </w:p>
    <w:p>
      <w:pPr>
        <w:pStyle w:val="Heading3"/>
        <w:numPr>
          <w:ilvl w:val="2"/>
          <w:numId w:val="1"/>
        </w:numPr>
        <w:rPr/>
      </w:pPr>
      <w:bookmarkStart w:id="61" w:name="__RefHeading___Toc13791729_1280447820"/>
      <w:bookmarkStart w:id="62" w:name="_Toc24"/>
      <w:bookmarkEnd w:id="61"/>
      <w:r>
        <w:rPr/>
        <w:t>4-1</w:t>
      </w:r>
      <w:r>
        <w:rPr>
          <w:rtl w:val="true"/>
        </w:rPr>
        <w:t xml:space="preserve">- </w:t>
      </w:r>
      <w:r>
        <w:rPr>
          <w:rtl w:val="true"/>
        </w:rPr>
        <w:t>بخش چهارم</w:t>
      </w:r>
      <w:r>
        <w:rPr>
          <w:rtl w:val="true"/>
        </w:rPr>
        <w:t xml:space="preserve">: </w:t>
      </w:r>
      <w:r>
        <w:rPr>
          <w:rtl w:val="true"/>
        </w:rPr>
        <w:t>فرقه‌های یهودی</w:t>
      </w:r>
      <w:bookmarkEnd w:id="62"/>
    </w:p>
    <w:p>
      <w:pPr>
        <w:pStyle w:val="Heading4"/>
        <w:numPr>
          <w:ilvl w:val="3"/>
          <w:numId w:val="1"/>
        </w:numPr>
        <w:rPr/>
      </w:pPr>
      <w:bookmarkStart w:id="63" w:name="__RefHeading___Toc13791731_1280447820"/>
      <w:bookmarkStart w:id="64" w:name="_Toc25"/>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در متون فارسی، فرقه‌های یهودی معمولاً به‌صورت کلی معرفی شده‌اند، اما برخی کتاب‌های معتبر به زبان فارسی به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مهم‌ترین فرقه‌های یهودی با استناد به منابع فارسی و عبری معرفی می‌شوند</w:t>
      </w:r>
      <w:r>
        <w:rPr>
          <w:rFonts w:eastAsia="IRNazanin" w:cs="IRNazanin"/>
          <w:color w:val="111111"/>
          <w:sz w:val="28"/>
          <w:szCs w:val="28"/>
          <w:rtl w:val="true"/>
          <w:lang w:bidi="fa-IR"/>
        </w:rPr>
        <w:t>:</w:t>
      </w:r>
    </w:p>
    <w:p>
      <w:pPr>
        <w:pStyle w:val="Heading4"/>
        <w:numPr>
          <w:ilvl w:val="3"/>
          <w:numId w:val="1"/>
        </w:numPr>
        <w:rPr/>
      </w:pPr>
      <w:bookmarkStart w:id="65" w:name="__RefHeading___Toc13791733_1280447820"/>
      <w:bookmarkStart w:id="66" w:name="_Toc26"/>
      <w:bookmarkEnd w:id="65"/>
      <w:r>
        <w:rPr/>
        <w:t>1-4-1</w:t>
      </w:r>
      <w:r>
        <w:rPr>
          <w:rtl w:val="true"/>
        </w:rPr>
        <w:t xml:space="preserve">- </w:t>
      </w:r>
      <w:r>
        <w:rPr>
          <w:rtl w:val="true"/>
        </w:rPr>
        <w:t>یهودیت قرائیم</w:t>
      </w:r>
      <w:r>
        <w:rPr>
          <w:rtl w:val="true"/>
        </w:rPr>
        <w:t>:</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قرائیم، شاخه‌ای از یهودیت هستند که تنها تورات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منبع دینی معتبر می‌پذیرند و سنت شفاهی شامل تلمود، میشنا و مجموعه تفسیرهای ربانی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که تورات به تنهایی برای هدایت کافی است و </w:t>
      </w:r>
      <w:bookmarkStart w:id="67" w:name="pg19225_246376"/>
    </w:p>
    <w:p>
      <w:pPr>
        <w:pStyle w:val="BookText"/>
        <w:rPr/>
      </w:pPr>
      <w:bookmarkEnd w:id="67"/>
      <w:r>
        <w:rPr>
          <w:rFonts w:ascii="IRNazanin" w:hAnsi="IRNazanin" w:eastAsia="IRNazanin"/>
          <w:color w:val="111111"/>
          <w:sz w:val="28"/>
          <w:sz w:val="28"/>
          <w:szCs w:val="28"/>
          <w:rtl w:val="true"/>
          <w:lang w:bidi="fa-IR"/>
        </w:rPr>
        <w:t>نیازی به تفسیرهای اضافه‌شده توسط خاخام‌ها وجود ندارد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دلیل، قرائیم در بسیاری از احکام عملی مانند قوانین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حرمت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 با یهودیان ربانی اختلاف نظر دارند؛ برای مثال، در مورد حلال و حرام بودن گوشت‌ها، آن‌ها فقط به نص صریح تورات استناد می‌کنند و نه تفسیرهای پیچیده تلمودی</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3791735_1280447820"/>
      <w:bookmarkStart w:id="69" w:name="_Toc27"/>
      <w:bookmarkEnd w:id="68"/>
      <w:r>
        <w:rPr/>
        <w:t>2-4-1</w:t>
      </w:r>
      <w:r>
        <w:rPr>
          <w:rtl w:val="true"/>
        </w:rPr>
        <w:t xml:space="preserve">- </w:t>
      </w:r>
      <w:r>
        <w:rPr>
          <w:rtl w:val="true"/>
        </w:rPr>
        <w:t>یهودیت ارتدوکس</w:t>
      </w:r>
      <w:r>
        <w:rPr>
          <w:rtl w:val="true"/>
        </w:rPr>
        <w:t>:</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یهودیت ارتدوکس به عنوان جریان اصلی و سنتی یهودیت شناخته می‌شود که بر پایبندی کامل به قوانین شریعت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سنت‌های تلمودی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 از یهودیت معتقد است که تورات، شامل هر دو بخش نوشته‌شده و شفاهی، منشأ الهی دارد و برای همیشه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قوانین شرعی، یهودیت ارتدوکس به شدت به رعایت دقیق دستورات هالاخا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قوانین تمام جنبه‌های زندگی از جمله </w:t>
      </w:r>
      <w:bookmarkStart w:id="70" w:name="pg19225_246377"/>
    </w:p>
    <w:p>
      <w:pPr>
        <w:pStyle w:val="BookText"/>
        <w:rPr/>
      </w:pPr>
      <w:bookmarkEnd w:id="70"/>
      <w:r>
        <w:rPr>
          <w:rFonts w:ascii="IRNazanin" w:hAnsi="IRNazanin" w:eastAsia="IRNazanin"/>
          <w:color w:val="111111"/>
          <w:sz w:val="28"/>
          <w:sz w:val="28"/>
          <w:szCs w:val="28"/>
          <w:rtl w:val="true"/>
          <w:lang w:bidi="fa-IR"/>
        </w:rPr>
        <w:t xml:space="preserve">شبات، قوانین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طهارت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سایر فرایض دینی را در بر می‌گیرد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3791737_1280447820"/>
      <w:bookmarkStart w:id="72" w:name="_Toc28"/>
      <w:bookmarkEnd w:id="71"/>
      <w:r>
        <w:rPr/>
        <w:t>3-4-1</w:t>
      </w:r>
      <w:r>
        <w:rPr>
          <w:rtl w:val="true"/>
        </w:rPr>
        <w:t xml:space="preserve">- </w:t>
      </w:r>
      <w:r>
        <w:rPr>
          <w:rtl w:val="true"/>
        </w:rPr>
        <w:t xml:space="preserve">یهودیت حسیدی </w:t>
      </w:r>
      <w:r>
        <w:rPr>
          <w:rtl w:val="true"/>
        </w:rPr>
        <w:t>:</w:t>
      </w:r>
      <w:bookmarkEnd w:id="72"/>
    </w:p>
    <w:p>
      <w:pPr>
        <w:pStyle w:val="BookText"/>
        <w:rPr/>
      </w:pPr>
      <w:r>
        <w:rPr>
          <w:rFonts w:ascii="IRNazanin" w:hAnsi="IRNazanin" w:eastAsia="IRNazanin"/>
          <w:color w:val="111111"/>
          <w:sz w:val="28"/>
          <w:sz w:val="28"/>
          <w:szCs w:val="28"/>
          <w:rtl w:val="true"/>
          <w:lang w:bidi="fa-IR"/>
        </w:rPr>
        <w:t>یهودیت حسیدی، که یک جنبش عرفانی درون یهودیت ارتدوکس است، بر حضور دائمی خدا در همه چیز و تقدیس زندگی روزمره از طریق نیت خالص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منحصربه‌فرد آنان، تبدیل اعمال عادی به عبادت، برگزاری عبادات پراحساس همراه با رقص و آواز، تمرکز بر عواطف بیش از تحصیلات آکادمیک تلمودی، و پوشش متمایز مانند کُت‌های بلند تیره و کلاه‌های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حسیدی خود به زیرشاخه‌های متعددی تقسیم می‌شود که هر یک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تأکیدات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معروف‌ترین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فعالیت‌های تبلیغی و ترویج یهودیت در سراسر جهان شهرت دارد</w:t>
      </w:r>
      <w:bookmarkStart w:id="73" w:name="pg19225_246378"/>
    </w:p>
    <w:p>
      <w:pPr>
        <w:pStyle w:val="BookText"/>
        <w:rPr/>
      </w:pPr>
      <w:bookmarkEnd w:id="7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دیدگاه‌های ضدصهیونیستی خود شناخته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عرفان شادمانه و ارتباط شخصی با خدا تمرکز دارد </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74" w:name="__RefHeading___Toc13791739_1280447820"/>
      <w:bookmarkStart w:id="75" w:name="_Toc29"/>
      <w:bookmarkEnd w:id="74"/>
      <w:r>
        <w:rPr/>
        <w:t>4-4-1</w:t>
      </w:r>
      <w:r>
        <w:rPr>
          <w:rtl w:val="true"/>
        </w:rPr>
        <w:t xml:space="preserve">- </w:t>
      </w:r>
      <w:r>
        <w:rPr>
          <w:rtl w:val="true"/>
        </w:rPr>
        <w:t>یهودیت محافظه‌کار</w:t>
      </w:r>
      <w:r>
        <w:rPr>
          <w:rtl w:val="true"/>
        </w:rPr>
        <w:t>:</w:t>
      </w:r>
      <w:bookmarkEnd w:id="7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یهودیت محافظه‌کار مانند پلی میان دو جهان سنتی و مدرن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که در قرن نوزدهم متولد شد، پاسخ یهودیانی بود که می‌خواستند در عین حفظ اصالت دینی خود، با دنیای در حال تغییر همگام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طوفان مدرنیته، گروهی از خاخام‌ها و روشنفکران یهودی دریافتند که یهودیت نیاز به راه سومی دارد؛ نه سنت‌گرایی سفت و سخت ارتدوکس و نه نوگرایی افراطی اصلاح‌طلبان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مکتبی را بنیان نهادند که هم به هالاخا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شرعی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می‌گذارد و هم ضرورت‌های زندگی مدرن را در نظر می‌گیرد</w:t>
      </w:r>
      <w:r>
        <w:rPr>
          <w:rFonts w:eastAsia="IRNazanin" w:cs="IRNazanin"/>
          <w:color w:val="111111"/>
          <w:sz w:val="28"/>
          <w:szCs w:val="28"/>
          <w:rtl w:val="true"/>
          <w:lang w:bidi="fa-IR"/>
        </w:rPr>
        <w:t xml:space="preserve">. </w:t>
      </w:r>
      <w:bookmarkStart w:id="76" w:name="pg19225_246379"/>
    </w:p>
    <w:p>
      <w:pPr>
        <w:pStyle w:val="BookText"/>
        <w:rPr/>
      </w:pPr>
      <w:bookmarkEnd w:id="76"/>
      <w:r>
        <w:rPr>
          <w:rFonts w:ascii="IRNazanin" w:hAnsi="IRNazanin" w:eastAsia="IRNazanin"/>
          <w:color w:val="111111"/>
          <w:sz w:val="28"/>
          <w:sz w:val="28"/>
          <w:szCs w:val="28"/>
          <w:rtl w:val="true"/>
          <w:lang w:bidi="fa-IR"/>
        </w:rPr>
        <w:t xml:space="preserve">کنیسه‌های محافظه‌کار امروز صحنه‌ای جالب هستند؛ جایی که یک زن خاخام ممکن است با تبلت خود تورات را تفسیر کند، در حالی که نمازگزاران مسن‌تر با تالیت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سنتی خود به دعا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به خوبی ماهیت دوگانه این جنبش را نشان می‌دهد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3791741_1280447820"/>
      <w:bookmarkStart w:id="78" w:name="_Toc30"/>
      <w:bookmarkEnd w:id="77"/>
      <w:r>
        <w:rPr/>
        <w:t>5-1</w:t>
      </w:r>
      <w:r>
        <w:rPr>
          <w:rtl w:val="true"/>
        </w:rPr>
        <w:t xml:space="preserve">- </w:t>
      </w:r>
      <w:r>
        <w:rPr>
          <w:rtl w:val="true"/>
        </w:rPr>
        <w:t>بخش پنجم</w:t>
      </w:r>
      <w:r>
        <w:rPr>
          <w:rtl w:val="true"/>
        </w:rPr>
        <w:t xml:space="preserve">: </w:t>
      </w:r>
      <w:r>
        <w:rPr>
          <w:rtl w:val="true"/>
        </w:rPr>
        <w:t xml:space="preserve">هیکل سلیمان </w:t>
      </w:r>
      <w:r>
        <w:rPr>
          <w:rtl w:val="true"/>
        </w:rPr>
        <w:t>:</w:t>
      </w:r>
      <w:bookmarkEnd w:id="78"/>
    </w:p>
    <w:p>
      <w:pPr>
        <w:pStyle w:val="Heading4"/>
        <w:numPr>
          <w:ilvl w:val="3"/>
          <w:numId w:val="1"/>
        </w:numPr>
        <w:rPr/>
      </w:pPr>
      <w:bookmarkStart w:id="79" w:name="__RefHeading___Toc13791743_1280447820"/>
      <w:bookmarkStart w:id="80" w:name="_Toc31"/>
      <w:bookmarkEnd w:id="79"/>
      <w:r>
        <w:rPr/>
        <w:t>1-5-1</w:t>
      </w:r>
      <w:r>
        <w:rPr>
          <w:rtl w:val="true"/>
        </w:rPr>
        <w:t xml:space="preserve">- </w:t>
      </w:r>
      <w:r>
        <w:rPr>
          <w:rtl w:val="true"/>
        </w:rPr>
        <w:t>هیکل سلیمان</w:t>
      </w:r>
      <w:r>
        <w:rPr>
          <w:rtl w:val="true"/>
        </w:rPr>
        <w:t xml:space="preserve">: </w:t>
      </w:r>
      <w:r>
        <w:rPr>
          <w:rtl w:val="true"/>
        </w:rPr>
        <w:t>مرکز معنوی یهودیت</w:t>
      </w:r>
      <w:r>
        <w:rPr>
          <w:rtl w:val="true"/>
        </w:rPr>
        <w:t>:</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اعتقادات یهودیان، هیکل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בית המקדש הראשון</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حدود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ساخته شد، صرفاً یک بنا نبود، بلکه مرکز عبادت، محور زندگی دینی و نماد حضور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این مکان ریشه در متون مقدس دارد؛ سفر خروج، فرمان الهی برای ساخت یک مکان مقدس را این‌گونه بیان می‌کند تا خداوند در میان قومش ساکن شود</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اول پادشاهان نیز به تفصیل ساخت هیکل توسط سلیمان را شرح داده و لحظه تقدیس آن را با این کلام الهی </w:t>
      </w:r>
      <w:bookmarkStart w:id="81" w:name="pg19225_246380"/>
    </w:p>
    <w:p>
      <w:pPr>
        <w:pStyle w:val="BookText"/>
        <w:rPr/>
      </w:pPr>
      <w:bookmarkEnd w:id="81"/>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تقدیس کرده‌ام تا نام خود را در آن جاودانه سازم</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برپایی هیکل، این مکان به تنها مرکز مجاز برای انجام قربانی‌ها تبدیل شد، امری که تورات بر آن تأکید کرده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3791745_1280447820"/>
      <w:bookmarkStart w:id="83" w:name="_Toc32"/>
      <w:bookmarkEnd w:id="82"/>
      <w:r>
        <w:rPr/>
        <w:t>2-5-1</w:t>
      </w:r>
      <w:r>
        <w:rPr>
          <w:rtl w:val="true"/>
        </w:rPr>
        <w:t xml:space="preserve">- </w:t>
      </w:r>
      <w:r>
        <w:rPr>
          <w:rtl w:val="true"/>
        </w:rPr>
        <w:t>باورها و انتظارها برای هیکل سوم</w:t>
      </w:r>
      <w:r>
        <w:rPr>
          <w:rtl w:val="true"/>
        </w:rPr>
        <w:t>:</w:t>
      </w:r>
      <w:bookmarkEnd w:id="8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عرفان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هیکل سلیمان ابعاد عمیق‌تری می‌یابد و به عنوان نماد اتحاد عالم بالا و پایین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اتصال زمین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رفیع باعث شده است که یهودیان هیکل را مرکز معنوی تاریخ خود بدانند؛ تخریب آن نشانه تبعید و بازسازی آن نماد رستگاری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انتظار برای بازسازی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باوری بنیادین در میان یهودیان ارتدوکس و صهیونیست‌های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این هیکل در عصر ظهور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w:t>
      </w:r>
      <w:bookmarkStart w:id="84" w:name="pg19225_246381"/>
    </w:p>
    <w:p>
      <w:pPr>
        <w:pStyle w:val="BookText"/>
        <w:rPr/>
      </w:pPr>
      <w:bookmarkEnd w:id="84"/>
      <w:r>
        <w:rPr>
          <w:rFonts w:ascii="IRNazanin" w:hAnsi="IRNazanin" w:eastAsia="IRNazanin"/>
          <w:color w:val="111111"/>
          <w:sz w:val="28"/>
          <w:sz w:val="28"/>
          <w:szCs w:val="28"/>
          <w:rtl w:val="true"/>
          <w:lang w:bidi="fa-IR"/>
        </w:rPr>
        <w:t>پیشگویی‌های کتاب حزقیال ساخته خواهد شد</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متون تلمودی حتی آمده است که معبد سوم از آسمان نازل می‌شود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امروزه، گروه‌هایی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اورشلیم، عملاً با بازسازی ابزار و ظروف مقدس، خود را برای برپایی هیکل سوم آماده می‌کنند</w:t>
      </w:r>
      <w:r>
        <w:rPr>
          <w:rFonts w:eastAsia="IRNazanin" w:cs="IRNazanin"/>
          <w:color w:val="111111"/>
          <w:sz w:val="28"/>
          <w:szCs w:val="28"/>
          <w:rtl w:val="true"/>
          <w:lang w:bidi="fa-IR"/>
        </w:rPr>
        <w:t>.</w:t>
      </w:r>
    </w:p>
    <w:p>
      <w:pPr>
        <w:pStyle w:val="Heading4"/>
        <w:numPr>
          <w:ilvl w:val="3"/>
          <w:numId w:val="1"/>
        </w:numPr>
        <w:rPr/>
      </w:pPr>
      <w:bookmarkStart w:id="85" w:name="__RefHeading___Toc13791747_1280447820"/>
      <w:bookmarkStart w:id="86" w:name="_Toc33"/>
      <w:bookmarkEnd w:id="85"/>
      <w:r>
        <w:rPr/>
        <w:t>3-5-1</w:t>
      </w:r>
      <w:r>
        <w:rPr>
          <w:rtl w:val="true"/>
        </w:rPr>
        <w:t xml:space="preserve">- </w:t>
      </w:r>
      <w:r>
        <w:rPr>
          <w:rtl w:val="true"/>
        </w:rPr>
        <w:t>گنجینه‌های گمشده معبد</w:t>
      </w:r>
      <w:r>
        <w:rPr>
          <w:rtl w:val="true"/>
        </w:rPr>
        <w:t>:</w:t>
      </w:r>
      <w:bookmarkEnd w:id="8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شهر قدیمی اورشلیم، معمای هزارساله گنجینه‌های معبد سلیمان نهفته است که قرن‌هاست ناپدید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گنجینه‌ها شامل تابوت عهد، منورای هفت‌شاخه طلایی و ظروف مقدس بودند که پس از تخریب معبد در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اسرائیل از زمان تأسیسش در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به دنبال یافتن این گنجینه‌ها بوده و باستان‌شناسان با استفاده از فناوری‌های پیشرفته، تونل‌های زیر کوه معبد را بررسی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وسایل معبد را بازسازی کرده است، اما هنوز هیچ اثری از گنجینه‌های اصلی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زیادی بر سر این </w:t>
      </w:r>
      <w:bookmarkStart w:id="87" w:name="pg19225_246382"/>
    </w:p>
    <w:p>
      <w:pPr>
        <w:pStyle w:val="BookText"/>
        <w:rPr/>
      </w:pPr>
      <w:bookmarkEnd w:id="87"/>
      <w:r>
        <w:rPr>
          <w:rFonts w:ascii="IRNazanin" w:hAnsi="IRNazanin" w:eastAsia="IRNazanin"/>
          <w:color w:val="111111"/>
          <w:sz w:val="28"/>
          <w:sz w:val="28"/>
          <w:szCs w:val="28"/>
          <w:rtl w:val="true"/>
          <w:lang w:bidi="fa-IR"/>
        </w:rPr>
        <w:t xml:space="preserve">راه وجود دارد؛ از جمله اینکه کوه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نیز مکانی مقدس است و هرگونه حفاری ممکن است باعث درگیری‌های شدید شود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علاوه بر این، شواهد محکمی درباره محل دقیق گنجینه‌ها وجود ندارد و جامعه جهانی بر اقدامات اسرائیل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این گنجینه‌ها یکی از بزرگ‌ترین رازهای تاریخ باقی مانده‌اند و این پرسش را در ذهن زنده نگه می‌دارند که آیا این گنجینه‌های افسانه‌ای واقعاً وجود داشته‌اند و اگر آری، کجا هستند؟</w:t>
      </w:r>
    </w:p>
    <w:p>
      <w:pPr>
        <w:pStyle w:val="Heading3"/>
        <w:numPr>
          <w:ilvl w:val="2"/>
          <w:numId w:val="1"/>
        </w:numPr>
        <w:rPr/>
      </w:pPr>
      <w:bookmarkStart w:id="88" w:name="__RefHeading___Toc13791749_1280447820"/>
      <w:bookmarkStart w:id="89" w:name="_Toc34"/>
      <w:bookmarkEnd w:id="88"/>
      <w:r>
        <w:rPr/>
        <w:t>6-1</w:t>
      </w:r>
      <w:r>
        <w:rPr>
          <w:rtl w:val="true"/>
        </w:rPr>
        <w:t xml:space="preserve">- </w:t>
      </w:r>
      <w:r>
        <w:rPr>
          <w:rtl w:val="true"/>
        </w:rPr>
        <w:t>تابوت عهد</w:t>
      </w:r>
      <w:r>
        <w:rPr>
          <w:rtl w:val="true"/>
        </w:rPr>
        <w:t xml:space="preserve">: </w:t>
      </w:r>
      <w:r>
        <w:rPr>
          <w:rtl w:val="true"/>
        </w:rPr>
        <w:t>جایگاه، سرنوشت و نمادگرایی آن در یهودیت</w:t>
      </w:r>
      <w:r>
        <w:rPr>
          <w:rtl w:val="true"/>
        </w:rPr>
        <w:t>:</w:t>
      </w:r>
      <w:bookmarkEnd w:id="8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یهودیان، تابوت عهد یکی از مقدس‌ترین اشیاء در تاریخ این قوم است که طبق کتاب مقدس، لوح‌های ده فرمان و دیگر اشیاء الهی را در خود جای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تابوت نماد حضور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اسرائیل بود و تنها کاهنان بزرگ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هارون و بعدها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نزدیک شدن به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عهد برای یهودیان نماد پیمان خدا با موسی در کوه سینا و محل تجلی حضور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ناپدید شدن آن یکی از رازهای بزرگ تاریخ یهودیت است و در باورهای آخرالزمانی، اعتقاد بر این است که بازگشت تابوت با ظهور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و محتویات تابوت توصیفات فیزیکی و جزئیات ساخت تابوت در تورات آمده است؛ این صندوق از چوب اقاقیا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که مقاومت بالایی داشت و با طلای ناب از درون و بیرون پوشانده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آن تقریباً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w:t>
      </w:r>
      <w:r>
        <w:rPr>
          <w:rFonts w:eastAsia="IRNazanin" w:cs="IRNazanin"/>
          <w:color w:val="111111"/>
          <w:sz w:val="28"/>
          <w:szCs w:val="28"/>
          <w:lang w:bidi="fa-IR"/>
        </w:rPr>
        <w:t>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و </w:t>
      </w:r>
      <w:r>
        <w:rPr>
          <w:rFonts w:eastAsia="IRNazanin" w:cs="IRNazanin"/>
          <w:color w:val="111111"/>
          <w:sz w:val="28"/>
          <w:szCs w:val="28"/>
          <w:lang w:bidi="fa-IR"/>
        </w:rPr>
        <w:t>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درپوش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کروبین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 قرار داشتند که بال‌هایشان را رو به یکدیگر گشوده بودند</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تورات و تلمود، این صندوق مقدس حاوی سه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لوح سنگی ده فرمان که موسی در کوه سینا دریافت کرد، ظرفی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غذای معجزه‌آسای </w:t>
      </w:r>
    </w:p>
    <w:p>
      <w:pPr>
        <w:pStyle w:val="BookText"/>
        <w:rPr/>
      </w:pPr>
      <w:r>
        <w:rPr>
          <w:rFonts w:ascii="IRNazanin" w:hAnsi="IRNazanin" w:eastAsia="IRNazanin"/>
          <w:color w:val="111111"/>
          <w:sz w:val="28"/>
          <w:sz w:val="28"/>
          <w:szCs w:val="28"/>
          <w:rtl w:val="true"/>
          <w:lang w:bidi="fa-IR"/>
        </w:rPr>
        <w:t>بنی‌اسرائیل در بیابان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عصای هارون که به معجزه شکوفه داده بود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تقدس تابوت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اصلی تابوت در نماد پیمان سینا بود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صندوق ابتدا در خیمه مقدس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مقدس‌ترین بخش معبد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قدس‌الاقداس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آن فوق‌العاده بود، به طوری که فقط 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لاویان حق حمل آن را داشتند و هرگونه تماس غیرمجاز با آن، مانند لمس کردن توسط عُزّا، به مرگ آنی منجر می‌شد</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تخریب معبد اول به دست بابلیان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سرنوشت تابوت برای همیشه مبهم باقی ماند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ناپدید شدن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عقیده یهودی، تابوت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ظاهر خواهد شد، اما سرنوشت تاریخی آن پس از تخریب معبد اول نامشخص </w:t>
      </w:r>
    </w:p>
    <w:p>
      <w:pPr>
        <w:pStyle w:val="BookText"/>
        <w:rPr/>
      </w:pPr>
      <w:r>
        <w:rPr>
          <w:rFonts w:ascii="IRNazanin" w:hAnsi="IRNazanin" w:eastAsia="IRNazanin"/>
          <w:color w:val="111111"/>
          <w:sz w:val="28"/>
          <w:sz w:val="28"/>
          <w:szCs w:val="28"/>
          <w:rtl w:val="true"/>
          <w:lang w:bidi="fa-IR"/>
        </w:rPr>
        <w:t>است و در معبد دوم نیز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نظریه اصلی در این باره در متون یهودی و تحقیقات تاریخی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اساس روایات تلمودی و کتاب دوم مکابیان معتقدند که یوشیا، پادشاه یهودا، پیش از حمله بابلیان آن را در تونل‌های زیرین کوه معبد پنهان کرده است</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دوم، غارت آن توسط بابلیان است، هرچند نام آن به صراحت در فهرست غنائم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سوم که شهرت جهانی دارد، انتقال مخفیانه آن به اتیوپی است، ادعایی که امروزه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آکسوم با جدیت آن را مطرح می‌کند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تابوت در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تابوت عهد در فرهنگ و آیین‌های یهودی تا به امروز به شکلی پویا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کنیساهای یهودی در سراسر جهان، طاقچه‌ای مقدس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 قودش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طومارهای تورات در آن نگهداری می‌شود و یادآور جایگاه تابوت در 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طرح کروبین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فرشته‌های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نقوش رایج و معنادار در هنر و معماری یهودی تبدیل شده است</w:t>
      </w:r>
      <w:r>
        <w:rPr>
          <w:rFonts w:eastAsia="IRNazanin" w:cs="IRNazanin"/>
          <w:color w:val="111111"/>
          <w:sz w:val="28"/>
          <w:szCs w:val="28"/>
          <w:rtl w:val="true"/>
          <w:lang w:bidi="fa-IR"/>
        </w:rPr>
        <w:t xml:space="preserve">. </w:t>
      </w:r>
      <w:bookmarkStart w:id="90" w:name="pg19225_246386"/>
    </w:p>
    <w:p>
      <w:pPr>
        <w:pStyle w:val="Heading3"/>
        <w:numPr>
          <w:ilvl w:val="2"/>
          <w:numId w:val="1"/>
        </w:numPr>
        <w:rPr/>
      </w:pPr>
      <w:bookmarkStart w:id="91" w:name="__RefHeading___Toc13791751_1280447820"/>
      <w:bookmarkStart w:id="92" w:name="_Toc35"/>
      <w:bookmarkEnd w:id="90"/>
      <w:bookmarkEnd w:id="91"/>
      <w:r>
        <w:rPr>
          <w:rtl w:val="true"/>
        </w:rPr>
        <w:t>جمع بندی فصل اول</w:t>
      </w:r>
      <w:r>
        <w:rPr>
          <w:rtl w:val="true"/>
        </w:rPr>
        <w:t>:</w:t>
      </w:r>
      <w:bookmarkEnd w:id="92"/>
    </w:p>
    <w:p>
      <w:pPr>
        <w:pStyle w:val="BookText"/>
        <w:rPr/>
      </w:pPr>
      <w:r>
        <w:rPr>
          <w:rFonts w:ascii="IRNazanin" w:hAnsi="IRNazanin" w:eastAsia="IRNazanin"/>
          <w:color w:val="111111"/>
          <w:sz w:val="28"/>
          <w:sz w:val="28"/>
          <w:szCs w:val="28"/>
          <w:rtl w:val="true"/>
          <w:lang w:bidi="fa-IR"/>
        </w:rPr>
        <w:t>این فصل به بررسی ارکان هویت تاریخی، اعتقادی و متنی قوم یهود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این قوم، پدیده‌ای منحصر به فرد است که با وجود پراکندگی‌های تاریخی، ریشه در سه عنصر کلیدی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یهود با تبارشناسی مبتنی بر روایات توراتی آغاز می‌شود که نسب این قوم را به حضرت ابراهیم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هویت در طول تاریخ با حوادثی محوری مانند تبعید بابلی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معبد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پراکندگی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معبد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و به شکل‌گیری یک هویت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دیاسپورا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 و متون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اعتقادی یهودیت بر سه اصل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خدای یکتا، پذیرش تورات به عنوان کلام الهی و شریعت مکتوب، و باور به جایگاه قوم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در دو کتاب مقدس بنیادین تبلور یافته‌اند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پنج کتاب پیدایش، خروج، لاویان، اعداد و تثنیه که هسته اصلی شریعت مکتوب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تلمود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عظیم از تفاسیر و قوانین خاخام‌ها که از دو بخش اصلی میشنا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و راهنمای عملی زندگی یهودیان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فرقه‌ها و 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این تاریخ و متون، فرقه‌های گوناگونی با رویکردهای متفاوت به شریعت پدید آمده‌اند، از جمله ارتدوکس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کامل به شریعت مکتوب و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تورات و رد 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محافظه‌کار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تطبیق سنت و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عرفانی درون ارتدوکس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این‌ها، نمادهای قدرتمندی مانند هیکل سلیمان به عنوان مرکز معنوی و تابوت عهد به عنوان نماد حضور الهی، نقشی محوری در حافظه تاریخی و امیدهای آینده‌نگرانه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ماشیح و ساخت هیکل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ایفا می‌کنند</w:t>
      </w:r>
      <w:r>
        <w:rPr>
          <w:rFonts w:eastAsia="IRNazanin" w:cs="IRNazanin"/>
          <w:color w:val="111111"/>
          <w:sz w:val="28"/>
          <w:szCs w:val="28"/>
          <w:rtl w:val="true"/>
          <w:lang w:bidi="fa-IR"/>
        </w:rPr>
        <w:t>.</w:t>
      </w:r>
      <w:bookmarkStart w:id="93" w:name="pg19225_246388"/>
    </w:p>
    <w:p>
      <w:pPr>
        <w:pStyle w:val="Heading2"/>
        <w:numPr>
          <w:ilvl w:val="1"/>
          <w:numId w:val="1"/>
        </w:numPr>
        <w:rPr/>
      </w:pPr>
      <w:bookmarkStart w:id="94" w:name="__RefHeading___Toc13791753_1280447820"/>
      <w:bookmarkStart w:id="95" w:name="_Toc36"/>
      <w:bookmarkEnd w:id="93"/>
      <w:bookmarkEnd w:id="94"/>
      <w:r>
        <w:rPr/>
        <w:t>2</w:t>
      </w:r>
      <w:r>
        <w:rPr>
          <w:rtl w:val="true"/>
        </w:rPr>
        <w:t xml:space="preserve">- </w:t>
      </w:r>
      <w:r>
        <w:rPr>
          <w:rtl w:val="true"/>
        </w:rPr>
        <w:t>فصل دوم</w:t>
      </w:r>
      <w:r>
        <w:rPr>
          <w:rtl w:val="true"/>
        </w:rPr>
        <w:t xml:space="preserve">: </w:t>
      </w:r>
      <w:r>
        <w:rPr>
          <w:rtl w:val="true"/>
        </w:rPr>
        <w:t>یهودیت و صهیونیسم</w:t>
      </w:r>
      <w:r>
        <w:rPr>
          <w:rtl w:val="true"/>
        </w:rPr>
        <w:t xml:space="preserve">: </w:t>
      </w:r>
      <w:r>
        <w:rPr>
          <w:rtl w:val="true"/>
        </w:rPr>
        <w:t>تمایزها، تضادها</w:t>
      </w:r>
      <w:r>
        <w:rPr>
          <w:rtl w:val="true"/>
        </w:rPr>
        <w:t>:</w:t>
      </w:r>
      <w:bookmarkEnd w:id="95"/>
    </w:p>
    <w:p>
      <w:pPr>
        <w:pStyle w:val="Heading3"/>
        <w:numPr>
          <w:ilvl w:val="2"/>
          <w:numId w:val="1"/>
        </w:numPr>
        <w:rPr/>
      </w:pPr>
      <w:bookmarkStart w:id="96" w:name="__RefHeading___Toc13791755_1280447820"/>
      <w:bookmarkStart w:id="97" w:name="_Toc37"/>
      <w:bookmarkEnd w:id="96"/>
      <w:r>
        <w:rPr/>
        <w:t>1-2</w:t>
      </w:r>
      <w:r>
        <w:rPr>
          <w:rtl w:val="true"/>
        </w:rPr>
        <w:t xml:space="preserve">- </w:t>
      </w:r>
      <w:r>
        <w:rPr>
          <w:rtl w:val="true"/>
        </w:rPr>
        <w:t>بخش اول</w:t>
      </w:r>
      <w:r>
        <w:rPr>
          <w:rtl w:val="true"/>
        </w:rPr>
        <w:t xml:space="preserve">: </w:t>
      </w:r>
      <w:r>
        <w:rPr>
          <w:rtl w:val="true"/>
        </w:rPr>
        <w:t>چیستی صهیونیسم</w:t>
      </w:r>
      <w:r>
        <w:rPr>
          <w:rtl w:val="true"/>
        </w:rPr>
        <w:t>:</w:t>
      </w:r>
      <w:bookmarkEnd w:id="97"/>
    </w:p>
    <w:p>
      <w:pPr>
        <w:pStyle w:val="BookText"/>
        <w:rPr/>
      </w:pPr>
      <w:r>
        <w:rPr>
          <w:rFonts w:ascii="IRNazanin" w:hAnsi="IRNazanin" w:eastAsia="IRNazanin"/>
          <w:color w:val="111111"/>
          <w:sz w:val="28"/>
          <w:sz w:val="28"/>
          <w:szCs w:val="28"/>
          <w:rtl w:val="true"/>
          <w:lang w:bidi="fa-IR"/>
        </w:rPr>
        <w:t>صهیونیسم، در تحلیل دقیق و آکادمیک، یک ایدئولوژی سیاسی مدرن و پدیده‌ای متعلق به اواخر قرن نوزدهم اروپاست که در واکنش به وضعیت یهودیان در آن دوران، به ویژه مسئله یهودستیزی،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این جنبش، تلاش برای گذار یهودیان از یک اجتماع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دیاسپورا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ملت با حاکمیت سیاسی مستقل در یک سرزمین مشخص بود</w:t>
      </w:r>
      <w:r>
        <w:rPr>
          <w:rFonts w:eastAsia="IRNazanin" w:cs="IRNazanin"/>
          <w:color w:val="111111"/>
          <w:sz w:val="28"/>
          <w:szCs w:val="28"/>
          <w:rtl w:val="true"/>
          <w:lang w:bidi="fa-IR"/>
        </w:rPr>
        <w:t>.</w:t>
      </w: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صهیونیسم برای مشروعیت‌بخشی به اهداف خود به صورت گسترده از نمادها، روایات و مفاهیم وام‌گرفته از سنت یهود بهره می‌برد، اما خاستگاه، مبانی و اهداف آن اساساً سکولار و ناسیونالیستی است تا الهی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این دو مفهوم از یکدیگر، نقطه آغاز هرگونه تحلیل انتقادی، از جمله بررسی دیدگاه جریان‌های اسلامی و شیعی مانند جریان شیرازی، نسبت </w:t>
      </w:r>
      <w:bookmarkStart w:id="98" w:name="pg19225_246389"/>
    </w:p>
    <w:p>
      <w:pPr>
        <w:pStyle w:val="BookText"/>
        <w:rPr/>
      </w:pPr>
      <w:bookmarkEnd w:id="98"/>
      <w:r>
        <w:rPr>
          <w:rFonts w:ascii="IRNazanin" w:hAnsi="IRNazanin" w:eastAsia="IRNazanin"/>
          <w:color w:val="111111"/>
          <w:sz w:val="28"/>
          <w:sz w:val="28"/>
          <w:szCs w:val="28"/>
          <w:rtl w:val="true"/>
          <w:lang w:bidi="fa-IR"/>
        </w:rPr>
        <w:t>به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ابعاد مختلف این ایدئولوژی از طریق بررسی انواع و مؤلفه‌های اصلی آن تشریح می‌گردد</w:t>
      </w:r>
      <w:r>
        <w:rPr>
          <w:rFonts w:eastAsia="IRNazanin" w:cs="IRNazanin"/>
          <w:color w:val="111111"/>
          <w:sz w:val="28"/>
          <w:szCs w:val="28"/>
          <w:rtl w:val="true"/>
          <w:lang w:bidi="fa-IR"/>
        </w:rPr>
        <w:t>.</w:t>
      </w:r>
    </w:p>
    <w:p>
      <w:pPr>
        <w:pStyle w:val="Heading3"/>
        <w:numPr>
          <w:ilvl w:val="2"/>
          <w:numId w:val="1"/>
        </w:numPr>
        <w:rPr/>
      </w:pPr>
      <w:bookmarkStart w:id="99" w:name="__RefHeading___Toc13791757_1280447820"/>
      <w:bookmarkStart w:id="100" w:name="_Toc38"/>
      <w:bookmarkEnd w:id="99"/>
      <w:r>
        <w:rPr/>
        <w:t>2-2</w:t>
      </w:r>
      <w:r>
        <w:rPr>
          <w:rtl w:val="true"/>
        </w:rPr>
        <w:t xml:space="preserve">- </w:t>
      </w:r>
      <w:r>
        <w:rPr>
          <w:rtl w:val="true"/>
        </w:rPr>
        <w:t>بخش دوم</w:t>
      </w:r>
      <w:r>
        <w:rPr>
          <w:rtl w:val="true"/>
        </w:rPr>
        <w:t xml:space="preserve">: </w:t>
      </w:r>
      <w:r>
        <w:rPr>
          <w:rtl w:val="true"/>
        </w:rPr>
        <w:t>انواع صهیونیسم</w:t>
      </w:r>
      <w:r>
        <w:rPr>
          <w:rtl w:val="true"/>
        </w:rPr>
        <w:t>:</w:t>
      </w:r>
      <w:bookmarkEnd w:id="100"/>
    </w:p>
    <w:p>
      <w:pPr>
        <w:pStyle w:val="BookText"/>
        <w:rPr/>
      </w:pPr>
      <w:r>
        <w:rPr>
          <w:rFonts w:ascii="IRNazanin" w:hAnsi="IRNazanin" w:eastAsia="IRNazanin"/>
          <w:color w:val="111111"/>
          <w:sz w:val="28"/>
          <w:sz w:val="28"/>
          <w:szCs w:val="28"/>
          <w:rtl w:val="true"/>
          <w:lang w:bidi="fa-IR"/>
        </w:rPr>
        <w:t>جنبش صهیونیسم یکپارچه و یکدست نبوده و از ابتدای شکل‌گیری خود، جریان‌های فکری متفاوتی را در درون خود پرورانده است که هر یک راهکار و تعریفی خاص برای تحقق اهداف ملی‌گرایانه یهودی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تنوع برای فهم پیچیدگی‌های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جریان‌ها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که با نام تئودور هرتصل گره خورده است، راه‌حل مسئله یهود را صرفاً در اقدامات دیپلماتیک و کسب مجوز قانونی از قدرت‌های بزرگ جهانی برای تأسیس یک دولت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هرتصل در کتاب بنیادین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چارچوب یک دولت سکولار و مدرن را ترسیم کرد که دین در آن نقشی حداقلی و نمادین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این جریان بر ساختارهای سیاسی و قانونی بود، نه بر احیای فرهنگی یا دینی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صهیونیسم کارگری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جریان که به قدرتمندترین شاخه صهیونیسم در دوران پیش از تأسیس اسرائیل تبدیل شد، معتقد بود که دولت یهود باید بر پایه عدالت اجتماعی و اصول سوسیالیستی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چهره‌هایی مانند دیوید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گوریون، تحقق صهیونیسم را نه در لابی‌گری سیاسی، بلکه در کار عملی، کشاورزی، و ایجاد زیرساخت‌های اقتصادی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کیبوتص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 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آن‌ها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کار یدی و ارتباط با زمین، هویت خود را بازتعریف 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صهیونیسم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جریان برخلاف ماهیت سکولار دو جریان پیشین، بازگشت به سرزمین اسرائیل و تأسیس دولت یهودی را یک فریضه دینی و بخشی از فرآیند رستگاری و </w:t>
      </w:r>
    </w:p>
    <w:p>
      <w:pPr>
        <w:pStyle w:val="BookText"/>
        <w:rPr/>
      </w:pPr>
      <w:r>
        <w:rPr>
          <w:rFonts w:ascii="IRNazanin" w:hAnsi="IRNazanin" w:eastAsia="IRNazanin"/>
          <w:color w:val="111111"/>
          <w:sz w:val="28"/>
          <w:sz w:val="28"/>
          <w:szCs w:val="28"/>
          <w:rtl w:val="true"/>
          <w:lang w:bidi="fa-IR"/>
        </w:rPr>
        <w:t xml:space="preserve">مقدمه‌ای برای ظهور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برجسته آن، مانند آبراهام اسحاق کوک، دولت‌گرایی صهیونیستی را ابزاری در دست خداوند برای تحقق وعده‌های الهی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ناسیونالیسم مدرن را با الهیات سنتی یهود در هم آمیخت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صهیونیسم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 که نماینده اصلی آن اَحد هاعام بود، اولویت را نه به تأسیس فوری یک دولت سیاسی، بلکه به ایجاد یک مرکز معنوی و فرهنگی برای یهودیان در فلسطین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پیش از آنکه یک دولت شکل بگیرد، باید هویت، زبان و فرهنگ عبری احیا می‌شد تا از زوال معنوی قوم یهود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آماده‌سازی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اقدامات سیاسی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1" w:name="pg19225_246392"/>
    </w:p>
    <w:p>
      <w:pPr>
        <w:pStyle w:val="Heading3"/>
        <w:numPr>
          <w:ilvl w:val="2"/>
          <w:numId w:val="1"/>
        </w:numPr>
        <w:rPr/>
      </w:pPr>
      <w:bookmarkStart w:id="102" w:name="__RefHeading___Toc13791759_1280447820"/>
      <w:bookmarkStart w:id="103" w:name="_Toc39"/>
      <w:bookmarkEnd w:id="101"/>
      <w:bookmarkEnd w:id="102"/>
      <w:r>
        <w:rPr/>
        <w:t>3-2</w:t>
      </w:r>
      <w:r>
        <w:rPr>
          <w:rtl w:val="true"/>
        </w:rPr>
        <w:t xml:space="preserve">- </w:t>
      </w:r>
      <w:r>
        <w:rPr>
          <w:rtl w:val="true"/>
        </w:rPr>
        <w:t>بخش سوم</w:t>
      </w:r>
      <w:r>
        <w:rPr>
          <w:rtl w:val="true"/>
        </w:rPr>
        <w:t xml:space="preserve">: </w:t>
      </w:r>
      <w:r>
        <w:rPr>
          <w:rtl w:val="true"/>
        </w:rPr>
        <w:t>ایدئولوژی صهیونیستی</w:t>
      </w:r>
      <w:r>
        <w:rPr>
          <w:rtl w:val="true"/>
        </w:rPr>
        <w:t>:</w:t>
      </w:r>
      <w:bookmarkEnd w:id="103"/>
    </w:p>
    <w:p>
      <w:pPr>
        <w:pStyle w:val="BookText"/>
        <w:rPr/>
      </w:pPr>
      <w:r>
        <w:rPr>
          <w:rFonts w:ascii="IRNazanin" w:hAnsi="IRNazanin" w:eastAsia="IRNazanin"/>
          <w:color w:val="111111"/>
          <w:sz w:val="28"/>
          <w:sz w:val="28"/>
          <w:szCs w:val="28"/>
          <w:rtl w:val="true"/>
          <w:lang w:bidi="fa-IR"/>
        </w:rPr>
        <w:t>فارغ از تفاوت‌ها، اکثر جریان‌های صهیونیستی بر مجموعه‌ای از اصول و مؤلفه‌های ایدئولوژیک مشترک استوار بودند که شالوده فکری این جنبش را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دیاسپورا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شِلیلت هَگُلاه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پایه‌های فکری صهیونیسم، نگرش منفی به زندگی یهودیان در جوامع غیریهودی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دیاسپورا یا گالوت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ایدئولوگ‌های صهیونیست معتقد بودند که زندگی در تبعید، یهودیان را از نظر روانی، فرهنگی و فیزیکی تحقیر و تضعیف کرده و آنان را همواره در معرض خطر یهودستیزی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راه‌حل، پایان دادن به این وضعیت و بازگشت به یک زندگی ملی مستقل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یهودیت به مثابه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صهیونیسم، تعریف سنتی از یهودیت به عنوان یک دین یا اجتماع ایمانی را به چالش کشید و آن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 بازتعریف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تمام یهودیان جهان، </w:t>
      </w:r>
    </w:p>
    <w:p>
      <w:pPr>
        <w:pStyle w:val="BookText"/>
        <w:rPr/>
      </w:pPr>
      <w:r>
        <w:rPr>
          <w:rFonts w:ascii="IRNazanin" w:hAnsi="IRNazanin" w:eastAsia="IRNazanin"/>
          <w:color w:val="111111"/>
          <w:sz w:val="28"/>
          <w:sz w:val="28"/>
          <w:szCs w:val="28"/>
          <w:rtl w:val="true"/>
          <w:lang w:bidi="fa-IR"/>
        </w:rPr>
        <w:t>صرف‌نظر از وابستگی دینی یا محل سکونتشان، اعضای یک پیکره ملی واحد محسوب می‌شوند که نیازمند یک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مبنای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 تاریخی و دینی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اِرِتص ییسرائل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ایدئولوژی صهیونیستی با استناد گزینشی به روایات توراتی و تاریخ باستان، ادعای پیوندی ناگسستنی میان قوم یهود و سرزمین فلسطین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توجیه اصلی برای مشروعیت‌بخشی به پروژه استقرار و حاکمیت سیاسی در این سرزمین به کار گرفته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در پی دگرگونی هویتی یهودیان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دیاسپورا که اغلب به عنوان فردی منفعل، اهل مطالعه و غیرمولد تصویر می‌شد، باید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 فردی قوی، </w:t>
      </w:r>
      <w:bookmarkStart w:id="104" w:name="pg19225_246394"/>
    </w:p>
    <w:p>
      <w:pPr>
        <w:pStyle w:val="BookText"/>
        <w:rPr/>
      </w:pPr>
      <w:bookmarkEnd w:id="104"/>
      <w:r>
        <w:rPr>
          <w:rFonts w:ascii="IRNazanin" w:hAnsi="IRNazanin" w:eastAsia="IRNazanin"/>
          <w:color w:val="111111"/>
          <w:sz w:val="28"/>
          <w:sz w:val="28"/>
          <w:szCs w:val="28"/>
          <w:rtl w:val="true"/>
          <w:lang w:bidi="fa-IR"/>
        </w:rPr>
        <w:t>سکولار، کشاورز یا سرباز، عبری‌زبان و متکی به خود که هویتش نه با کتاب‌های دینی، بلکه با سرزمین و دولت ملی تعریف می‌شود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05" w:name="__RefHeading___Toc13791761_1280447820"/>
      <w:bookmarkStart w:id="106" w:name="_Toc40"/>
      <w:bookmarkEnd w:id="105"/>
      <w:r>
        <w:rPr/>
        <w:t>4-2</w:t>
      </w:r>
      <w:r>
        <w:rPr>
          <w:rtl w:val="true"/>
        </w:rPr>
        <w:t xml:space="preserve">- </w:t>
      </w:r>
      <w:r>
        <w:rPr>
          <w:rtl w:val="true"/>
        </w:rPr>
        <w:t>بخش چهارم</w:t>
      </w:r>
      <w:r>
        <w:rPr>
          <w:rtl w:val="true"/>
        </w:rPr>
        <w:t xml:space="preserve">: </w:t>
      </w:r>
      <w:r>
        <w:rPr>
          <w:rtl w:val="true"/>
        </w:rPr>
        <w:t>کارکرد سیاسی صهیونیسم و پیامدهای آن بر یهودیان</w:t>
      </w:r>
      <w:r>
        <w:rPr>
          <w:rtl w:val="true"/>
        </w:rPr>
        <w:t>:</w:t>
      </w:r>
      <w:bookmarkEnd w:id="106"/>
    </w:p>
    <w:p>
      <w:pPr>
        <w:pStyle w:val="Heading4"/>
        <w:numPr>
          <w:ilvl w:val="3"/>
          <w:numId w:val="1"/>
        </w:numPr>
        <w:rPr/>
      </w:pPr>
      <w:bookmarkStart w:id="107" w:name="__RefHeading___Toc13791763_1280447820"/>
      <w:bookmarkStart w:id="108" w:name="_Toc41"/>
      <w:bookmarkEnd w:id="107"/>
      <w:r>
        <w:rPr/>
        <w:t>1-4-2</w:t>
      </w:r>
      <w:r>
        <w:rPr>
          <w:rtl w:val="true"/>
        </w:rPr>
        <w:t xml:space="preserve">- </w:t>
      </w:r>
      <w:r>
        <w:rPr>
          <w:rtl w:val="true"/>
        </w:rPr>
        <w:t>گروگان‌گیری هویت یهودی</w:t>
      </w:r>
      <w:r>
        <w:rPr>
          <w:rtl w:val="true"/>
        </w:rPr>
        <w:t>:</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پیچیده‌ترین و بحث‌برانگیزترین کارکردهای سیاسی صهیونیسم، یکسان‌انگاری عامدانه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ایدئولوژی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از بدو تأسیس کوشید تا خود را به عنوان تنها نماینده و سخنگوی تمامی یهودیان جهان معرفی کند و دولت اسرائیل را تحقق آرمان‌های کل قوم یهود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اگرچه در بسیج حمایت سیاسی و مالی موفق بود، اما پیامدهای ویرانگری برای جوامع یهودی در سراسر جهان به همراه داشت</w:t>
      </w:r>
      <w:r>
        <w:rPr>
          <w:rFonts w:eastAsia="IRNazanin" w:cs="IRNazanin"/>
          <w:color w:val="111111"/>
          <w:sz w:val="28"/>
          <w:szCs w:val="28"/>
          <w:rtl w:val="true"/>
          <w:lang w:bidi="fa-IR"/>
        </w:rPr>
        <w:t xml:space="preserve">. </w:t>
      </w:r>
      <w:bookmarkStart w:id="109" w:name="pg19225_246395"/>
    </w:p>
    <w:p>
      <w:pPr>
        <w:pStyle w:val="BookText"/>
        <w:rPr/>
      </w:pPr>
      <w:bookmarkEnd w:id="109"/>
      <w:r>
        <w:rPr>
          <w:rFonts w:ascii="IRNazanin" w:hAnsi="IRNazanin" w:eastAsia="IRNazanin"/>
          <w:color w:val="111111"/>
          <w:sz w:val="28"/>
          <w:sz w:val="28"/>
          <w:szCs w:val="28"/>
          <w:rtl w:val="true"/>
          <w:lang w:bidi="fa-IR"/>
        </w:rPr>
        <w:t xml:space="preserve">نخستین و مهم‌ترین پیامد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گروگان‌گیری هویت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این معنا که هرگونه انتقاد از سیاست‌های توسعه‌طلبانه، نظامی‌گرایانه و تبعیض‌آمیز دولت اسرائیل، به سرعت با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می‌شود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تاکتیک نه تنها منتقدان غیریهودی را خاموش می‌سازد، بلکه فضای نقد را بر یهودیان مخالف صهیونیسم نیز تنگ کرده 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خودستیز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خائن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هویت دینی و فرهنگی یک قوم کهن، به سپری برای دفاع از اقدامات یک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مدرن تبدیل شده و این امر، امنیت و همزیستی مسالمت‌آمیز جوامع یهودی در دیاسپورا را به شدت به مخاطره انداخته است</w:t>
      </w:r>
      <w:r>
        <w:rPr>
          <w:rFonts w:eastAsia="IRNazanin" w:cs="IRNazanin"/>
          <w:color w:val="111111"/>
          <w:sz w:val="28"/>
          <w:szCs w:val="28"/>
          <w:rtl w:val="true"/>
          <w:lang w:bidi="fa-IR"/>
        </w:rPr>
        <w:t>.</w:t>
      </w:r>
    </w:p>
    <w:p>
      <w:pPr>
        <w:pStyle w:val="Heading4"/>
        <w:numPr>
          <w:ilvl w:val="3"/>
          <w:numId w:val="1"/>
        </w:numPr>
        <w:rPr/>
      </w:pPr>
      <w:bookmarkStart w:id="110" w:name="__RefHeading___Toc13791765_1280447820"/>
      <w:bookmarkStart w:id="111" w:name="_Toc42"/>
      <w:bookmarkEnd w:id="110"/>
      <w:r>
        <w:rPr/>
        <w:t>2-4-2</w:t>
      </w:r>
      <w:r>
        <w:rPr>
          <w:rtl w:val="true"/>
        </w:rPr>
        <w:t xml:space="preserve">- </w:t>
      </w:r>
      <w:r>
        <w:rPr>
          <w:rtl w:val="true"/>
        </w:rPr>
        <w:t>استفاده ابزاری از دین برای اهداف سیاسی</w:t>
      </w:r>
      <w:r>
        <w:rPr>
          <w:rtl w:val="true"/>
        </w:rPr>
        <w:t>:</w:t>
      </w:r>
      <w:bookmarkEnd w:id="11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آنکه بنیان‌گذاران اصلی صهیونیسم سیاسی شخصیت‌هایی عمدتاً سکولار و حتی گاهی بی‌اعتقاد به دین بودند، اما به‌خوبی از قدرت بسیج‌کنندگی نمادها و روایات دینی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دریافته بودند که بدون بهره‌گیری از مفاهیم ریشه‌دار در حافظه تاریخی یهودیان، پروژه ملی‌گرایانه آن‌ها فاقد </w:t>
      </w:r>
      <w:bookmarkStart w:id="112" w:name="pg19225_246396"/>
    </w:p>
    <w:p>
      <w:pPr>
        <w:pStyle w:val="BookText"/>
        <w:rPr/>
      </w:pPr>
      <w:bookmarkEnd w:id="112"/>
      <w:r>
        <w:rPr>
          <w:rFonts w:ascii="IRNazanin" w:hAnsi="IRNazanin" w:eastAsia="IRNazanin"/>
          <w:color w:val="111111"/>
          <w:sz w:val="28"/>
          <w:sz w:val="28"/>
          <w:szCs w:val="28"/>
          <w:rtl w:val="true"/>
          <w:lang w:bidi="fa-IR"/>
        </w:rPr>
        <w:t>مشروعیت و نیروی محرکه خواهد بود</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صهیونیسم به شکل نظام‌مند به استفاده ابزاری از دین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توجیه تملک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تشویق مهاجرت،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حس تمایز و برتری 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گزینشی، دین را از محتوای معنوی و اخلاقی خود تهی کرده و آن را به ابزاری در خدمت یک ایدئولوژی ناسیونالیستی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باستان‌شناسی در اسرائیل نیز اغلب به یک ابزار سیاسی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توراتی و مشروعیت‌بخشی به حاکمیت فعلی بر سرزمین تبدیل شده است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3791767_1280447820"/>
      <w:bookmarkStart w:id="114" w:name="_Toc43"/>
      <w:bookmarkEnd w:id="113"/>
      <w:r>
        <w:rPr/>
        <w:t>3-4-2</w:t>
      </w:r>
      <w:r>
        <w:rPr>
          <w:rtl w:val="true"/>
        </w:rPr>
        <w:t xml:space="preserve">- </w:t>
      </w:r>
      <w:r>
        <w:rPr>
          <w:rtl w:val="true"/>
        </w:rPr>
        <w:t>تبعیض سیستماتیک علیه یهودیان شرقی</w:t>
      </w:r>
      <w:r>
        <w:rPr>
          <w:rtl w:val="true"/>
        </w:rPr>
        <w:t>:</w:t>
      </w:r>
      <w:bookmarkEnd w:id="11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صهیونیسم مبنی بر ایجاد خانه‌ای امن و متحد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یهودیان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با واقعیتی تلخ از تبعیض داخلی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صهیونیسم که توسط نخبگان اروپای شرقی و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اشکنازی‌ها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و رهبری می‌شد، نگاهی پدرسالارانه و گاه تحقیرآمیز به یهودیان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میزراحی‌ها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از کشورهای اسلامی و عربی به اسرائیل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مهاجران که در دهه‌های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 آورده شدند، اغلب با یک سیاست تبعیض سیستماتیک روبه‌رو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اردوگاه‌های موقت و فقیرانه‌ای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 داده شدند، فرهنگ، زبان عربی و سنت‌های دینی‌شان به عنوان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شد و برای تبدیل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مجبور به پذیرش فرهنگ مسلط اشکنازی شدند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 عمیق اجتماعی، فرهنگی و اقتصادی میان یهودیان اشکنازی و میزراحی، که تا به امروز نیز ادامه دارد، دروغ بودن ادعای صهیونیسم مبنی بر ایجاد جامعه‌ای برابر و متحد برای همه یهودیان را آشکار می‌سازد</w:t>
      </w:r>
      <w:r>
        <w:rPr>
          <w:rFonts w:eastAsia="IRNazanin" w:cs="IRNazanin"/>
          <w:color w:val="111111"/>
          <w:sz w:val="28"/>
          <w:szCs w:val="28"/>
          <w:rtl w:val="true"/>
          <w:lang w:bidi="fa-IR"/>
        </w:rPr>
        <w:t xml:space="preserve">. </w:t>
      </w:r>
      <w:bookmarkStart w:id="115" w:name="pg19225_246398"/>
    </w:p>
    <w:p>
      <w:pPr>
        <w:pStyle w:val="Heading3"/>
        <w:numPr>
          <w:ilvl w:val="2"/>
          <w:numId w:val="1"/>
        </w:numPr>
        <w:rPr/>
      </w:pPr>
      <w:bookmarkStart w:id="116" w:name="__RefHeading___Toc13791769_1280447820"/>
      <w:bookmarkStart w:id="117" w:name="_Toc44"/>
      <w:bookmarkEnd w:id="115"/>
      <w:bookmarkEnd w:id="116"/>
      <w:r>
        <w:rPr/>
        <w:t>5-2</w:t>
      </w:r>
      <w:r>
        <w:rPr>
          <w:rtl w:val="true"/>
        </w:rPr>
        <w:t xml:space="preserve">- </w:t>
      </w:r>
      <w:r>
        <w:rPr>
          <w:rtl w:val="true"/>
        </w:rPr>
        <w:t>بخش پنجم</w:t>
      </w:r>
      <w:r>
        <w:rPr>
          <w:rtl w:val="true"/>
        </w:rPr>
        <w:t xml:space="preserve">: </w:t>
      </w:r>
      <w:r>
        <w:rPr>
          <w:rtl w:val="true"/>
        </w:rPr>
        <w:t>مخالفت‌های تاریخی یهودیان با صهیونیسم</w:t>
      </w:r>
      <w:r>
        <w:rPr>
          <w:rtl w:val="true"/>
        </w:rPr>
        <w:t>:</w:t>
      </w:r>
      <w:bookmarkEnd w:id="117"/>
    </w:p>
    <w:p>
      <w:pPr>
        <w:pStyle w:val="Heading4"/>
        <w:numPr>
          <w:ilvl w:val="3"/>
          <w:numId w:val="1"/>
        </w:numPr>
        <w:rPr/>
      </w:pPr>
      <w:bookmarkStart w:id="118" w:name="__RefHeading___Toc13791771_1280447820"/>
      <w:bookmarkStart w:id="119" w:name="_Toc45"/>
      <w:bookmarkEnd w:id="118"/>
      <w:r>
        <w:rPr/>
        <w:t>1-5-2</w:t>
      </w:r>
      <w:r>
        <w:rPr>
          <w:rtl w:val="true"/>
        </w:rPr>
        <w:t xml:space="preserve">- </w:t>
      </w:r>
      <w:r>
        <w:rPr>
          <w:rtl w:val="true"/>
        </w:rPr>
        <w:t>جنبش‌های یهودی ضدصهیونیسم</w:t>
      </w:r>
      <w:r>
        <w:rPr>
          <w:rtl w:val="true"/>
        </w:rPr>
        <w:t>:</w:t>
      </w:r>
      <w:bookmarkEnd w:id="119"/>
    </w:p>
    <w:p>
      <w:pPr>
        <w:pStyle w:val="BookText"/>
        <w:rPr/>
      </w:pPr>
      <w:r>
        <w:rPr>
          <w:rFonts w:ascii="IRNazanin" w:hAnsi="IRNazanin" w:eastAsia="IRNazanin"/>
          <w:color w:val="111111"/>
          <w:sz w:val="28"/>
          <w:sz w:val="28"/>
          <w:szCs w:val="28"/>
          <w:rtl w:val="true"/>
          <w:lang w:bidi="fa-IR"/>
        </w:rPr>
        <w:t>برخلاف تبلیغات رایج، مخالفت با صهیونیسم از درون خود جامعه یهودی، پدیده‌ای حاشیه‌ای و بی‌اهمیت نبوده، بلکه سابقه‌ای طولانی و مبانی الهیاتی و اخلاقی عمیقی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مخالفت‌ها در قالب جنبش‌های سازمان‌یافته‌ای ظهور کرده‌اند که مهم‌ترین آن‌ها در میان یهودیان اولترا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ناتورای کارتا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رادیکال‌ترین و مشهورترین این گروه‌هاست که نه تنها دولت اسرائیل را به رسمیت نمی‌شناسد، 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علیه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مانع در راه رستگاری نهایی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جنبش به طور علنی پرچم اسرائیل را به آتش می‌کشند و برای اعلام برائت از اقدامات آن، با شخصیت‌ها و رهبران فلسطینی و اسلامی دیدار می‌کنند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0" w:name="pg19225_246399"/>
    </w:p>
    <w:p>
      <w:pPr>
        <w:pStyle w:val="BookText"/>
        <w:rPr/>
      </w:pPr>
      <w:bookmarkEnd w:id="120"/>
      <w:r>
        <w:rPr>
          <w:rFonts w:ascii="IRNazanin" w:hAnsi="IRNazanin" w:eastAsia="IRNazanin"/>
          <w:color w:val="111111"/>
          <w:sz w:val="28"/>
          <w:sz w:val="28"/>
          <w:szCs w:val="28"/>
          <w:rtl w:val="true"/>
          <w:lang w:bidi="fa-IR"/>
        </w:rPr>
        <w:t>بزرگ‌ترین فرقه حسیدی در جهان نیز بر پایه همین دیدگاه الهیاتی، صهیونیسم را بدعتی خطرناک می‌داند که منجر به خونریزی و انحراف از مسیر تورات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این جنبش، ربی یوئل تایتلبام، در کتاب تأثیرگذار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وَیوئل משה</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تفصیل استدلال کرده است که هرگونه تلاش برای تأسیس دولت یهودی پیش از ظهور ماشیح، گناهی نابخشودنی است</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گروه‌های دینی، جنبش‌های سکولار و چپ‌گرای یهودی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یهودی برای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منظر حقوق بشر و قوانین بین‌المللی، صهیونیسم را به عنوان یک ایدئولوژی استعماری و آپارتاید مورد نقد قرار می‌دهند</w:t>
      </w:r>
      <w:r>
        <w:rPr>
          <w:rFonts w:eastAsia="IRNazanin" w:cs="IRNazanin"/>
          <w:color w:val="111111"/>
          <w:sz w:val="28"/>
          <w:szCs w:val="28"/>
          <w:rtl w:val="true"/>
          <w:lang w:bidi="fa-IR"/>
        </w:rPr>
        <w:t>.</w:t>
      </w:r>
    </w:p>
    <w:p>
      <w:pPr>
        <w:pStyle w:val="Heading4"/>
        <w:numPr>
          <w:ilvl w:val="3"/>
          <w:numId w:val="1"/>
        </w:numPr>
        <w:rPr/>
      </w:pPr>
      <w:bookmarkStart w:id="121" w:name="__RefHeading___Toc13791773_1280447820"/>
      <w:bookmarkStart w:id="122" w:name="_Toc46"/>
      <w:bookmarkEnd w:id="121"/>
      <w:r>
        <w:rPr/>
        <w:t>2-5-2</w:t>
      </w:r>
      <w:r>
        <w:rPr>
          <w:rtl w:val="true"/>
        </w:rPr>
        <w:t xml:space="preserve">- </w:t>
      </w:r>
      <w:r>
        <w:rPr>
          <w:rtl w:val="true"/>
        </w:rPr>
        <w:t>مواضع شخصیت‌های برجسته</w:t>
      </w:r>
      <w:r>
        <w:rPr>
          <w:rtl w:val="true"/>
        </w:rPr>
        <w:t>:</w:t>
      </w:r>
      <w:bookmarkEnd w:id="12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صهیونیسم تنها به جنبش‌های سازمان‌یافته محدود نبود، بلکه بسیاری از متفکران و نخبگان برجسته یهودی نیز از همان ابتدا نسبت به پیامدهای خطرناک این ایدئولوژی هشدار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آلبرت انیشتین، در نامه‌ای سرگشاده به روزنامه نیویورک تایمز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به همراه هانا آرنت و دیگر </w:t>
      </w:r>
      <w:bookmarkStart w:id="123" w:name="pg19225_246400"/>
    </w:p>
    <w:p>
      <w:pPr>
        <w:pStyle w:val="BookText"/>
        <w:rPr/>
      </w:pPr>
      <w:bookmarkEnd w:id="123"/>
      <w:r>
        <w:rPr>
          <w:rFonts w:ascii="IRNazanin" w:hAnsi="IRNazanin" w:eastAsia="IRNazanin"/>
          <w:color w:val="111111"/>
          <w:sz w:val="28"/>
          <w:sz w:val="28"/>
          <w:szCs w:val="28"/>
          <w:rtl w:val="true"/>
          <w:lang w:bidi="fa-IR"/>
        </w:rPr>
        <w:t xml:space="preserve">روشنفکران یهودی،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مناخیم بگین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به حزب لیکود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شدت محکوم کرد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هانا آرنت نیز همواره از ایده یک دولت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ملیتی به جای یک دولت صرفاً یهودی دفاع می‌کرد و نگران ظهور یک ناسیونالیسم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یشایاهو لیبوویتز، فیلسوف و دانشمند اسرائیلی ارتدوکس، یکی از سرسخت‌ترین منتقدان داخلی اسرائیل بود که اشغال سرزمین‌های فلسطینی را عامل فساد اخلاقی جامعه اسرائیل می‌دانست و تقدیس دولت و سرزمین را نوعی بت‌پرستی مدرن تلقی می‌کرد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مواضع نشان می‌دهد که مقاومت در برابر صهیونیسم، ریشه‌هایی عمیق و متفکرانه در دل سنت یهودی دارد</w:t>
      </w:r>
      <w:r>
        <w:rPr>
          <w:rFonts w:eastAsia="IRNazanin" w:cs="IRNazanin"/>
          <w:color w:val="111111"/>
          <w:sz w:val="28"/>
          <w:szCs w:val="28"/>
          <w:rtl w:val="true"/>
          <w:lang w:bidi="fa-IR"/>
        </w:rPr>
        <w:t>.</w:t>
      </w:r>
    </w:p>
    <w:p>
      <w:pPr>
        <w:pStyle w:val="Heading3"/>
        <w:numPr>
          <w:ilvl w:val="2"/>
          <w:numId w:val="1"/>
        </w:numPr>
        <w:rPr/>
      </w:pPr>
      <w:bookmarkStart w:id="124" w:name="__RefHeading___Toc13791775_1280447820"/>
      <w:bookmarkStart w:id="125" w:name="_Toc47"/>
      <w:bookmarkEnd w:id="124"/>
      <w:r>
        <w:rPr/>
        <w:t>6-2</w:t>
      </w:r>
      <w:r>
        <w:rPr>
          <w:rtl w:val="true"/>
        </w:rPr>
        <w:t xml:space="preserve">- </w:t>
      </w:r>
      <w:r>
        <w:rPr>
          <w:rtl w:val="true"/>
        </w:rPr>
        <w:t>بخش ششم</w:t>
      </w:r>
      <w:r>
        <w:rPr>
          <w:rtl w:val="true"/>
        </w:rPr>
        <w:t xml:space="preserve">: </w:t>
      </w:r>
      <w:r>
        <w:rPr>
          <w:rtl w:val="true"/>
        </w:rPr>
        <w:t>مکان‌های مقدس و مراکز صهیونی</w:t>
      </w:r>
      <w:r>
        <w:rPr>
          <w:rtl w:val="true"/>
        </w:rPr>
        <w:t>:</w:t>
      </w:r>
      <w:bookmarkEnd w:id="125"/>
    </w:p>
    <w:p>
      <w:pPr>
        <w:pStyle w:val="Heading4"/>
        <w:numPr>
          <w:ilvl w:val="3"/>
          <w:numId w:val="1"/>
        </w:numPr>
        <w:rPr/>
      </w:pPr>
      <w:bookmarkStart w:id="126" w:name="__RefHeading___Toc13791777_1280447820"/>
      <w:bookmarkStart w:id="127" w:name="_Toc48"/>
      <w:bookmarkEnd w:id="126"/>
      <w:r>
        <w:rPr>
          <w:rtl w:val="true"/>
        </w:rPr>
        <w:t>اشاره</w:t>
      </w:r>
      <w:bookmarkEnd w:id="12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منابع مختلف، در اسرائیل مکان‌ها و فعالیت‌های مرتبط با سحر و جادو وجود دارد که عمدتاً ریشه در سنت‌های </w:t>
      </w:r>
      <w:bookmarkStart w:id="128" w:name="pg19225_246401"/>
    </w:p>
    <w:p>
      <w:pPr>
        <w:pStyle w:val="BookText"/>
        <w:rPr/>
      </w:pPr>
      <w:bookmarkEnd w:id="128"/>
      <w:r>
        <w:rPr>
          <w:rFonts w:ascii="IRNazanin" w:hAnsi="IRNazanin" w:eastAsia="IRNazanin"/>
          <w:color w:val="111111"/>
          <w:sz w:val="28"/>
          <w:sz w:val="28"/>
          <w:szCs w:val="28"/>
          <w:rtl w:val="true"/>
          <w:lang w:bidi="fa-IR"/>
        </w:rPr>
        <w:t>عرفانی یهودی مانند کابالا و متون قدیمی نظیر زوهر و تلمود دارد</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می‌توان به چند بخش تقسیم کرد</w:t>
      </w:r>
      <w:r>
        <w:rPr>
          <w:rFonts w:eastAsia="IRNazanin" w:cs="IRNazanin"/>
          <w:color w:val="111111"/>
          <w:sz w:val="28"/>
          <w:szCs w:val="28"/>
          <w:rtl w:val="true"/>
          <w:lang w:bidi="fa-IR"/>
        </w:rPr>
        <w:t>:</w:t>
      </w:r>
    </w:p>
    <w:p>
      <w:pPr>
        <w:pStyle w:val="Heading4"/>
        <w:numPr>
          <w:ilvl w:val="3"/>
          <w:numId w:val="1"/>
        </w:numPr>
        <w:rPr/>
      </w:pPr>
      <w:bookmarkStart w:id="129" w:name="__RefHeading___Toc13791779_1280447820"/>
      <w:bookmarkStart w:id="130" w:name="_Toc49"/>
      <w:bookmarkEnd w:id="129"/>
      <w:r>
        <w:rPr/>
        <w:t>1-6-2</w:t>
      </w:r>
      <w:r>
        <w:rPr>
          <w:rtl w:val="true"/>
        </w:rPr>
        <w:t xml:space="preserve">- </w:t>
      </w:r>
      <w:r>
        <w:rPr>
          <w:rtl w:val="true"/>
        </w:rPr>
        <w:t>کوه صهیون و قبرستان روش پینا</w:t>
      </w:r>
      <w:r>
        <w:rPr>
          <w:rtl w:val="true"/>
        </w:rPr>
        <w:t>:</w:t>
      </w:r>
      <w:bookmarkEnd w:id="130"/>
    </w:p>
    <w:p>
      <w:pPr>
        <w:pStyle w:val="BookText"/>
        <w:rPr/>
      </w:pPr>
      <w:r>
        <w:rPr>
          <w:rFonts w:ascii="IRNazanin" w:hAnsi="IRNazanin" w:eastAsia="IRNazanin"/>
          <w:color w:val="111111"/>
          <w:sz w:val="28"/>
          <w:sz w:val="28"/>
          <w:szCs w:val="28"/>
          <w:rtl w:val="true"/>
          <w:lang w:bidi="fa-IR"/>
        </w:rPr>
        <w:t xml:space="preserve">این مکان‌ها به عنوان محل اجرای مراسم 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پولسا دنورا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توسط کابالیست‌ها 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که با پوشیدن ردای سیاه، روشن کردن شمع‌های سیاه و روزه‌گیری سه‌روزه همراه است، شرکت‌کنندگان با خواندن اوراد خاص، نفرین مرگ را علیه افراد صادر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به طور مشخص پس از ترور اسحاق رابین و در زمان نخست‌وزیری آریل شارون در رسانه‌ها مطرح شد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13791781_1280447820"/>
      <w:bookmarkStart w:id="132" w:name="_Toc50"/>
      <w:bookmarkEnd w:id="131"/>
      <w:r>
        <w:rPr/>
        <w:t>2-6-2</w:t>
      </w:r>
      <w:r>
        <w:rPr>
          <w:rtl w:val="true"/>
        </w:rPr>
        <w:t xml:space="preserve">- </w:t>
      </w:r>
      <w:r>
        <w:rPr>
          <w:rtl w:val="true"/>
        </w:rPr>
        <w:t xml:space="preserve">دیوار ندبه </w:t>
      </w:r>
      <w:r>
        <w:rPr>
          <w:rtl w:val="true"/>
        </w:rPr>
        <w:t>(</w:t>
      </w:r>
      <w:r>
        <w:rPr>
          <w:rtl w:val="true"/>
        </w:rPr>
        <w:t>اورشلیم</w:t>
      </w:r>
      <w:r>
        <w:rPr>
          <w:rtl w:val="true"/>
        </w:rPr>
        <w:t>):</w:t>
      </w:r>
      <w:bookmarkEnd w:id="13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دیوار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הַכֹּתֶל הַמַּעֲרָבִי</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مقدس‌ترین مکان مذهبی یهودیان، مرکز تجمعات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گزارش‌ها و </w:t>
      </w:r>
      <w:bookmarkStart w:id="133" w:name="pg19225_246402"/>
    </w:p>
    <w:p>
      <w:pPr>
        <w:pStyle w:val="BookText"/>
        <w:rPr/>
      </w:pPr>
      <w:bookmarkEnd w:id="133"/>
      <w:r>
        <w:rPr>
          <w:rFonts w:ascii="IRNazanin" w:hAnsi="IRNazanin" w:eastAsia="IRNazanin"/>
          <w:color w:val="111111"/>
          <w:sz w:val="28"/>
          <w:sz w:val="28"/>
          <w:szCs w:val="28"/>
          <w:rtl w:val="true"/>
          <w:lang w:bidi="fa-IR"/>
        </w:rPr>
        <w:t>باورهای عامیانه حاکی از آن است که گروه‌های کابالیستی در خلوت و در نزدیکی این مکان به اجرای اعمال عرفانی خاص و طلسم‌های باستانی می‌پردازند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3791783_1280447820"/>
      <w:bookmarkStart w:id="135" w:name="_Toc51"/>
      <w:bookmarkEnd w:id="134"/>
      <w:r>
        <w:rPr>
          <w:rtl w:val="true"/>
        </w:rPr>
        <w:t>جمع بندی فصل دوم</w:t>
      </w:r>
      <w:r>
        <w:rPr>
          <w:rtl w:val="true"/>
        </w:rPr>
        <w:t>:</w:t>
      </w:r>
      <w:bookmarkEnd w:id="135"/>
    </w:p>
    <w:p>
      <w:pPr>
        <w:pStyle w:val="BookText"/>
        <w:rPr/>
      </w:pPr>
      <w:r>
        <w:rPr>
          <w:rFonts w:ascii="IRNazanin" w:hAnsi="IRNazanin" w:eastAsia="IRNazanin"/>
          <w:color w:val="111111"/>
          <w:sz w:val="28"/>
          <w:sz w:val="28"/>
          <w:szCs w:val="28"/>
          <w:rtl w:val="true"/>
          <w:lang w:bidi="fa-IR"/>
        </w:rPr>
        <w:t>این فصل، صهیونیسم را به عنوان یک ایدئولوژی سیاسی مدرن و سکولار که در قرن نوزدهم در اروپا ظهور کرد، از دین باستانی یهودیت کاملاً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انشعاباتی مانند صهیونیسم سیاسی، کارگری، مذهبی و فرهنگی، این جنبش بر چند اصل ایدئولوژیک مشترک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زندگی در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دیاسپورا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بازتعریف یهودیت به مثابه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پیوند تاریخی با سرزمین فلسطین، و تلاش برای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نوین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در ادامه به نقد کارکرد سیاسی صهیونیسم می‌پردازد و پیامدهای منفی آن را برای خود یهودیان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پیامدها شامل سه محور اصلی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گروگان‌گیری هویت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یکسان‌انگاری عمدی صهیونیسم با کل یهودیت که منجر به متهم کردن هر منتقد اسرائیل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ابزاری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کردن مفاهیم و روایات مقدس یهودی از محتوای معنوی و استفاده از آن‌ها برای مشروعیت‌بخشی به اهداف ناسیونالیستی و سرزمینی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سیستماتیک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تبعیض فرهنگی و اقتصادی علیه یهودیان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نخبگان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بنیان‌گذار این جنبش بودند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فصل تأکید می‌کند که برخلاف تصور رایج، مخالفت با صهیونیسم در میان خود یهودیان سابقه‌ای طولانی و ریشه‌دار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مخالفت‌ها از سوی دو گروه عمده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یهودی اولترا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ناتورای کارتا و ساتمار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علیه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گناهی بزرگ می‌دانند، و شخصیت‌های برجسته روشنفکر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آلبرت انیشتین و هانا آرنت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منظر اخلاقی و انسانی نسبت به ملی‌گرایی افراطی و پیامدهای آن هشدار داده‌اند</w:t>
      </w:r>
      <w:r>
        <w:rPr>
          <w:rFonts w:eastAsia="IRNazanin" w:cs="IRNazanin"/>
          <w:color w:val="111111"/>
          <w:sz w:val="28"/>
          <w:szCs w:val="28"/>
          <w:rtl w:val="true"/>
          <w:lang w:bidi="fa-IR"/>
        </w:rPr>
        <w:t xml:space="preserve">. </w:t>
      </w:r>
      <w:bookmarkStart w:id="136" w:name="pg19225_246404"/>
    </w:p>
    <w:p>
      <w:pPr>
        <w:pStyle w:val="Heading2"/>
        <w:numPr>
          <w:ilvl w:val="1"/>
          <w:numId w:val="1"/>
        </w:numPr>
        <w:rPr/>
      </w:pPr>
      <w:bookmarkStart w:id="137" w:name="__RefHeading___Toc13791785_1280447820"/>
      <w:bookmarkStart w:id="138" w:name="_Toc52"/>
      <w:bookmarkEnd w:id="136"/>
      <w:bookmarkEnd w:id="137"/>
      <w:r>
        <w:rPr/>
        <w:t>3</w:t>
      </w:r>
      <w:r>
        <w:rPr>
          <w:rtl w:val="true"/>
        </w:rPr>
        <w:t xml:space="preserve">- </w:t>
      </w:r>
      <w:r>
        <w:rPr>
          <w:rtl w:val="true"/>
        </w:rPr>
        <w:t xml:space="preserve">فصل سوم </w:t>
      </w:r>
      <w:r>
        <w:rPr>
          <w:rtl w:val="true"/>
        </w:rPr>
        <w:t xml:space="preserve">: </w:t>
      </w:r>
      <w:r>
        <w:rPr>
          <w:rtl w:val="true"/>
        </w:rPr>
        <w:t xml:space="preserve">عرفان یهودی </w:t>
      </w:r>
      <w:r>
        <w:rPr>
          <w:rtl w:val="true"/>
        </w:rPr>
        <w:t>(</w:t>
      </w:r>
      <w:r>
        <w:rPr>
          <w:rtl w:val="true"/>
        </w:rPr>
        <w:t>کابالا</w:t>
      </w:r>
      <w:r>
        <w:rPr>
          <w:rtl w:val="true"/>
        </w:rPr>
        <w:t xml:space="preserve">) </w:t>
      </w:r>
      <w:r>
        <w:rPr>
          <w:rtl w:val="true"/>
        </w:rPr>
        <w:t>و جادوگری</w:t>
      </w:r>
      <w:r>
        <w:rPr>
          <w:rtl w:val="true"/>
        </w:rPr>
        <w:t>:</w:t>
      </w:r>
      <w:bookmarkEnd w:id="138"/>
    </w:p>
    <w:p>
      <w:pPr>
        <w:pStyle w:val="Heading3"/>
        <w:numPr>
          <w:ilvl w:val="2"/>
          <w:numId w:val="1"/>
        </w:numPr>
        <w:rPr/>
      </w:pPr>
      <w:bookmarkStart w:id="139" w:name="__RefHeading___Toc13791787_1280447820"/>
      <w:bookmarkStart w:id="140" w:name="_Toc53"/>
      <w:bookmarkEnd w:id="139"/>
      <w:r>
        <w:rPr/>
        <w:t>1-3</w:t>
      </w:r>
      <w:r>
        <w:rPr>
          <w:rtl w:val="true"/>
        </w:rPr>
        <w:t xml:space="preserve">- </w:t>
      </w:r>
      <w:r>
        <w:rPr>
          <w:rtl w:val="true"/>
        </w:rPr>
        <w:t>نظریه عرفانی و عمل جادویی</w:t>
      </w:r>
      <w:r>
        <w:rPr>
          <w:rtl w:val="true"/>
        </w:rPr>
        <w:t>:</w:t>
      </w:r>
      <w:bookmarkEnd w:id="140"/>
    </w:p>
    <w:p>
      <w:pPr>
        <w:pStyle w:val="BookText"/>
        <w:rPr/>
      </w:pPr>
      <w:r>
        <w:rPr>
          <w:rFonts w:ascii="IRNazanin" w:hAnsi="IRNazanin" w:eastAsia="IRNazanin"/>
          <w:color w:val="111111"/>
          <w:sz w:val="28"/>
          <w:sz w:val="28"/>
          <w:szCs w:val="28"/>
          <w:rtl w:val="true"/>
          <w:lang w:bidi="fa-IR"/>
        </w:rPr>
        <w:t xml:space="preserve">کابالا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بنیاد خود یک نظام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در دین یهود است که به تأمل در باب ماهیت خداوند، اسرار خلقت، و معانی باطنی تورات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جنبه نظری همواره با یک بُعد عملی و جادویی در تنش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دوگانگی در متون اصلی کابالا نیز دیده می‌شود؛ به طوری که کتاب‌هایی مانند زوهر و سِفِر هَرازیم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مباحث عرفانی، حاوی دستورالعمل‌های روشن برای ساخت طلسم‌های حفاظتی یا حتی تخریبی هستند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پیوند میان عرفان و جادو به حدی است که امروزه در مراکز آکادمیک اسرائیل نیز مورد پژوهش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پروفسور رافائل کوهن آلماگور به تحلیل یکی از جنجالی‌ترین نمونه‌های عرفان عملی، یعنی 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پولسا دنورا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است</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طلسم که برای نابودی دشمنان به کار می‌رود، مستلزم گرد هم آمدن ده کابالیست است که با خواندن اوراد،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پس از ترور اسحاق رابین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که گفته می‌شد عاملان آن را اجرا کرده بودند، به شکل گسترده‌ای در رسانه‌ها مطرح شد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مدارسی برای آموزش عرفان عملی کابالا در شهرهایی چون صَفَد و اورشلیم، که در آن‌ها مباحث مربوط به طلسمات و احراز تدریس می‌شود، نشان‌دهنده نهادینه شدن این بُعد از کابالاست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این رویکرد همواره با مخالفت شدید جریان اصلی یهودیت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خاخام‌های ارتدوکس این اعمال را انحراف از مسیر اصلی کابالا و ورود به عرصه ممنوع جادوگری می‌دانند که صراحتاً در تورات نهی شده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41" w:name="pg19225_246406"/>
    </w:p>
    <w:p>
      <w:pPr>
        <w:pStyle w:val="BookText"/>
        <w:rPr/>
      </w:pPr>
      <w:bookmarkEnd w:id="141"/>
      <w:r>
        <w:rPr>
          <w:rFonts w:ascii="IRNazanin" w:hAnsi="IRNazanin" w:eastAsia="IRNazanin"/>
          <w:color w:val="111111"/>
          <w:sz w:val="28"/>
          <w:sz w:val="28"/>
          <w:szCs w:val="28"/>
          <w:rtl w:val="true"/>
          <w:lang w:bidi="fa-IR"/>
        </w:rPr>
        <w:t>در نهایت، گرچه اسرائیل یک کشور مدرن است، اما این فعالیت‌های سحرآمیز عمدتاً در محافل خاص و گروه‌های افراطی مذهبی رواج دارد و از سوی نهادهای رسمی یهودیت تکذیب می‌شود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3791789_1280447820"/>
      <w:bookmarkStart w:id="143" w:name="_Toc54"/>
      <w:bookmarkEnd w:id="142"/>
      <w:r>
        <w:rPr/>
        <w:t>2-3</w:t>
      </w:r>
      <w:r>
        <w:rPr>
          <w:rtl w:val="true"/>
        </w:rPr>
        <w:t xml:space="preserve">- </w:t>
      </w:r>
      <w:r>
        <w:rPr>
          <w:rtl w:val="true"/>
        </w:rPr>
        <w:t>احضار ارواح در آیین یهود</w:t>
      </w:r>
      <w:r>
        <w:rPr>
          <w:rtl w:val="true"/>
        </w:rPr>
        <w:t>:</w:t>
      </w:r>
      <w:bookmarkEnd w:id="143"/>
    </w:p>
    <w:p>
      <w:pPr>
        <w:pStyle w:val="BookText"/>
        <w:rPr/>
      </w:pPr>
      <w:r>
        <w:rPr>
          <w:rFonts w:ascii="IRNazanin" w:hAnsi="IRNazanin" w:eastAsia="IRNazanin"/>
          <w:color w:val="111111"/>
          <w:sz w:val="28"/>
          <w:sz w:val="28"/>
          <w:szCs w:val="28"/>
          <w:rtl w:val="true"/>
          <w:lang w:bidi="fa-IR"/>
        </w:rPr>
        <w:t>احضار ارواح در سنت یهودی با محدودیت‌های شدید شرعی و تاریخی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معتبر یهودی آن را ممنوع و حرام می‌دانند، هرچند برخی روایات و افسانه‌ها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دقیق آن با ذکر منابع می‌پردازیم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شرعی احضار ارواح 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صراحت این عمل را در کنار سایر اعمال جادوگرانه ممنوع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تو کسی یافت نشود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مردگان سؤال کند، زیرا هر که این کار را کند نزد خداوند مکروه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آیات احضار ارواح را در ردیف جادو و فالگیری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شائول و زن غیبگو</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مشهورترین روایات تنخ، شائول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نبرد با فلسطینیان، روح سموئیل نبی را توسط زنی در عین دور احضار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 از این عمل خشمگین شده و شائول به دلیل این کار مورد لعنت قرار می‌گیرد</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وضوح نشان می‌دهد که احضار روح یک عمل حرام قطعی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دو بخش که در ظاهر متناقض به نظر می‌رسند، در واقع دو روی یک سکه در سنت یهودی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آن‌ها را در یک متن یکپارچه ادغام کرد تا این تنش و پیچیدگی را به خوبی نشان دهد</w:t>
      </w:r>
      <w:r>
        <w:rPr>
          <w:rFonts w:eastAsia="IRNazanin" w:cs="IRNazanin"/>
          <w:color w:val="111111"/>
          <w:sz w:val="28"/>
          <w:szCs w:val="28"/>
          <w:rtl w:val="true"/>
          <w:lang w:bidi="fa-IR"/>
        </w:rPr>
        <w:t xml:space="preserve">. </w:t>
      </w:r>
      <w:bookmarkStart w:id="144" w:name="pg19225_246408"/>
    </w:p>
    <w:p>
      <w:pPr>
        <w:pStyle w:val="Heading3"/>
        <w:numPr>
          <w:ilvl w:val="2"/>
          <w:numId w:val="1"/>
        </w:numPr>
        <w:rPr/>
      </w:pPr>
      <w:bookmarkStart w:id="145" w:name="__RefHeading___Toc13791791_1280447820"/>
      <w:bookmarkStart w:id="146" w:name="_Toc55"/>
      <w:bookmarkEnd w:id="144"/>
      <w:bookmarkEnd w:id="145"/>
      <w:r>
        <w:rPr/>
        <w:t>3-3</w:t>
      </w:r>
      <w:r>
        <w:rPr>
          <w:rtl w:val="true"/>
        </w:rPr>
        <w:t xml:space="preserve">- </w:t>
      </w:r>
      <w:r>
        <w:rPr>
          <w:rtl w:val="true"/>
        </w:rPr>
        <w:t>دوگانگی نگرش به جادو در یهودیت</w:t>
      </w:r>
      <w:r>
        <w:rPr>
          <w:rtl w:val="true"/>
        </w:rPr>
        <w:t>:</w:t>
      </w:r>
      <w:bookmarkEnd w:id="146"/>
    </w:p>
    <w:p>
      <w:pPr>
        <w:pStyle w:val="Heading4"/>
        <w:numPr>
          <w:ilvl w:val="3"/>
          <w:numId w:val="1"/>
        </w:numPr>
        <w:rPr/>
      </w:pPr>
      <w:bookmarkStart w:id="147" w:name="__RefHeading___Toc13791793_1280447820"/>
      <w:bookmarkStart w:id="148" w:name="_Toc56"/>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شریعت یهود، با استناد به متون مقدس تورات، حصاری استوار در برابر هرگونه جادوگری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رسمی دین، ممنوعیتی قاطع و روشن است که در قوانین کلیدی آن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نه تنها این اعمال را منع می‌کند، بلکه برای عاملان آن مجازات‌های سنگینی نیز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بنیادین، این نگرش سخت‌گیرانه را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خروج با صراحتی بی‌نظیر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جادوگر را زنده مگذار</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لاویان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فالگیری و غیب‌گویی نکنید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کتاب با شدیدترین لحن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زنی که صاحب اجنه یا جادوگر باشد، البته کشته شود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تثنیه نیز فهرست جامعی از اعمال ممنوعه ارائه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کسی یافت نشود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فالگیر، غیب‌گو، رمال یا جادوگر باشد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در کنار این ممنوعیت‌های صریح شرعی، یک سنت موازی و ریشه‌دار در زندگی روزمره یهودیان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طلسم‌ها این ابزارها که با هدف حفاظت از شر، دفع چشم زخم یا جلب برکت الهی به کار می‌روند، مرز باریکی میان جادوی ممنوع و دعای مشروع ایجاد می‌کنند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شرح داده شد،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جادوگری را به شدت منع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ابزاری برای جلب حفاظت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که قدرت خود را نه </w:t>
      </w:r>
      <w:bookmarkStart w:id="149" w:name="pg19225_246410"/>
    </w:p>
    <w:p>
      <w:pPr>
        <w:pStyle w:val="BookText"/>
        <w:rPr/>
      </w:pPr>
      <w:bookmarkEnd w:id="149"/>
      <w:r>
        <w:rPr>
          <w:rFonts w:ascii="IRNazanin" w:hAnsi="IRNazanin" w:eastAsia="IRNazanin"/>
          <w:color w:val="111111"/>
          <w:sz w:val="28"/>
          <w:sz w:val="28"/>
          <w:szCs w:val="28"/>
          <w:rtl w:val="true"/>
          <w:lang w:bidi="fa-IR"/>
        </w:rPr>
        <w:t>قداست و نمادهای کابالایی بلکه از از سحر ممنوع، ، می‌گیرد، در قالب اشیاء و حرزهای گوناگونی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معرفی مهم‌ترین و رایج‌ترین این طلسمات و احرا در سنت یهودی می‌پردازیم</w:t>
      </w:r>
      <w:r>
        <w:rPr>
          <w:rFonts w:eastAsia="IRNazanin" w:cs="IRNazanin"/>
          <w:color w:val="111111"/>
          <w:sz w:val="28"/>
          <w:szCs w:val="28"/>
          <w:rtl w:val="true"/>
          <w:lang w:bidi="fa-IR"/>
        </w:rPr>
        <w:t>:</w:t>
      </w:r>
    </w:p>
    <w:p>
      <w:pPr>
        <w:pStyle w:val="Heading4"/>
        <w:numPr>
          <w:ilvl w:val="3"/>
          <w:numId w:val="1"/>
        </w:numPr>
        <w:rPr/>
      </w:pPr>
      <w:bookmarkStart w:id="150" w:name="__RefHeading___Toc13791795_1280447820"/>
      <w:bookmarkStart w:id="151" w:name="_Toc57"/>
      <w:bookmarkEnd w:id="150"/>
      <w:r>
        <w:rPr/>
        <w:t>1-3-3</w:t>
      </w:r>
      <w:r>
        <w:rPr>
          <w:rtl w:val="true"/>
        </w:rPr>
        <w:t xml:space="preserve">- </w:t>
      </w:r>
      <w:r>
        <w:rPr>
          <w:rtl w:val="true"/>
        </w:rPr>
        <w:t xml:space="preserve">حمسا </w:t>
      </w:r>
      <w:r>
        <w:rPr>
          <w:rtl w:val="true"/>
        </w:rPr>
        <w:t xml:space="preserve">- </w:t>
      </w:r>
      <w:r>
        <w:rPr>
          <w:rtl w:val="true"/>
        </w:rPr>
        <w:t>دست پنجه‌دار</w:t>
      </w:r>
      <w:r>
        <w:rPr>
          <w:rtl w:val="true"/>
        </w:rPr>
        <w:t>:</w:t>
      </w:r>
      <w:bookmarkEnd w:id="1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از یک دست با پنج انگشت، که اغلب یک چشم در مرکز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برای دفع چشم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עין הרע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این نماد، که در فرهنگ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مشهور است، به دوران باستان در خاورمیانه بازمی‌گردد و بعدها توسط جوامع یهودیان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گسترده‌ای به کار گرفته شد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52" w:name="pg19225_246411"/>
    </w:p>
    <w:p>
      <w:pPr>
        <w:pStyle w:val="BookText"/>
        <w:rPr/>
      </w:pPr>
      <w:bookmarkEnd w:id="15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81400" cy="4622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3581280" cy="4622760"/>
                        </a:xfrm>
                        <a:prstGeom prst="rect">
                          <a:avLst/>
                        </a:prstGeom>
                        <a:ln w="0">
                          <a:noFill/>
                        </a:ln>
                      </pic:spPr>
                    </pic:pic>
                  </a:graphicData>
                </a:graphic>
              </wp:inline>
            </w:drawing>
          </mc:Choice>
          <mc:Fallback>
            <w:pict>
              <v:shape id="shape_0" stroked="f" o:allowincell="f" style="position:absolute;margin-left:0pt;margin-top:-364.05pt;width:281.95pt;height:363.95pt;mso-wrap-style:none;v-text-anchor:middle;mso-position-horizontal:left;mso-position-vertical:top" type="_x0000_t75">
                <v:imagedata r:id="rId64" o:detectmouseclick="t"/>
                <v:stroke color="#3465a4" joinstyle="round" endcap="flat"/>
                <w10:wrap type="none"/>
              </v:shape>
            </w:pict>
          </mc:Fallback>
        </mc:AlternateContent>
      </w:r>
    </w:p>
    <w:p>
      <w:pPr>
        <w:pStyle w:val="Heading4"/>
        <w:numPr>
          <w:ilvl w:val="3"/>
          <w:numId w:val="1"/>
        </w:numPr>
        <w:rPr/>
      </w:pPr>
      <w:bookmarkStart w:id="153" w:name="__RefHeading___Toc13791797_1280447820"/>
      <w:bookmarkStart w:id="154" w:name="_Toc58"/>
      <w:bookmarkEnd w:id="153"/>
      <w:r>
        <w:rPr/>
        <w:t>2-3-3</w:t>
      </w:r>
      <w:r>
        <w:rPr>
          <w:rtl w:val="true"/>
        </w:rPr>
        <w:t xml:space="preserve">- </w:t>
      </w:r>
      <w:r>
        <w:rPr>
          <w:rtl w:val="true"/>
        </w:rPr>
        <w:t xml:space="preserve">طلسم مَگِن داوید </w:t>
      </w:r>
      <w:r>
        <w:rPr>
          <w:rtl w:val="true"/>
        </w:rPr>
        <w:t>(</w:t>
      </w:r>
      <w:r>
        <w:rPr/>
        <w:t>Magen David</w:t>
      </w:r>
      <w:r>
        <w:rPr>
          <w:rtl w:val="true"/>
        </w:rPr>
        <w:t xml:space="preserve"> - </w:t>
      </w:r>
      <w:r>
        <w:rPr>
          <w:rtl w:val="true"/>
        </w:rPr>
        <w:t>ستاره داوود</w:t>
      </w:r>
      <w:r>
        <w:rPr>
          <w:rtl w:val="true"/>
        </w:rPr>
        <w:t>):</w:t>
      </w:r>
      <w:bookmarkEnd w:id="1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مثلث متساوی‌الاضلاع که در هم تنیده‌اند و ستاره‌ای شش‌پر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کابالایی، این نماد به عنوان سپر محافظ الهی در برابر نیروهای شر شناخته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نماد قدمت بیشتری دارد، اما استفاده گسترده از آن به عنوان نماد هویتی و حفاظتی یهودی به قرون وسطی بازمی‌گردد</w:t>
      </w:r>
      <w:r>
        <w:rPr>
          <w:rFonts w:eastAsia="IRNazanin" w:cs="IRNazanin"/>
          <w:color w:val="111111"/>
          <w:sz w:val="28"/>
          <w:szCs w:val="28"/>
          <w:rtl w:val="true"/>
          <w:lang w:bidi="fa-IR"/>
        </w:rPr>
        <w:t>.</w:t>
      </w:r>
      <w:r>
        <w:rPr>
          <w:rStyle w:val="FootnoteAnchor"/>
          <w:rtl w:val="true"/>
        </w:rPr>
        <w:footnoteReference w:id="72"/>
      </w:r>
      <w:bookmarkStart w:id="155" w:name="pg19225_246412"/>
    </w:p>
    <w:p>
      <w:pPr>
        <w:pStyle w:val="BookText"/>
        <w:rPr/>
      </w:pPr>
      <w:bookmarkEnd w:id="15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57500" cy="2857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6"/>
                        <a:stretch/>
                      </pic:blipFill>
                      <pic:spPr>
                        <a:xfrm>
                          <a:off x="0" y="0"/>
                          <a:ext cx="2857680" cy="2857680"/>
                        </a:xfrm>
                        <a:prstGeom prst="rect">
                          <a:avLst/>
                        </a:prstGeom>
                        <a:ln w="0">
                          <a:noFill/>
                        </a:ln>
                      </pic:spPr>
                    </pic:pic>
                  </a:graphicData>
                </a:graphic>
              </wp:inline>
            </w:drawing>
          </mc:Choice>
          <mc:Fallback>
            <w:pict>
              <v:shape id="shape_0" stroked="f" o:allowincell="f" style="position:absolute;margin-left:0pt;margin-top:-225.05pt;width:224.95pt;height:224.95pt;mso-wrap-style:none;v-text-anchor:middle;mso-position-horizontal:left;mso-position-vertical:top" type="_x0000_t75">
                <v:imagedata r:id="rId67" o:detectmouseclick="t"/>
                <v:stroke color="#3465a4" joinstyle="round" endcap="flat"/>
                <w10:wrap type="none"/>
              </v:shape>
            </w:pict>
          </mc:Fallback>
        </mc:AlternateContent>
      </w:r>
    </w:p>
    <w:p>
      <w:pPr>
        <w:pStyle w:val="Heading4"/>
        <w:numPr>
          <w:ilvl w:val="3"/>
          <w:numId w:val="1"/>
        </w:numPr>
        <w:rPr/>
      </w:pPr>
      <w:bookmarkStart w:id="156" w:name="__RefHeading___Toc13791799_1280447820"/>
      <w:bookmarkStart w:id="157" w:name="_Toc59"/>
      <w:bookmarkEnd w:id="156"/>
      <w:r>
        <w:rPr/>
        <w:t>3-3-3</w:t>
      </w:r>
      <w:r>
        <w:rPr>
          <w:rtl w:val="true"/>
        </w:rPr>
        <w:t xml:space="preserve">- </w:t>
      </w:r>
      <w:r>
        <w:rPr>
          <w:rtl w:val="true"/>
        </w:rPr>
        <w:t xml:space="preserve">طلسم شَدای </w:t>
      </w:r>
      <w:r>
        <w:rPr>
          <w:rtl w:val="true"/>
        </w:rPr>
        <w:t>(</w:t>
      </w:r>
      <w:r>
        <w:rPr/>
        <w:t>Shaddai</w:t>
      </w:r>
      <w:r>
        <w:rPr>
          <w:rtl w:val="true"/>
        </w:rPr>
        <w:t xml:space="preserve"> - </w:t>
      </w:r>
      <w:r>
        <w:rPr>
          <w:rtl w:val="true"/>
        </w:rPr>
        <w:t>از نام‌های الهی</w:t>
      </w:r>
      <w:r>
        <w:rPr>
          <w:rtl w:val="true"/>
        </w:rPr>
        <w:t>)</w:t>
      </w:r>
      <w:bookmarkEnd w:id="1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عبری שדי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شَدای، به معنای قادر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فلز، سنگ یا چرم حکاکی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محافظت فردی یا محافظت از خانه در برابر ارواح شرور و خطرات به کار می‌رود و اغلب روی درگاه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مزوزا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گردن‌آویز استفاده می‌شود</w:t>
      </w:r>
      <w:r>
        <w:rPr>
          <w:rFonts w:eastAsia="IRNazanin" w:cs="IRNazanin"/>
          <w:color w:val="111111"/>
          <w:sz w:val="28"/>
          <w:szCs w:val="28"/>
          <w:rtl w:val="true"/>
          <w:lang w:bidi="fa-IR"/>
        </w:rPr>
        <w:t xml:space="preserve">. </w:t>
      </w:r>
      <w:bookmarkStart w:id="158" w:name="pg19225_246413"/>
    </w:p>
    <w:p>
      <w:pPr>
        <w:pStyle w:val="BookText"/>
        <w:rPr/>
      </w:pPr>
      <w:bookmarkEnd w:id="1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باور در اهمیت نام‌های الهی در تورات و تلمود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تلمود اشاره شده که نام‌های خدا قدرت حفاظتی دارند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57500" cy="2857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9"/>
                        <a:stretch/>
                      </pic:blipFill>
                      <pic:spPr>
                        <a:xfrm>
                          <a:off x="0" y="0"/>
                          <a:ext cx="2857680" cy="2857680"/>
                        </a:xfrm>
                        <a:prstGeom prst="rect">
                          <a:avLst/>
                        </a:prstGeom>
                        <a:ln w="0">
                          <a:noFill/>
                        </a:ln>
                      </pic:spPr>
                    </pic:pic>
                  </a:graphicData>
                </a:graphic>
              </wp:inline>
            </w:drawing>
          </mc:Choice>
          <mc:Fallback>
            <w:pict>
              <v:shape id="shape_0" stroked="f" o:allowincell="f" style="position:absolute;margin-left:0pt;margin-top:-225.05pt;width:224.95pt;height:224.95pt;mso-wrap-style:none;v-text-anchor:middle;mso-position-horizontal:left;mso-position-vertical:top" type="_x0000_t75">
                <v:imagedata r:id="rId70" o:detectmouseclick="t"/>
                <v:stroke color="#3465a4" joinstyle="round" endcap="flat"/>
                <w10:wrap type="none"/>
              </v:shape>
            </w:pict>
          </mc:Fallback>
        </mc:AlternateContent>
      </w:r>
    </w:p>
    <w:p>
      <w:pPr>
        <w:pStyle w:val="Heading4"/>
        <w:numPr>
          <w:ilvl w:val="3"/>
          <w:numId w:val="1"/>
        </w:numPr>
        <w:rPr/>
      </w:pPr>
      <w:bookmarkStart w:id="159" w:name="__RefHeading___Toc13791801_1280447820"/>
      <w:bookmarkStart w:id="160" w:name="_Toc60"/>
      <w:bookmarkEnd w:id="159"/>
      <w:r>
        <w:rPr/>
        <w:t>4-3-3</w:t>
      </w:r>
      <w:r>
        <w:rPr>
          <w:rtl w:val="true"/>
        </w:rPr>
        <w:t xml:space="preserve">- </w:t>
      </w:r>
      <w:r>
        <w:rPr>
          <w:rtl w:val="true"/>
        </w:rPr>
        <w:t>طلسم برای زنان باردار</w:t>
      </w:r>
      <w:r>
        <w:rPr>
          <w:rtl w:val="true"/>
        </w:rPr>
        <w:t>:</w:t>
      </w:r>
      <w:bookmarkEnd w:id="1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یا تعویذی حاوی آیات خاصی از تورات و نام‌های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میکائیل، گبریل و رافائل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محافظت از مادر و جنین در طول دوره بارداری و هنگام زایمان در برابر خطرات، به‌ویژه خطر لیلیت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خبیث</w:t>
      </w:r>
      <w:r>
        <w:rPr>
          <w:rFonts w:eastAsia="IRNazanin" w:cs="IRNazanin"/>
          <w:color w:val="111111"/>
          <w:sz w:val="28"/>
          <w:szCs w:val="28"/>
          <w:rtl w:val="true"/>
          <w:lang w:bidi="fa-IR"/>
        </w:rPr>
        <w:t xml:space="preserve">). </w:t>
      </w:r>
      <w:bookmarkStart w:id="161" w:name="pg19225_246414"/>
    </w:p>
    <w:p>
      <w:pPr>
        <w:pStyle w:val="BookText"/>
        <w:rPr/>
      </w:pPr>
      <w:bookmarkEnd w:id="1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طلسم‌ها در متون کابالایی متأخر، به‌ویژه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رازیئل هَمَلاخ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فرشته رازیئل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مجموعه‌ای از متون عرفانی و جادویی است، به تفصیل شرح داده شده‌اند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95600" cy="2806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2"/>
                        <a:stretch/>
                      </pic:blipFill>
                      <pic:spPr>
                        <a:xfrm>
                          <a:off x="0" y="0"/>
                          <a:ext cx="2895480" cy="2806560"/>
                        </a:xfrm>
                        <a:prstGeom prst="rect">
                          <a:avLst/>
                        </a:prstGeom>
                        <a:ln w="0">
                          <a:noFill/>
                        </a:ln>
                      </pic:spPr>
                    </pic:pic>
                  </a:graphicData>
                </a:graphic>
              </wp:inline>
            </w:drawing>
          </mc:Choice>
          <mc:Fallback>
            <w:pict>
              <v:shape id="shape_0" stroked="f" o:allowincell="f" style="position:absolute;margin-left:0pt;margin-top:-221.05pt;width:227.95pt;height:220.95pt;mso-wrap-style:none;v-text-anchor:middle;mso-position-horizontal:left;mso-position-vertical:top" type="_x0000_t75">
                <v:imagedata r:id="rId73" o:detectmouseclick="t"/>
                <v:stroke color="#3465a4" joinstyle="round" endcap="flat"/>
                <w10:wrap type="none"/>
              </v:shape>
            </w:pict>
          </mc:Fallback>
        </mc:AlternateContent>
      </w:r>
    </w:p>
    <w:p>
      <w:pPr>
        <w:pStyle w:val="Heading4"/>
        <w:numPr>
          <w:ilvl w:val="3"/>
          <w:numId w:val="1"/>
        </w:numPr>
        <w:rPr/>
      </w:pPr>
      <w:bookmarkStart w:id="162" w:name="__RefHeading___Toc13791803_1280447820"/>
      <w:bookmarkStart w:id="163" w:name="_Toc61"/>
      <w:bookmarkEnd w:id="162"/>
      <w:r>
        <w:rPr/>
        <w:t>5-3-3</w:t>
      </w:r>
      <w:r>
        <w:rPr>
          <w:rtl w:val="true"/>
        </w:rPr>
        <w:t xml:space="preserve">- </w:t>
      </w:r>
      <w:r>
        <w:rPr>
          <w:rtl w:val="true"/>
        </w:rPr>
        <w:t xml:space="preserve">طلسم حای </w:t>
      </w:r>
      <w:r>
        <w:rPr>
          <w:rtl w:val="true"/>
        </w:rPr>
        <w:t>(</w:t>
      </w:r>
      <w:r>
        <w:rPr/>
        <w:t>Chai</w:t>
      </w:r>
      <w:r>
        <w:rPr>
          <w:rtl w:val="true"/>
        </w:rPr>
        <w:t xml:space="preserve"> - </w:t>
      </w:r>
      <w:r>
        <w:rPr>
          <w:rtl w:val="true"/>
        </w:rPr>
        <w:t>حیات</w:t>
      </w:r>
      <w:r>
        <w:rPr>
          <w:rtl w:val="true"/>
        </w:rPr>
        <w:t>)</w:t>
      </w:r>
      <w:bookmarkEnd w:id="1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عبری חי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نه یک طلسم جادویی، بلکه نمادی برای آرزوی زندگی طولانی، سلامتی و برکت است</w:t>
      </w:r>
      <w:r>
        <w:rPr>
          <w:rFonts w:eastAsia="IRNazanin" w:cs="IRNazanin"/>
          <w:color w:val="111111"/>
          <w:sz w:val="28"/>
          <w:szCs w:val="28"/>
          <w:rtl w:val="true"/>
          <w:lang w:bidi="fa-IR"/>
        </w:rPr>
        <w:t xml:space="preserve">. </w:t>
      </w:r>
      <w:bookmarkStart w:id="164" w:name="pg19225_246415"/>
    </w:p>
    <w:p>
      <w:pPr>
        <w:pStyle w:val="BookText"/>
        <w:rPr/>
      </w:pPr>
      <w:bookmarkEnd w:id="1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گماتریا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عبری 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عددی مقدس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نماد در فرهنگ یهودیان اشکنازی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 و امروزه به طور گسترده استفاده می‌شود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34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6" o:detectmouseclick="t"/>
                <v:stroke color="#3465a4" joinstyle="round" endcap="flat"/>
                <w10:wrap type="none"/>
              </v:shape>
            </w:pict>
          </mc:Fallback>
        </mc:AlternateContent>
      </w:r>
    </w:p>
    <w:p>
      <w:pPr>
        <w:pStyle w:val="Heading4"/>
        <w:numPr>
          <w:ilvl w:val="3"/>
          <w:numId w:val="1"/>
        </w:numPr>
        <w:rPr/>
      </w:pPr>
      <w:bookmarkStart w:id="165" w:name="__RefHeading___Toc13791805_1280447820"/>
      <w:bookmarkStart w:id="166" w:name="_Toc62"/>
      <w:bookmarkEnd w:id="165"/>
      <w:r>
        <w:rPr/>
        <w:t>6-3-3</w:t>
      </w:r>
      <w:r>
        <w:rPr>
          <w:rtl w:val="true"/>
        </w:rPr>
        <w:t xml:space="preserve">- </w:t>
      </w:r>
      <w:r>
        <w:rPr>
          <w:rtl w:val="true"/>
        </w:rPr>
        <w:t xml:space="preserve">طلسم مربع جادویی </w:t>
      </w:r>
      <w:r>
        <w:rPr>
          <w:rtl w:val="true"/>
        </w:rPr>
        <w:t>(</w:t>
      </w:r>
      <w:r>
        <w:rPr/>
        <w:t>Kamea</w:t>
      </w:r>
      <w:r>
        <w:rPr>
          <w:rtl w:val="true"/>
        </w:rPr>
        <w:t>)</w:t>
      </w:r>
      <w:bookmarkEnd w:id="16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مربع‌های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مربع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 اعداد در هر سطر، ستون و قطر آن یکسان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کابالای عملی، هر مربع به یکی از سیارات نسبت داده شده و برای جذب انرژی‌های کیهانی و رسیدن به اهداف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ثروت یا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مربع‌ها در متون عرفانی باستانی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یصیرا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ارتباط اعداد و نیروهای کیهانی می‌پردازد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عکس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8"/>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79" o:detectmouseclick="t"/>
                <v:stroke color="#3465a4" joinstyle="round" endcap="flat"/>
                <w10:wrap type="none"/>
              </v:shape>
            </w:pict>
          </mc:Fallback>
        </mc:AlternateContent>
      </w:r>
      <w:bookmarkStart w:id="167" w:name="pg19225_246417"/>
    </w:p>
    <w:p>
      <w:pPr>
        <w:pStyle w:val="Heading4"/>
        <w:numPr>
          <w:ilvl w:val="3"/>
          <w:numId w:val="1"/>
        </w:numPr>
        <w:rPr/>
      </w:pPr>
      <w:bookmarkStart w:id="168" w:name="__RefHeading___Toc13791807_1280447820"/>
      <w:bookmarkStart w:id="169" w:name="_Toc63"/>
      <w:bookmarkEnd w:id="167"/>
      <w:bookmarkEnd w:id="168"/>
      <w:r>
        <w:rPr/>
        <w:t>7-3-3</w:t>
      </w:r>
      <w:r>
        <w:rPr>
          <w:rtl w:val="true"/>
        </w:rPr>
        <w:t xml:space="preserve">- </w:t>
      </w:r>
      <w:r>
        <w:rPr>
          <w:rtl w:val="true"/>
        </w:rPr>
        <w:t xml:space="preserve">طَلِسْمِ مِزوزا </w:t>
      </w:r>
      <w:r>
        <w:rPr>
          <w:rtl w:val="true"/>
        </w:rPr>
        <w:t>(</w:t>
      </w:r>
      <w:r>
        <w:rPr/>
        <w:t>Mezuzah</w:t>
      </w:r>
      <w:r>
        <w:rPr>
          <w:rtl w:val="true"/>
        </w:rPr>
        <w:t>)</w:t>
      </w:r>
      <w:bookmarkEnd w:id="169"/>
    </w:p>
    <w:p>
      <w:pPr>
        <w:pStyle w:val="BookText"/>
        <w:rPr/>
      </w:pPr>
      <w:r>
        <w:rPr>
          <w:rFonts w:ascii="IRNazanin" w:hAnsi="IRNazanin" w:eastAsia="IRNazanin"/>
          <w:color w:val="111111"/>
          <w:sz w:val="28"/>
          <w:sz w:val="28"/>
          <w:szCs w:val="28"/>
          <w:rtl w:val="true"/>
          <w:lang w:bidi="fa-IR"/>
        </w:rPr>
        <w:t>مِزوزا یکی از نمادهای مهم در آیین یهود است که بر اساس دستورات تورات بر سر درب خانه‌ها و ساختمان‌های یهودی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شیء بیشتر جنبه حفاظتی و مذهبی دارد و در عرفان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اهمیت ویژه‌ای داده شده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33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1"/>
                        <a:stretch/>
                      </pic:blipFill>
                      <pic:spPr>
                        <a:xfrm>
                          <a:off x="0" y="0"/>
                          <a:ext cx="5334120" cy="4533840"/>
                        </a:xfrm>
                        <a:prstGeom prst="rect">
                          <a:avLst/>
                        </a:prstGeom>
                        <a:ln w="0">
                          <a:noFill/>
                        </a:ln>
                      </pic:spPr>
                    </pic:pic>
                  </a:graphicData>
                </a:graphic>
              </wp:inline>
            </w:drawing>
          </mc:Choice>
          <mc:Fallback>
            <w:pict>
              <v:shape id="shape_0" stroked="f" o:allowincell="f" style="position:absolute;margin-left:0pt;margin-top:-357.05pt;width:419.95pt;height:356.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طلسم مزوزا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پارچۀ پوست حیوان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دو بخش مهم از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وهایا ایم شاموعا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یک کاتب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סופר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مرکب مخصوص نوشته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نوشته‌شده را داخل محفظه‌ای از جنس چوب، فلز یا پلاستیک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محفظه، حرف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نام خداوند، شَدای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روی چهارچوبِ سمت راستِ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فردی که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زاویه‌ای مایل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شرایط رعایت نشود، از نظر شرعی فاقد اعتبار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جادویی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خاخام‌های ارتدوکس استفاده از آن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 جادویی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را رد کرده و بر جنبه دینی و یادآوری عهد با خدا تأکید می‌کنند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مزوزا از نگاه یهودیت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باور یهودیان، مزوزا مانند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و خانه را از شرّ ارواح خبیثه و بلایا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کابالایی مانند زوهر آمده که مزوزا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ورود نیروهای منفی به خانه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به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داخل مزوزا شامل آیاتی است که به یگانگی خدا و لزوم اطاعت از فرامین او اشاره دارد و هر ورود و خروج را به یک یادآوری دینی تبدیل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هویت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مزوزا بر درب خانه، نشان‌دهنده تعلق ساکنان به آیین و فرهنگ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یهودی، مزوزا نه فقط یک شیء فیزیکی، بلکه ابزاری برای جذب انرژی‌های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ارتباطی بین دنیای مادی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مزوزا در زندگی مدرن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حتی یهودیان غیرمذهبی نیز به دلایل فرهنگی و سنتی مزوزا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 مزوزا بر درب تمام ساختمان‌های دولتی، مدارس و سربازخانه‌ها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مزوزا بیشتر یک نماد </w:t>
      </w:r>
      <w:bookmarkStart w:id="170" w:name="pg19225_246420"/>
    </w:p>
    <w:p>
      <w:pPr>
        <w:pStyle w:val="BookText"/>
        <w:rPr/>
      </w:pPr>
      <w:bookmarkEnd w:id="170"/>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فرهنگی است، اما در باورهای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نقش حفاظتی ماورایی نیز نسبت داده می‌شود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71" w:name="__RefHeading___Toc13791809_1280447820"/>
      <w:bookmarkStart w:id="172" w:name="_Toc64"/>
      <w:bookmarkEnd w:id="171"/>
      <w:r>
        <w:rPr/>
        <w:t>4-3</w:t>
      </w:r>
      <w:r>
        <w:rPr>
          <w:rtl w:val="true"/>
        </w:rPr>
        <w:t xml:space="preserve">- </w:t>
      </w:r>
      <w:r>
        <w:rPr>
          <w:rtl w:val="true"/>
        </w:rPr>
        <w:t>مشهورترین حرزهای یهودی</w:t>
      </w:r>
      <w:r>
        <w:rPr>
          <w:rtl w:val="true"/>
        </w:rPr>
        <w:t>:</w:t>
      </w:r>
      <w:bookmarkEnd w:id="172"/>
    </w:p>
    <w:p>
      <w:pPr>
        <w:pStyle w:val="Heading4"/>
        <w:numPr>
          <w:ilvl w:val="3"/>
          <w:numId w:val="1"/>
        </w:numPr>
        <w:rPr/>
      </w:pPr>
      <w:bookmarkStart w:id="173" w:name="__RefHeading___Toc13791811_1280447820"/>
      <w:bookmarkStart w:id="174" w:name="_Toc65"/>
      <w:bookmarkEnd w:id="173"/>
      <w:r>
        <w:rPr>
          <w:rtl w:val="true"/>
        </w:rPr>
        <w:t>اشاره</w:t>
      </w:r>
      <w:bookmarkEnd w:id="17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پیوند مفهومی و کارکردی نزدیک میان طلسم و حرز، و به منظور ارائه تصویری جامع از ابزارهای حفاظتی در سنت یهودی، ضروری است که بخشی مجزا نیز به بررسی انواع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קמיע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در اصل، ابزاری فیزیکی است که قدرت خود را نه از نمادهای جادویی صِرف، بلکه از قداست کلام الهی، آیات تورات و نام‌های مقدس خداوند که بر آن نوشته می‌شود،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نگرش، متن مقدس خود به سپری محافظ در برابر شر، بیماری و چشم‌زخم بدل می‌گردد و به همین دلیل، اعتبار و تأثیر بسیاری از این حرزها، به نوشته شدن آن‌ها توسط کاتبان 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رعایت آداب دقیق بستگی دارد</w:t>
      </w:r>
      <w:r>
        <w:rPr>
          <w:rFonts w:eastAsia="IRNazanin" w:cs="IRNazanin"/>
          <w:color w:val="111111"/>
          <w:sz w:val="28"/>
          <w:szCs w:val="28"/>
          <w:rtl w:val="true"/>
          <w:lang w:bidi="fa-IR"/>
        </w:rPr>
        <w:t xml:space="preserve">. </w:t>
      </w:r>
      <w:bookmarkStart w:id="175" w:name="pg19225_246421"/>
    </w:p>
    <w:p>
      <w:pPr>
        <w:pStyle w:val="BookText"/>
        <w:rPr/>
      </w:pPr>
      <w:bookmarkEnd w:id="175"/>
      <w:r>
        <w:rPr>
          <w:rFonts w:ascii="IRNazanin" w:hAnsi="IRNazanin" w:eastAsia="IRNazanin"/>
          <w:color w:val="111111"/>
          <w:sz w:val="28"/>
          <w:sz w:val="28"/>
          <w:szCs w:val="28"/>
          <w:rtl w:val="true"/>
          <w:lang w:bidi="fa-IR"/>
        </w:rPr>
        <w:t xml:space="preserve">این ابزارها، مرز باریکی میان دعای مشروع و جادوی ممنوع را طی می‌کنند و در حالی که برخی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ریشه‌ای کاملاً شرعی و دستوری دارند، بسیاری دیگر ریشه در باورهای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سنت‌های عامیانه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معرفی و تحلیل کاربرد مشهورترین حرزهای یهودی، از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محافظت از نوزادان به کار می‌رود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کَمیَع 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متون عرفانی برای درمان بیماری‌ها توصیه شده است، خواهیم پرداخت</w:t>
      </w:r>
      <w:r>
        <w:rPr>
          <w:rFonts w:eastAsia="IRNazanin" w:cs="IRNazanin"/>
          <w:color w:val="111111"/>
          <w:sz w:val="28"/>
          <w:szCs w:val="28"/>
          <w:rtl w:val="true"/>
          <w:lang w:bidi="fa-IR"/>
        </w:rPr>
        <w:t>.</w:t>
      </w:r>
    </w:p>
    <w:p>
      <w:pPr>
        <w:pStyle w:val="Heading4"/>
        <w:numPr>
          <w:ilvl w:val="3"/>
          <w:numId w:val="1"/>
        </w:numPr>
        <w:rPr/>
      </w:pPr>
      <w:bookmarkStart w:id="176" w:name="__RefHeading___Toc13791813_1280447820"/>
      <w:bookmarkStart w:id="177" w:name="_Toc66"/>
      <w:bookmarkEnd w:id="176"/>
      <w:r>
        <w:rPr/>
        <w:t>1-4-3</w:t>
      </w:r>
      <w:r>
        <w:rPr>
          <w:rtl w:val="true"/>
        </w:rPr>
        <w:t xml:space="preserve">- </w:t>
      </w:r>
      <w:r>
        <w:rPr>
          <w:rtl w:val="true"/>
        </w:rPr>
        <w:t xml:space="preserve">حرز </w:t>
      </w:r>
      <w:r>
        <w:rPr>
          <w:rtl w:val="true"/>
        </w:rPr>
        <w:t>«</w:t>
      </w:r>
      <w:r>
        <w:rPr>
          <w:rtl w:val="true"/>
        </w:rPr>
        <w:t>شَدای</w:t>
      </w:r>
      <w:r>
        <w:rPr>
          <w:rtl w:val="true"/>
        </w:rPr>
        <w:t>» (</w:t>
      </w:r>
      <w:r>
        <w:rPr>
          <w:rtl w:val="true"/>
        </w:rPr>
        <w:t>שדי</w:t>
      </w:r>
      <w:r>
        <w:rPr>
          <w:rtl w:val="true"/>
        </w:rPr>
        <w:t>):</w:t>
      </w:r>
      <w:bookmarkEnd w:id="1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روی گردنبند، دستبند، یا در خانه نصب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שדי</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نام‌های خداست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محافظت از نوزادان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اتاق نوزاد آویزان می‌شود</w:t>
      </w:r>
      <w:r>
        <w:rPr>
          <w:rFonts w:eastAsia="IRNazanin" w:cs="IRNazanin"/>
          <w:color w:val="111111"/>
          <w:sz w:val="28"/>
          <w:szCs w:val="28"/>
          <w:rtl w:val="true"/>
          <w:lang w:bidi="fa-IR"/>
        </w:rPr>
        <w:t xml:space="preserve">). </w:t>
      </w:r>
      <w:bookmarkStart w:id="178" w:name="pg19225_246422"/>
    </w:p>
    <w:p>
      <w:pPr>
        <w:pStyle w:val="BookText"/>
        <w:rPr/>
      </w:pPr>
      <w:bookmarkEnd w:id="178"/>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دفع چشم‌زخم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092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8"/>
                        <a:stretch/>
                      </pic:blipFill>
                      <pic:spPr>
                        <a:xfrm>
                          <a:off x="0" y="0"/>
                          <a:ext cx="5334120" cy="5092560"/>
                        </a:xfrm>
                        <a:prstGeom prst="rect">
                          <a:avLst/>
                        </a:prstGeom>
                        <a:ln w="0">
                          <a:noFill/>
                        </a:ln>
                      </pic:spPr>
                    </pic:pic>
                  </a:graphicData>
                </a:graphic>
              </wp:inline>
            </w:drawing>
          </mc:Choice>
          <mc:Fallback>
            <w:pict>
              <v:shape id="shape_0" stroked="f" o:allowincell="f" style="position:absolute;margin-left:0pt;margin-top:-401.05pt;width:419.95pt;height:400.95pt;mso-wrap-style:none;v-text-anchor:middle;mso-position-horizontal:left;mso-position-vertical:top" type="_x0000_t75">
                <v:imagedata r:id="rId89" o:detectmouseclick="t"/>
                <v:stroke color="#3465a4" joinstyle="round" endcap="flat"/>
                <w10:wrap type="none"/>
              </v:shape>
            </w:pict>
          </mc:Fallback>
        </mc:AlternateContent>
      </w:r>
    </w:p>
    <w:p>
      <w:pPr>
        <w:pStyle w:val="Heading4"/>
        <w:numPr>
          <w:ilvl w:val="3"/>
          <w:numId w:val="1"/>
        </w:numPr>
        <w:rPr/>
      </w:pPr>
      <w:bookmarkStart w:id="179" w:name="__RefHeading___Toc13791815_1280447820"/>
      <w:bookmarkStart w:id="180" w:name="_Toc67"/>
      <w:bookmarkEnd w:id="179"/>
      <w:r>
        <w:rPr/>
        <w:t>2-4-3</w:t>
      </w:r>
      <w:r>
        <w:rPr>
          <w:rtl w:val="true"/>
        </w:rPr>
        <w:t xml:space="preserve">- </w:t>
      </w:r>
      <w:r>
        <w:rPr>
          <w:rtl w:val="true"/>
        </w:rPr>
        <w:t xml:space="preserve">حرز </w:t>
      </w:r>
      <w:r>
        <w:rPr>
          <w:rtl w:val="true"/>
        </w:rPr>
        <w:t>«</w:t>
      </w:r>
      <w:r>
        <w:rPr>
          <w:rtl w:val="true"/>
        </w:rPr>
        <w:t>مِزوزاه</w:t>
      </w:r>
      <w:r>
        <w:rPr>
          <w:rtl w:val="true"/>
        </w:rPr>
        <w:t>» (</w:t>
      </w:r>
      <w:r>
        <w:rPr>
          <w:rtl w:val="true"/>
        </w:rPr>
        <w:t>מזוזה</w:t>
      </w:r>
      <w:r>
        <w:rPr>
          <w:rtl w:val="true"/>
        </w:rPr>
        <w:t>)</w:t>
      </w:r>
      <w:bookmarkEnd w:id="180"/>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استوانه‌ای کوچک حاوی متن شِمَع ییسرائل</w:t>
      </w:r>
      <w:r>
        <w:rPr>
          <w:rStyle w:val="FootnoteAnchor"/>
          <w:rtl w:val="true"/>
        </w:rPr>
        <w:footnoteReference w:id="82"/>
      </w:r>
      <w:r>
        <w:rPr>
          <w:rFonts w:ascii="IRNazanin" w:hAnsi="IRNazanin" w:eastAsia="IRNazanin"/>
          <w:color w:val="111111"/>
          <w:sz w:val="28"/>
          <w:sz w:val="28"/>
          <w:szCs w:val="28"/>
          <w:rtl w:val="true"/>
          <w:lang w:bidi="fa-IR"/>
        </w:rPr>
        <w:t>که بر چهارچوب در خانه‌های یهودی نصب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محافظت از خانه و ساکنان آن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81" w:name="pg19225_246423"/>
    </w:p>
    <w:p>
      <w:pPr>
        <w:pStyle w:val="BookText"/>
        <w:rPr/>
      </w:pPr>
      <w:bookmarkEnd w:id="181"/>
      <w:r>
        <w:rPr>
          <w:rFonts w:ascii="IRNazanin" w:hAnsi="IRNazanin" w:eastAsia="IRNazanin"/>
          <w:color w:val="111111"/>
          <w:sz w:val="28"/>
          <w:sz w:val="28"/>
          <w:szCs w:val="28"/>
          <w:rtl w:val="true"/>
          <w:lang w:bidi="fa-IR"/>
        </w:rPr>
        <w:t xml:space="preserve">در تلمود آمده که نصب صحیح آن، خانه را از بلایا حفظ می‌کند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داخل مِزوزاه باید توسط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2311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1"/>
                        <a:stretch/>
                      </pic:blipFill>
                      <pic:spPr>
                        <a:xfrm>
                          <a:off x="0" y="0"/>
                          <a:ext cx="3505320" cy="2311560"/>
                        </a:xfrm>
                        <a:prstGeom prst="rect">
                          <a:avLst/>
                        </a:prstGeom>
                        <a:ln w="0">
                          <a:noFill/>
                        </a:ln>
                      </pic:spPr>
                    </pic:pic>
                  </a:graphicData>
                </a:graphic>
              </wp:inline>
            </w:drawing>
          </mc:Choice>
          <mc:Fallback>
            <w:pict>
              <v:shape id="shape_0" stroked="f" o:allowincell="f" style="position:absolute;margin-left:0pt;margin-top:-182.05pt;width:275.95pt;height:181.95pt;mso-wrap-style:none;v-text-anchor:middle;mso-position-horizontal:left;mso-position-vertical:top" type="_x0000_t75">
                <v:imagedata r:id="rId92" o:detectmouseclick="t"/>
                <v:stroke color="#3465a4" joinstyle="round" endcap="flat"/>
                <w10:wrap type="none"/>
              </v:shape>
            </w:pict>
          </mc:Fallback>
        </mc:AlternateContent>
      </w:r>
    </w:p>
    <w:p>
      <w:pPr>
        <w:pStyle w:val="Heading4"/>
        <w:numPr>
          <w:ilvl w:val="3"/>
          <w:numId w:val="1"/>
        </w:numPr>
        <w:rPr/>
      </w:pPr>
      <w:bookmarkStart w:id="182" w:name="__RefHeading___Toc13791817_1280447820"/>
      <w:bookmarkStart w:id="183" w:name="_Toc68"/>
      <w:bookmarkEnd w:id="182"/>
      <w:r>
        <w:rPr/>
        <w:t>3-4-3</w:t>
      </w:r>
      <w:r>
        <w:rPr>
          <w:rtl w:val="true"/>
        </w:rPr>
        <w:t xml:space="preserve">- </w:t>
      </w:r>
      <w:r>
        <w:rPr>
          <w:rtl w:val="true"/>
        </w:rPr>
        <w:t xml:space="preserve">حرز </w:t>
      </w:r>
      <w:r>
        <w:rPr>
          <w:rtl w:val="true"/>
        </w:rPr>
        <w:t>«</w:t>
      </w:r>
      <w:r>
        <w:rPr>
          <w:rtl w:val="true"/>
        </w:rPr>
        <w:t>بِرکَت هاباییت</w:t>
      </w:r>
      <w:r>
        <w:rPr>
          <w:rtl w:val="true"/>
        </w:rPr>
        <w:t>» (</w:t>
      </w:r>
      <w:r>
        <w:rPr>
          <w:rtl w:val="true"/>
        </w:rPr>
        <w:t>ברכת הבית</w:t>
      </w:r>
      <w:r>
        <w:rPr>
          <w:rtl w:val="true"/>
        </w:rPr>
        <w:t>)</w:t>
      </w:r>
      <w:bookmarkEnd w:id="183"/>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مزامیر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چشم‌هایم</w:t>
      </w:r>
    </w:p>
    <w:p>
      <w:pPr>
        <w:pStyle w:val="BookText"/>
        <w:rPr/>
      </w:pPr>
      <w:r>
        <w:rPr>
          <w:rFonts w:ascii="IRNazanin" w:hAnsi="IRNazanin" w:eastAsia="IRNazanin"/>
          <w:color w:val="111111"/>
          <w:sz w:val="28"/>
          <w:sz w:val="28"/>
          <w:szCs w:val="28"/>
          <w:rtl w:val="true"/>
          <w:lang w:bidi="fa-IR"/>
        </w:rPr>
        <w:t>را به سوی کوه‌ها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تابلو یا کاغذ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محافظت از خانه در برابر دزدان و حوادث</w:t>
      </w:r>
      <w:r>
        <w:rPr>
          <w:rFonts w:eastAsia="IRNazanin" w:cs="IRNazanin"/>
          <w:color w:val="111111"/>
          <w:sz w:val="28"/>
          <w:szCs w:val="28"/>
          <w:rtl w:val="true"/>
          <w:lang w:bidi="fa-IR"/>
        </w:rPr>
        <w:t xml:space="preserve">. </w:t>
      </w:r>
      <w:bookmarkStart w:id="184" w:name="pg19225_246424"/>
    </w:p>
    <w:p>
      <w:pPr>
        <w:pStyle w:val="BookText"/>
        <w:rPr/>
      </w:pPr>
      <w:bookmarkEnd w:id="184"/>
      <w:r>
        <w:rPr>
          <w:rFonts w:ascii="IRNazanin" w:hAnsi="IRNazanin" w:eastAsia="IRNazanin"/>
          <w:color w:val="111111"/>
          <w:sz w:val="28"/>
          <w:sz w:val="28"/>
          <w:szCs w:val="28"/>
          <w:rtl w:val="true"/>
          <w:lang w:bidi="fa-IR"/>
        </w:rPr>
        <w:t>در کابالا به قدرت محافظتی این مزمور اشاره شده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57500" cy="2857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4"/>
                        <a:stretch/>
                      </pic:blipFill>
                      <pic:spPr>
                        <a:xfrm>
                          <a:off x="0" y="0"/>
                          <a:ext cx="2857680" cy="2857680"/>
                        </a:xfrm>
                        <a:prstGeom prst="rect">
                          <a:avLst/>
                        </a:prstGeom>
                        <a:ln w="0">
                          <a:noFill/>
                        </a:ln>
                      </pic:spPr>
                    </pic:pic>
                  </a:graphicData>
                </a:graphic>
              </wp:inline>
            </w:drawing>
          </mc:Choice>
          <mc:Fallback>
            <w:pict>
              <v:shape id="shape_0" stroked="f" o:allowincell="f" style="position:absolute;margin-left:0pt;margin-top:-225.05pt;width:224.95pt;height:224.95pt;mso-wrap-style:none;v-text-anchor:middle;mso-position-horizontal:left;mso-position-vertical:top" type="_x0000_t75">
                <v:imagedata r:id="rId95" o:detectmouseclick="t"/>
                <v:stroke color="#3465a4" joinstyle="round" endcap="flat"/>
                <w10:wrap type="none"/>
              </v:shape>
            </w:pict>
          </mc:Fallback>
        </mc:AlternateContent>
      </w:r>
    </w:p>
    <w:p>
      <w:pPr>
        <w:pStyle w:val="Heading4"/>
        <w:numPr>
          <w:ilvl w:val="3"/>
          <w:numId w:val="1"/>
        </w:numPr>
        <w:rPr/>
      </w:pPr>
      <w:bookmarkStart w:id="185" w:name="__RefHeading___Toc13791819_1280447820"/>
      <w:bookmarkStart w:id="186" w:name="_Toc69"/>
      <w:bookmarkEnd w:id="185"/>
      <w:r>
        <w:rPr/>
        <w:t>4-4-3</w:t>
      </w:r>
      <w:r>
        <w:rPr>
          <w:rtl w:val="true"/>
        </w:rPr>
        <w:t xml:space="preserve">- </w:t>
      </w:r>
      <w:r>
        <w:rPr>
          <w:rtl w:val="true"/>
        </w:rPr>
        <w:t xml:space="preserve">حرز </w:t>
      </w:r>
      <w:r>
        <w:rPr>
          <w:rtl w:val="true"/>
        </w:rPr>
        <w:t>«</w:t>
      </w:r>
      <w:r>
        <w:rPr>
          <w:rtl w:val="true"/>
        </w:rPr>
        <w:t>هاشِمِرینی</w:t>
      </w:r>
      <w:r>
        <w:rPr>
          <w:rtl w:val="true"/>
        </w:rPr>
        <w:t>» (</w:t>
      </w:r>
      <w:r>
        <w:rPr>
          <w:rtl w:val="true"/>
        </w:rPr>
        <w:t>השמירני</w:t>
      </w:r>
      <w:r>
        <w:rPr>
          <w:rtl w:val="true"/>
        </w:rPr>
        <w:t>)</w:t>
      </w:r>
      <w:bookmarkEnd w:id="186"/>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از مزمور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نام‌های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میکائیل، گابریل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bookmarkStart w:id="187" w:name="pg19225_246425"/>
    </w:p>
    <w:p>
      <w:pPr>
        <w:pStyle w:val="BookText"/>
        <w:rPr/>
      </w:pPr>
      <w:bookmarkEnd w:id="187"/>
      <w:r>
        <w:rPr>
          <w:rFonts w:ascii="IRNazanin" w:hAnsi="IRNazanin" w:eastAsia="IRNazanin"/>
          <w:color w:val="111111"/>
          <w:sz w:val="28"/>
          <w:sz w:val="28"/>
          <w:szCs w:val="28"/>
          <w:rtl w:val="true"/>
          <w:lang w:bidi="fa-IR"/>
        </w:rPr>
        <w:t>همراه داشتن آن برای سفرهای خطرناک که در متون کابالایی توصیه شده است</w:t>
      </w:r>
      <w:r>
        <w:rPr>
          <w:rFonts w:eastAsia="IRNazanin" w:cs="IRNazanin"/>
          <w:color w:val="111111"/>
          <w:sz w:val="28"/>
          <w:szCs w:val="28"/>
          <w:rtl w:val="true"/>
          <w:lang w:bidi="fa-IR"/>
        </w:rPr>
        <w:t>.</w:t>
      </w:r>
    </w:p>
    <w:p>
      <w:pPr>
        <w:pStyle w:val="Heading4"/>
        <w:numPr>
          <w:ilvl w:val="3"/>
          <w:numId w:val="1"/>
        </w:numPr>
        <w:rPr/>
      </w:pPr>
      <w:bookmarkStart w:id="188" w:name="__RefHeading___Toc13791821_1280447820"/>
      <w:bookmarkStart w:id="189" w:name="_Toc70"/>
      <w:bookmarkEnd w:id="188"/>
      <w:r>
        <w:rPr/>
        <w:t>5-4-3</w:t>
      </w:r>
      <w:r>
        <w:rPr>
          <w:rtl w:val="true"/>
        </w:rPr>
        <w:t xml:space="preserve">- </w:t>
      </w:r>
      <w:r>
        <w:rPr>
          <w:rtl w:val="true"/>
        </w:rPr>
        <w:t xml:space="preserve">حرز </w:t>
      </w:r>
      <w:r>
        <w:rPr>
          <w:rtl w:val="true"/>
        </w:rPr>
        <w:t>«</w:t>
      </w:r>
      <w:r>
        <w:rPr>
          <w:rtl w:val="true"/>
        </w:rPr>
        <w:t>کَمیَع راشی</w:t>
      </w:r>
      <w:r>
        <w:rPr>
          <w:rtl w:val="true"/>
        </w:rPr>
        <w:t>» (</w:t>
      </w:r>
      <w:r>
        <w:rPr>
          <w:rtl w:val="true"/>
        </w:rPr>
        <w:t>קמיע רש</w:t>
      </w:r>
      <w:r>
        <w:rPr>
          <w:rtl w:val="true"/>
        </w:rPr>
        <w:t>"</w:t>
      </w:r>
      <w:r>
        <w:rPr>
          <w:rtl w:val="true"/>
        </w:rPr>
        <w:t>י</w:t>
      </w:r>
      <w:r>
        <w:rPr>
          <w:rtl w:val="true"/>
        </w:rPr>
        <w:t>)</w:t>
      </w:r>
      <w:bookmarkEnd w:id="189"/>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متنی منسوب به ربی شلومو ییتزحاکی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ترکیب نام‌های الهی و آیات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 بیماری‌های سخت،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رازیل هاملاخ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40100" cy="2425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7"/>
                        <a:stretch/>
                      </pic:blipFill>
                      <pic:spPr>
                        <a:xfrm>
                          <a:off x="0" y="0"/>
                          <a:ext cx="3340080" cy="2425680"/>
                        </a:xfrm>
                        <a:prstGeom prst="rect">
                          <a:avLst/>
                        </a:prstGeom>
                        <a:ln w="0">
                          <a:noFill/>
                        </a:ln>
                      </pic:spPr>
                    </pic:pic>
                  </a:graphicData>
                </a:graphic>
              </wp:inline>
            </w:drawing>
          </mc:Choice>
          <mc:Fallback>
            <w:pict>
              <v:shape id="shape_0" stroked="f" o:allowincell="f" style="position:absolute;margin-left:0pt;margin-top:-191.05pt;width:262.95pt;height:190.95pt;mso-wrap-style:none;v-text-anchor:middle;mso-position-horizontal:left;mso-position-vertical:top" type="_x0000_t75">
                <v:imagedata r:id="rId98" o:detectmouseclick="t"/>
                <v:stroke color="#3465a4" joinstyle="round" endcap="flat"/>
                <w10:wrap type="none"/>
              </v:shape>
            </w:pict>
          </mc:Fallback>
        </mc:AlternateContent>
      </w:r>
    </w:p>
    <w:p>
      <w:pPr>
        <w:pStyle w:val="Heading3"/>
        <w:numPr>
          <w:ilvl w:val="2"/>
          <w:numId w:val="1"/>
        </w:numPr>
        <w:rPr/>
      </w:pPr>
      <w:bookmarkStart w:id="190" w:name="__RefHeading___Toc13791823_1280447820"/>
      <w:bookmarkStart w:id="191" w:name="_Toc71"/>
      <w:bookmarkEnd w:id="190"/>
      <w:r>
        <w:rPr/>
        <w:t>5-3</w:t>
      </w:r>
      <w:r>
        <w:rPr>
          <w:rtl w:val="true"/>
        </w:rPr>
        <w:t xml:space="preserve">- </w:t>
      </w:r>
      <w:r>
        <w:rPr>
          <w:rtl w:val="true"/>
        </w:rPr>
        <w:t>ساحران بزرگ در اندیشه یهودیان</w:t>
      </w:r>
      <w:r>
        <w:rPr>
          <w:rtl w:val="true"/>
        </w:rPr>
        <w:t>:</w:t>
      </w:r>
      <w:bookmarkEnd w:id="191"/>
    </w:p>
    <w:p>
      <w:pPr>
        <w:pStyle w:val="Heading4"/>
        <w:numPr>
          <w:ilvl w:val="3"/>
          <w:numId w:val="1"/>
        </w:numPr>
        <w:rPr/>
      </w:pPr>
      <w:bookmarkStart w:id="192" w:name="__RefHeading___Toc13791825_1280447820"/>
      <w:bookmarkStart w:id="193" w:name="_Toc72"/>
      <w:bookmarkEnd w:id="192"/>
      <w:r>
        <w:rPr>
          <w:rtl w:val="true"/>
        </w:rPr>
        <w:t>اشاره</w:t>
      </w:r>
      <w:bookmarkEnd w:id="19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بررسی ممنوعیت‌های صریح شریعت در برابر جادو و رواج باور به طلسمات، پرداختن به چهره‌های برجسته‌ای که در سنت یهودی به داشتن قدرت‌های خارق‌العاده شهرت یافته‌اند، </w:t>
      </w:r>
    </w:p>
    <w:p>
      <w:pPr>
        <w:pStyle w:val="BookText"/>
        <w:rPr/>
      </w:pPr>
      <w:r>
        <w:rPr>
          <w:rFonts w:ascii="IRNazanin" w:hAnsi="IRNazanin" w:eastAsia="IRNazanin"/>
          <w:color w:val="111111"/>
          <w:sz w:val="28"/>
          <w:sz w:val="28"/>
          <w:szCs w:val="28"/>
          <w:rtl w:val="true"/>
          <w:lang w:bidi="fa-IR"/>
        </w:rPr>
        <w:t>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نگاه نخست، امری متناقض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آیینی که با شدیدترین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کرده و برای آن مجازات مرگ تعیین می‌کند، در تاریخ خود داستان زندگی بزرگانی را گرامی می‌دارد که اعمالی همچون کنترل ارواح، خلق موجودات زنده از ماده بی‌جان، و ارتباط با عوالم غیبی به آنان نسبت داده شده است؟</w:t>
      </w:r>
    </w:p>
    <w:p>
      <w:pPr>
        <w:pStyle w:val="BookText"/>
        <w:rPr/>
      </w:pPr>
      <w:r>
        <w:rPr>
          <w:rFonts w:ascii="IRNazanin" w:hAnsi="IRNazanin" w:eastAsia="IRNazanin"/>
          <w:color w:val="111111"/>
          <w:sz w:val="28"/>
          <w:sz w:val="28"/>
          <w:szCs w:val="28"/>
          <w:rtl w:val="true"/>
          <w:lang w:bidi="fa-IR"/>
        </w:rPr>
        <w:t xml:space="preserve">در وهله نخست، باید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فراطبیعی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مصطلح آن، تمایزی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ساحری که در شریعت یهود به شدت منع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استفاده از نیروهای شر و خارجی برای اهداف شخصی است، در حالی که کرامات بعضی از این عارفان، نتیجه معرفت درونی و تسلط بر نیروهای مقدس عالم تلقی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بسیاری از روایات مربوط به این شخصیت‌ها، آمیزه‌ای پیچیده از تاریخ و افسانه است که در بستر عرفان کابالایی رشد کرده و مرزهای میان واقعیت و اسطوره را کمرنگ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 بخش به معرفی مهم‌ترین چهره‌هایی می‌پردازیم که نامشان با اسرار علوم خفیه گره خورده است؛ از الگوی کتاب </w:t>
      </w:r>
      <w:bookmarkStart w:id="194" w:name="pg19225_246427"/>
    </w:p>
    <w:p>
      <w:pPr>
        <w:pStyle w:val="BookText"/>
        <w:rPr/>
      </w:pPr>
      <w:bookmarkEnd w:id="194"/>
      <w:r>
        <w:rPr>
          <w:rFonts w:ascii="IRNazanin" w:hAnsi="IRNazanin" w:eastAsia="IRNazanin"/>
          <w:color w:val="111111"/>
          <w:sz w:val="28"/>
          <w:sz w:val="28"/>
          <w:szCs w:val="28"/>
          <w:rtl w:val="true"/>
          <w:lang w:bidi="fa-IR"/>
        </w:rPr>
        <w:t>مقدس، حضرت سلیمان، تا عارفان قرون وسطی و معجزه‌گران معاصر</w:t>
      </w:r>
      <w:r>
        <w:rPr>
          <w:rFonts w:eastAsia="IRNazanin" w:cs="IRNazanin"/>
          <w:color w:val="111111"/>
          <w:sz w:val="28"/>
          <w:szCs w:val="28"/>
          <w:rtl w:val="true"/>
          <w:lang w:bidi="fa-IR"/>
        </w:rPr>
        <w:t>.</w:t>
      </w:r>
    </w:p>
    <w:p>
      <w:pPr>
        <w:pStyle w:val="Heading4"/>
        <w:numPr>
          <w:ilvl w:val="3"/>
          <w:numId w:val="1"/>
        </w:numPr>
        <w:rPr/>
      </w:pPr>
      <w:bookmarkStart w:id="195" w:name="__RefHeading___Toc13791827_1280447820"/>
      <w:bookmarkStart w:id="196" w:name="_Toc73"/>
      <w:bookmarkEnd w:id="195"/>
      <w:r>
        <w:rPr/>
        <w:t>1-5-3</w:t>
      </w:r>
      <w:r>
        <w:rPr>
          <w:rtl w:val="true"/>
        </w:rPr>
        <w:t xml:space="preserve">- </w:t>
      </w:r>
      <w:r>
        <w:rPr>
          <w:rtl w:val="true"/>
        </w:rPr>
        <w:t xml:space="preserve">حضرت سلیمان </w:t>
      </w:r>
      <w:r>
        <w:rPr>
          <w:rtl w:val="true"/>
        </w:rPr>
        <w:t>(</w:t>
      </w:r>
      <w:r>
        <w:rPr>
          <w:rtl w:val="true"/>
        </w:rPr>
        <w:t>شلومو ه</w:t>
      </w:r>
      <w:r>
        <w:rPr>
          <w:rtl w:val="true"/>
        </w:rPr>
        <w:t>-</w:t>
      </w:r>
      <w:r>
        <w:rPr>
          <w:rtl w:val="true"/>
        </w:rPr>
        <w:t>َمِلِخ</w:t>
      </w:r>
      <w:r>
        <w:rPr>
          <w:rtl w:val="true"/>
        </w:rPr>
        <w:t>):</w:t>
      </w:r>
      <w:bookmarkEnd w:id="196"/>
    </w:p>
    <w:p>
      <w:pPr>
        <w:pStyle w:val="BookText"/>
        <w:rPr/>
      </w:pPr>
      <w:r>
        <w:rPr>
          <w:rFonts w:ascii="IRNazanin" w:hAnsi="IRNazanin" w:eastAsia="IRNazanin"/>
          <w:color w:val="111111"/>
          <w:sz w:val="28"/>
          <w:sz w:val="28"/>
          <w:szCs w:val="28"/>
          <w:rtl w:val="true"/>
          <w:lang w:bidi="fa-IR"/>
        </w:rPr>
        <w:t xml:space="preserve">حضرت سلیمان، که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می‌زیست، شخصیتی است که در متون یهودی، اسلامی و مسیحی به توانایی‌های خارق‌العاده‌ای چون کنترل اجنه، حیوانات و بادها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تورات از حکمت و دانش گسترده او سخن می‌گوید</w:t>
      </w:r>
      <w:r>
        <w:rPr>
          <w:rStyle w:val="FootnoteAnchor"/>
          <w:rtl w:val="true"/>
        </w:rPr>
        <w:footnoteReference w:id="86"/>
      </w:r>
      <w:r>
        <w:rPr>
          <w:rFonts w:ascii="IRNazanin" w:hAnsi="IRNazanin" w:eastAsia="IRNazanin"/>
          <w:color w:val="111111"/>
          <w:sz w:val="28"/>
          <w:sz w:val="28"/>
          <w:szCs w:val="28"/>
          <w:rtl w:val="true"/>
          <w:lang w:bidi="fa-IR"/>
        </w:rPr>
        <w:t>و قرآن کریم نیز اشاره می‌کند که شیاطین و اجنه تحت فرمان او بودند</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برخی متون متأخر کابالایی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مِلوخِت شلومو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نسبت داده می‌شود</w:t>
      </w:r>
      <w:r>
        <w:rPr>
          <w:rFonts w:eastAsia="IRNazanin" w:cs="IRNazanin"/>
          <w:color w:val="111111"/>
          <w:sz w:val="28"/>
          <w:szCs w:val="28"/>
          <w:rtl w:val="true"/>
          <w:lang w:bidi="fa-IR"/>
        </w:rPr>
        <w:t>.</w:t>
      </w:r>
    </w:p>
    <w:p>
      <w:pPr>
        <w:pStyle w:val="Heading4"/>
        <w:numPr>
          <w:ilvl w:val="3"/>
          <w:numId w:val="1"/>
        </w:numPr>
        <w:rPr/>
      </w:pPr>
      <w:bookmarkStart w:id="197" w:name="__RefHeading___Toc13791829_1280447820"/>
      <w:bookmarkStart w:id="198" w:name="_Toc74"/>
      <w:bookmarkEnd w:id="197"/>
      <w:r>
        <w:rPr/>
        <w:t>2-5-3</w:t>
      </w:r>
      <w:r>
        <w:rPr>
          <w:rtl w:val="true"/>
        </w:rPr>
        <w:t xml:space="preserve">- </w:t>
      </w:r>
      <w:r>
        <w:rPr>
          <w:rtl w:val="true"/>
        </w:rPr>
        <w:t>ربی شیمعون بار یوحای</w:t>
      </w:r>
      <w:r>
        <w:rPr>
          <w:rtl w:val="true"/>
        </w:rPr>
        <w:t>:</w:t>
      </w:r>
      <w:bookmarkEnd w:id="19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 شیمعون بار یوحای، از حکمای قرن دوم میلادی، به عنوان نویسنده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متن کابالایی، شناخته می‌شود که در آن از رموز خلقت، فرشتگان و طلسم‌ها </w:t>
      </w:r>
      <w:bookmarkStart w:id="199" w:name="pg19225_246428"/>
    </w:p>
    <w:p>
      <w:pPr>
        <w:pStyle w:val="BookText"/>
        <w:rPr/>
      </w:pPr>
      <w:bookmarkEnd w:id="199"/>
      <w:r>
        <w:rPr>
          <w:rFonts w:ascii="IRNazanin" w:hAnsi="IRNazanin" w:eastAsia="IRNazanin"/>
          <w:color w:val="111111"/>
          <w:sz w:val="28"/>
          <w:sz w:val="28"/>
          <w:szCs w:val="28"/>
          <w:rtl w:val="true"/>
          <w:lang w:bidi="fa-IR"/>
        </w:rPr>
        <w:t>سخن گفته شده است</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تلمودی، او به همراه پسرش 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یک غار مخفی شد و در آنجا اسرار الهی را آموخت</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افسانه‌های بسیاری معتقدند او می‌توانست با نیروی ذهن، آتش ایجاد کند یا دشمنانش را نفرین کند</w:t>
      </w:r>
      <w:r>
        <w:rPr>
          <w:rFonts w:eastAsia="IRNazanin" w:cs="IRNazanin"/>
          <w:color w:val="111111"/>
          <w:sz w:val="28"/>
          <w:szCs w:val="28"/>
          <w:rtl w:val="true"/>
          <w:lang w:bidi="fa-IR"/>
        </w:rPr>
        <w:t>.</w:t>
      </w:r>
    </w:p>
    <w:p>
      <w:pPr>
        <w:pStyle w:val="Heading4"/>
        <w:numPr>
          <w:ilvl w:val="3"/>
          <w:numId w:val="1"/>
        </w:numPr>
        <w:rPr/>
      </w:pPr>
      <w:bookmarkStart w:id="200" w:name="__RefHeading___Toc13791831_1280447820"/>
      <w:bookmarkStart w:id="201" w:name="_Toc75"/>
      <w:bookmarkEnd w:id="200"/>
      <w:r>
        <w:rPr/>
        <w:t>3-5-3</w:t>
      </w:r>
      <w:r>
        <w:rPr>
          <w:rtl w:val="true"/>
        </w:rPr>
        <w:t xml:space="preserve">- </w:t>
      </w:r>
      <w:r>
        <w:rPr>
          <w:rtl w:val="true"/>
        </w:rPr>
        <w:t xml:space="preserve">ربی یهودا لووی بن بزقل </w:t>
      </w:r>
      <w:r>
        <w:rPr>
          <w:rtl w:val="true"/>
        </w:rPr>
        <w:t>(</w:t>
      </w:r>
      <w:r>
        <w:rPr>
          <w:rtl w:val="true"/>
        </w:rPr>
        <w:t>ماهارال پراگ</w:t>
      </w:r>
      <w:r>
        <w:rPr>
          <w:rtl w:val="true"/>
        </w:rPr>
        <w:t>):</w:t>
      </w:r>
      <w:bookmarkEnd w:id="2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 یهودا لووی، معروف به ماهارال پراگ، از خاخام‌های برجسته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خالق افسانه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 که او با استفاده از نام مقدس خدا و ترکیب حروف عبری، موجودی گِلی را زنده کرد تا از یهودیان در برابر کشتارها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که به طور گسترده توسط محققانی چون گرشوم اشکولم بررسی شده، الهام‌بخش بسیاری از آثار سینمایی و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فرانکنشتاین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02" w:name="pg19225_246429"/>
    </w:p>
    <w:p>
      <w:pPr>
        <w:pStyle w:val="Heading4"/>
        <w:numPr>
          <w:ilvl w:val="3"/>
          <w:numId w:val="1"/>
        </w:numPr>
        <w:rPr/>
      </w:pPr>
      <w:bookmarkStart w:id="203" w:name="__RefHeading___Toc13791833_1280447820"/>
      <w:bookmarkStart w:id="204" w:name="_Toc76"/>
      <w:bookmarkEnd w:id="202"/>
      <w:bookmarkEnd w:id="203"/>
      <w:r>
        <w:rPr/>
        <w:t>4-5-3</w:t>
      </w:r>
      <w:r>
        <w:rPr>
          <w:rtl w:val="true"/>
        </w:rPr>
        <w:t xml:space="preserve">- </w:t>
      </w:r>
      <w:r>
        <w:rPr>
          <w:rtl w:val="true"/>
        </w:rPr>
        <w:t xml:space="preserve">ربی اسحاق لوریا </w:t>
      </w:r>
      <w:r>
        <w:rPr>
          <w:rtl w:val="true"/>
        </w:rPr>
        <w:t>(</w:t>
      </w:r>
      <w:r>
        <w:rPr>
          <w:rtl w:val="true"/>
        </w:rPr>
        <w:t>آریزال</w:t>
      </w:r>
      <w:r>
        <w:rPr>
          <w:rtl w:val="true"/>
        </w:rPr>
        <w:t>):</w:t>
      </w:r>
      <w:bookmarkEnd w:id="204"/>
    </w:p>
    <w:p>
      <w:pPr>
        <w:pStyle w:val="BookText"/>
        <w:rPr/>
      </w:pPr>
      <w:r>
        <w:rPr>
          <w:rFonts w:ascii="IRNazanin" w:hAnsi="IRNazanin" w:eastAsia="IRNazanin"/>
          <w:color w:val="111111"/>
          <w:sz w:val="28"/>
          <w:sz w:val="28"/>
          <w:szCs w:val="28"/>
          <w:rtl w:val="true"/>
          <w:lang w:bidi="fa-IR"/>
        </w:rPr>
        <w:t xml:space="preserve">ربی اسحاق لوریا، مشهور به آریزال،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کابالای لوریانی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صفد بود و به جادوی سفید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تیکون عولَم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ادعا می‌کردند که او توانایی برقراری ارتباط با ارواح مردگان را داشت، مفهومی که در نوشته‌های شاگرد اصلی او، حییم ویتال، ثبت شده 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آریزال همچنین روش‌های پیچیده‌ای برای تغییر سرنوشت از طریق مراقبه و نیایش‌های متمرکز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کرد</w:t>
      </w:r>
      <w:r>
        <w:rPr>
          <w:rFonts w:eastAsia="IRNazanin" w:cs="IRNazanin"/>
          <w:color w:val="111111"/>
          <w:sz w:val="28"/>
          <w:szCs w:val="28"/>
          <w:rtl w:val="true"/>
          <w:lang w:bidi="fa-IR"/>
        </w:rPr>
        <w:t>.</w:t>
      </w:r>
    </w:p>
    <w:p>
      <w:pPr>
        <w:pStyle w:val="Heading4"/>
        <w:numPr>
          <w:ilvl w:val="3"/>
          <w:numId w:val="1"/>
        </w:numPr>
        <w:rPr/>
      </w:pPr>
      <w:bookmarkStart w:id="205" w:name="__RefHeading___Toc13791835_1280447820"/>
      <w:bookmarkStart w:id="206" w:name="_Toc77"/>
      <w:bookmarkEnd w:id="205"/>
      <w:r>
        <w:rPr/>
        <w:t>5-5-3</w:t>
      </w:r>
      <w:r>
        <w:rPr>
          <w:rtl w:val="true"/>
        </w:rPr>
        <w:t xml:space="preserve">- </w:t>
      </w:r>
      <w:r>
        <w:rPr>
          <w:rtl w:val="true"/>
        </w:rPr>
        <w:t>ربی حییم ویتال</w:t>
      </w:r>
      <w:r>
        <w:rPr>
          <w:rtl w:val="true"/>
        </w:rPr>
        <w:t>:</w:t>
      </w:r>
      <w:bookmarkEnd w:id="2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 حییم ویتال، شاگرد برجسته آریزال در قرن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نقشی حیاتی در ثبت و گسترش تعالیم اسرارآمیز استادش ایفا کرد و این آموزه‌ها را در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عِتص حییم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 قدوشا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دروازه‌های تقدس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تکنیک‌های عملی کابالا، از جمله روش‌های سفر روح و دستیابی به رویای آگاهانه، سخن گفته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207" w:name="pg19225_246430"/>
    </w:p>
    <w:p>
      <w:pPr>
        <w:pStyle w:val="Heading4"/>
        <w:numPr>
          <w:ilvl w:val="3"/>
          <w:numId w:val="1"/>
        </w:numPr>
        <w:rPr/>
      </w:pPr>
      <w:bookmarkStart w:id="208" w:name="__RefHeading___Toc13791837_1280447820"/>
      <w:bookmarkStart w:id="209" w:name="_Toc78"/>
      <w:bookmarkEnd w:id="207"/>
      <w:bookmarkEnd w:id="208"/>
      <w:r>
        <w:rPr/>
        <w:t>6-5-3</w:t>
      </w:r>
      <w:r>
        <w:rPr>
          <w:rtl w:val="true"/>
        </w:rPr>
        <w:t xml:space="preserve">- </w:t>
      </w:r>
      <w:r>
        <w:rPr>
          <w:rtl w:val="true"/>
        </w:rPr>
        <w:t>ربی آبراهام ابولعافیا</w:t>
      </w:r>
      <w:r>
        <w:rPr>
          <w:rtl w:val="true"/>
        </w:rPr>
        <w:t>:</w:t>
      </w:r>
      <w:bookmarkEnd w:id="209"/>
    </w:p>
    <w:p>
      <w:pPr>
        <w:pStyle w:val="BookText"/>
        <w:rPr/>
      </w:pPr>
      <w:r>
        <w:rPr>
          <w:rFonts w:ascii="IRNazanin" w:hAnsi="IRNazanin" w:eastAsia="IRNazanin"/>
          <w:color w:val="111111"/>
          <w:sz w:val="28"/>
          <w:sz w:val="28"/>
          <w:szCs w:val="28"/>
          <w:rtl w:val="true"/>
          <w:lang w:bidi="fa-IR"/>
        </w:rPr>
        <w:t xml:space="preserve">ربی آبراهام ابولعافیا، از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 که روشی منحصربه‌فرد را برای رسیدن به حالت خلسه از طریق ترکیب حروف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آثارش،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هاعولَم 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جهان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می‌دهد که با تکرار اسامی الهی و انجام حرکات خاص، سالک می‌تواند به تجربه نبوی دست یابد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13791839_1280447820"/>
      <w:bookmarkStart w:id="211" w:name="_Toc79"/>
      <w:bookmarkEnd w:id="210"/>
      <w:r>
        <w:rPr/>
        <w:t>7-5-3</w:t>
      </w:r>
      <w:r>
        <w:rPr>
          <w:rtl w:val="true"/>
        </w:rPr>
        <w:t xml:space="preserve">- </w:t>
      </w:r>
      <w:r>
        <w:rPr>
          <w:rtl w:val="true"/>
        </w:rPr>
        <w:t>ربی الیعازر از ورمز</w:t>
      </w:r>
      <w:r>
        <w:rPr>
          <w:rtl w:val="true"/>
        </w:rPr>
        <w:t>:</w:t>
      </w:r>
      <w:bookmarkEnd w:id="21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 الیعازر از ورمز، از چهره‌های برجسته عرفان یهودی آلمان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افسانه‌های بسیاری درباره توانایی او در کنترل شیاطین با استفاده از طلسم‌ها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رازیل هاملاخ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رازیل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مجموعه‌ای از اوراد و طلسم‌های محافظتی است، اگرچه ریشه‌های قدیمی‌تری </w:t>
      </w:r>
      <w:bookmarkStart w:id="212" w:name="pg19225_246431"/>
    </w:p>
    <w:p>
      <w:pPr>
        <w:pStyle w:val="BookText"/>
        <w:rPr/>
      </w:pPr>
      <w:bookmarkEnd w:id="212"/>
      <w:r>
        <w:rPr>
          <w:rFonts w:ascii="IRNazanin" w:hAnsi="IRNazanin" w:eastAsia="IRNazanin"/>
          <w:color w:val="111111"/>
          <w:sz w:val="28"/>
          <w:sz w:val="28"/>
          <w:szCs w:val="28"/>
          <w:rtl w:val="true"/>
          <w:lang w:bidi="fa-IR"/>
        </w:rPr>
        <w:t>دارد، اما تدوین نهایی آن به حلقه عرفای این دوره، که ربی الیعازر در مرکز آن قرار داشت، منسوب است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3791841_1280447820"/>
      <w:bookmarkStart w:id="214" w:name="_Toc80"/>
      <w:bookmarkEnd w:id="213"/>
      <w:r>
        <w:rPr/>
        <w:t>8-5-3</w:t>
      </w:r>
      <w:r>
        <w:rPr>
          <w:rtl w:val="true"/>
        </w:rPr>
        <w:t xml:space="preserve">- </w:t>
      </w:r>
      <w:r>
        <w:rPr>
          <w:rtl w:val="true"/>
        </w:rPr>
        <w:t xml:space="preserve">بابا سالی </w:t>
      </w:r>
      <w:r>
        <w:rPr>
          <w:rtl w:val="true"/>
        </w:rPr>
        <w:t>(</w:t>
      </w:r>
      <w:r>
        <w:rPr>
          <w:rtl w:val="true"/>
        </w:rPr>
        <w:t>ربی ییسرائل ابوحاتسیرا</w:t>
      </w:r>
      <w:r>
        <w:rPr>
          <w:rtl w:val="true"/>
        </w:rPr>
        <w:t>):</w:t>
      </w:r>
      <w:bookmarkEnd w:id="214"/>
    </w:p>
    <w:p>
      <w:pPr>
        <w:pStyle w:val="BookText"/>
        <w:rPr/>
      </w:pPr>
      <w:r>
        <w:rPr>
          <w:rFonts w:ascii="IRNazanin" w:hAnsi="IRNazanin" w:eastAsia="IRNazanin"/>
          <w:color w:val="111111"/>
          <w:sz w:val="28"/>
          <w:sz w:val="28"/>
          <w:szCs w:val="28"/>
          <w:rtl w:val="true"/>
          <w:lang w:bidi="fa-IR"/>
        </w:rPr>
        <w:t>ربی ییسرائل ابوحاتسیرا، معروف به بابا سالی، از عارفان و معجزه‌گران یهودی قرن بیستم در مراکش و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صوفی یهودی شهرت داشت و پیروان بسیاری معتقدند که وی پیشگویی‌های دقیق می‌کرد، بیماران را شفا می‌داد و می‌توانست با دعایش باران بیاورد، چنانکه در زندگی‌نامه‌های متعدد او ثبت شده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بیشتر عرفان‌پژوه یا خاخام‌های صاحب‌کرامت بودند تا جادوگر به معنای 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داستان‌های مربوط به آن‌ها ترکیبی از تاریخ و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یهودیت رسمی، استفاده عملی از سحر ممنوع است</w:t>
      </w:r>
      <w:r>
        <w:rPr>
          <w:rStyle w:val="FootnoteAnchor"/>
          <w:rtl w:val="true"/>
        </w:rPr>
        <w:footnoteReference w:id="96"/>
      </w:r>
      <w:r>
        <w:rPr>
          <w:rFonts w:ascii="IRNazanin" w:hAnsi="IRNazanin" w:eastAsia="IRNazanin"/>
          <w:color w:val="111111"/>
          <w:sz w:val="28"/>
          <w:sz w:val="28"/>
          <w:szCs w:val="28"/>
          <w:rtl w:val="true"/>
          <w:lang w:bidi="fa-IR"/>
        </w:rPr>
        <w:t>، اما کابالا گاه مرزهای این ممنوعیت را کمرنگ کرده است</w:t>
      </w:r>
      <w:r>
        <w:rPr>
          <w:rFonts w:eastAsia="IRNazanin" w:cs="IRNazanin"/>
          <w:color w:val="111111"/>
          <w:sz w:val="28"/>
          <w:szCs w:val="28"/>
          <w:rtl w:val="true"/>
          <w:lang w:bidi="fa-IR"/>
        </w:rPr>
        <w:t xml:space="preserve">. </w:t>
      </w:r>
      <w:bookmarkStart w:id="215" w:name="pg19225_246432"/>
    </w:p>
    <w:p>
      <w:pPr>
        <w:pStyle w:val="Heading3"/>
        <w:numPr>
          <w:ilvl w:val="2"/>
          <w:numId w:val="1"/>
        </w:numPr>
        <w:rPr/>
      </w:pPr>
      <w:bookmarkStart w:id="216" w:name="__RefHeading___Toc13791843_1280447820"/>
      <w:bookmarkStart w:id="217" w:name="_Toc81"/>
      <w:bookmarkEnd w:id="215"/>
      <w:bookmarkEnd w:id="216"/>
      <w:r>
        <w:rPr/>
        <w:t>4-2</w:t>
      </w:r>
      <w:r>
        <w:rPr>
          <w:rtl w:val="true"/>
        </w:rPr>
        <w:t xml:space="preserve">- </w:t>
      </w:r>
      <w:r>
        <w:rPr>
          <w:rtl w:val="true"/>
        </w:rPr>
        <w:t xml:space="preserve">جاسوسان نامرئی </w:t>
      </w:r>
      <w:r>
        <w:rPr>
          <w:rtl w:val="true"/>
        </w:rPr>
        <w:t>«</w:t>
      </w:r>
      <w:r>
        <w:rPr>
          <w:rtl w:val="true"/>
        </w:rPr>
        <w:t>از پمبا تا ماریانا</w:t>
      </w:r>
      <w:r>
        <w:rPr>
          <w:rtl w:val="true"/>
        </w:rPr>
        <w:t>»</w:t>
      </w:r>
      <w:bookmarkEnd w:id="217"/>
    </w:p>
    <w:p>
      <w:pPr>
        <w:pStyle w:val="BookText"/>
        <w:rPr/>
      </w:pPr>
      <w:r>
        <w:rPr>
          <w:rFonts w:ascii="IRNazanin" w:hAnsi="IRNazanin" w:eastAsia="IRNazanin"/>
          <w:color w:val="111111"/>
          <w:sz w:val="28"/>
          <w:sz w:val="28"/>
          <w:szCs w:val="28"/>
          <w:rtl w:val="true"/>
          <w:lang w:bidi="fa-IR"/>
        </w:rPr>
        <w:t xml:space="preserve">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پمبا تا ماریانا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محمد قنبری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 شده است که رژیم صهیونیستی از علوم غریبه، سحر و حتی ارتباط با اجنه برای اهداف امنیتی و نظامی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مواردی اشاره شده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اجنه در عملیات‌های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ادعا می‌کند که موساد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متخصصان 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ارتباط با اجنه و دریافت اطلاعات محرمانه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نویسنده، برخی از این اجنه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عربی فعال هستند و اطلاعات را به اسرائیل منتقل می‌کنند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پروژه‌های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اشاره شده که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واحدهای خاصی از خاخام‌های کابالیست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با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طلسم‌های جمع‌آوری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کنترل آنها برای اهداف نظامی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مدعی است که در جنگ‌های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w:t>
      </w:r>
      <w:bookmarkStart w:id="218" w:name="pg19225_246433"/>
    </w:p>
    <w:p>
      <w:pPr>
        <w:pStyle w:val="BookText"/>
        <w:rPr/>
      </w:pPr>
      <w:bookmarkEnd w:id="218"/>
      <w:r>
        <w:rPr>
          <w:rFonts w:ascii="IRNazanin" w:hAnsi="IRNazanin" w:eastAsia="IRNazanin"/>
          <w:color w:val="111111"/>
          <w:sz w:val="28"/>
          <w:sz w:val="28"/>
          <w:szCs w:val="28"/>
          <w:rtl w:val="true"/>
          <w:lang w:bidi="fa-IR"/>
        </w:rPr>
        <w:t xml:space="preserve">موجودات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ترس و اختلال در ارتباطات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آزمایشگاه‌های علوم ماورایی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پمبا تا ماریانا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می‌کند که در تسهیلات هسته‌ای دیمونا، تحقیقاتی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انرژی‌های ماورایی و تسخیر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نویسنده، برخی از این موجودات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تأسیسات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می‌شوند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3791845_1280447820"/>
      <w:bookmarkStart w:id="220" w:name="_Toc82"/>
      <w:bookmarkEnd w:id="219"/>
      <w:r>
        <w:rPr>
          <w:rtl w:val="true"/>
        </w:rPr>
        <w:t>تحلیل و نقد ادعاهای کتاب</w:t>
      </w:r>
      <w:r>
        <w:rPr>
          <w:rtl w:val="true"/>
        </w:rPr>
        <w:t>:</w:t>
      </w:r>
      <w:bookmarkEnd w:id="22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اول باید گفت این کتاب منابع مستند و قابل استناد آکادمیک ارائه نمی‌دهد و بیشتر بر پایه شایعات، روایات شفاهی و تحلیل‌های توهم‌توطئه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مدرک علمی یا گزارش رسمی از سوی نهادهای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سازمان ملل یا 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استفاده اسرائیل از اجنه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نمی‌توان به گزارشات بین‌المللی و ناتو اکتفا کرد و باید جهت صدور این جریانات و گزارشات را نیز بررسی کرد</w:t>
      </w:r>
      <w:r>
        <w:rPr>
          <w:rFonts w:eastAsia="IRNazanin" w:cs="IRNazanin"/>
          <w:color w:val="111111"/>
          <w:sz w:val="28"/>
          <w:szCs w:val="28"/>
          <w:rtl w:val="true"/>
          <w:lang w:bidi="fa-IR"/>
        </w:rPr>
        <w:t xml:space="preserve">. </w:t>
      </w:r>
      <w:bookmarkStart w:id="221" w:name="pg19225_246434"/>
    </w:p>
    <w:p>
      <w:pPr>
        <w:pStyle w:val="BookText"/>
        <w:rPr/>
      </w:pPr>
      <w:bookmarkEnd w:id="221"/>
      <w:r>
        <w:rPr>
          <w:rFonts w:ascii="IRNazanin" w:hAnsi="IRNazanin" w:eastAsia="IRNazanin"/>
          <w:color w:val="111111"/>
          <w:sz w:val="28"/>
          <w:sz w:val="28"/>
          <w:szCs w:val="28"/>
          <w:rtl w:val="true"/>
          <w:lang w:bidi="fa-IR"/>
        </w:rPr>
        <w:t>برخی از این ادعاها شباهت به داستان‌های تخیلی و فیلم‌های هالیوودی دارد و ممکن است با اهداف پروپاگاندا و بزرگ‌نمایی و نمادسازی و غیرقابل شکست خواندن اسرائیل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پمبا تا ماریانا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جالبی درباره استفاده اسرائیل از اجنه مطرح می‌کند، اما هیچ سند معتبری برای اثبات این ادعاها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بیشتر در حوزه ادبیات توطئه‌پردازی قرار می‌گیرد تا واقعیت‌های قابل اثبات</w:t>
      </w:r>
      <w:r>
        <w:rPr>
          <w:rFonts w:eastAsia="IRNazanin" w:cs="IRNazanin"/>
          <w:color w:val="111111"/>
          <w:sz w:val="28"/>
          <w:szCs w:val="28"/>
          <w:rtl w:val="true"/>
          <w:lang w:bidi="fa-IR"/>
        </w:rPr>
        <w:t>.</w:t>
      </w:r>
    </w:p>
    <w:p>
      <w:pPr>
        <w:pStyle w:val="Heading3"/>
        <w:numPr>
          <w:ilvl w:val="2"/>
          <w:numId w:val="1"/>
        </w:numPr>
        <w:rPr/>
      </w:pPr>
      <w:bookmarkStart w:id="222" w:name="__RefHeading___Toc13791847_1280447820"/>
      <w:bookmarkStart w:id="223" w:name="_Toc83"/>
      <w:bookmarkEnd w:id="222"/>
      <w:r>
        <w:rPr>
          <w:rtl w:val="true"/>
        </w:rPr>
        <w:t>نتیجه‌گیری فصل سوم</w:t>
      </w:r>
      <w:r>
        <w:rPr>
          <w:rtl w:val="true"/>
        </w:rPr>
        <w:t>:</w:t>
      </w:r>
      <w:bookmarkEnd w:id="223"/>
    </w:p>
    <w:p>
      <w:pPr>
        <w:pStyle w:val="BookText"/>
        <w:rPr/>
      </w:pPr>
      <w:r>
        <w:rPr>
          <w:rFonts w:ascii="IRNazanin" w:hAnsi="IRNazanin" w:eastAsia="IRNazanin"/>
          <w:color w:val="111111"/>
          <w:sz w:val="28"/>
          <w:sz w:val="28"/>
          <w:szCs w:val="28"/>
          <w:rtl w:val="true"/>
          <w:lang w:bidi="fa-IR"/>
        </w:rPr>
        <w:t>بررسی نگرش آیین یهود به جادو و امور ماورایی، تصویری پیچیده و مملو از تضادهای ظاهری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نشان داد که رابطه یهودیت با این مفاهیم، یک رابطه خطی و یکپارچه نیست، بلکه طیفی گسترده از منع مطلق تا پذیرش مشروط را در بر می‌گیرد که در سه سطح اصلی قابل تحلیل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موضع رسمی و بنیادین یهودیت، ممنوعیت قاطع هرگونه جادوگری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احضار ارواح و فالگیری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صریح تورات نشان داده شد، قانون دینی حصاری استوار در برابر این اعمال کشیده و آن‌ها را گناهانی بزرگ تلقی می‌کند که مستوجب مجازات‌های سنگین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لعن شدن شائول پادشاه به دلیل احضار روح سموئیل نبی، این نگرش سخت‌گیرانه را به روشنی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باور عامیانه و نیاز به 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ممنوعیت‌های شرعی، یک سنت موازی و ریشه‌دار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که پاسخگوی نیاز فطری انسان به محافظت در برابر شر و ناشناخته‌هاست، مرز باریکی میان جادوی ممنوع و دعای مشروع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گسترده از طلسم‌ها و حرزهایی مانند حمسا، مِزوزا و کتیبه‌های حفاظتی، نشان می‌دهد که در زندگی روزمره، توسل به اشیاء مقدس برای جلب حفاظت الهی نه تنها پذیرفته شده، بلکه به بخشی جدایی‌ناپذیر از فرهنگ یهودی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عرفان کابالایی به عنوان یک نظام فکری پیچیده، این دوگانگی را </w:t>
      </w:r>
    </w:p>
    <w:p>
      <w:pPr>
        <w:pStyle w:val="BookText"/>
        <w:rPr/>
      </w:pPr>
      <w:r>
        <w:rPr>
          <w:rFonts w:ascii="IRNazanin" w:hAnsi="IRNazanin" w:eastAsia="IRNazanin"/>
          <w:color w:val="111111"/>
          <w:sz w:val="28"/>
          <w:sz w:val="28"/>
          <w:szCs w:val="28"/>
          <w:rtl w:val="true"/>
          <w:lang w:bidi="fa-IR"/>
        </w:rPr>
        <w:t>به سطحی جدید ارتقا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کابالا با ارائه یک چارچوب نظری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خفیه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 میان سحر و کرامت را کمرنگ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برجسته‌ای مانند حضرت سلیمان، ماهارال پراگ و آریزال، که در این فصل به آن‌ها پرداخته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مصطلح نیستند؛ بلکه عارفان و حکیمانی هستند که قدرت‌های فراطبیعی‌شان، نه از منابع شیطانی، بلکه از قداست درونی و تسلط بر اسرار الهی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کابالای عملی، این قدرت‌ها را در راستای اهداف متعالی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این فصل نشان می‌دهد که نگرش یهودیت به جادو، یک گفتگوی دائمی میان قانون، عرفان و باور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نهاد رسمی دین، جادوگری را طرد می‌کند، نیاز به امنیت معنوی و چارچوب‌های عرفانی، فضایی مشروع برای باور به قدرت‌های ماورایی و استفاده از ابزارهای حفاظتی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خود گویای غنا و پیچیدگی سنتی است که همواره در تلاش برای مدیریت تنش میان امر قدسی و نیازهای مادی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 معاصر درباره استفاده نظامی از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علوم نیز، هرچند فاقد سندیت آکادمیک، اما نشان‌دهنده تداوم این باورها در قالب‌های جدید و سیاسی‌شده است</w:t>
      </w:r>
      <w:r>
        <w:rPr>
          <w:rFonts w:eastAsia="IRNazanin" w:cs="IRNazanin"/>
          <w:color w:val="111111"/>
          <w:sz w:val="28"/>
          <w:szCs w:val="28"/>
          <w:rtl w:val="true"/>
          <w:lang w:bidi="fa-IR"/>
        </w:rPr>
        <w:t xml:space="preserve">. </w:t>
      </w:r>
      <w:bookmarkStart w:id="224" w:name="pg19225_246438"/>
    </w:p>
    <w:p>
      <w:pPr>
        <w:pStyle w:val="Heading2"/>
        <w:numPr>
          <w:ilvl w:val="1"/>
          <w:numId w:val="1"/>
        </w:numPr>
        <w:rPr/>
      </w:pPr>
      <w:bookmarkStart w:id="225" w:name="__RefHeading___Toc13791849_1280447820"/>
      <w:bookmarkStart w:id="226" w:name="_Toc84"/>
      <w:bookmarkEnd w:id="224"/>
      <w:bookmarkEnd w:id="225"/>
      <w:r>
        <w:rPr/>
        <w:t>4</w:t>
      </w:r>
      <w:r>
        <w:rPr>
          <w:rtl w:val="true"/>
        </w:rPr>
        <w:t xml:space="preserve">- </w:t>
      </w:r>
      <w:r>
        <w:rPr>
          <w:rtl w:val="true"/>
        </w:rPr>
        <w:t>فصل چهارم</w:t>
      </w:r>
      <w:r>
        <w:rPr>
          <w:rtl w:val="true"/>
        </w:rPr>
        <w:t xml:space="preserve">: </w:t>
      </w:r>
      <w:r>
        <w:rPr>
          <w:rtl w:val="true"/>
        </w:rPr>
        <w:t>شبکه نفوذ</w:t>
      </w:r>
      <w:r>
        <w:rPr>
          <w:rtl w:val="true"/>
        </w:rPr>
        <w:t xml:space="preserve">: </w:t>
      </w:r>
      <w:r>
        <w:rPr>
          <w:rtl w:val="true"/>
        </w:rPr>
        <w:t>قدرت، فرهنگ و هویت یهودیت در جهان معاصر</w:t>
      </w:r>
      <w:r>
        <w:rPr>
          <w:rtl w:val="true"/>
        </w:rPr>
        <w:t>:</w:t>
      </w:r>
      <w:bookmarkEnd w:id="226"/>
    </w:p>
    <w:p>
      <w:pPr>
        <w:pStyle w:val="Heading3"/>
        <w:numPr>
          <w:ilvl w:val="2"/>
          <w:numId w:val="1"/>
        </w:numPr>
        <w:rPr/>
      </w:pPr>
      <w:bookmarkStart w:id="227" w:name="__RefHeading___Toc13791851_1280447820"/>
      <w:bookmarkStart w:id="228" w:name="_Toc85"/>
      <w:bookmarkEnd w:id="227"/>
      <w:r>
        <w:rPr/>
        <w:t>1-4</w:t>
      </w:r>
      <w:r>
        <w:rPr>
          <w:rtl w:val="true"/>
        </w:rPr>
        <w:t xml:space="preserve">- </w:t>
      </w:r>
      <w:r>
        <w:rPr>
          <w:rtl w:val="true"/>
        </w:rPr>
        <w:t>معماران خاموش قدرت</w:t>
      </w:r>
      <w:r>
        <w:rPr>
          <w:rtl w:val="true"/>
        </w:rPr>
        <w:t xml:space="preserve">: </w:t>
      </w:r>
      <w:r>
        <w:rPr>
          <w:rtl w:val="true"/>
        </w:rPr>
        <w:t>خاندان‌های بزرگ یهودی</w:t>
      </w:r>
      <w:r>
        <w:rPr>
          <w:rtl w:val="true"/>
        </w:rPr>
        <w:t>:</w:t>
      </w:r>
      <w:bookmarkEnd w:id="228"/>
    </w:p>
    <w:p>
      <w:pPr>
        <w:pStyle w:val="Heading4"/>
        <w:numPr>
          <w:ilvl w:val="3"/>
          <w:numId w:val="1"/>
        </w:numPr>
        <w:rPr/>
      </w:pPr>
      <w:bookmarkStart w:id="229" w:name="__RefHeading___Toc13791853_1280447820"/>
      <w:bookmarkStart w:id="230" w:name="_Toc86"/>
      <w:bookmarkEnd w:id="229"/>
      <w:r>
        <w:rPr/>
        <w:t>1-1-4</w:t>
      </w:r>
      <w:r>
        <w:rPr>
          <w:rtl w:val="true"/>
        </w:rPr>
        <w:t xml:space="preserve">- </w:t>
      </w:r>
      <w:r>
        <w:rPr>
          <w:rtl w:val="true"/>
        </w:rPr>
        <w:t>سلاطین مالی</w:t>
      </w:r>
      <w:r>
        <w:rPr>
          <w:rtl w:val="true"/>
        </w:rPr>
        <w:t xml:space="preserve">: </w:t>
      </w:r>
      <w:r>
        <w:rPr>
          <w:rtl w:val="true"/>
        </w:rPr>
        <w:t>بانکداری و سرمایه‌گذاری جهانی</w:t>
      </w:r>
      <w:r>
        <w:rPr>
          <w:rtl w:val="true"/>
        </w:rPr>
        <w:t>:</w:t>
      </w:r>
      <w:bookmarkEnd w:id="230"/>
    </w:p>
    <w:p>
      <w:pPr>
        <w:pStyle w:val="Heading5"/>
        <w:numPr>
          <w:ilvl w:val="4"/>
          <w:numId w:val="1"/>
        </w:numPr>
        <w:rPr/>
      </w:pPr>
      <w:bookmarkStart w:id="231" w:name="__RefHeading___Toc13791855_1280447820"/>
      <w:bookmarkStart w:id="232" w:name="_Toc87"/>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نفوذ اقتصادی یهودیان در دنیای مدرن، بیش از هر چیز در حوزه بانکداری و امور مالی جهانی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حاصل فعالیت هدفمند و نوآورانه خاندان‌هایی بود که با درک عمیق از سازوکارهای قدرت و سرمایه، توانستند ساختارهای مالی سنتی را دگرگون کرده و شبکه‌هایی بین‌المللی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بررسی نقش سه گروه از این خاندان‌های پیشگام می‌پردازد که هر یک به شیوه‌ای منحصربه‌فرد، مسیر بانکداری مدرن را شکل دادند</w:t>
      </w:r>
      <w:r>
        <w:rPr>
          <w:rFonts w:eastAsia="IRNazanin" w:cs="IRNazanin"/>
          <w:color w:val="111111"/>
          <w:sz w:val="28"/>
          <w:szCs w:val="28"/>
          <w:rtl w:val="true"/>
          <w:lang w:bidi="fa-IR"/>
        </w:rPr>
        <w:t>.</w:t>
      </w:r>
    </w:p>
    <w:p>
      <w:pPr>
        <w:pStyle w:val="Heading5"/>
        <w:numPr>
          <w:ilvl w:val="4"/>
          <w:numId w:val="1"/>
        </w:numPr>
        <w:rPr/>
      </w:pPr>
      <w:bookmarkStart w:id="233" w:name="__RefHeading___Toc13791857_1280447820"/>
      <w:bookmarkStart w:id="234" w:name="_Toc88"/>
      <w:bookmarkEnd w:id="233"/>
      <w:r>
        <w:rPr/>
        <w:t>1-1-1-4</w:t>
      </w:r>
      <w:r>
        <w:rPr>
          <w:rtl w:val="true"/>
        </w:rPr>
        <w:t xml:space="preserve">- </w:t>
      </w:r>
      <w:r>
        <w:rPr>
          <w:rtl w:val="true"/>
        </w:rPr>
        <w:t>خاندان روچیلد</w:t>
      </w:r>
      <w:r>
        <w:rPr>
          <w:rtl w:val="true"/>
        </w:rPr>
        <w:t xml:space="preserve">: </w:t>
      </w:r>
      <w:r>
        <w:rPr>
          <w:rtl w:val="true"/>
        </w:rPr>
        <w:t>امپراتوری بانکداری بین‌المللی</w:t>
      </w:r>
      <w:r>
        <w:rPr>
          <w:rtl w:val="true"/>
        </w:rPr>
        <w:t>:</w:t>
      </w:r>
      <w:bookmarkEnd w:id="23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روچیلد را می‌توان بنیان‌گذار واقعی بانکداری بین‌المللی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امپراتوری آن‌ها در اواخر قرن هجدهم از گتوی </w:t>
      </w:r>
    </w:p>
    <w:p>
      <w:pPr>
        <w:pStyle w:val="BookText"/>
        <w:rPr/>
      </w:pPr>
      <w:r>
        <w:rPr>
          <w:rFonts w:ascii="IRNazanin" w:hAnsi="IRNazanin" w:eastAsia="IRNazanin"/>
          <w:color w:val="111111"/>
          <w:sz w:val="28"/>
          <w:sz w:val="28"/>
          <w:szCs w:val="28"/>
          <w:rtl w:val="true"/>
          <w:lang w:bidi="fa-IR"/>
        </w:rPr>
        <w:t xml:space="preserve">یهودیان فرانکفورت توسط مایر آمشل روچیلد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بی‌نظیر مایر آمشل، اعزام پنج پسر خود به پنج مرکز کلیدی مالی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فرانکفورت، لندن، پاریس، وین و ناپل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اولین شبکه مالی فراملی در تاریخ بود که به صورت یک واحد یکپارچه و هماهنگ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قوت اصلی روچیلدها، ایجاد یک سیستم ارتباطی خصوصی و بسیار سریع بود که به آن‌ها اجازه می‌داد اخبار سیاسی و مالی را پیش از دولت‌ها و رقبا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اطلاعاتی، کلید موفقیت آن‌ها در بازارهای 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برجسته، نیل فرگوسن، در اثر جامع خود درباره این خاندان می‌نویسد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روچیلدها را از دیگران متمایز می‌کرد، ترکیبی از سرعت، گستردگی جغرافیایی و وحدت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به عنوان پنج بانک مجزا، بلکه به عنوان یک شرکت واحد با پنج شعبه عمل می‌کردند</w:t>
      </w:r>
      <w:r>
        <w:rPr>
          <w:rFonts w:eastAsia="IRNazanin" w:cs="IRNazanin"/>
          <w:color w:val="111111"/>
          <w:sz w:val="28"/>
          <w:szCs w:val="28"/>
          <w:rtl w:val="true"/>
          <w:lang w:bidi="fa-IR"/>
        </w:rPr>
        <w:t>».</w:t>
      </w:r>
      <w:r>
        <w:rPr>
          <w:rStyle w:val="FootnoteAnchor"/>
          <w:rtl w:val="true"/>
        </w:rPr>
        <w:footnoteReference w:id="100"/>
      </w:r>
      <w:bookmarkStart w:id="235" w:name="pg19225_246440"/>
    </w:p>
    <w:p>
      <w:pPr>
        <w:pStyle w:val="BookText"/>
        <w:rPr/>
      </w:pPr>
      <w:bookmarkEnd w:id="235"/>
      <w:r>
        <w:rPr>
          <w:rFonts w:ascii="IRNazanin" w:hAnsi="IRNazanin" w:eastAsia="IRNazanin"/>
          <w:color w:val="111111"/>
          <w:sz w:val="28"/>
          <w:sz w:val="28"/>
          <w:szCs w:val="28"/>
          <w:rtl w:val="true"/>
          <w:lang w:bidi="fa-IR"/>
        </w:rPr>
        <w:t xml:space="preserve">مشهورترین نمونه این برتری اطلاعاتی، نقش ناتان روچیلد در لندن پس از نبرد واترلو در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دریافت خبر شکست ناپلئون پیش از دولت بریتانیا، توانست با سرمایه‌گذاری عظیم در اوراق قرضه دولتی، ثروتی افسانه‌ای به دست آورد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خاندان با تأمین مالی دولت‌ها در زمان جنگ و صلح و سرمایه‌گذاری در پروژه‌های زیربنایی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کانال سوئز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بازیگری جایگزین‌ناپذیر در صحنه سیاست و اقتصاد اروپا تبدیل شدند</w:t>
      </w:r>
      <w:r>
        <w:rPr>
          <w:rFonts w:eastAsia="IRNazanin" w:cs="IRNazanin"/>
          <w:color w:val="111111"/>
          <w:sz w:val="28"/>
          <w:szCs w:val="28"/>
          <w:rtl w:val="true"/>
          <w:lang w:bidi="fa-IR"/>
        </w:rPr>
        <w:t>.</w:t>
      </w:r>
    </w:p>
    <w:p>
      <w:pPr>
        <w:pStyle w:val="Heading5"/>
        <w:numPr>
          <w:ilvl w:val="4"/>
          <w:numId w:val="1"/>
        </w:numPr>
        <w:rPr/>
      </w:pPr>
      <w:bookmarkStart w:id="236" w:name="__RefHeading___Toc13791859_1280447820"/>
      <w:bookmarkStart w:id="237" w:name="_Toc89"/>
      <w:bookmarkEnd w:id="236"/>
      <w:r>
        <w:rPr/>
        <w:t>2-1-1-4</w:t>
      </w:r>
      <w:r>
        <w:rPr>
          <w:rtl w:val="true"/>
        </w:rPr>
        <w:t xml:space="preserve">- </w:t>
      </w:r>
      <w:r>
        <w:rPr>
          <w:rtl w:val="true"/>
        </w:rPr>
        <w:t>خاندان واربورگ و لمان</w:t>
      </w:r>
      <w:r>
        <w:rPr>
          <w:rtl w:val="true"/>
        </w:rPr>
        <w:t xml:space="preserve">: </w:t>
      </w:r>
      <w:r>
        <w:rPr>
          <w:rtl w:val="true"/>
        </w:rPr>
        <w:t>غول‌های وال استریت</w:t>
      </w:r>
      <w:r>
        <w:rPr>
          <w:rtl w:val="true"/>
        </w:rPr>
        <w:t>:</w:t>
      </w:r>
      <w:bookmarkEnd w:id="237"/>
    </w:p>
    <w:p>
      <w:pPr>
        <w:pStyle w:val="BookText"/>
        <w:rPr/>
      </w:pPr>
      <w:r>
        <w:rPr>
          <w:rFonts w:ascii="IRNazanin" w:hAnsi="IRNazanin" w:eastAsia="IRNazanin"/>
          <w:color w:val="111111"/>
          <w:sz w:val="28"/>
          <w:sz w:val="28"/>
          <w:szCs w:val="28"/>
          <w:rtl w:val="true"/>
          <w:lang w:bidi="fa-IR"/>
        </w:rPr>
        <w:t>در حالی که روچیلدها در اروپا قدرت خود را تثبیت می‌کردند، موج جدیدی از خاندان‌های یهودی آلمانی‌الاصل در حال شکل‌دهی به مرکز مالی جدید جهان، یعنی وال استریت نیویورک، بودند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واربورگ، که ریشه‌ای عمیق در بانکداری هامبورگ داشتند، نقشی حیاتی در پیوند دادن نظام مالی آمریکا با اروپا و </w:t>
      </w:r>
    </w:p>
    <w:p>
      <w:pPr>
        <w:pStyle w:val="BookText"/>
        <w:rPr/>
      </w:pPr>
      <w:r>
        <w:rPr>
          <w:rFonts w:ascii="IRNazanin" w:hAnsi="IRNazanin" w:eastAsia="IRNazanin"/>
          <w:color w:val="111111"/>
          <w:sz w:val="28"/>
          <w:sz w:val="28"/>
          <w:szCs w:val="28"/>
          <w:rtl w:val="true"/>
          <w:lang w:bidi="fa-IR"/>
        </w:rPr>
        <w:t>مدرن‌سازی آن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 واربورگ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آمریکا مهاجرت کرد، از مغزهای متفکر و معماران اصلی نظام فدرال رزرو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مرکزی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تجربه بانکداری مرکزی اروپا، توانست کنگره آمریکا را متقاعد کند که یک سیستم متمرکز برای مدیریت پول و اعتبار، برای ثبات اقتصادی کشور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مورخ اقتصادی، ران چرناو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 واربورگ بیش از هر فرد دیگری، ایده‌های بانکداری مرکزی اروپایی را به زبان آمریکایی ترجمه کرد و به آن عینیت بخشید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لمان مسیری متفاوت را پیمودند که نمادی از تحول اقتصادی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فعالیت خود را با یک فروشگاه کوچک در آلاباما توسط برادران لمان در اواسط قرن نوزدهم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تدریج از تجارت پنبه به کارگزاری کالا و سپس به بانکداری سرمایه‌گذاری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Lehman Brothers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تأمین مالی صنایع نوظهور مانند راه‌آهن و نفت، به یکی از ارکان اصلی وال استریت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آن‌ها نشان می‌دهد که چگونه یک خانواده مهاجر توانست با شناسایی فرصت‌های اقتصادی جدید، از یک کسب‌وکار کوچک منطقه‌ای به یک غول </w:t>
      </w:r>
      <w:bookmarkStart w:id="238" w:name="pg19225_246442"/>
    </w:p>
    <w:p>
      <w:pPr>
        <w:pStyle w:val="BookText"/>
        <w:rPr/>
      </w:pPr>
      <w:bookmarkEnd w:id="238"/>
      <w:r>
        <w:rPr>
          <w:rFonts w:ascii="IRNazanin" w:hAnsi="IRNazanin" w:eastAsia="IRNazanin"/>
          <w:color w:val="111111"/>
          <w:sz w:val="28"/>
          <w:sz w:val="28"/>
          <w:szCs w:val="28"/>
          <w:rtl w:val="true"/>
          <w:lang w:bidi="fa-IR"/>
        </w:rPr>
        <w:t xml:space="preserve">مالی جهانی تبدیل شود؛ هرچند سرنوشت این بانک با ورشکستگی در بحران مالی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3791861_1280447820"/>
      <w:bookmarkStart w:id="240" w:name="_Toc90"/>
      <w:bookmarkEnd w:id="239"/>
      <w:r>
        <w:rPr/>
        <w:t>3-1-1-4</w:t>
      </w:r>
      <w:r>
        <w:rPr>
          <w:rtl w:val="true"/>
        </w:rPr>
        <w:t xml:space="preserve">- </w:t>
      </w:r>
      <w:r>
        <w:rPr>
          <w:rtl w:val="true"/>
        </w:rPr>
        <w:t>خاندان ساچز و برنارد</w:t>
      </w:r>
      <w:r>
        <w:rPr>
          <w:rtl w:val="true"/>
        </w:rPr>
        <w:t xml:space="preserve">: </w:t>
      </w:r>
      <w:r>
        <w:rPr>
          <w:rtl w:val="true"/>
        </w:rPr>
        <w:t>شکل‌دهی به بانکداری مدرن</w:t>
      </w:r>
      <w:r>
        <w:rPr>
          <w:rtl w:val="true"/>
        </w:rPr>
        <w:t>:</w:t>
      </w:r>
      <w:bookmarkEnd w:id="240"/>
    </w:p>
    <w:p>
      <w:pPr>
        <w:pStyle w:val="BookText"/>
        <w:rPr/>
      </w:pPr>
      <w:r>
        <w:rPr>
          <w:rFonts w:ascii="IRNazanin" w:hAnsi="IRNazanin" w:eastAsia="IRNazanin"/>
          <w:color w:val="111111"/>
          <w:sz w:val="28"/>
          <w:sz w:val="28"/>
          <w:szCs w:val="28"/>
          <w:rtl w:val="true"/>
          <w:lang w:bidi="fa-IR"/>
        </w:rPr>
        <w:t xml:space="preserve">دو خاندان دیگر که در شکل‌دهی به ابزارهای نوین مالی و فرهنگ بانکداری سرمایه‌گذاری مدرن نقشی کلیدی داشتند، ساچز و لازارد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خاندان برنارد در آن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ساچز، از طریق بانک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Goldman Sachs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نوآوری‌های مهمی را به وال استریت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که توسط مارکوس گلدمن و دامادش ساموئل ساچز تأسیس شد، در زمینه تأمین مالی شرکت‌ها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ابداعات آن‌ها، استفاده گسترده از اوراق تجاری بود که به شرکت‌ها اجازه می‌داد به جای اتکای صرف به وام‌های بانکی، از طریق بازارهای مالی برای خود تأمین مالی کوتاه‌مدت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نوآوری، راه را برای توسعه بازارهای سرمایه مدرن هموار کرد</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گلدمن ساکس </w:t>
      </w:r>
    </w:p>
    <w:p>
      <w:pPr>
        <w:pStyle w:val="BookText"/>
        <w:rPr/>
      </w:pPr>
      <w:r>
        <w:rPr>
          <w:rFonts w:ascii="IRNazanin" w:hAnsi="IRNazanin" w:eastAsia="IRNazanin"/>
          <w:color w:val="111111"/>
          <w:sz w:val="28"/>
          <w:sz w:val="28"/>
          <w:szCs w:val="28"/>
          <w:rtl w:val="true"/>
          <w:lang w:bidi="fa-IR"/>
        </w:rPr>
        <w:t>به تدریج به نماد نخبگی، فرهنگ سازمانی قدرتمند و نفوذ سیاسی در وال استریت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برنارد و دیگر شرکای یهودی در بانک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LazardFrères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حوزه دیگری تخصص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 مالی و ادغام و تملیک شرکت‌ها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M&amp;A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بانک لازارد که توسط برادران لازارد در قرن نوزدهم تأسیس شده بود، به دلیل شبکه قدرتمند فراآتلانتیکی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پاریس و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تخصص در مذاکرات پیچیده مالی، به بانکی برای معاملات بزرگ و مشاور دولت‌ها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بیش از آنکه بر حجم سرمایه خود تکیه کنند،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فکری و شبکه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کوهان در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لازارد یک بانک نبود، بلکه یک باشگاه انحصاری از مشاوران مالی بود که در اتاق‌های قدرت معامله می‌کردند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روچیلدها شبکه جهانی بانکداری را ساختند، خاندان‌هایی مانند ساچز و برنارد، با ابداع ابزارهای نوین مالی و تخصصی‌سازی خدمات مشاوره‌ای، محتوای بانکداری </w:t>
      </w:r>
      <w:bookmarkStart w:id="241" w:name="pg19225_246444"/>
    </w:p>
    <w:p>
      <w:pPr>
        <w:pStyle w:val="BookText"/>
        <w:rPr/>
      </w:pPr>
      <w:bookmarkEnd w:id="241"/>
      <w:r>
        <w:rPr>
          <w:rFonts w:ascii="IRNazanin" w:hAnsi="IRNazanin" w:eastAsia="IRNazanin"/>
          <w:color w:val="111111"/>
          <w:sz w:val="28"/>
          <w:sz w:val="28"/>
          <w:szCs w:val="28"/>
          <w:rtl w:val="true"/>
          <w:lang w:bidi="fa-IR"/>
        </w:rPr>
        <w:t>سرمایه‌گذاری مدرن را غنا بخشیدند و فرهنگ نخبگی مالی را در وال استریت تثبیت کردند</w:t>
      </w:r>
      <w:r>
        <w:rPr>
          <w:rFonts w:eastAsia="IRNazanin" w:cs="IRNazanin"/>
          <w:color w:val="111111"/>
          <w:sz w:val="28"/>
          <w:szCs w:val="28"/>
          <w:rtl w:val="true"/>
          <w:lang w:bidi="fa-IR"/>
        </w:rPr>
        <w:t>.</w:t>
      </w:r>
    </w:p>
    <w:p>
      <w:pPr>
        <w:pStyle w:val="Heading4"/>
        <w:numPr>
          <w:ilvl w:val="3"/>
          <w:numId w:val="1"/>
        </w:numPr>
        <w:rPr/>
      </w:pPr>
      <w:bookmarkStart w:id="242" w:name="__RefHeading___Toc13791863_1280447820"/>
      <w:bookmarkStart w:id="243" w:name="_Toc91"/>
      <w:bookmarkEnd w:id="242"/>
      <w:r>
        <w:rPr/>
        <w:t>2-1-4</w:t>
      </w:r>
      <w:r>
        <w:rPr>
          <w:rtl w:val="true"/>
        </w:rPr>
        <w:t xml:space="preserve">- </w:t>
      </w:r>
      <w:r>
        <w:rPr>
          <w:rtl w:val="true"/>
        </w:rPr>
        <w:t>فرمانروایان منابع طبیعی</w:t>
      </w:r>
      <w:r>
        <w:rPr>
          <w:rtl w:val="true"/>
        </w:rPr>
        <w:t xml:space="preserve">: </w:t>
      </w:r>
      <w:r>
        <w:rPr>
          <w:rtl w:val="true"/>
        </w:rPr>
        <w:t>از الماس تا نفت</w:t>
      </w:r>
      <w:bookmarkEnd w:id="243"/>
    </w:p>
    <w:p>
      <w:pPr>
        <w:pStyle w:val="Heading5"/>
        <w:numPr>
          <w:ilvl w:val="4"/>
          <w:numId w:val="1"/>
        </w:numPr>
        <w:rPr/>
      </w:pPr>
      <w:bookmarkStart w:id="244" w:name="__RefHeading___Toc13791865_1280447820"/>
      <w:bookmarkStart w:id="245" w:name="_Toc92"/>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کنترل منابع طبیعی همواره یکی از ارکان اصلی قدرت اقتصادی و سیاسی در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خاندان‌های یهودی با درک عمیق از سازوکارهای بازار و آینده‌نگری تجاری، موفق شدند نبض دو صنعت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دهه‌های متمادی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بررسی نقش محوری خاندان‌های اوپنهایمر و ساموئل در شکل‌دهی و تسلط بر این دو حوزه راهبردی می‌پردازد و نشان می‌دهد چگونه ساختارهای انحصاری آن‌ها، مسیر اقتصاد جهانی را تغییر داد</w:t>
      </w:r>
      <w:r>
        <w:rPr>
          <w:rFonts w:eastAsia="IRNazanin" w:cs="IRNazanin"/>
          <w:color w:val="111111"/>
          <w:sz w:val="28"/>
          <w:szCs w:val="28"/>
          <w:rtl w:val="true"/>
          <w:lang w:bidi="fa-IR"/>
        </w:rPr>
        <w:t>.</w:t>
      </w:r>
    </w:p>
    <w:p>
      <w:pPr>
        <w:pStyle w:val="Heading5"/>
        <w:numPr>
          <w:ilvl w:val="4"/>
          <w:numId w:val="1"/>
        </w:numPr>
        <w:rPr/>
      </w:pPr>
      <w:bookmarkStart w:id="246" w:name="__RefHeading___Toc13791867_1280447820"/>
      <w:bookmarkStart w:id="247" w:name="_Toc93"/>
      <w:bookmarkEnd w:id="246"/>
      <w:r>
        <w:rPr/>
        <w:t>1-2-1-4</w:t>
      </w:r>
      <w:r>
        <w:rPr>
          <w:rtl w:val="true"/>
        </w:rPr>
        <w:t xml:space="preserve">- </w:t>
      </w:r>
      <w:r>
        <w:rPr>
          <w:rtl w:val="true"/>
        </w:rPr>
        <w:t>خاندان اوپنهایمر</w:t>
      </w:r>
      <w:r>
        <w:rPr>
          <w:rtl w:val="true"/>
        </w:rPr>
        <w:t xml:space="preserve">: </w:t>
      </w:r>
      <w:r>
        <w:rPr>
          <w:rtl w:val="true"/>
        </w:rPr>
        <w:t>امپراتوری الماس آفریقا</w:t>
      </w:r>
      <w:r>
        <w:rPr>
          <w:rtl w:val="true"/>
        </w:rPr>
        <w:t>:</w:t>
      </w:r>
      <w:bookmarkEnd w:id="2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بر بازار جهانی الماس به‌طور جدایی‌ناپذیری با نام خاندان اوپنهایمر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به‌ویژه از طریق شخصیت برجسته ارنست اوپنهایمر، موفق شد یک صنعت پراکنده و بی‌ثبات را به یک امپراتوری متمرکز و کنترل‌شده تبدیل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اوپنهایمر که در ابتدا به عنوان یک کارگزار الماس به شهر کیمبرلی در آفریقای جنوبی فرستاده شده بود، به‌سرعت دریافت که ارزش واقعی الماس نه در استخراج صرف، بلکه در کنترل عرضه آن نهفته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معدنی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 امریکن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هدف استخراج طلا تأسیس کرد، اما از آن به عنوان اهرمی برای ورود به هیئت مدیره شرکت معظم د بیرز ، بزرگ‌ترین تولیدکننده الماس وقت،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اوپنهایمر پس از کسب کرسی ریاست د بیرز در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ساختاری را پایه‌ریزی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مرکزی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کارتل قدرتمند وظیفه داشت تقریباً تمام الماس‌های خام استخراج‌شده در جهان را خریداری کرده و سپس به‌صورت کنترل‌شده و با قیمت‌های تعیین‌شده به بازار عرضه کند</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سازوکار، رقابت را از میان برداشت و به د بیرز اجازه داد تا برای بیش از نیم قرن، نزدیک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تجارت جهانی الماس را در انحصار خود داشته باشد</w:t>
      </w:r>
      <w:r>
        <w:rPr>
          <w:rFonts w:eastAsia="IRNazanin" w:cs="IRNazanin"/>
          <w:color w:val="111111"/>
          <w:sz w:val="28"/>
          <w:szCs w:val="28"/>
          <w:rtl w:val="true"/>
          <w:lang w:bidi="fa-IR"/>
        </w:rPr>
        <w:t xml:space="preserve">. </w:t>
      </w:r>
      <w:bookmarkStart w:id="248" w:name="pg19225_246446"/>
    </w:p>
    <w:p>
      <w:pPr>
        <w:pStyle w:val="BookText"/>
        <w:rPr/>
      </w:pPr>
      <w:bookmarkEnd w:id="248"/>
      <w:r>
        <w:rPr>
          <w:rFonts w:ascii="IRNazanin" w:hAnsi="IRNazanin" w:eastAsia="IRNazanin"/>
          <w:color w:val="111111"/>
          <w:sz w:val="28"/>
          <w:sz w:val="28"/>
          <w:szCs w:val="28"/>
          <w:rtl w:val="true"/>
          <w:lang w:bidi="fa-IR"/>
        </w:rPr>
        <w:t>نفوذ این خاندان تنها به الماس محدود نماند و از طریق شرکت انگلو امریکن، به بزرگ‌ترین بازیگر در استخراج طلای آفریقای جنوبی نیز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خاندان اوپنهایمر با ایجاد یک ساختار انحصاری پیچیده، نه تنها صنعت الماس را بازتعریف کرد، بلکه به یکی از قدرتمندترین بازیگران اقتصادی در قاره آفریقا و جهان بدل گشت</w:t>
      </w:r>
      <w:r>
        <w:rPr>
          <w:rFonts w:eastAsia="IRNazanin" w:cs="IRNazanin"/>
          <w:color w:val="111111"/>
          <w:sz w:val="28"/>
          <w:szCs w:val="28"/>
          <w:rtl w:val="true"/>
          <w:lang w:bidi="fa-IR"/>
        </w:rPr>
        <w:t>.</w:t>
      </w:r>
    </w:p>
    <w:p>
      <w:pPr>
        <w:pStyle w:val="Heading5"/>
        <w:numPr>
          <w:ilvl w:val="4"/>
          <w:numId w:val="1"/>
        </w:numPr>
        <w:rPr/>
      </w:pPr>
      <w:bookmarkStart w:id="249" w:name="__RefHeading___Toc13791869_1280447820"/>
      <w:bookmarkStart w:id="250" w:name="_Toc94"/>
      <w:bookmarkEnd w:id="249"/>
      <w:r>
        <w:rPr/>
        <w:t>2-2-1-4</w:t>
      </w:r>
      <w:r>
        <w:rPr>
          <w:rtl w:val="true"/>
        </w:rPr>
        <w:t xml:space="preserve">- </w:t>
      </w:r>
      <w:r>
        <w:rPr>
          <w:rtl w:val="true"/>
        </w:rPr>
        <w:t>خاندان ساموئل</w:t>
      </w:r>
      <w:r>
        <w:rPr>
          <w:rtl w:val="true"/>
        </w:rPr>
        <w:t xml:space="preserve">: </w:t>
      </w:r>
      <w:r>
        <w:rPr>
          <w:rtl w:val="true"/>
        </w:rPr>
        <w:t>تأسیس امپراتوری نفت شل</w:t>
      </w:r>
      <w:r>
        <w:rPr>
          <w:rtl w:val="true"/>
        </w:rPr>
        <w:t>:</w:t>
      </w:r>
      <w:bookmarkEnd w:id="25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نوزدهم و هم‌زمان با آغاز عصر نفت، مارکوس ساموئل و برادرش ساموئل، که در ابتدا در کار تجارت صدف‌های دریایی زینتی در شرق آسیا بودند، فرصت بی‌نظیری را در صنعت نوپای نفت شناسایی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مارکوس ساموئل دریافت که بزرگ‌ترین مانع بر سر راه تجارت جهانی نفت، حمل‌ونقل آن بود که عمدتاً در بشکه‌های چوبی انجام می‌شد و ریسک نشت و آتش‌سوزی بالایی داشت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ابتکار عمل تعیین‌کننده او، طراحی و ساخت نفت‌کش‌های بخاری مدرن بود که می‌توانستند نفت را به‌صورت فله‌ای و با ایمنی بسیار بالاتر از طریق کانال سوئز به اروپا و آسیا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نفت‌کش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انداخته شد، انقلابی در لجستیک نفت ایجاد کرد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مارکوس ساموئل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 ترنسپورت اند تریدینگ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 که نام و لوگوی آن یادآور کسب‌وکار اولیه خانوادگی‌شان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شل به‌سرعت به رقیبی جدی برای کمپانی استاندارد اویل آمریکا و شرکت رویال داچ هلند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پس از مذاکراتی فشرده، مارکوس ساموئل با هنری دیتردینگ، مدیر قدرتمند رویال داچ، به توافق رسید و دو شرکت با یکدیگر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ادغام،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رویال داچ 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یکی از بزرگ‌ترین و قدرتمندترین شرکت‌های نفتی جهان تبدیل شد و تا به امروز جایگاه خود را در </w:t>
      </w:r>
      <w:bookmarkStart w:id="251" w:name="pg19225_246448"/>
    </w:p>
    <w:p>
      <w:pPr>
        <w:pStyle w:val="BookText"/>
        <w:rPr/>
      </w:pPr>
      <w:bookmarkEnd w:id="251"/>
      <w:r>
        <w:rPr>
          <w:rFonts w:ascii="IRNazanin" w:hAnsi="IRNazanin" w:eastAsia="IRNazanin"/>
          <w:color w:val="111111"/>
          <w:sz w:val="28"/>
          <w:sz w:val="28"/>
          <w:szCs w:val="28"/>
          <w:rtl w:val="true"/>
          <w:lang w:bidi="fa-IR"/>
        </w:rPr>
        <w:t>میان غول‌های انرژی حفظ کرده است</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ساموئل با نوآوری در حمل‌ونقل و استراتژی تجاری هوشمندانه، نقشی اساسی در شکل‌دهی به بازار جهانی نفت ایفا نمود</w:t>
      </w:r>
      <w:r>
        <w:rPr>
          <w:rFonts w:eastAsia="IRNazanin" w:cs="IRNazanin"/>
          <w:color w:val="111111"/>
          <w:sz w:val="28"/>
          <w:szCs w:val="28"/>
          <w:rtl w:val="true"/>
          <w:lang w:bidi="fa-IR"/>
        </w:rPr>
        <w:t>.</w:t>
      </w:r>
    </w:p>
    <w:p>
      <w:pPr>
        <w:pStyle w:val="Heading4"/>
        <w:numPr>
          <w:ilvl w:val="3"/>
          <w:numId w:val="1"/>
        </w:numPr>
        <w:rPr/>
      </w:pPr>
      <w:bookmarkStart w:id="252" w:name="__RefHeading___Toc13791871_1280447820"/>
      <w:bookmarkStart w:id="253" w:name="_Toc95"/>
      <w:bookmarkEnd w:id="252"/>
      <w:r>
        <w:rPr/>
        <w:t>3-1-4</w:t>
      </w:r>
      <w:r>
        <w:rPr>
          <w:rtl w:val="true"/>
        </w:rPr>
        <w:t xml:space="preserve">- </w:t>
      </w:r>
      <w:r>
        <w:rPr>
          <w:rtl w:val="true"/>
        </w:rPr>
        <w:t>تجارت مرگ</w:t>
      </w:r>
      <w:r>
        <w:rPr>
          <w:rtl w:val="true"/>
        </w:rPr>
        <w:t xml:space="preserve">: </w:t>
      </w:r>
      <w:r>
        <w:rPr>
          <w:rtl w:val="true"/>
        </w:rPr>
        <w:t>نقش خاندان‌ها در صنعت اسلحه</w:t>
      </w:r>
      <w:r>
        <w:rPr>
          <w:rtl w:val="true"/>
        </w:rPr>
        <w:t>:</w:t>
      </w:r>
      <w:bookmarkEnd w:id="2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صنعت تسلیحات،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یکی از پیچیده‌ترین و سودآورترین حوزه‌های اقتصاد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قدرت تنها در فناوری ساخت سلاح خلاصه نمی‌شود، بلکه بیش از آن، در توانایی تأمین مالی جنگ‌ها و کنترل منابع راهبردی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برخی خاندان‌های بانفوذ یهودی، با بهره‌گیری از تسلط خود بر شبکه‌های مالی و صنعتی،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نقش‌آفرینی آن‌ها نه در میدان‌های نبرد، بلکه در اتاق‌های هیئت مدیره بانک‌ها و شرکت‌های بزرگ تعریف می‌شد؛ جایی که هنرشان، تبدیل منازعات نظامی به سودهای سرشار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خاندان‌ها به‌خوبی دریافته بودند که در بازی قدرت، بزرگ‌ترین </w:t>
      </w:r>
    </w:p>
    <w:p>
      <w:pPr>
        <w:pStyle w:val="BookText"/>
        <w:rPr/>
      </w:pPr>
      <w:r>
        <w:rPr>
          <w:rFonts w:ascii="IRNazanin" w:hAnsi="IRNazanin" w:eastAsia="IRNazanin"/>
          <w:color w:val="111111"/>
          <w:sz w:val="28"/>
          <w:sz w:val="28"/>
          <w:szCs w:val="28"/>
          <w:rtl w:val="true"/>
          <w:lang w:bidi="fa-IR"/>
        </w:rPr>
        <w:t>ثروت نه در دست سربازان، که در اختیار کسانی است که سرمایه و منابع جنگ را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برجسته‌ترین نمونه‌ها، خاندان روچیلد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این خانواده در تأمین مالی دولت‌ها به آن‌ها اجازه می‌داد تا در منازعات بزرگ اروپایی نقشی تعیین‌کننده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جنگ‌های ناپلئونی، شبکه بانکی روچیلدها به رهبری ناتان مایر روچیلد در لندن، به شکلی پنهانی و با کارایی بالا، منابع مالی لازم برای ارتش بریتانیا به فرماندهی دوک ولینگتون را فراهم آورد؛ اقدامی که در پیروزی نهایی متفقین بر ناپلئون تأثیری حیاتی داشت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نفوذ مالی به آن‌ها امکان می‌داد تا بر صنایع کلیدی، از جمله کارخانه‌های اسلحه‌سازی، نیز تسلط یابند و در مواقع لزوم، سیاست‌های اقتصادی دولت‌ها را در جهت منافع خود هدایت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سوی دیگر، خاندان ساموئل، بنیان‌گذاران شرکت نفت شل، نشان دادند که کنترل یک منبع انرژی استراتژیک چگونه می‌تواند به ابزاری برای نفوذ در ماشین جنگی مدرن تبدیل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اوایل قرن بیستم، با تصمیم نیروی دریایی بریتانیا مبنی بر جایگزینی سوخت زغال‌سنگ با نفت، شرکت شل به یکی از تأمین‌کنندگان اصلی سوخت برای قدرتمندترین نیروی دریایی جهان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استراتژیک که به‌شدت توسط افرادی چون وینستون چرچیل حمایت می‌شد، نفت را به یک کالای نظامی حیاتی تبدیل کرد و جایگاه شرکت شل و خاندان ساموئل را به عنوان بازیگری کلیدی در امنیت ملی بریتانیا تثبیت نمود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شعار منسوب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چاه‌های نفت را به کارخانه‌های باروت وصل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درک عمیق آن‌ها از پیوند ناگسستنی انرژی و قدرت نظامی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نقش این خاندان‌ها در صنعت تسلیحات، الگویی از اعمال قدرت غیرمستقیم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کنترل دو شریان حیاتی جنگ‌های مدرن،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توانستند بدون شلیک حتی یک گلوله، بر توازن قوای جهانی تأثیر بگذارند و از دل ویرانگرترین منازعات تاریخ، امپراتوری‌های اقتصادی خود را مستحکم‌تر سازند</w:t>
      </w:r>
      <w:r>
        <w:rPr>
          <w:rFonts w:eastAsia="IRNazanin" w:cs="IRNazanin"/>
          <w:color w:val="111111"/>
          <w:sz w:val="28"/>
          <w:szCs w:val="28"/>
          <w:rtl w:val="true"/>
          <w:lang w:bidi="fa-IR"/>
        </w:rPr>
        <w:t xml:space="preserve">. </w:t>
      </w:r>
      <w:bookmarkStart w:id="254" w:name="pg19225_246451"/>
    </w:p>
    <w:p>
      <w:pPr>
        <w:pStyle w:val="Heading3"/>
        <w:numPr>
          <w:ilvl w:val="2"/>
          <w:numId w:val="1"/>
        </w:numPr>
        <w:rPr/>
      </w:pPr>
      <w:bookmarkStart w:id="255" w:name="__RefHeading___Toc13791873_1280447820"/>
      <w:bookmarkStart w:id="256" w:name="_Toc96"/>
      <w:bookmarkEnd w:id="254"/>
      <w:bookmarkEnd w:id="255"/>
      <w:r>
        <w:rPr/>
        <w:t>2-4</w:t>
      </w:r>
      <w:r>
        <w:rPr>
          <w:rtl w:val="true"/>
        </w:rPr>
        <w:t xml:space="preserve">- </w:t>
      </w:r>
      <w:r>
        <w:rPr>
          <w:rtl w:val="true"/>
        </w:rPr>
        <w:t>سلطه بر افکار</w:t>
      </w:r>
      <w:r>
        <w:rPr>
          <w:rtl w:val="true"/>
        </w:rPr>
        <w:t xml:space="preserve">: </w:t>
      </w:r>
      <w:r>
        <w:rPr>
          <w:rtl w:val="true"/>
        </w:rPr>
        <w:t>نفوذ در فرهنگ، رسانه و ذائقه جهانی</w:t>
      </w:r>
      <w:r>
        <w:rPr>
          <w:rtl w:val="true"/>
        </w:rPr>
        <w:t>:</w:t>
      </w:r>
      <w:bookmarkEnd w:id="256"/>
    </w:p>
    <w:p>
      <w:pPr>
        <w:pStyle w:val="Heading4"/>
        <w:numPr>
          <w:ilvl w:val="3"/>
          <w:numId w:val="1"/>
        </w:numPr>
        <w:rPr/>
      </w:pPr>
      <w:bookmarkStart w:id="257" w:name="__RefHeading___Toc13791875_1280447820"/>
      <w:bookmarkStart w:id="258" w:name="_Toc97"/>
      <w:bookmarkEnd w:id="257"/>
      <w:r>
        <w:rPr/>
        <w:t>1-2-4</w:t>
      </w:r>
      <w:r>
        <w:rPr>
          <w:rtl w:val="true"/>
        </w:rPr>
        <w:t xml:space="preserve">- </w:t>
      </w:r>
      <w:r>
        <w:rPr>
          <w:rtl w:val="true"/>
        </w:rPr>
        <w:t>هالیوود</w:t>
      </w:r>
      <w:r>
        <w:rPr>
          <w:rtl w:val="true"/>
        </w:rPr>
        <w:t xml:space="preserve">: </w:t>
      </w:r>
      <w:r>
        <w:rPr>
          <w:rtl w:val="true"/>
        </w:rPr>
        <w:t>از پیشگامان مهاجر تا امپراتوری سرگرمی</w:t>
      </w:r>
      <w:r>
        <w:rPr>
          <w:rtl w:val="true"/>
        </w:rPr>
        <w:t>:</w:t>
      </w:r>
      <w:bookmarkEnd w:id="258"/>
    </w:p>
    <w:p>
      <w:pPr>
        <w:pStyle w:val="Heading5"/>
        <w:numPr>
          <w:ilvl w:val="4"/>
          <w:numId w:val="1"/>
        </w:numPr>
        <w:rPr/>
      </w:pPr>
      <w:bookmarkStart w:id="259" w:name="__RefHeading___Toc13791877_1280447820"/>
      <w:bookmarkStart w:id="260" w:name="_Toc98"/>
      <w:bookmarkEnd w:id="259"/>
      <w:r>
        <w:rPr>
          <w:rtl w:val="true"/>
        </w:rPr>
        <w:t>اشاره</w:t>
      </w:r>
      <w:bookmarkEnd w:id="26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شکل‌گیری هالیوود به عنوان مرکز صنعت سرگرمی جهان، داستانی از فرصت، جاه‌طلبی و بازآفرینی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در اوایل قرن بیستم، زمانی که هنوز یک حوزه حاشیه‌ای و فاقد اعتبار اجتماعی محسوب می‌شد، به پناهگاهی برای کارآفرینان مهاجر یهودی از اروپای شرقی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در بسیاری از مشاغل معتبر آن روز با موانع و تبعیض‌های ساختاری روبرو بودند، در صنعت نوپای سینما فضایی باز برای تحقق رؤیاهای خود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این سرگرمی عامه‌پسند را به یک امپراتوری اقتصادی و فرهنگی تبدیل کردند، بلکه از آن به عنوان ابزاری برای تعریف و ترویج یک روایت خاص از هویت و آرمان آمریکایی بهره جستند</w:t>
      </w:r>
      <w:r>
        <w:rPr>
          <w:rFonts w:eastAsia="IRNazanin" w:cs="IRNazanin"/>
          <w:color w:val="111111"/>
          <w:sz w:val="28"/>
          <w:szCs w:val="28"/>
          <w:rtl w:val="true"/>
          <w:lang w:bidi="fa-IR"/>
        </w:rPr>
        <w:t xml:space="preserve">. </w:t>
      </w:r>
      <w:bookmarkStart w:id="261" w:name="pg19225_246452"/>
    </w:p>
    <w:p>
      <w:pPr>
        <w:pStyle w:val="Heading5"/>
        <w:numPr>
          <w:ilvl w:val="4"/>
          <w:numId w:val="1"/>
        </w:numPr>
        <w:rPr/>
      </w:pPr>
      <w:bookmarkStart w:id="262" w:name="__RefHeading___Toc13791879_1280447820"/>
      <w:bookmarkStart w:id="263" w:name="_Toc99"/>
      <w:bookmarkEnd w:id="261"/>
      <w:bookmarkEnd w:id="262"/>
      <w:r>
        <w:rPr/>
        <w:t>1-1-2-4</w:t>
      </w:r>
      <w:r>
        <w:rPr>
          <w:rtl w:val="true"/>
        </w:rPr>
        <w:t xml:space="preserve">- </w:t>
      </w:r>
      <w:r>
        <w:rPr>
          <w:rtl w:val="true"/>
        </w:rPr>
        <w:t>بنیان‌گذاران یهودی استودیوهای بزرگ</w:t>
      </w:r>
      <w:r>
        <w:rPr>
          <w:rtl w:val="true"/>
        </w:rPr>
        <w:t>:</w:t>
      </w:r>
      <w:bookmarkEnd w:id="263"/>
    </w:p>
    <w:p>
      <w:pPr>
        <w:pStyle w:val="BookText"/>
        <w:rPr/>
      </w:pPr>
      <w:r>
        <w:rPr>
          <w:rFonts w:ascii="IRNazanin" w:hAnsi="IRNazanin" w:eastAsia="IRNazanin"/>
          <w:color w:val="111111"/>
          <w:sz w:val="28"/>
          <w:sz w:val="28"/>
          <w:szCs w:val="28"/>
          <w:rtl w:val="true"/>
          <w:lang w:bidi="fa-IR"/>
        </w:rPr>
        <w:t>بنیان‌های صنعت سینمای آمریکا توسط گروهی از مهاجران یهودی بنا نهاده شد که با شم تجاری قوی و درکی عمیق از روانشناسی مخاطب، ساختارهای این صنعت را پایه‌ریزی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چهره‌هایی مانند کارل لمله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یونیورسال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آدولف زوکور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پارامونت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برادران وارنر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آلبرت، سم و 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لوئیس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مدیران اصلی مترو گلدوین 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خانواده‌هایی فقیر در اروپای شرقی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افراد، سینما تنها یک کسب‌وکار نبود، بلکه فرصتی برای خلق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تصویری از جهانی که در آن ارزش‌های خانوادگی، وطن‌پرستی و خوش‌بینی حاکم بود و در آن جایی برای گذشته تلخ و تبعیض‌های دنیای قدیم وجود نداشت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مدیران با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استودیویی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شامل کنترل یکپارچه بر تولید، توزیع و نمایش فیلم‌ها می‌شد، یک ساختار صنعتی قدرتمند و متمرکز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در اختیار گرفتن تمام مراحل، از استخدام بازیگران تحت قراردادهای بلندمدت </w:t>
      </w:r>
      <w:bookmarkStart w:id="264" w:name="pg19225_246453"/>
    </w:p>
    <w:p>
      <w:pPr>
        <w:pStyle w:val="BookText"/>
        <w:rPr/>
      </w:pPr>
      <w:bookmarkEnd w:id="264"/>
      <w:r>
        <w:rPr>
          <w:rFonts w:ascii="IRNazanin" w:hAnsi="IRNazanin" w:eastAsia="IRNazanin"/>
          <w:color w:val="111111"/>
          <w:sz w:val="28"/>
          <w:sz w:val="28"/>
          <w:szCs w:val="28"/>
          <w:rtl w:val="true"/>
          <w:lang w:bidi="fa-IR"/>
        </w:rPr>
        <w:t>گرفته تا مالکیت سالن‌های سینما، توانستند ریسک‌های تجاری را به حداقل رسانده و تولیدات خود را به شکلی انبوه به مخاطبان جهانی عرضه کنند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این پیشگامان مهاجر نه تنها یک صنعت بزرگ را خلق کردند، بلکه با تعریف داستان‌ها و اسطوره‌های آن، نقشی اساسی در شکل‌دهی به فرهنگ عامه قرن بیستم ایفا نمودند</w:t>
      </w:r>
      <w:r>
        <w:rPr>
          <w:rFonts w:eastAsia="IRNazanin" w:cs="IRNazanin"/>
          <w:color w:val="111111"/>
          <w:sz w:val="28"/>
          <w:szCs w:val="28"/>
          <w:rtl w:val="true"/>
          <w:lang w:bidi="fa-IR"/>
        </w:rPr>
        <w:t>.</w:t>
      </w:r>
    </w:p>
    <w:p>
      <w:pPr>
        <w:pStyle w:val="Heading5"/>
        <w:numPr>
          <w:ilvl w:val="4"/>
          <w:numId w:val="1"/>
        </w:numPr>
        <w:rPr/>
      </w:pPr>
      <w:bookmarkStart w:id="265" w:name="__RefHeading___Toc13791881_1280447820"/>
      <w:bookmarkStart w:id="266" w:name="_Toc100"/>
      <w:bookmarkEnd w:id="265"/>
      <w:r>
        <w:rPr/>
        <w:t>2-1-2-4</w:t>
      </w:r>
      <w:r>
        <w:rPr>
          <w:rtl w:val="true"/>
        </w:rPr>
        <w:t xml:space="preserve">- </w:t>
      </w:r>
      <w:r>
        <w:rPr>
          <w:rtl w:val="true"/>
        </w:rPr>
        <w:t>خلاقیت در انیمیشن</w:t>
      </w:r>
      <w:r>
        <w:rPr>
          <w:rtl w:val="true"/>
        </w:rPr>
        <w:t xml:space="preserve">: </w:t>
      </w:r>
      <w:r>
        <w:rPr>
          <w:rtl w:val="true"/>
        </w:rPr>
        <w:t>از مکس فلایشر تا هانا</w:t>
      </w:r>
      <w:r>
        <w:rPr>
          <w:rtl w:val="true"/>
        </w:rPr>
        <w:t>-</w:t>
      </w:r>
      <w:r>
        <w:rPr>
          <w:rtl w:val="true"/>
        </w:rPr>
        <w:t>باربرا</w:t>
      </w:r>
      <w:r>
        <w:rPr>
          <w:rtl w:val="true"/>
        </w:rPr>
        <w:t>:</w:t>
      </w:r>
      <w:bookmarkEnd w:id="266"/>
    </w:p>
    <w:p>
      <w:pPr>
        <w:pStyle w:val="BookText"/>
        <w:rPr/>
      </w:pPr>
      <w:r>
        <w:rPr>
          <w:rFonts w:ascii="IRNazanin" w:hAnsi="IRNazanin" w:eastAsia="IRNazanin"/>
          <w:color w:val="111111"/>
          <w:sz w:val="28"/>
          <w:sz w:val="28"/>
          <w:szCs w:val="28"/>
          <w:rtl w:val="true"/>
          <w:lang w:bidi="fa-IR"/>
        </w:rPr>
        <w:t>نفوذ چهره‌های یهودی در صنعت انیمیشن نیز کمتر از سینمای زنده نبود و خلاقیت‌های آن‌ها مسیر این هنر را برای همیشه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برجسته در این حوزه، مکس فلایشر و ویلیام هانا، هر یک با رویکردی منحصربه‌فرد، به توسعه فنی و روایی انیمیشن کمک شایانی کردند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مکس فلایشر و برادرش دیو، به عنوان نوآورانی بزرگ، تأثیری عمیق بر جنبه‌های فنی انیمیشن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اختراع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روتوسکوپ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دستگاهی که به انیماتورها اجازه می‌داد با </w:t>
      </w:r>
    </w:p>
    <w:p>
      <w:pPr>
        <w:pStyle w:val="BookText"/>
        <w:rPr/>
      </w:pPr>
      <w:r>
        <w:rPr>
          <w:rFonts w:ascii="IRNazanin" w:hAnsi="IRNazanin" w:eastAsia="IRNazanin"/>
          <w:color w:val="111111"/>
          <w:sz w:val="28"/>
          <w:sz w:val="28"/>
          <w:szCs w:val="28"/>
          <w:rtl w:val="true"/>
          <w:lang w:bidi="fa-IR"/>
        </w:rPr>
        <w:t>ترسیم فریم‌به‌فریم تصاویر فیلم‌برداری‌شده از حرکات واقعی، انیمیشن‌هایی با سیالیت و واقع‌گرایی بی‌سابقه خلق کنند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تکنیک در آثاری چون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استودیوی فلایشر همچنین خالق شخصیت‌های ماندگاری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بوپ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ملوان زبل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آثارشان اغلب فضایی سورئال، شهری و گاهی تاریک‌تر از رقیب اصلی‌شان، دیزنی، داشت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ویلیام هانا به همراه شریکش جوزف باربرا، صنعت انیمیشن را برای عصر تلویزیون بازآفرینی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بسته شدن بخش انیمیشن استودیوی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MGM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آن‌ها استودیوی هانا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باربرا را تأسیس کرده و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انیمیشن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کمال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که بر کاهش تعداد فریم‌ها و استفاده بهینه از طراحی شخصیت و پس‌زمینه استوار بود، تولید انیمیشن را برای برنامه‌های تلویزیونی سریع‌تر و بسیار مقرون‌به‌صرفه‌تر کرد</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نوآوری به آن‌ها اجازه داد تا با خلق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67" w:name="pg19225_246455"/>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یوگی و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چندین دهه بر انیمیشن تلویزیونی سلطه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نوآوری‌های فنی و هنری فلایشر برای پرده سینما گرفته تا مدل تولید اقتصادی و داستان‌محور هانا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باربرا برای تلویزیون، خلاقیت این چهره‌های یهودی در تبدیل انیمیشن از یک سرگرمی کوتاه به یک فرم هنری و تجاری قدرتمند، نقشی انکارناپذیر داشته است</w:t>
      </w:r>
      <w:r>
        <w:rPr>
          <w:rFonts w:eastAsia="IRNazanin" w:cs="IRNazanin"/>
          <w:color w:val="111111"/>
          <w:sz w:val="28"/>
          <w:szCs w:val="28"/>
          <w:rtl w:val="true"/>
          <w:lang w:bidi="fa-IR"/>
        </w:rPr>
        <w:t>.</w:t>
      </w:r>
    </w:p>
    <w:p>
      <w:pPr>
        <w:pStyle w:val="Heading4"/>
        <w:numPr>
          <w:ilvl w:val="3"/>
          <w:numId w:val="1"/>
        </w:numPr>
        <w:rPr/>
      </w:pPr>
      <w:bookmarkStart w:id="268" w:name="__RefHeading___Toc13791883_1280447820"/>
      <w:bookmarkStart w:id="269" w:name="_Toc101"/>
      <w:bookmarkEnd w:id="268"/>
      <w:r>
        <w:rPr/>
        <w:t>2-2-4</w:t>
      </w:r>
      <w:r>
        <w:rPr>
          <w:rtl w:val="true"/>
        </w:rPr>
        <w:t xml:space="preserve">- </w:t>
      </w:r>
      <w:r>
        <w:rPr>
          <w:rtl w:val="true"/>
        </w:rPr>
        <w:t>کل‌دهی به اخبار</w:t>
      </w:r>
      <w:r>
        <w:rPr>
          <w:rtl w:val="true"/>
        </w:rPr>
        <w:t xml:space="preserve">: </w:t>
      </w:r>
      <w:r>
        <w:rPr>
          <w:rtl w:val="true"/>
        </w:rPr>
        <w:t>مالکیت و مدیریت شبکه‌های خبری</w:t>
      </w:r>
      <w:r>
        <w:rPr>
          <w:rtl w:val="true"/>
        </w:rPr>
        <w:t>:</w:t>
      </w:r>
      <w:bookmarkEnd w:id="26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در رسانه‌های خبری، به‌ویژه روزنامه‌های جریان‌ساز، یکی از مؤثرترین ابزارها برای شکل‌دهی به افکار عمومی و تعیین دستور کار سیاسی و اجتماعی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برخی از معتبرترین و بانفوذترین رسانه‌ها برای چندین نسل تحت مدیریت و مالکیت خانواده‌های یهودی قرار داشته‌اند؛ امری که به آن‌ها امکان داده است تا نقشی کلیدی در تاریخ روزنامه‌نگاری و سیاست آمریکا ایفا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نمونه بارز 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سالزبرگ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آدولف اوکس این روزنامه را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 این خانواده برای بیش از یک قرن، رهبری آن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اخباری که شایسته چاپ است نیویورک تایمز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تبدیل کردند؛ منبعی که سیاست‌مداران، دانشگاهیان و دیگر رسانه‌ها برای اطلاع از روندهای ملی و جهانی به آن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مدیریت طولانی‌مدت، به این خاندان اجازه داده است تا استانداردهای روزنامه‌نگاری را تعریف کرده و بر روایت غالب از رویدادهای تاریخی مهم، از جنگ جهانی دوم تا بحران‌های معاصر، تأثیری عمیق بگذارند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مشابه، خاندان مایر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گراهام روزنامه واشنگتن پست را از یک نشریه محلی به یک غول رسانه‌ای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یوجین مایر روزنامه را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ورشکستگی خرید، اما این دختر او، کاترین گراهام، بود که آن را به اوج </w:t>
      </w:r>
      <w:bookmarkStart w:id="270" w:name="pg19225_246457"/>
    </w:p>
    <w:p>
      <w:pPr>
        <w:pStyle w:val="BookText"/>
        <w:rPr/>
      </w:pPr>
      <w:bookmarkEnd w:id="270"/>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رهبری او، واشنگتن پست با افشاگری‌های جسورانه‌ای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پنتاگون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استعفای ریچارد نیکسون، رئیس‌جمهور وقت، انجامید، قدرت مطبوعات را به عنوان رکن چهارم دموکراسی به نمایش گذاشت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مدیریت باثبات و بلندمدت این خانواده‌ها بر نهادهای خبری کلیدی، صرفاً یک فعالیت اقتصادی نبوده، بلکه عاملی تعیین‌کننده در شکل‌دهی به تاریخ سیاسی و فرهنگ روزنامه‌نگاری در آمریکا بوده است</w:t>
      </w:r>
      <w:r>
        <w:rPr>
          <w:rFonts w:eastAsia="IRNazanin" w:cs="IRNazanin"/>
          <w:color w:val="111111"/>
          <w:sz w:val="28"/>
          <w:szCs w:val="28"/>
          <w:rtl w:val="true"/>
          <w:lang w:bidi="fa-IR"/>
        </w:rPr>
        <w:t>.</w:t>
      </w:r>
    </w:p>
    <w:p>
      <w:pPr>
        <w:pStyle w:val="Heading4"/>
        <w:numPr>
          <w:ilvl w:val="3"/>
          <w:numId w:val="1"/>
        </w:numPr>
        <w:rPr/>
      </w:pPr>
      <w:bookmarkStart w:id="271" w:name="__RefHeading___Toc13791885_1280447820"/>
      <w:bookmarkStart w:id="272" w:name="_Toc102"/>
      <w:bookmarkEnd w:id="271"/>
      <w:r>
        <w:rPr/>
        <w:t>3-2-4</w:t>
      </w:r>
      <w:r>
        <w:rPr>
          <w:rtl w:val="true"/>
        </w:rPr>
        <w:t xml:space="preserve">- </w:t>
      </w:r>
      <w:r>
        <w:rPr>
          <w:rtl w:val="true"/>
        </w:rPr>
        <w:t>نفوذ در ذائقه</w:t>
      </w:r>
      <w:r>
        <w:rPr>
          <w:rtl w:val="true"/>
        </w:rPr>
        <w:t xml:space="preserve">: </w:t>
      </w:r>
      <w:r>
        <w:rPr>
          <w:rtl w:val="true"/>
        </w:rPr>
        <w:t>صنعت غذا و جدال بر سر هویت</w:t>
      </w:r>
      <w:bookmarkEnd w:id="272"/>
    </w:p>
    <w:p>
      <w:pPr>
        <w:pStyle w:val="Heading5"/>
        <w:numPr>
          <w:ilvl w:val="4"/>
          <w:numId w:val="1"/>
        </w:numPr>
        <w:rPr/>
      </w:pPr>
      <w:bookmarkStart w:id="273" w:name="__RefHeading___Toc13791887_1280447820"/>
      <w:bookmarkStart w:id="274" w:name="_Toc103"/>
      <w:bookmarkEnd w:id="273"/>
      <w:r>
        <w:rPr>
          <w:rtl w:val="true"/>
        </w:rPr>
        <w:t>اشاره</w:t>
      </w:r>
      <w:bookmarkEnd w:id="27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غذایی، عرصه‌ای پیچیده است که در آن اقتصاد، سلامت و هویت با یکدیگر تلاقی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فرهنگی در این حوزه می‌تواند هم به شکل ایجاد یک صنعت جهانی موفق و هم در قالب جدال بر سر مالکیت نمادهای فرهنگی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فست‌فود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فرهنگی فلافل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روشنی از این دوگانگی هستند</w:t>
      </w:r>
      <w:r>
        <w:rPr>
          <w:rFonts w:eastAsia="IRNazanin" w:cs="IRNazanin"/>
          <w:color w:val="111111"/>
          <w:sz w:val="28"/>
          <w:szCs w:val="28"/>
          <w:rtl w:val="true"/>
          <w:lang w:bidi="fa-IR"/>
        </w:rPr>
        <w:t xml:space="preserve">. </w:t>
      </w:r>
      <w:bookmarkStart w:id="275" w:name="pg19225_246458"/>
    </w:p>
    <w:p>
      <w:pPr>
        <w:pStyle w:val="Heading5"/>
        <w:numPr>
          <w:ilvl w:val="4"/>
          <w:numId w:val="1"/>
        </w:numPr>
        <w:rPr/>
      </w:pPr>
      <w:bookmarkStart w:id="276" w:name="__RefHeading___Toc13791889_1280447820"/>
      <w:bookmarkStart w:id="277" w:name="_Toc104"/>
      <w:bookmarkEnd w:id="275"/>
      <w:bookmarkEnd w:id="276"/>
      <w:r>
        <w:rPr/>
        <w:t>1-3-2-4</w:t>
      </w:r>
      <w:r>
        <w:rPr>
          <w:rtl w:val="true"/>
        </w:rPr>
        <w:t xml:space="preserve">- </w:t>
      </w:r>
      <w:r>
        <w:rPr>
          <w:rtl w:val="true"/>
        </w:rPr>
        <w:t>امپراتوری فست‌فود</w:t>
      </w:r>
      <w:r>
        <w:rPr>
          <w:rtl w:val="true"/>
        </w:rPr>
        <w:t xml:space="preserve">: </w:t>
      </w:r>
      <w:r>
        <w:rPr>
          <w:rtl w:val="true"/>
        </w:rPr>
        <w:t>موفقیت اقتصادی در برابر آسیب سلامتی</w:t>
      </w:r>
      <w:r>
        <w:rPr>
          <w:rtl w:val="true"/>
        </w:rPr>
        <w:t>:</w:t>
      </w:r>
      <w:bookmarkEnd w:id="277"/>
    </w:p>
    <w:p>
      <w:pPr>
        <w:pStyle w:val="BookText"/>
        <w:rPr/>
      </w:pPr>
      <w:r>
        <w:rPr>
          <w:rFonts w:ascii="IRNazanin" w:hAnsi="IRNazanin" w:eastAsia="IRNazanin"/>
          <w:color w:val="111111"/>
          <w:sz w:val="28"/>
          <w:sz w:val="28"/>
          <w:szCs w:val="28"/>
          <w:rtl w:val="true"/>
          <w:lang w:bidi="fa-IR"/>
        </w:rPr>
        <w:t>صنعت فست‌فود یکی از بزرگ‌ترین داستان‌های موفقیت در اقتصاد جهانی قرن بیستم است که در شکل‌گیری آن، شماری از کارآفرینان و مدیران یهودی نیز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بر پایه مدل کسب‌وکاری مبتنی بر استانداردسازی، سرعت و بازاریابی تهاجمی بنا شد و توانست به سرعت در سراسر جهان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موفقیت اقتصادی چشمگیر، هزینه‌های اجتماعی و سلامتی سنگینی را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اریک شلوسر در کتاب مرجع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فست‌فود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مستند نشان می‌دهد که چگونه این صنعت، ذائقه و عادات غذایی جوامع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فست‌فود به دلیل استفاده گسترده از چربی‌های اشباع‌شده، قند، نمک و مواد افزودنی شیمیایی، ارتباط مستقیمی با همه‌گیری بیماری‌های مدرن مانند چاقی، دیابت نوع دو و بیماری‌های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 دارند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استراتژی‌های بازاریابی این شرکت‌ها، به‌ویژه هدف </w:t>
      </w:r>
      <w:bookmarkStart w:id="278" w:name="pg19225_246459"/>
    </w:p>
    <w:p>
      <w:pPr>
        <w:pStyle w:val="BookText"/>
        <w:rPr/>
      </w:pPr>
      <w:bookmarkEnd w:id="278"/>
      <w:r>
        <w:rPr>
          <w:rFonts w:ascii="IRNazanin" w:hAnsi="IRNazanin" w:eastAsia="IRNazanin"/>
          <w:color w:val="111111"/>
          <w:sz w:val="28"/>
          <w:sz w:val="28"/>
          <w:szCs w:val="28"/>
          <w:rtl w:val="true"/>
          <w:lang w:bidi="fa-IR"/>
        </w:rPr>
        <w:t>قرار دادن کودکان، به ترویج الگوهای غذایی ناسالم از سنین پایین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صنعت فست‌فود نمادی از یک تنش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یک مدل تجاری بسیار سودآور و کارآمد، و از سوی دیگر، عاملی مؤثر در بحران سلامت عمومی جهانی</w:t>
      </w:r>
      <w:r>
        <w:rPr>
          <w:rFonts w:eastAsia="IRNazanin" w:cs="IRNazanin"/>
          <w:color w:val="111111"/>
          <w:sz w:val="28"/>
          <w:szCs w:val="28"/>
          <w:rtl w:val="true"/>
          <w:lang w:bidi="fa-IR"/>
        </w:rPr>
        <w:t>.</w:t>
      </w:r>
    </w:p>
    <w:p>
      <w:pPr>
        <w:pStyle w:val="Heading5"/>
        <w:numPr>
          <w:ilvl w:val="4"/>
          <w:numId w:val="1"/>
        </w:numPr>
        <w:rPr/>
      </w:pPr>
      <w:bookmarkStart w:id="279" w:name="__RefHeading___Toc13791891_1280447820"/>
      <w:bookmarkStart w:id="280" w:name="_Toc105"/>
      <w:bookmarkEnd w:id="279"/>
      <w:r>
        <w:rPr/>
        <w:t>2-3-2-4</w:t>
      </w:r>
      <w:r>
        <w:rPr>
          <w:rtl w:val="true"/>
        </w:rPr>
        <w:t xml:space="preserve">- </w:t>
      </w:r>
      <w:r>
        <w:rPr>
          <w:rtl w:val="true"/>
        </w:rPr>
        <w:t>فلافل</w:t>
      </w:r>
      <w:r>
        <w:rPr>
          <w:rtl w:val="true"/>
        </w:rPr>
        <w:t xml:space="preserve">: </w:t>
      </w:r>
      <w:r>
        <w:rPr>
          <w:rtl w:val="true"/>
        </w:rPr>
        <w:t>مصادره فرهنگی به مثابه ابزار سیاسی</w:t>
      </w:r>
      <w:r>
        <w:rPr>
          <w:rtl w:val="true"/>
        </w:rPr>
        <w:t>:</w:t>
      </w:r>
      <w:bookmarkEnd w:id="280"/>
    </w:p>
    <w:p>
      <w:pPr>
        <w:pStyle w:val="BookText"/>
        <w:rPr/>
      </w:pPr>
      <w:r>
        <w:rPr>
          <w:rFonts w:ascii="IRNazanin" w:hAnsi="IRNazanin" w:eastAsia="IRNazanin"/>
          <w:color w:val="111111"/>
          <w:sz w:val="28"/>
          <w:sz w:val="28"/>
          <w:szCs w:val="28"/>
          <w:rtl w:val="true"/>
          <w:lang w:bidi="fa-IR"/>
        </w:rPr>
        <w:t>غذا صرفاً برای رفع گرسنگی نیست؛ بلکه یک نماد فرهنگی قدرتمند و بخشی از هویت جمعی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منازعه اسرائیل و فلسطین، حتی یک خوراک ساده مانند فلافل نیز به میدانی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فلافل، که از گلوله‌های سرخ‌شده نخود یا باقلا تهیه می‌شود، ریشه‌ای دیرینه در آشپزی خاورمیانه، به‌ویژه مصر و منطقه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دارد و برای قرن‌ها بخشی از رژیم غذایی روزمره مردم این مناطق بوده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پس از تأسیس اسرائیل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این خوراک به‌طور گسترده توسط دولت و نهادهای گردشگری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ملی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از </w:t>
      </w:r>
      <w:bookmarkStart w:id="281" w:name="pg19225_246460"/>
    </w:p>
    <w:p>
      <w:pPr>
        <w:pStyle w:val="BookText"/>
        <w:rPr/>
      </w:pPr>
      <w:bookmarkEnd w:id="281"/>
      <w:r>
        <w:rPr>
          <w:rFonts w:ascii="IRNazanin" w:hAnsi="IRNazanin" w:eastAsia="IRNazanin"/>
          <w:color w:val="111111"/>
          <w:sz w:val="28"/>
          <w:sz w:val="28"/>
          <w:szCs w:val="28"/>
          <w:rtl w:val="true"/>
          <w:lang w:bidi="fa-IR"/>
        </w:rPr>
        <w:t xml:space="preserve">سوی فلسطینیان و بسیاری از محققان فرهنگی به عنوان نمونه‌ای آشکار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اسرائیل با جدا کردن فلافل از بستر تاریخی و فرهنگی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فلسطینی آن و معرفی‌اش به عنوان یک نماد ملی یهودی، به دنبال عادی‌سازی حضور خود در منطقه و در عین حال، به حاشیه راندن و حذف هویت فرهنگی فلسطینیان است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در پاسخ، فلسطینیان بر تعلق این غذا به میراث خود تأکید می‌کنند و از آن به عنوان نمادی از بقا و مقاومت در برابر پاکسازی فرهنگی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فلافل از یک غذای ساده فراتر رفته و به ابزاری سیاسی در جدال بر سر تاریخ، حافظه و هویت در خاورمیانه تبدیل شده است</w:t>
      </w:r>
      <w:r>
        <w:rPr>
          <w:rFonts w:eastAsia="IRNazanin" w:cs="IRNazanin"/>
          <w:color w:val="111111"/>
          <w:sz w:val="28"/>
          <w:szCs w:val="28"/>
          <w:rtl w:val="true"/>
          <w:lang w:bidi="fa-IR"/>
        </w:rPr>
        <w:t>.</w:t>
      </w:r>
    </w:p>
    <w:p>
      <w:pPr>
        <w:pStyle w:val="Heading3"/>
        <w:numPr>
          <w:ilvl w:val="2"/>
          <w:numId w:val="1"/>
        </w:numPr>
        <w:rPr/>
      </w:pPr>
      <w:bookmarkStart w:id="282" w:name="__RefHeading___Toc13791893_1280447820"/>
      <w:bookmarkStart w:id="283" w:name="_Toc106"/>
      <w:bookmarkEnd w:id="282"/>
      <w:r>
        <w:rPr/>
        <w:t>3-4</w:t>
      </w:r>
      <w:r>
        <w:rPr>
          <w:rtl w:val="true"/>
        </w:rPr>
        <w:t xml:space="preserve">- </w:t>
      </w:r>
      <w:r>
        <w:rPr>
          <w:rtl w:val="true"/>
        </w:rPr>
        <w:t>اهرم‌های فشار</w:t>
      </w:r>
      <w:r>
        <w:rPr>
          <w:rtl w:val="true"/>
        </w:rPr>
        <w:t xml:space="preserve">: </w:t>
      </w:r>
      <w:r>
        <w:rPr>
          <w:rtl w:val="true"/>
        </w:rPr>
        <w:t>لابی‌گری و اثرگذاری سیاسی</w:t>
      </w:r>
      <w:r>
        <w:rPr>
          <w:rtl w:val="true"/>
        </w:rPr>
        <w:t>:</w:t>
      </w:r>
      <w:bookmarkEnd w:id="28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ساختارهای سیاسی مدرن، نفوذ تنها از طریق مشارکت مستقیم در قدرت حاصل نمی‌شود، بلکه بخش مهمی از آن از </w:t>
      </w:r>
    </w:p>
    <w:p>
      <w:pPr>
        <w:pStyle w:val="BookText"/>
        <w:rPr/>
      </w:pP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فشار بر کانون‌های تصمیم‌گیری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که به معنای تلاش سازمان‌یافته برای تأثیرگذاری بر سیاست‌ها و قوانین است، به یکی از مؤثرترین ابزارها برای پیشبرد اهداف گروه‌های مختلف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لابی‌های یهودی، به‌ویژه در ایالات متحده، به عنوان نمونه‌ای برجسته از کارایی و سازماندهی شناخته می‌شوند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 شناخته‌شده‌ترین سازمان در این حوزه، کمیته روابط عمومی آمریکا و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که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مأموریت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حفاظت و ارتقای روابط آمریکا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آیپک نه در حمایت مالی مستقیم از نامزدها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قانون مجاز به انجام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توانایی آن برای بسیج شبکه گسترده‌ای از اعضای ثروتمند و با نفوذ خود برای حمایت از نامزدهای همسو با منافع اسرائیل و به چالش کشیدن مخالفان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این سازمان در کنگره آمریکا به حدی است که بسیاری از تحلیلگران سیاسی، حمایت آن را عاملی تعیین‌کننده در تدوین سیاست خارجی ایالات متحده در خاورمیانه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برخی </w:t>
      </w:r>
      <w:bookmarkStart w:id="284" w:name="pg19225_246462"/>
    </w:p>
    <w:p>
      <w:pPr>
        <w:pStyle w:val="BookText"/>
        <w:rPr/>
      </w:pPr>
      <w:bookmarkEnd w:id="284"/>
      <w:r>
        <w:rPr>
          <w:rFonts w:ascii="IRNazanin" w:hAnsi="IRNazanin" w:eastAsia="IRNazanin"/>
          <w:color w:val="111111"/>
          <w:sz w:val="28"/>
          <w:sz w:val="28"/>
          <w:szCs w:val="28"/>
          <w:rtl w:val="true"/>
          <w:lang w:bidi="fa-IR"/>
        </w:rPr>
        <w:t>منتقدان، این لابی توانسته است منافع یک دولت خارجی را به بخشی جدایی‌ناپذیر از محاسبات استراتژیک آمریکا تبدیل کند و گفتمان عمومی را به نحوی شکل دهد که حمایت از اسرائیل، یک اصل خدشه‌ناپذیر در سیاست آمریکا تلقی گردد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بنابراین، فعالیت سازمان‌هایی نظیر آیپک نشان می‌دهد که چگونه می‌توان با استفاده از ابزارهای قانونی و فشار سیاسی سازمان‌یافته، به اهرم قدرتمندی برای جهت‌دهی به سیاست‌های داخلی و خارجی یک ابرقدرت جهانی دست یافت</w:t>
      </w:r>
      <w:r>
        <w:rPr>
          <w:rFonts w:eastAsia="IRNazanin" w:cs="IRNazanin"/>
          <w:color w:val="111111"/>
          <w:sz w:val="28"/>
          <w:szCs w:val="28"/>
          <w:rtl w:val="true"/>
          <w:lang w:bidi="fa-IR"/>
        </w:rPr>
        <w:t>.</w:t>
      </w:r>
    </w:p>
    <w:p>
      <w:pPr>
        <w:pStyle w:val="Heading3"/>
        <w:numPr>
          <w:ilvl w:val="2"/>
          <w:numId w:val="1"/>
        </w:numPr>
        <w:rPr/>
      </w:pPr>
      <w:bookmarkStart w:id="285" w:name="__RefHeading___Toc13791895_1280447820"/>
      <w:bookmarkStart w:id="286" w:name="_Toc107"/>
      <w:bookmarkEnd w:id="285"/>
      <w:r>
        <w:rPr/>
        <w:t>4-4</w:t>
      </w:r>
      <w:r>
        <w:rPr>
          <w:rtl w:val="true"/>
        </w:rPr>
        <w:t xml:space="preserve">- </w:t>
      </w:r>
      <w:r>
        <w:rPr>
          <w:rtl w:val="true"/>
        </w:rPr>
        <w:t>پیشگامان آینده</w:t>
      </w:r>
      <w:r>
        <w:rPr>
          <w:rtl w:val="true"/>
        </w:rPr>
        <w:t xml:space="preserve">: </w:t>
      </w:r>
      <w:r>
        <w:rPr>
          <w:rtl w:val="true"/>
        </w:rPr>
        <w:t>نفوذ در علم و فناوری</w:t>
      </w:r>
      <w:r>
        <w:rPr>
          <w:rtl w:val="true"/>
        </w:rPr>
        <w:t>:</w:t>
      </w:r>
      <w:bookmarkEnd w:id="286"/>
    </w:p>
    <w:p>
      <w:pPr>
        <w:pStyle w:val="Heading4"/>
        <w:numPr>
          <w:ilvl w:val="3"/>
          <w:numId w:val="1"/>
        </w:numPr>
        <w:rPr/>
      </w:pPr>
      <w:bookmarkStart w:id="287" w:name="__RefHeading___Toc13791897_1280447820"/>
      <w:bookmarkStart w:id="288" w:name="_Toc108"/>
      <w:bookmarkEnd w:id="287"/>
      <w:r>
        <w:rPr>
          <w:rtl w:val="true"/>
        </w:rPr>
        <w:t>اشاره</w:t>
      </w:r>
      <w:bookmarkEnd w:id="28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جامعه یهودیان در حوزه‌های علم و فناوری، پدیده‌ای فراتر از موفقیت‌های فردی و حاصل پیوندی تاریخی با فرهنگ علم‌آموزی و تأکید بر تفکر انتقادی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در دو عرصه موازی و در هم تنیده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مشارکت چشمگیر در پیشرفت دانش بشری از طریق تحقیقات بنیادی در مراکز آکادمیک و از سوی دیگر، تبدیل ایده‌های نوآورانه به </w:t>
      </w:r>
      <w:bookmarkStart w:id="289" w:name="pg19225_246463"/>
    </w:p>
    <w:p>
      <w:pPr>
        <w:pStyle w:val="BookText"/>
        <w:rPr/>
      </w:pPr>
      <w:bookmarkEnd w:id="289"/>
      <w:r>
        <w:rPr>
          <w:rFonts w:ascii="IRNazanin" w:hAnsi="IRNazanin" w:eastAsia="IRNazanin"/>
          <w:color w:val="111111"/>
          <w:sz w:val="28"/>
          <w:sz w:val="28"/>
          <w:szCs w:val="28"/>
          <w:rtl w:val="true"/>
          <w:lang w:bidi="fa-IR"/>
        </w:rPr>
        <w:t>امپراتوری‌های فناوری که زیست‌جهان معاصر را بازتعریف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آمارهای مرتبط با جوایز نوبل گواهی بر این مدعاست؛ افراد با پیشینه یهودی، به شکلی نامتناسب در میان برندگان جوایز علمی، به‌ویژه در رشته‌های فیزیک، شیمی و پزشکی، حضور داشته‌اند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میراث علمی در دوران معاصر، به حوزه فناوری‌های نوین نیز تسری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به بررسی دو جلوه از این نفوذ، یعنی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سیلیکون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 و میراث ماندگار چهره‌های برجسته علمی در طول تاریخ، می‌پردازد</w:t>
      </w:r>
      <w:r>
        <w:rPr>
          <w:rFonts w:eastAsia="IRNazanin" w:cs="IRNazanin"/>
          <w:color w:val="111111"/>
          <w:sz w:val="28"/>
          <w:szCs w:val="28"/>
          <w:rtl w:val="true"/>
          <w:lang w:bidi="fa-IR"/>
        </w:rPr>
        <w:t>.</w:t>
      </w:r>
    </w:p>
    <w:p>
      <w:pPr>
        <w:pStyle w:val="Heading4"/>
        <w:numPr>
          <w:ilvl w:val="3"/>
          <w:numId w:val="1"/>
        </w:numPr>
        <w:rPr/>
      </w:pPr>
      <w:bookmarkStart w:id="290" w:name="__RefHeading___Toc13791899_1280447820"/>
      <w:bookmarkStart w:id="291" w:name="_Toc109"/>
      <w:bookmarkEnd w:id="290"/>
      <w:r>
        <w:rPr/>
        <w:t>1-4-4</w:t>
      </w:r>
      <w:r>
        <w:rPr>
          <w:rtl w:val="true"/>
        </w:rPr>
        <w:t xml:space="preserve">- </w:t>
      </w:r>
      <w:r>
        <w:rPr>
          <w:rtl w:val="true"/>
        </w:rPr>
        <w:t>سیلیکون وادی</w:t>
      </w:r>
      <w:r>
        <w:rPr>
          <w:rtl w:val="true"/>
        </w:rPr>
        <w:t xml:space="preserve">: </w:t>
      </w:r>
      <w:r>
        <w:rPr>
          <w:rtl w:val="true"/>
        </w:rPr>
        <w:t>شکل‌دهی به اقتصاد و فناوری نوین</w:t>
      </w:r>
      <w:r>
        <w:rPr>
          <w:rtl w:val="true"/>
        </w:rPr>
        <w:t>:</w:t>
      </w:r>
      <w:bookmarkEnd w:id="29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سیلیکون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اکوسیستم فناوری پیشرفته اسرائیل اطلاق می‌شود که به نماد نوآوری و کارآفرینی در سطح جهانی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که عمدتاً در دشت ساحلی </w:t>
      </w:r>
    </w:p>
    <w:p>
      <w:pPr>
        <w:pStyle w:val="BookText"/>
        <w:rPr/>
      </w:pPr>
      <w:r>
        <w:rPr>
          <w:rFonts w:ascii="IRNazanin" w:hAnsi="IRNazanin" w:eastAsia="IRNazanin"/>
          <w:color w:val="111111"/>
          <w:sz w:val="28"/>
          <w:sz w:val="28"/>
          <w:szCs w:val="28"/>
          <w:rtl w:val="true"/>
          <w:lang w:bidi="fa-IR"/>
        </w:rPr>
        <w:t>اسرائیل متمرکز است، دارای یکی از بالاترین تراکم‌های استارتاپ در جهان است و به عنوان یک موتور محرکه برای اقتصاد مدرن اسرائیل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این پدیده حاصل چندین عامل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سرمایه‌گذاری گسترده بر روی آموزش عالی و تحقیق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فرهنگ کارآفرینی جسورانه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חוצפה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افراد را به ریسک‌پذیری و به چالش کشیدن وضعیت موجود تشویق می‌کند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سوم و شاید منحصربه‌فردترین، نقش نهادهای نظامی، به‌ویژه واحدهای اطلاعاتی و فناوری نخبه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 </w:t>
      </w:r>
      <w:r>
        <w:rPr>
          <w:rFonts w:eastAsia="IRNazanin" w:cs="IRNazanin"/>
          <w:color w:val="111111"/>
          <w:sz w:val="28"/>
          <w:szCs w:val="28"/>
          <w:lang w:bidi="fa-IR"/>
        </w:rPr>
        <w:t>8200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واحدها به عنوان یک مرکز استعدادیابی و انکوباتور عمل کرده و به سربازان جوان، مهارت‌های فنی پیشرفته و تجربه کار تیمی تحت فشار را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فارغ‌التحصیلان این یگان‌ها پس از اتمام خدمت سربازی، شرکت‌های فناوری خود را تأسیس می‌کنند و شبکه‌ای قدرتمند از دانش و ارتباطات را به بخش خصوصی منتقل می‌نمایند</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bookmarkStart w:id="292" w:name="pg19225_246465"/>
    </w:p>
    <w:p>
      <w:pPr>
        <w:pStyle w:val="BookText"/>
        <w:rPr/>
      </w:pPr>
      <w:bookmarkEnd w:id="292"/>
      <w:r>
        <w:rPr>
          <w:rFonts w:ascii="IRNazanin" w:hAnsi="IRNazanin" w:eastAsia="IRNazanin"/>
          <w:color w:val="111111"/>
          <w:sz w:val="28"/>
          <w:sz w:val="28"/>
          <w:szCs w:val="28"/>
          <w:rtl w:val="true"/>
          <w:lang w:bidi="fa-IR"/>
        </w:rPr>
        <w:t xml:space="preserve">این هم‌افزایی، پیشتازی اسرائیل در حوزه‌هایی مانند امنیت سایبری، فناوری‌های مالی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FinTech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هوش مصنوعی است که آن را به یک بازیگر غیرقابل چشم‌پوشی در اقتصاد فناوری جهانی تبدیل کرده است</w:t>
      </w:r>
      <w:r>
        <w:rPr>
          <w:rFonts w:eastAsia="IRNazanin" w:cs="IRNazanin"/>
          <w:color w:val="111111"/>
          <w:sz w:val="28"/>
          <w:szCs w:val="28"/>
          <w:rtl w:val="true"/>
          <w:lang w:bidi="fa-IR"/>
        </w:rPr>
        <w:t>.</w:t>
      </w:r>
    </w:p>
    <w:p>
      <w:pPr>
        <w:pStyle w:val="Heading4"/>
        <w:numPr>
          <w:ilvl w:val="3"/>
          <w:numId w:val="1"/>
        </w:numPr>
        <w:rPr/>
      </w:pPr>
      <w:bookmarkStart w:id="293" w:name="__RefHeading___Toc13791901_1280447820"/>
      <w:bookmarkStart w:id="294" w:name="_Toc110"/>
      <w:bookmarkEnd w:id="293"/>
      <w:r>
        <w:rPr/>
        <w:t>2-4-4</w:t>
      </w:r>
      <w:r>
        <w:rPr>
          <w:rtl w:val="true"/>
        </w:rPr>
        <w:t xml:space="preserve">- </w:t>
      </w:r>
      <w:r>
        <w:rPr>
          <w:rtl w:val="true"/>
        </w:rPr>
        <w:t>میراث علمی و فکری</w:t>
      </w:r>
      <w:r>
        <w:rPr>
          <w:rtl w:val="true"/>
        </w:rPr>
        <w:t xml:space="preserve">: </w:t>
      </w:r>
      <w:r>
        <w:rPr>
          <w:rtl w:val="true"/>
        </w:rPr>
        <w:t>چهره‌های برجسته در تاریخ علم</w:t>
      </w:r>
      <w:r>
        <w:rPr>
          <w:rtl w:val="true"/>
        </w:rPr>
        <w:t>:</w:t>
      </w:r>
      <w:bookmarkEnd w:id="294"/>
    </w:p>
    <w:p>
      <w:pPr>
        <w:pStyle w:val="BookText"/>
        <w:rPr/>
      </w:pPr>
      <w:r>
        <w:rPr>
          <w:rFonts w:ascii="IRNazanin" w:hAnsi="IRNazanin" w:eastAsia="IRNazanin"/>
          <w:color w:val="111111"/>
          <w:sz w:val="28"/>
          <w:sz w:val="28"/>
          <w:szCs w:val="28"/>
          <w:rtl w:val="true"/>
          <w:lang w:bidi="fa-IR"/>
        </w:rPr>
        <w:t>فراتر از فناوری‌های نوین، تأثیر فکری یهودیان بر پایه‌های دانش مدرن از طریق فعالیت چهره‌های برجسته‌ای که مسیر تاریخ علم را تغییر دادند، قابل ردیابی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گستره وسیعی از فیزیک نظری تا علوم زیستی و روان‌شناسی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فیزیک، آلبرت اینشتین با ارائه نظریه نسبیت، درک بشر از فضا، زمان و گرانش را متحول ساخت و نیلز بور نقشی کلیدی در توسعه مکانیک کوانتومی و مدل‌سازی ساختار اتم ایفا کرد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علوم انسانی و زیستی، زیگموند فروید با بنیان‌گذاری دانش روانکاوی، انقلابی در مطالعه ذهن ناخودآگاه و </w:t>
      </w:r>
      <w:bookmarkStart w:id="295" w:name="pg19225_246466"/>
    </w:p>
    <w:p>
      <w:pPr>
        <w:pStyle w:val="BookText"/>
        <w:rPr/>
      </w:pPr>
      <w:bookmarkEnd w:id="295"/>
      <w:r>
        <w:rPr>
          <w:rFonts w:ascii="IRNazanin" w:hAnsi="IRNazanin" w:eastAsia="IRNazanin"/>
          <w:color w:val="111111"/>
          <w:sz w:val="28"/>
          <w:sz w:val="28"/>
          <w:szCs w:val="28"/>
          <w:rtl w:val="true"/>
          <w:lang w:bidi="fa-IR"/>
        </w:rPr>
        <w:t>روان انسان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یوناس سالک با توسعه یکی از اولین واکسن‌های مؤثر برای بیماری فلج اطفال، به نجات جان میلیون‌ها انسان و ریشه‌کنی یکی از دهشتناک‌ترین بیماری‌های قرن بیستم کمک شایانی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زنجیره از نوابغ تا چهره‌های متأخرتری مانند کارل ساگان، که با توانایی بی‌نظیر خود در ترویج علم، مفاهیم پیچیده اخترفیزیک را برای عموم مردم قابل فهم ساخت،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صرفاً به اکتشافات علمی نپرداختند، بلکه پارادایم‌های فکری حاکم بر دوران خود را به چالش کشیدند و میراثی ماندگار از خردورزی و کنجکاوی علمی به جای گذاشتند</w:t>
      </w:r>
      <w:r>
        <w:rPr>
          <w:rFonts w:eastAsia="IRNazanin" w:cs="IRNazanin"/>
          <w:color w:val="111111"/>
          <w:sz w:val="28"/>
          <w:szCs w:val="28"/>
          <w:rtl w:val="true"/>
          <w:lang w:bidi="fa-IR"/>
        </w:rPr>
        <w:t>.</w:t>
      </w:r>
    </w:p>
    <w:p>
      <w:pPr>
        <w:pStyle w:val="Heading3"/>
        <w:numPr>
          <w:ilvl w:val="2"/>
          <w:numId w:val="1"/>
        </w:numPr>
        <w:rPr/>
      </w:pPr>
      <w:bookmarkStart w:id="296" w:name="__RefHeading___Toc13791903_1280447820"/>
      <w:bookmarkStart w:id="297" w:name="_Toc111"/>
      <w:bookmarkEnd w:id="296"/>
      <w:r>
        <w:rPr/>
        <w:t>5-4</w:t>
      </w:r>
      <w:r>
        <w:rPr>
          <w:rtl w:val="true"/>
        </w:rPr>
        <w:t xml:space="preserve">- </w:t>
      </w:r>
      <w:r>
        <w:rPr>
          <w:rtl w:val="true"/>
        </w:rPr>
        <w:t>یهودیت در آینه امروز</w:t>
      </w:r>
      <w:r>
        <w:rPr>
          <w:rtl w:val="true"/>
        </w:rPr>
        <w:t xml:space="preserve">: </w:t>
      </w:r>
      <w:r>
        <w:rPr>
          <w:rtl w:val="true"/>
        </w:rPr>
        <w:t>تلاقی سنت و مدرنیته</w:t>
      </w:r>
      <w:r>
        <w:rPr>
          <w:rtl w:val="true"/>
        </w:rPr>
        <w:t>:</w:t>
      </w:r>
      <w:bookmarkEnd w:id="297"/>
    </w:p>
    <w:p>
      <w:pPr>
        <w:pStyle w:val="Heading4"/>
        <w:numPr>
          <w:ilvl w:val="3"/>
          <w:numId w:val="1"/>
        </w:numPr>
        <w:rPr/>
      </w:pPr>
      <w:bookmarkStart w:id="298" w:name="__RefHeading___Toc13791905_1280447820"/>
      <w:bookmarkStart w:id="299" w:name="_Toc112"/>
      <w:bookmarkEnd w:id="298"/>
      <w:r>
        <w:rPr>
          <w:rtl w:val="true"/>
        </w:rPr>
        <w:t>اشاره</w:t>
      </w:r>
      <w:bookmarkEnd w:id="29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یهودیت در جهان معاصر، برخلاف تصور قالبی یک سنت ایستا، موجودیتی پویا و در حال تحول را به نمایش می‌گذارد که در تلاقی دائم با پدیده‌های مدرن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کهن، نه در برابر مدرنیته مقاومت کرده و نه در آن هضم شده، بلکه در یک فرآیند خلاقانه و گاه پرچالش، ارزش‌های بنیادین خود را با نیازها و واقعیت‌های عصر جدید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تعامل دوسویه را می‌توان در جنبه‌های گوناگون زندگی یهودیان مشاهده کرد؛ از </w:t>
      </w:r>
      <w:bookmarkStart w:id="300" w:name="pg19225_246467"/>
    </w:p>
    <w:p>
      <w:pPr>
        <w:pStyle w:val="BookText"/>
        <w:rPr/>
      </w:pPr>
      <w:bookmarkEnd w:id="300"/>
      <w:r>
        <w:rPr>
          <w:rFonts w:ascii="IRNazanin" w:hAnsi="IRNazanin" w:eastAsia="IRNazanin"/>
          <w:color w:val="111111"/>
          <w:sz w:val="28"/>
          <w:sz w:val="28"/>
          <w:szCs w:val="28"/>
          <w:rtl w:val="true"/>
          <w:lang w:bidi="fa-IR"/>
        </w:rPr>
        <w:t>به‌کارگیری فناوری‌های نوین برای رعایت سنت‌های مذهبی، مانند اپلیکیشن‌های کنترل هوشمند خانه در روز شبات، تا برگزاری کلاس‌های آنلاین تفسیر تورات که مرزهای جغرافیایی را از میان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هم‌زیستی همواره آرام و بدون تنش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مراکز شهری سکولار مانند تلاویو و بروز چالش‌های هویتی عمیق نظیر پدیده ازدواج‌های بین ادیانی، نشان‌دهنده گسست‌ها و تضادهایی است که در بطن جامعه یهودی امروز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تحلیل این دوگانگی‌ها می‌پردازد و چهره متضاد یهودیت مدرن را در دو جلوه سبک زندگی معاصر و بحران‌های هویتی آن بررسی می‌کند</w:t>
      </w:r>
      <w:r>
        <w:rPr>
          <w:rFonts w:eastAsia="IRNazanin" w:cs="IRNazanin"/>
          <w:color w:val="111111"/>
          <w:sz w:val="28"/>
          <w:szCs w:val="28"/>
          <w:rtl w:val="true"/>
          <w:lang w:bidi="fa-IR"/>
        </w:rPr>
        <w:t>.</w:t>
      </w:r>
    </w:p>
    <w:p>
      <w:pPr>
        <w:pStyle w:val="Heading4"/>
        <w:numPr>
          <w:ilvl w:val="3"/>
          <w:numId w:val="1"/>
        </w:numPr>
        <w:rPr/>
      </w:pPr>
      <w:bookmarkStart w:id="301" w:name="__RefHeading___Toc13791907_1280447820"/>
      <w:bookmarkStart w:id="302" w:name="_Toc113"/>
      <w:bookmarkEnd w:id="301"/>
      <w:r>
        <w:rPr/>
        <w:t>1-5-4</w:t>
      </w:r>
      <w:r>
        <w:rPr>
          <w:rtl w:val="true"/>
        </w:rPr>
        <w:t xml:space="preserve">- </w:t>
      </w:r>
      <w:r>
        <w:rPr>
          <w:rtl w:val="true"/>
        </w:rPr>
        <w:t>تلاویو</w:t>
      </w:r>
      <w:r>
        <w:rPr>
          <w:rtl w:val="true"/>
        </w:rPr>
        <w:t xml:space="preserve">: </w:t>
      </w:r>
      <w:r>
        <w:rPr>
          <w:rtl w:val="true"/>
        </w:rPr>
        <w:t>نماد مدرنیته و سبک زندگی معاصر</w:t>
      </w:r>
      <w:r>
        <w:rPr>
          <w:rtl w:val="true"/>
        </w:rPr>
        <w:t>:</w:t>
      </w:r>
      <w:bookmarkEnd w:id="30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تلاویو، که از آن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بی‌وقفه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به نماد برجسته مدرنیته و کانون یک سبک زندگی سکولار و جهانی‌شده در اسرائیل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با آسمان‌خراش‌های شیشه‌ای، سواحل پرجنب‌وجوش و فرهنگ کافه‌نشینی، تصویری کاملاً متفاوت از شهرهای سنتی و مذهبی مانند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تلاویو قلب تپنده اقتصاد نوین اسرائیل و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سیلیکون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فناوری پیشرفته </w:t>
      </w:r>
    </w:p>
    <w:p>
      <w:pPr>
        <w:pStyle w:val="BookText"/>
        <w:rPr/>
      </w:pPr>
      <w:r>
        <w:rPr>
          <w:rFonts w:ascii="IRNazanin" w:hAnsi="IRNazanin" w:eastAsia="IRNazanin"/>
          <w:color w:val="111111"/>
          <w:sz w:val="28"/>
          <w:sz w:val="28"/>
          <w:szCs w:val="28"/>
          <w:rtl w:val="true"/>
          <w:lang w:bidi="fa-IR"/>
        </w:rPr>
        <w:t xml:space="preserve">منطقه، محسوب می‌شود که میزبان بیش از شش هزار شرکت نوپا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استارتاپ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رو نقشی کلیدی در شهرت اسرائیل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استارتاپ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می‌کند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وجهه اقتصادی، هویت فرهنگی تلاویو بر پایه لیبرالیسم اجتماعی، گشودگی فرهنگی و دوری از قیود مذهبی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عنوان یکی از مراکز اصلی هنر، موسیقی و زندگی شبانه در خاورمیانه شناخته می‌شود و فضای اجتماعی آن تفاوت چشمگیری با سایر نقاط اسرائیل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ویژگی‌ها سبب شده است تا بسیاری از تحلیلگران، تلاویو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کنند؛ یک کلان‌شهر مدرن که خود را از منازعات سیاسی و تنش‌های مذهبی حاکم بر کشور جدا کرده و فرهنگی مستقل برای خود آفریده است</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تلاویو نه تنها یک موقعیت جغرافیایی، بلکه نماد یک جریان فکری و فرهنگی است که بیانگر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پایبندی به تعاریف سنتی و مذهبی </w:t>
      </w:r>
      <w:bookmarkStart w:id="303" w:name="pg19225_246469"/>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منظر، تلاقی‌گاه اصلی سنت و مدرنیته در جامعه امروز اسرائیل به شمار می‌رود</w:t>
      </w:r>
      <w:r>
        <w:rPr>
          <w:rFonts w:eastAsia="IRNazanin" w:cs="IRNazanin"/>
          <w:color w:val="111111"/>
          <w:sz w:val="28"/>
          <w:szCs w:val="28"/>
          <w:rtl w:val="true"/>
          <w:lang w:bidi="fa-IR"/>
        </w:rPr>
        <w:t>.</w:t>
      </w:r>
    </w:p>
    <w:p>
      <w:pPr>
        <w:pStyle w:val="Heading4"/>
        <w:numPr>
          <w:ilvl w:val="3"/>
          <w:numId w:val="1"/>
        </w:numPr>
        <w:rPr/>
      </w:pPr>
      <w:bookmarkStart w:id="304" w:name="__RefHeading___Toc13791909_1280447820"/>
      <w:bookmarkStart w:id="305" w:name="_Toc114"/>
      <w:bookmarkEnd w:id="304"/>
      <w:r>
        <w:rPr/>
        <w:t>2-5-4</w:t>
      </w:r>
      <w:r>
        <w:rPr>
          <w:rtl w:val="true"/>
        </w:rPr>
        <w:t xml:space="preserve">- </w:t>
      </w:r>
      <w:r>
        <w:rPr>
          <w:rtl w:val="true"/>
        </w:rPr>
        <w:t>چالش‌های هویتی</w:t>
      </w:r>
      <w:r>
        <w:rPr>
          <w:rtl w:val="true"/>
        </w:rPr>
        <w:t xml:space="preserve">: </w:t>
      </w:r>
      <w:r>
        <w:rPr>
          <w:rtl w:val="true"/>
        </w:rPr>
        <w:t>از سکولاریسم تا ازدواج‌های بین ادیانی</w:t>
      </w:r>
      <w:r>
        <w:rPr>
          <w:rtl w:val="true"/>
        </w:rPr>
        <w:t>:</w:t>
      </w:r>
      <w:bookmarkEnd w:id="30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رویارویی یهودیت با دنیای مدرن، چالش‌های هویتی عمیقی را برای جوامع یهودی، به‌ویژه در خارج از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دیاسپورا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مهم‌ترین این چالش‌ها، گسترش سکولاریسم و افزایش نرخ ازدواج‌های بین ادیانی است که تعاریف سنتی از هویت یهودی را دگرگون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در بافت یهودی، تنها به معنای عدم باور به دین نیست، بلکه به ظهور یک هویت فرهنگی و قومی اشاره دارد که پیوند خود را با سنت‌های دینی قطع کرده یا آن را به حاشیه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پژوهش‌های معتبر، بخش قابل توجهی از یهودیان، به‌ویژه در آمریکا،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بدون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اگرچه به میراث فرهنگی و خانوادگی خود اذعان دارند، اما به اصول و مناسک مذهبی پایبند نیستند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چالش دوم که ارتباط تنگاتنگی با سکولاریسم دارد، افزایش شدید نرخ ازدواج‌های بین ادیانی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غیریهودیان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هلاخا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ازدواج‌هایی به رسمیت شناخته نمی‌شوند و فرزندان حاصل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مادر یهودی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محسوب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نگرانی‌های جدی را در میان رهبران جامعه یهودی درباره آینده جمعیتی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بقای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نشان می‌دهد که نرخ ازدواج‌های بین ادیانی در میان یهودیان غیرارتدکس آمریکا به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است، در حالی که این رقم در میان یهودیان ارتدکس بسیار پایین باقی مانده است</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پدیده در کنار یکدیگر، نشانگر یک تحول بنیادین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جامعه یهودی را با این پرسش اساسی روبرو کرده‌اند که آیا هویت یهودی می‌تواند در غیاب پیوندهای مذهبی و درون‌گروهی به حیات خود ادامه دهد</w:t>
      </w:r>
      <w:r>
        <w:rPr>
          <w:rFonts w:eastAsia="IRNazanin" w:cs="IRNazanin"/>
          <w:color w:val="111111"/>
          <w:sz w:val="28"/>
          <w:szCs w:val="28"/>
          <w:rtl w:val="true"/>
          <w:lang w:bidi="fa-IR"/>
        </w:rPr>
        <w:t xml:space="preserve">. </w:t>
      </w:r>
      <w:bookmarkStart w:id="306" w:name="pg19225_246471"/>
    </w:p>
    <w:p>
      <w:pPr>
        <w:pStyle w:val="Heading3"/>
        <w:numPr>
          <w:ilvl w:val="2"/>
          <w:numId w:val="1"/>
        </w:numPr>
        <w:rPr/>
      </w:pPr>
      <w:bookmarkStart w:id="307" w:name="__RefHeading___Toc13791911_1280447820"/>
      <w:bookmarkStart w:id="308" w:name="_Toc115"/>
      <w:bookmarkEnd w:id="306"/>
      <w:bookmarkEnd w:id="307"/>
      <w:r>
        <w:rPr>
          <w:rtl w:val="true"/>
        </w:rPr>
        <w:t>جمع‌بندی فصل چهارم</w:t>
      </w:r>
      <w:r>
        <w:rPr>
          <w:rtl w:val="true"/>
        </w:rPr>
        <w:t>:</w:t>
      </w:r>
      <w:bookmarkEnd w:id="308"/>
    </w:p>
    <w:p>
      <w:pPr>
        <w:pStyle w:val="BookText"/>
        <w:rPr/>
      </w:pPr>
      <w:r>
        <w:rPr>
          <w:rFonts w:ascii="IRNazanin" w:hAnsi="IRNazanin" w:eastAsia="IRNazanin"/>
          <w:color w:val="111111"/>
          <w:sz w:val="28"/>
          <w:sz w:val="28"/>
          <w:szCs w:val="28"/>
          <w:rtl w:val="true"/>
          <w:lang w:bidi="fa-IR"/>
        </w:rPr>
        <w:t>این فصل، تحلیلی جامع از ماهیت شبکه‌ای و چندبعدی نفوذ یهودیت در جهان معاصر ارائه می‌دهد و استدلال می‌کند که قدرت این جامعه نه یک پدیده اتفاقی یا تک‌بعدی، بلکه حاصل در هم تنیدگی استراتژیک چند حوزه کلیدی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یهودیت مدرن بر پایه‌ای مستحکم از کنترل شریان‌های مالی و منابع طبیعی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نشان می‌دهد چگونه خاندان‌هایی مانند روچیلد، واربورگ و گلدمن ساکس با نوآوری در بانکداری، و خاندان‌هایی چون اوپنهایمر و ساموئل با تسلط بر بازارهای الماس و نفت، زیرساخت‌های جهانی را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اقتصادی،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تأمین مالی جنگ‌ها و نفوذ در صنایع نظامی را نیز برایشان به ارمغان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سلطه فرهنگی و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اقتصادی با سلطه بر ابزارهای شکل‌دهی به افکار عمومی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بنیان‌گذاری هالیوود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مالکیت و مدیریت رسانه‌های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شبکه توانسته است روایت‌های</w:t>
      </w:r>
    </w:p>
    <w:p>
      <w:pPr>
        <w:pStyle w:val="BookText"/>
        <w:rPr/>
      </w:pPr>
      <w:r>
        <w:rPr>
          <w:rFonts w:ascii="IRNazanin" w:hAnsi="IRNazanin" w:eastAsia="IRNazanin"/>
          <w:color w:val="111111"/>
          <w:sz w:val="28"/>
          <w:sz w:val="28"/>
          <w:szCs w:val="28"/>
          <w:rtl w:val="true"/>
          <w:lang w:bidi="fa-IR"/>
        </w:rPr>
        <w:t>فرهنگی مسلط را تعریف کرده و جریان اطلاعات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نفوذ تا حدی است که حتی یک غذای ساده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ابزاری در جنگ فرهنگی و سیاسی برای مصادره هویت تبدیل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اهرم‌های سیاسی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سخت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نفوذ با استفاده از لابی‌گری سازمان‌یافته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تأثیرگذاری مستقیم بر سیاست‌های ابرقدرت‌ها و همچنین با پیشتازی در علم و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سیلیکون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شمار بالای برندگان نوبل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خود را تحکیم و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نشان‌دهنده توانایی تبدیل نوآوری به قدرت استراتژیک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تضاد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بیرونی در برابر بحران درونی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نکته پایانی فصل، نمایش یک تضاد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شبکه، قدرت و نفوذ بی‌سابقه‌ای در سطح جهانی اعمال می‌کند، در درون با بحران‌های عمیق هویتی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پدیده‌هایی مانند سکولاریسم فراگیر، ظهور سبک زندگی لیبرال و غیرمذهبی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آن شهر تلاویو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چالش ازدواج‌های </w:t>
      </w:r>
      <w:bookmarkStart w:id="309" w:name="pg19225_246473"/>
    </w:p>
    <w:p>
      <w:pPr>
        <w:pStyle w:val="BookText"/>
        <w:rPr/>
      </w:pPr>
      <w:bookmarkEnd w:id="309"/>
      <w:r>
        <w:rPr>
          <w:rFonts w:ascii="IRNazanin" w:hAnsi="IRNazanin" w:eastAsia="IRNazanin"/>
          <w:color w:val="111111"/>
          <w:sz w:val="28"/>
          <w:sz w:val="28"/>
          <w:szCs w:val="28"/>
          <w:rtl w:val="true"/>
          <w:lang w:bidi="fa-IR"/>
        </w:rPr>
        <w:t xml:space="preserve">بین‌ادیانی، تعاریف سنتی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کشیده و بقای فرهنگی این جامعه را تهدید می‌کند</w:t>
      </w:r>
      <w:r>
        <w:rPr>
          <w:rFonts w:eastAsia="IRNazanin" w:cs="IRNazanin"/>
          <w:color w:val="111111"/>
          <w:sz w:val="28"/>
          <w:szCs w:val="28"/>
          <w:rtl w:val="true"/>
          <w:lang w:bidi="fa-IR"/>
        </w:rPr>
        <w:t>.</w:t>
      </w:r>
    </w:p>
    <w:p>
      <w:pPr>
        <w:pStyle w:val="Heading2"/>
        <w:numPr>
          <w:ilvl w:val="1"/>
          <w:numId w:val="1"/>
        </w:numPr>
        <w:rPr/>
      </w:pPr>
      <w:bookmarkStart w:id="310" w:name="__RefHeading___Toc13791913_1280447820"/>
      <w:bookmarkStart w:id="311" w:name="_Toc116"/>
      <w:bookmarkEnd w:id="310"/>
      <w:r>
        <w:rPr>
          <w:rtl w:val="true"/>
        </w:rPr>
        <w:t>نتیجه‌گیری نهایی</w:t>
      </w:r>
      <w:r>
        <w:rPr>
          <w:rtl w:val="true"/>
        </w:rPr>
        <w:t>:</w:t>
      </w:r>
      <w:bookmarkEnd w:id="311"/>
    </w:p>
    <w:p>
      <w:pPr>
        <w:pStyle w:val="BookText"/>
        <w:rPr/>
      </w:pPr>
      <w:r>
        <w:rPr>
          <w:rFonts w:ascii="IRNazanin" w:hAnsi="IRNazanin" w:eastAsia="IRNazanin"/>
          <w:color w:val="111111"/>
          <w:sz w:val="28"/>
          <w:sz w:val="28"/>
          <w:szCs w:val="28"/>
          <w:rtl w:val="true"/>
          <w:lang w:bidi="fa-IR"/>
        </w:rPr>
        <w:t>این پژوهش نشان داد که هویت و نفوذ یهودیت در جهان، پدیده‌ای چندبعدی و مملو از تضادهای درونی و بیرونی است که بر چند رکن اساسی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هویت یهودی یک ساختار تاریخی منحصربه‌فرد است که از در هم تنیدگی سه عنصر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مشترک که روایت آن به حضرت ابراهیم بازمی‌گردد، متون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شالوده اعتقادی و حقوقی، و نمادهای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هیکل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حافظه تاریخی و امید به آینده را زنده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توانسته با وجود پراکندگی‌های طولانی، بقای خود را تضمین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در دوران معاصر، صهیونیسم به عنوان یک ایدئولوژی سیاسی و سکولار، تمایزی بنیادین با دین باستانی یهودیت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با بازتعریف یهودیت به مثابه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ابزاری از نمادهای دینی برای اهداف سرزمینی و ایجاد </w:t>
      </w:r>
    </w:p>
    <w:p>
      <w:pPr>
        <w:pStyle w:val="BookText"/>
        <w:rPr/>
      </w:pPr>
      <w:r>
        <w:rPr>
          <w:rFonts w:ascii="IRNazanin" w:hAnsi="IRNazanin" w:eastAsia="IRNazanin"/>
          <w:color w:val="111111"/>
          <w:sz w:val="28"/>
          <w:sz w:val="28"/>
          <w:szCs w:val="28"/>
          <w:rtl w:val="true"/>
          <w:lang w:bidi="fa-IR"/>
        </w:rPr>
        <w:t>تبعیض‌های داخلی، هویت یهودی را به گروگان گرفت و با مخالفت‌های جدی از سوی جریان‌های سنتی و روشنفکران یهودی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جهان درونی یهودیت نیز از یک دوگانگی عمیق در برابر امور ماورایی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شریعت رسمی هرگونه جادوگری را قاطعانه منع می‌کند، یک سنت ریشه‌دار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باورهای عامیانه به طلسم‌ها و حرزها، فضایی مشروع برای استفاده از قدرت‌های فراطبیعی جهت حفاظت و رستگاری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نشان‌دهنده تنش دائمی میان قانون، عرفان و نیازهای انسانی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این پژوهش آشکار ساخت که این جامعه در جهان معاصر، یک شبکه نفوذ استراتژیک در حوزه‌های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بانکداری و منابع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لابی‌گری و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تحقیق به این نتیجه کلیدی دست یافت که این قدرت بیرونی با یک بحران عمیق هویتی در درون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چالش‌هایی نظیر سکولاریسم، تضاد سنت و مدرنیته و فروپاشی پیوندهای سنتی، جامعه یهودی را در اوج نفوذ جهانی، با پرسش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هویت یهودی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ساخته است</w:t>
      </w:r>
      <w:r>
        <w:rPr>
          <w:rFonts w:eastAsia="IRNazanin" w:cs="IRNazanin"/>
          <w:color w:val="111111"/>
          <w:sz w:val="28"/>
          <w:szCs w:val="28"/>
          <w:rtl w:val="true"/>
          <w:lang w:bidi="fa-IR"/>
        </w:rPr>
        <w:t xml:space="preserve">. </w:t>
      </w:r>
      <w:bookmarkStart w:id="312" w:name="pg19225_246475"/>
    </w:p>
    <w:p>
      <w:pPr>
        <w:pStyle w:val="Heading2"/>
        <w:numPr>
          <w:ilvl w:val="1"/>
          <w:numId w:val="1"/>
        </w:numPr>
        <w:rPr/>
      </w:pPr>
      <w:bookmarkStart w:id="313" w:name="__RefHeading___Toc13791915_1280447820"/>
      <w:bookmarkStart w:id="314" w:name="_Toc117"/>
      <w:bookmarkEnd w:id="312"/>
      <w:bookmarkEnd w:id="313"/>
      <w:r>
        <w:rPr>
          <w:rtl w:val="true"/>
        </w:rPr>
        <w:t>فهرست منابع</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آوینری، شلومو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فریبرز 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تحقیقات بین‌المللی ابرار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ابوالحاج، 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باستان‌شناختی و خودسازی سرزمینی در جامعه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پویا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فرهنگی و اجتماعی،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ابوخلیل، 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عباس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اشتاین سالتز، 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تلمود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باقر طالبی دارابی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ادیان و مذاهب،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انیشتین، آلبرت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به 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ایدل، موشه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عرفانی در آثار آبراهام ابولعافیا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جویا بلوندل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سوفیا،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باتلر، جودیت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و نقد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محسن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رشدآوند،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بوبر، 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حسیدی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فریدون بدره‌ای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هرمس،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بیلِرسکی، 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جادو در اسرائیل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ابراهیم موسی‌پور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صمدیه،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تراختنبرگ، جاشوا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و خرافات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دین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ندا نایب‌پور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ادیان و مذاهب،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چرناو،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واربورگ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رویا صهبایی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البرز،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رابکین، یاکو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مخالفت یهودیان با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صالح طبیبی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دیدمان،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شلومو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احد علیقلیان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سکار، هوارد مورلی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یهودیان در دنیای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ابراهیم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 آمه،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شولم، گرشوم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بزرگ در عرفان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فریدالدین رادمهر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نیلوفر،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شولم، گرشوم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کابالا و نمادگرایی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رضا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مصدق،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شولم، گرشوم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یک 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شهاب‌الدین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هرمس،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فرمانیان،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قرائیم و مبانی اعتقادی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فرگوسن،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روچیلد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شهناز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پویان،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پمبا تا ماریانا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چشمه،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کاپلان، آریه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یصیرا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احسان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جیحون،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کاتز، جیکوب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هلاخا و 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موسی کاظم‌زاده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ادیان و مذاهب،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 آلماگور، رافائل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آزادی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علیه کاهانیسم 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ققنوس،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 آبراهام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گنجینه‌ای از 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امیرحسین ذکرگو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ماهی،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گلدن،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فرهنگ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مسعود ربیعی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جاوید،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لاکر، والتر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مجید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پژوهشکده مطالعات راهبردی،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لیبوویتز، یشایاهو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ارزش‌های انسانی و دولت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روح‌الله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ثالث،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که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آگاه،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هانکوک، گراهام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تابوت گمشده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ظفر قهرمانی‌نژاد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سبزان،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هرتصل، تئودور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داوود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ویتال، حییم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هگیلگولیم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ترجمه یوسف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کابالا،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Almog, Oz. The Sabra: The Creation of the New Jew. First Edition. Berkeley: University of California Press,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Alta, Ken. Greed and Glory on Wall Street: The Fall of the House of Lehman. First Edition. New York: Random House,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Aran, Gideon. Gush Emunim: The Roots and Causes of the Jewish Messianic Movement. First Edition. Jerusalem: The Hebrew University Press,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Barbera, Joseph. My Life in 'Toons: From Flatbush to Bedrock in Under a Century. First Edition. Atlanta: Turner Publishing,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Brueggemann, Walter. An Introduction to the Old Testament: The Canon and Christian Imagination. First Edition. Louisville: Westminster John Knox Press,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DellaPergola, Sergio. "World Jewish Population". In The American Jewish Year Book, edited by Arnold Dashefsky and Ira Sheskin, vol. 113, pp. 261-346. Dordrecht: Springer,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Dorff, Elliot N. Conservative Judaism: Our Ancestors to Our Descendants. First Edition. Philadelphia: The Jewish Publication Society, 1996</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Ellis, Charles D. The Partnership: The Making of Goldman Sachs. First Edition. New York: Penguin Press, 2008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Ferguson, Niall. The House of Rothschild: Money's Prophets 1798-1848. First Edition. New York: Viking Penguin,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Gabler, Neal. An Empire of Their Own: How the Jews Invented Hollywood. First Edition. New York: Crown Publishers,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Gordis, Daniel. Israel: A Concise History of a Nation Reborn. First Edition. New York: Ecco, 2016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Graham, Katharine. Personal History. First Edition. New York: Alfred A. Knopf,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Hertzberg, Arthur. The Zionist Idea: A Historical Analysis and Reader. First Edition. Philadelphia: Jewish Publication Society, 1959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Howarth, Stephen. A Century in Oil: The “Shell” Transport and Trading Company, 1897-1997. First Edition. London: Weidenfeld &amp; Nicolson,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Isaacson, Walter. Einstein: His Life and Universe. First Edition. New York: Simon &amp; Schuster,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Kanfer, Stefan. The Last Empire: De Beers, Diamonds, and the World. First Edition. New York: Farrar, Straus and Giroux,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Kohan, William D. The Last Tycoons: The Secret History of Lazard Frères &amp; Co. First Edition. New York: Doubleday,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Maltin, Leonard. Of Mice and Magic: A History of American Animated Cartoons. Revised Edition. New York: Plume, 1987</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Mearsheimer, John J., and Stephen M. Walt. The Israel Lobby and U.S. Foreign Policy. First Edition. New York: Farrar, Straus and Giroux, 2007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Penslar, Derek. Zionism: A Very Short Introduction. First Edition. Oxford: Oxford University Press,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Pew Research Center (2021). Jewish Americans in 2020. Washington, D.C.: Pew Research Center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Raviv, Yael. "Falafel: A National Icon". In The Oxford Handbook of Food, Culture, and Society, edited by Mark C. Smith, 210-225. Oxford: Oxford University Press,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Schatz, Thomas. The Genius of the System: Hollywood Filmmaking in the Studio Era. First Edition. New York: Pantheon Books,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Schlosser, Eric. Fast Food Nation: The Dark Side of the All-American Meal. First Edition. Boston: Houghton Mifflin,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Senor, Dan, and Saul Singer. Start-up Nation: The Story of Israel's Economic Miracle. First Edition. New York: Twelve,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Tifft, Susan E., and Alex S. Jones. The Trust: The Private and Powerful Family Behind The New York Times. First Edition. Boston: Little, Brown and Company,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Yergin, Daniel. The Prize: The Epic Quest for Oil, Money, and Power. First Edition. New York: Simon &amp; Schuster, 1991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Zuckerman, Harriet. Scientific Elite: Nobel Laureates in the United States. First Edition. New York: The Free Press, 1977</w:t>
      </w:r>
      <w:r>
        <w:rPr>
          <w:rFonts w:eastAsia="Times New Roman" w:cs="Times New Roman" w:ascii="Times New Roman" w:hAnsi="Times New Roman"/>
          <w:color w:val="111111"/>
          <w:sz w:val="28"/>
          <w:szCs w:val="28"/>
          <w:rtl w:val="true"/>
          <w:lang w:val="en-US" w:bidi="en-US"/>
        </w:rPr>
        <w:t xml:space="preserve">. </w:t>
      </w:r>
      <w:bookmarkStart w:id="315" w:name="pg19225_246481"/>
    </w:p>
    <w:p>
      <w:pPr>
        <w:pStyle w:val="Heading2"/>
        <w:numPr>
          <w:ilvl w:val="1"/>
          <w:numId w:val="1"/>
        </w:numPr>
        <w:rPr/>
      </w:pPr>
      <w:bookmarkStart w:id="316" w:name="__RefHeading___Toc13791917_1280447820"/>
      <w:bookmarkStart w:id="317" w:name="_Toc118"/>
      <w:bookmarkEnd w:id="315"/>
      <w:bookmarkEnd w:id="316"/>
      <w:r>
        <w:rPr>
          <w:rtl w:val="true"/>
        </w:rPr>
        <w:t>نگار خانه</w:t>
      </w:r>
      <w:r>
        <w:rPr>
          <w:rtl w:val="true"/>
        </w:rPr>
        <w:t>:</w:t>
      </w:r>
      <w:bookmarkEnd w:id="317"/>
    </w:p>
    <w:p>
      <w:pPr>
        <w:pStyle w:val="BookText"/>
        <w:rPr/>
      </w:pPr>
      <w:r>
        <w:rPr>
          <w:rFonts w:ascii="IRNazanin" w:hAnsi="IRNazanin" w:eastAsia="IRNazanin"/>
          <w:color w:val="111111"/>
          <w:sz w:val="28"/>
          <w:sz w:val="28"/>
          <w:szCs w:val="28"/>
          <w:rtl w:val="true"/>
          <w:lang w:bidi="fa-IR"/>
        </w:rPr>
        <w:t>نمایی از قبه الصخره در چنگال پادگان نظامی اطراف معبد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قبه خضر که در زمان حکومت عثمانی به عنوان مقام حضرت خضر بنا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55"/>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57"/>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قبه حضرت یوسف یاد بودی برای آن حضرت ساخت حکومت عثمانی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60"/>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6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37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65"/>
                        <a:stretch/>
                      </pic:blipFill>
                      <pic:spPr>
                        <a:xfrm>
                          <a:off x="0" y="0"/>
                          <a:ext cx="5334120" cy="4737240"/>
                        </a:xfrm>
                        <a:prstGeom prst="rect">
                          <a:avLst/>
                        </a:prstGeom>
                        <a:ln w="0">
                          <a:noFill/>
                        </a:ln>
                      </pic:spPr>
                    </pic:pic>
                  </a:graphicData>
                </a:graphic>
              </wp:inline>
            </w:drawing>
          </mc:Choice>
          <mc:Fallback>
            <w:pict>
              <v:shape id="shape_0" stroked="f" o:allowincell="f" style="position:absolute;margin-left:0pt;margin-top:-373.05pt;width:419.95pt;height:372.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نمایی از داخل گنبد قبه السلاسل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211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68"/>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نمایی از داخل مسجد الاقصی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0"/>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خارجی مسجد الاقصی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03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73"/>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دیوار ندبه اولین مکان مقدس یهودیان که در تصرف یهودیان است و بعنوان تنها باقی مانده از معبد سلیمان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941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75"/>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عریضه نویسی روی کاغذ و جای گذاری آنها در لابلای دیوار ندبه مرسوم یهودیان صهیونیست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78"/>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ماکت هیکل سلیمان ساخته شده توسط یهودیان صهونی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95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80"/>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464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83"/>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کوه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تپه‌ای مقدس با تاریخی پیچیده که در شرق اورشلیم قدیم واقع شده، یکی از مهم‌ترین مکان‌های مذهبی و تاریخی برای یهودیان، مسیحیان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هم‌زمان نماد صلح، عبادت و منازعات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باور دارند که نجات‌دهنده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کوه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صومعه بزرگ یهودیان در اورشلیم</w:t>
      </w:r>
    </w:p>
    <w:p>
      <w:pPr>
        <w:pStyle w:val="BookText"/>
        <w:rPr/>
      </w:pPr>
      <w:r>
        <w:rPr>
          <w:rFonts w:ascii="IRNazanin" w:hAnsi="IRNazanin" w:eastAsia="IRNazanin"/>
          <w:color w:val="111111"/>
          <w:sz w:val="28"/>
          <w:sz w:val="28"/>
          <w:szCs w:val="28"/>
          <w:rtl w:val="true"/>
          <w:lang w:bidi="fa-IR"/>
        </w:rPr>
        <w:t>عکس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85"/>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یهودیان صهیونیست درحال عبادت روبروی دیوار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385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88"/>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9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طبق آخرین سرشماری جمعیت یهودیان در جهان، تا ابتدای سال</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یعنی</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درصد از جمعیت جهان تخمین زده می‌شود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مکعبی که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می‌گذارند و یکی از مهمترین نمادهای دینی در یهودیت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وسیله بر اساس دستور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خروج و سفر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نمادی از ارتباط بین انسان و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70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93"/>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تفیلین دست دو جعبه کوچک چرمی مکعبی شکل است که درون آنها بخش‌هایی از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جعبه‌ها با تسمه‌های چرمی به بازوی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راست‌دست‌ها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پیشانی بسته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94100" cy="2260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96"/>
                        <a:stretch/>
                      </pic:blipFill>
                      <pic:spPr>
                        <a:xfrm>
                          <a:off x="0" y="0"/>
                          <a:ext cx="3594240" cy="2260440"/>
                        </a:xfrm>
                        <a:prstGeom prst="rect">
                          <a:avLst/>
                        </a:prstGeom>
                        <a:ln w="0">
                          <a:noFill/>
                        </a:ln>
                      </pic:spPr>
                    </pic:pic>
                  </a:graphicData>
                </a:graphic>
              </wp:inline>
            </w:drawing>
          </mc:Choice>
          <mc:Fallback>
            <w:pict>
              <v:shape id="shape_0" stroked="f" o:allowincell="f" style="position:absolute;margin-left:0pt;margin-top:-178.05pt;width:282.95pt;height:177.95pt;mso-wrap-style:none;v-text-anchor:middle;mso-position-horizontal:left;mso-position-vertical:top" type="_x0000_t75">
                <v:imagedata r:id="rId197" o:detectmouseclick="t"/>
                <v:stroke color="#3465a4" joinstyle="round" endcap="flat"/>
                <w10:wrap type="none"/>
              </v:shape>
            </w:pict>
          </mc:Fallback>
        </mc:AlternateConten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تالیت یک شال چهارگوش است که یهودیان در هنگام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جوامع، در تمام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شانه‌ها و سر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شال معمولاً سفید با خطوط آبی یا سیاه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شال، معمولاً از پشم، ابریشم یا پنبه ساخته می‌شود و دارای رشته‌های خاصی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تسیتسیت در چهار گوشه آن است که نمادی از فرمان‌های الهی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گوشه تالیت، تسیتسیت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گره‌خورده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است که نماد یادآوری فرمان‌های خداوند استاین رشته‌ها معمولاً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هستند که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خاص بسته می‌شوند و نماد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توراتی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آبی سنتی در برخی تسیتسیت‌ها به کار می‌رود که نماد آسمان و عرش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ستاره داوود معروف به مَگِن داوید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مِگِن داوید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نمادهای معروف یهودیت و امروزه نماد ملی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دو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رو به بالا، دیگری رو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ارتباط آسمان و زمین، خدا و انسان، یا ماده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سنت، این نشان روی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او را در جنگ‌ها محافظت می‌کرد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ستاره نماد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705100" cy="3009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99"/>
                        <a:stretch/>
                      </pic:blipFill>
                      <pic:spPr>
                        <a:xfrm>
                          <a:off x="0" y="0"/>
                          <a:ext cx="2705040" cy="3009960"/>
                        </a:xfrm>
                        <a:prstGeom prst="rect">
                          <a:avLst/>
                        </a:prstGeom>
                        <a:ln w="0">
                          <a:noFill/>
                        </a:ln>
                      </pic:spPr>
                    </pic:pic>
                  </a:graphicData>
                </a:graphic>
              </wp:inline>
            </w:drawing>
          </mc:Choice>
          <mc:Fallback>
            <w:pict>
              <v:shape id="shape_0" stroked="f" o:allowincell="f" style="position:absolute;margin-left:0pt;margin-top:-237.05pt;width:212.95pt;height:236.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مشعل هشت‌شاخه‌ای که در آیین یهود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منورای حنوکا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نماد اصلی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منورا با</w:t>
      </w:r>
    </w:p>
    <w:p>
      <w:pPr>
        <w:pStyle w:val="BookText"/>
        <w:rPr/>
      </w:pPr>
      <w:r>
        <w:rPr>
          <w:rFonts w:ascii="IRNazanin" w:hAnsi="IRNazanin" w:eastAsia="IRNazanin"/>
          <w:color w:val="111111"/>
          <w:sz w:val="28"/>
          <w:sz w:val="28"/>
          <w:szCs w:val="28"/>
          <w:rtl w:val="true"/>
          <w:lang w:bidi="fa-IR"/>
        </w:rPr>
        <w:t>عکس</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5346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01"/>
                        <a:stretch/>
                      </pic:blipFill>
                      <pic:spPr>
                        <a:xfrm>
                          <a:off x="0" y="0"/>
                          <a:ext cx="5219640" cy="5346720"/>
                        </a:xfrm>
                        <a:prstGeom prst="rect">
                          <a:avLst/>
                        </a:prstGeom>
                        <a:ln w="0">
                          <a:noFill/>
                        </a:ln>
                      </pic:spPr>
                    </pic:pic>
                  </a:graphicData>
                </a:graphic>
              </wp:inline>
            </w:drawing>
          </mc:Choice>
          <mc:Fallback>
            <w:pict>
              <v:shape id="shape_0" stroked="f" o:allowincell="f" style="position:absolute;margin-left:0pt;margin-top:-421.05pt;width:410.95pt;height:420.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هشت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 شاخه اضافه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و هر شب در طول هشت روز حنوکا، شمع‌ها یا چراغ‌های آن روشن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یهودیان پس از پیروزی بر یونانیان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سلوکیان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بازپس‌گیری معبد اورشلیم، تنها یک بطره روغن زیتون مقدس پیدا کردند که برای یک روز کافی بود، اما به‌طور معجزه‌آسایی هشت روز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معجزه روغن در معبد مقدس اورشلیم است که به‌رغم کافی بودن تنها برای یک روز، به مدت هشت روز سوخت و چراغ‌های معبد را روشن نگه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کردن سایر شمع‌ها استفاده می‌شود و نماد خدمت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70400" cy="44704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04"/>
                        <a:stretch/>
                      </pic:blipFill>
                      <pic:spPr>
                        <a:xfrm>
                          <a:off x="0" y="0"/>
                          <a:ext cx="4470480" cy="4470480"/>
                        </a:xfrm>
                        <a:prstGeom prst="rect">
                          <a:avLst/>
                        </a:prstGeom>
                        <a:ln w="0">
                          <a:noFill/>
                        </a:ln>
                      </pic:spPr>
                    </pic:pic>
                  </a:graphicData>
                </a:graphic>
              </wp:inline>
            </w:drawing>
          </mc:Choice>
          <mc:Fallback>
            <w:pict>
              <v:shape id="shape_0" stroked="f" o:allowincell="f" style="position:absolute;margin-left:0pt;margin-top:-352.05pt;width:351.95pt;height:351.95pt;mso-wrap-style:none;v-text-anchor:middle;mso-position-horizontal:left;mso-position-vertical:top" type="_x0000_t75">
                <v:imagedata r:id="rId205" o:detectmouseclick="t"/>
                <v:stroke color="#3465a4" joinstyle="round" endcap="flat"/>
                <w10:wrap type="none"/>
              </v:shape>
            </w:pict>
          </mc:Fallback>
        </mc:AlternateConten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کلاه گرد یهودیان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یارمولکه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یک کلاه کوچک گرد بدون لبه است که مردان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جوامع،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احترام به خدا بر سر می‌گذارند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211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07"/>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یهودی که موهای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با حلقه‌های فرخورده کنار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معمولاً از یهودیان حسیدی یا برخی گروه‌های ارتدوکس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کار اجرای فرمان تورات در سفر لاویان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تَقطَعوا حَواشی رُؤوسِکُم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موهای کنار سرتان را نتراشید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جانسون، پل،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قوم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جانسون، پل،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قوم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شوقی ابوخلیل،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اطلس تاریخ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گربر، جین،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یهودیان اسپانیا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تجربه سفاردی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سکار، هوارد مورلی،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یهودیان در دنیای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کوهن، آبراهام،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جانسون، پل،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قوم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بریگمن، والتر،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کتاب مقدس عبری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بِرِشیت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Bereshit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کلمه تورات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Shemot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اسامی بنی‌اسرائیل در مصر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وایکرا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Vayikra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کلمه کتاب لاویان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بِمیدبار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Bemidbar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دِواریم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Devarim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سخنان موسی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اشتاین سالتز، ادین،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تلمود ضروری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قرائیم و مبانی اعتقادی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هفت آسمان،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نبوی، محمدحسن،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ادیان ابراهیمی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بوبر، مارتین،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یهودیت حسیدی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اندیشه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دایرةالمعارف جودائیکا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مدخل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Hasidism</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دورف، الیوت،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یهودیت محافظه‌کار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ما تا نوادگان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اول پادشاهان،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حزقیال،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تلمود بابلی، رساله سنهرین،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 ایالات متحده در اورشلیم،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هفتگی درباره تحولات منطقه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 شناسه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JERUSALEM00123</w:t>
      </w:r>
      <w:r>
        <w:rPr>
          <w:rFonts w:ascii="IRNazanin" w:hAnsi="IRNazanin" w:eastAsia="IRNazanin"/>
          <w:b w:val="false"/>
          <w:b w:val="false"/>
          <w:bCs w:val="false"/>
          <w:i w:val="false"/>
          <w:i w:val="false"/>
          <w:iCs w:val="false"/>
          <w:color w:val="333333"/>
          <w:sz w:val="20"/>
          <w:sz w:val="20"/>
          <w:szCs w:val="20"/>
          <w:rtl w:val="true"/>
        </w:rPr>
        <w:t>، قابل دسترس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https://foia.state.gov/searchapp/DOC/C06812345/1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سفر تثنیه،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 سموئیل،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 مکابیان،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هانکوک، گراهام،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و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تابوت گمشده 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آوینری، شلومو،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فریبرز مجیدی،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هرتصل، تئودور،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داوود فرد،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لاکر، والتر،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مجید شمس‌الدین،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آران، گیدئون،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Gush Emunim: The Roots and Causes of the Jewish Messianic Movement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آوینری، شلومو،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پنسلار، 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Zionism: A Very Short Introduction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آلموگ، اوز،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Sabra: The Creation of the New Jew</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باتلر، جودیت،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جدایی راه‌ها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یهودیت و نقد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شلومو،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ابداع قوم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ابوالحاج، نادیا،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واقعیت‌های 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کنش باستان‌شناختی و خودسازی سرزمینی در جامعه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شوهات، 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تابو، صداهای دیاسپورا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رابکین، یاکو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قرن مخالفت یهودیان با صهیونیسم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تهدیدی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تایتلبام، یوئل،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ویوئل משה</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انیشتین، آلبرت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به ویراستاران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 تایمز،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لیبوویتز، یشایاهو،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یهودیت، ارزش‌های انسانی و دولت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بیلِرسکی، آوی،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و جادو در اسرائیل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נורא פולסא</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کوهن آلماگور، رافائل،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تحقیقی در باب افراط‌گرایی در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بیلِرسکی، آوی،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و جادو در اسرائیل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تراختنبرگ، جاشوا،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جادو و خرافات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دین عامیانه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کوهن آلماگور، رافائل،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مرزهای آزادی و مدارا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علیه کاهانیسم در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شولم، گرشوم،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جریانات بزرگ در عرفان یهودی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کاتز، جیکوب،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هلاخا و کابالا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کوهن آلماگور، رافائل،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مرزهای آزادی و مدارا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علیه کاهانیسم در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לֹא־יִמָּצֵא בְךָ</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וְדֹרֵשׁ אֶל־הַמֵּתִים</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 ת־אוֹב בְּעֵין־דּוֹר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اول سموئیل،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מְכַשֵּׁפָה לֹא תְחַיֶּה</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לֹא תְנַחֲשׁוּ וְלֹא תְעוֹנֵנוּ</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لاویان،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لاویان،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تثنیه،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تراختنبرگ، جاشوا،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جادو و خرافات یهودی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گلدن، دیوید،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نمادهای فرهنگ یهودی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شولم، گرشوم،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یک نماد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تراختنبرگ، جاشوا،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جادو و خرافات یهودی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گلدن، دیوید،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نمادهای فرهنگ یهودی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کاپلان، آریه،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یصیرا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آفرینش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گلدن، دیوید،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نمادهای فرهنگ یهودی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زوهر،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تلمود، مِنَخوت،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تلمود، مگیلا،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تلمود، مِنَخوت،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زوهر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پِکودِی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اول پادشاهان،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سوره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اشکولم، گرشوم،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جریانات بزرگ در عرفان یهودی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تلمود بابلی، رساله בת،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اشکولم، گرشوم،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کابالا و نمادگرایی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ویتال، حییم،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هگیلگولیم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بخش سوم،ص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ایدل، موشه،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تجربه عرفانی در آثار آبراهام ابولعافیا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جودائیکا، ذیل مدخل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Raziel, Book of</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آلفاسی، الیاهو و تورگمن، یحیئل،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 سالی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پمبا تا ماریانا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فرگوسن، نیل،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روچیلد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 پول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چرناو، 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واربورگ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آلتا،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 و شکوه در وال استریت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خاندان 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الیس، چارلز 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گلدمن ساکس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کوهان، ویلیام 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غول‌ها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مخفی لازارد فررز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Kanfer, Stefan, The Last Empire: De Beers, Diamonds, and the World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Yergin, Daniel, The Prize: The Epic Quest for Oil, Money, and Power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Howarth, Stephen, A Century in Oil: The “Shell” Transport and Trading Company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Yergin, Daniel, The Prize: The Epic Quest for Oil, Money, and Power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Ferguson, Niall, The House of Rothschild: Money's Prophets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Yergin, Daniel, «The Prize: The Epic Quest for Oil, Money, and Power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Gabler, Neal, An Empire of Their Own: How the Jews Invented Hollywood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Schatz, Thomas, The Genius of the System: Hollywood Filmmaking in the Studio Era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Maltin, Leonard, Of Mice and Magic: A History of American Animated Cartoons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Barbera, Joseph, My Life in 'Toons: From Flatbush to Bedrock in Under a Century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Tifft, Susan E, and Jones, Alex S., The Trust: The Private and Powerful Family Behind The New York Times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Graham, Katharine, «Personal 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Schlosser, Eric, Fast Food Nation: The Dark Side of the All-American Meal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Raviv, Yael, Falafel: A National Icon, The Oxford Handbook of Food, Culture, and Society, 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Mearsheimer, John J., and Stephen M. Walt, The Israel Lobby and U.S. Foreign Policy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Zuckerman, Harriet Scientific Elite: Nobel Laureates in the United States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Senor, Dan, and Saul Singer, Start-up Nation: The Story of Israel's Economic Miracle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Isaacson, Walter, Einstein: His Life and Universe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Senor, Dan &amp; Singer, Saul, Start-up Nation: The Story of Israel's Economic Miracle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Gordis, Daniel, Israel: A Concise History of a Nation Reborn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Pew Research Center, Jewish Americans in 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DellaPergola, Sergio (2013). Dashefsky, Arnold; Sheskin Ira ( eds). "World Jewish Population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3.png"/><Relationship Id="rId64" Type="http://schemas.openxmlformats.org/officeDocument/2006/relationships/image" Target="media/image3.png"/><Relationship Id="rId65" Type="http://schemas.openxmlformats.org/officeDocument/2006/relationships/footer" Target="footer58.xml"/><Relationship Id="rId66" Type="http://schemas.openxmlformats.org/officeDocument/2006/relationships/image" Target="media/image4.png"/><Relationship Id="rId67" Type="http://schemas.openxmlformats.org/officeDocument/2006/relationships/image" Target="media/image4.png"/><Relationship Id="rId68" Type="http://schemas.openxmlformats.org/officeDocument/2006/relationships/footer" Target="footer59.xml"/><Relationship Id="rId69" Type="http://schemas.openxmlformats.org/officeDocument/2006/relationships/image" Target="media/image5.png"/><Relationship Id="rId70" Type="http://schemas.openxmlformats.org/officeDocument/2006/relationships/image" Target="media/image5.png"/><Relationship Id="rId71" Type="http://schemas.openxmlformats.org/officeDocument/2006/relationships/footer" Target="footer60.xml"/><Relationship Id="rId72" Type="http://schemas.openxmlformats.org/officeDocument/2006/relationships/image" Target="media/image6.png"/><Relationship Id="rId73" Type="http://schemas.openxmlformats.org/officeDocument/2006/relationships/image" Target="media/image6.png"/><Relationship Id="rId74" Type="http://schemas.openxmlformats.org/officeDocument/2006/relationships/footer" Target="footer61.xml"/><Relationship Id="rId75" Type="http://schemas.openxmlformats.org/officeDocument/2006/relationships/image" Target="media/image7.png"/><Relationship Id="rId76" Type="http://schemas.openxmlformats.org/officeDocument/2006/relationships/image" Target="media/image7.png"/><Relationship Id="rId77" Type="http://schemas.openxmlformats.org/officeDocument/2006/relationships/footer" Target="footer62.xml"/><Relationship Id="rId78" Type="http://schemas.openxmlformats.org/officeDocument/2006/relationships/image" Target="media/image8.jpeg"/><Relationship Id="rId79" Type="http://schemas.openxmlformats.org/officeDocument/2006/relationships/image" Target="media/image8.jpeg"/><Relationship Id="rId80" Type="http://schemas.openxmlformats.org/officeDocument/2006/relationships/footer" Target="footer63.xml"/><Relationship Id="rId81" Type="http://schemas.openxmlformats.org/officeDocument/2006/relationships/image" Target="media/image9.png"/><Relationship Id="rId82" Type="http://schemas.openxmlformats.org/officeDocument/2006/relationships/image" Target="media/image9.png"/><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image" Target="media/image10.png"/><Relationship Id="rId89" Type="http://schemas.openxmlformats.org/officeDocument/2006/relationships/image" Target="media/image10.png"/><Relationship Id="rId90" Type="http://schemas.openxmlformats.org/officeDocument/2006/relationships/footer" Target="footer69.xml"/><Relationship Id="rId91" Type="http://schemas.openxmlformats.org/officeDocument/2006/relationships/image" Target="media/image11.png"/><Relationship Id="rId92" Type="http://schemas.openxmlformats.org/officeDocument/2006/relationships/image" Target="media/image11.png"/><Relationship Id="rId93" Type="http://schemas.openxmlformats.org/officeDocument/2006/relationships/footer" Target="footer70.xml"/><Relationship Id="rId94" Type="http://schemas.openxmlformats.org/officeDocument/2006/relationships/image" Target="media/image12.png"/><Relationship Id="rId95" Type="http://schemas.openxmlformats.org/officeDocument/2006/relationships/image" Target="media/image12.png"/><Relationship Id="rId96" Type="http://schemas.openxmlformats.org/officeDocument/2006/relationships/footer" Target="footer71.xml"/><Relationship Id="rId97" Type="http://schemas.openxmlformats.org/officeDocument/2006/relationships/image" Target="media/image13.png"/><Relationship Id="rId98" Type="http://schemas.openxmlformats.org/officeDocument/2006/relationships/image" Target="media/image13.png"/><Relationship Id="rId99" Type="http://schemas.openxmlformats.org/officeDocument/2006/relationships/footer" Target="footer72.xml"/><Relationship Id="rId100" Type="http://schemas.openxmlformats.org/officeDocument/2006/relationships/footer" Target="footer73.xml"/><Relationship Id="rId101" Type="http://schemas.openxmlformats.org/officeDocument/2006/relationships/footer" Target="footer74.xml"/><Relationship Id="rId102" Type="http://schemas.openxmlformats.org/officeDocument/2006/relationships/footer" Target="footer75.xml"/><Relationship Id="rId103" Type="http://schemas.openxmlformats.org/officeDocument/2006/relationships/footer" Target="footer76.xml"/><Relationship Id="rId104" Type="http://schemas.openxmlformats.org/officeDocument/2006/relationships/footer" Target="footer77.xml"/><Relationship Id="rId105" Type="http://schemas.openxmlformats.org/officeDocument/2006/relationships/footer" Target="footer78.xml"/><Relationship Id="rId106" Type="http://schemas.openxmlformats.org/officeDocument/2006/relationships/footer" Target="footer79.xml"/><Relationship Id="rId107" Type="http://schemas.openxmlformats.org/officeDocument/2006/relationships/footer" Target="footer80.xml"/><Relationship Id="rId108" Type="http://schemas.openxmlformats.org/officeDocument/2006/relationships/footer" Target="footer81.xml"/><Relationship Id="rId109" Type="http://schemas.openxmlformats.org/officeDocument/2006/relationships/footer" Target="footer82.xml"/><Relationship Id="rId110" Type="http://schemas.openxmlformats.org/officeDocument/2006/relationships/footer" Target="footer83.xml"/><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image" Target="media/image14.png"/><Relationship Id="rId156" Type="http://schemas.openxmlformats.org/officeDocument/2006/relationships/image" Target="media/image14.png"/><Relationship Id="rId157" Type="http://schemas.openxmlformats.org/officeDocument/2006/relationships/image" Target="media/image15.png"/><Relationship Id="rId158" Type="http://schemas.openxmlformats.org/officeDocument/2006/relationships/image" Target="media/image15.png"/><Relationship Id="rId159" Type="http://schemas.openxmlformats.org/officeDocument/2006/relationships/footer" Target="footer128.xml"/><Relationship Id="rId160" Type="http://schemas.openxmlformats.org/officeDocument/2006/relationships/image" Target="media/image16.png"/><Relationship Id="rId161" Type="http://schemas.openxmlformats.org/officeDocument/2006/relationships/image" Target="media/image16.png"/><Relationship Id="rId162" Type="http://schemas.openxmlformats.org/officeDocument/2006/relationships/footer" Target="footer129.xml"/><Relationship Id="rId163" Type="http://schemas.openxmlformats.org/officeDocument/2006/relationships/image" Target="media/image17.png"/><Relationship Id="rId164" Type="http://schemas.openxmlformats.org/officeDocument/2006/relationships/image" Target="media/image17.png"/><Relationship Id="rId165" Type="http://schemas.openxmlformats.org/officeDocument/2006/relationships/image" Target="media/image18.png"/><Relationship Id="rId166" Type="http://schemas.openxmlformats.org/officeDocument/2006/relationships/image" Target="media/image18.png"/><Relationship Id="rId167" Type="http://schemas.openxmlformats.org/officeDocument/2006/relationships/footer" Target="footer130.xml"/><Relationship Id="rId168" Type="http://schemas.openxmlformats.org/officeDocument/2006/relationships/image" Target="media/image19.png"/><Relationship Id="rId169" Type="http://schemas.openxmlformats.org/officeDocument/2006/relationships/image" Target="media/image19.png"/><Relationship Id="rId170" Type="http://schemas.openxmlformats.org/officeDocument/2006/relationships/image" Target="media/image20.png"/><Relationship Id="rId171" Type="http://schemas.openxmlformats.org/officeDocument/2006/relationships/image" Target="media/image20.png"/><Relationship Id="rId172" Type="http://schemas.openxmlformats.org/officeDocument/2006/relationships/footer" Target="footer131.xml"/><Relationship Id="rId173" Type="http://schemas.openxmlformats.org/officeDocument/2006/relationships/image" Target="media/image21.png"/><Relationship Id="rId174" Type="http://schemas.openxmlformats.org/officeDocument/2006/relationships/image" Target="media/image21.png"/><Relationship Id="rId175" Type="http://schemas.openxmlformats.org/officeDocument/2006/relationships/image" Target="media/image22.png"/><Relationship Id="rId176" Type="http://schemas.openxmlformats.org/officeDocument/2006/relationships/image" Target="media/image22.png"/><Relationship Id="rId177" Type="http://schemas.openxmlformats.org/officeDocument/2006/relationships/footer" Target="footer132.xml"/><Relationship Id="rId178" Type="http://schemas.openxmlformats.org/officeDocument/2006/relationships/image" Target="media/image23.png"/><Relationship Id="rId179" Type="http://schemas.openxmlformats.org/officeDocument/2006/relationships/image" Target="media/image23.png"/><Relationship Id="rId180" Type="http://schemas.openxmlformats.org/officeDocument/2006/relationships/image" Target="media/image24.png"/><Relationship Id="rId181" Type="http://schemas.openxmlformats.org/officeDocument/2006/relationships/image" Target="media/image24.png"/><Relationship Id="rId182" Type="http://schemas.openxmlformats.org/officeDocument/2006/relationships/footer" Target="footer133.xml"/><Relationship Id="rId183" Type="http://schemas.openxmlformats.org/officeDocument/2006/relationships/image" Target="media/image25.png"/><Relationship Id="rId184" Type="http://schemas.openxmlformats.org/officeDocument/2006/relationships/image" Target="media/image25.png"/><Relationship Id="rId185" Type="http://schemas.openxmlformats.org/officeDocument/2006/relationships/image" Target="media/image26.png"/><Relationship Id="rId186" Type="http://schemas.openxmlformats.org/officeDocument/2006/relationships/image" Target="media/image26.png"/><Relationship Id="rId187" Type="http://schemas.openxmlformats.org/officeDocument/2006/relationships/footer" Target="footer134.xml"/><Relationship Id="rId188" Type="http://schemas.openxmlformats.org/officeDocument/2006/relationships/image" Target="media/image27.png"/><Relationship Id="rId189" Type="http://schemas.openxmlformats.org/officeDocument/2006/relationships/image" Target="media/image27.png"/><Relationship Id="rId190" Type="http://schemas.openxmlformats.org/officeDocument/2006/relationships/image" Target="media/image28.png"/><Relationship Id="rId191" Type="http://schemas.openxmlformats.org/officeDocument/2006/relationships/image" Target="media/image28.png"/><Relationship Id="rId192" Type="http://schemas.openxmlformats.org/officeDocument/2006/relationships/footer" Target="footer135.xml"/><Relationship Id="rId193" Type="http://schemas.openxmlformats.org/officeDocument/2006/relationships/image" Target="media/image29.jpeg"/><Relationship Id="rId194" Type="http://schemas.openxmlformats.org/officeDocument/2006/relationships/image" Target="media/image29.jpeg"/><Relationship Id="rId195" Type="http://schemas.openxmlformats.org/officeDocument/2006/relationships/footer" Target="footer136.xml"/><Relationship Id="rId196" Type="http://schemas.openxmlformats.org/officeDocument/2006/relationships/image" Target="media/image30.png"/><Relationship Id="rId197" Type="http://schemas.openxmlformats.org/officeDocument/2006/relationships/image" Target="media/image30.png"/><Relationship Id="rId198" Type="http://schemas.openxmlformats.org/officeDocument/2006/relationships/footer" Target="footer137.xml"/><Relationship Id="rId199" Type="http://schemas.openxmlformats.org/officeDocument/2006/relationships/image" Target="media/image31.png"/><Relationship Id="rId200" Type="http://schemas.openxmlformats.org/officeDocument/2006/relationships/image" Target="media/image31.png"/><Relationship Id="rId201" Type="http://schemas.openxmlformats.org/officeDocument/2006/relationships/image" Target="media/image32.png"/><Relationship Id="rId202" Type="http://schemas.openxmlformats.org/officeDocument/2006/relationships/image" Target="media/image32.png"/><Relationship Id="rId203" Type="http://schemas.openxmlformats.org/officeDocument/2006/relationships/footer" Target="footer138.xml"/><Relationship Id="rId204" Type="http://schemas.openxmlformats.org/officeDocument/2006/relationships/image" Target="media/image33.png"/><Relationship Id="rId205" Type="http://schemas.openxmlformats.org/officeDocument/2006/relationships/image" Target="media/image33.png"/><Relationship Id="rId206" Type="http://schemas.openxmlformats.org/officeDocument/2006/relationships/footer" Target="footer139.xml"/><Relationship Id="rId207" Type="http://schemas.openxmlformats.org/officeDocument/2006/relationships/image" Target="media/image34.png"/><Relationship Id="rId208" Type="http://schemas.openxmlformats.org/officeDocument/2006/relationships/image" Target="media/image34.png"/><Relationship Id="rId209" Type="http://schemas.openxmlformats.org/officeDocument/2006/relationships/footer" Target="footer140.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141.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16806</Words>
  <Characters>76590</Characters>
  <CharactersWithSpaces>92694</CharactersWithSpaces>
  <Paragraphs>850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2026-08-25T17:49:53Z</dcterms:created>
  <dc:creator>ghaemiyeh.com</dc:creator>
  <dc:description/>
  <dc:language>en-US</dc:language>
  <cp:lastModifiedBy/>
  <dcterms:modified xsi:type="dcterms:W3CDTF">2026-08-25T21:20:05Z</dcterms:modified>
  <cp:revision>1</cp:revision>
  <dc:subject/>
  <dc:title>از تلمود تا تل آویو</dc:title>
</cp:coreProperties>
</file>

<file path=docProps/custom.xml><?xml version="1.0" encoding="utf-8"?>
<Properties xmlns="http://schemas.openxmlformats.org/officeDocument/2006/custom-properties" xmlns:vt="http://schemas.openxmlformats.org/officeDocument/2006/docPropsVTypes"/>
</file>