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أنوار الفقاهة کاشف الغطاء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24765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13424767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3424769_1280447820">
            <w:r>
              <w:rPr>
                <w:webHidden/>
                <w:rStyle w:val="IndexLink"/>
                <w:rtl w:val="true"/>
              </w:rPr>
              <w:t>فهرس الموضوعات</w:t>
            </w:r>
            <w:r>
              <w:rPr>
                <w:rStyle w:val="IndexLink"/>
                <w:rtl w:val="true"/>
              </w:rPr>
              <w:tab/>
            </w:r>
            <w:r>
              <w:rPr>
                <w:rStyle w:val="IndexLink"/>
              </w:rPr>
              <w:t>17</w:t>
            </w:r>
          </w:hyperlink>
        </w:p>
        <w:p>
          <w:pPr>
            <w:pStyle w:val="Contents2"/>
            <w:tabs>
              <w:tab w:val="clear" w:pos="8743"/>
              <w:tab w:val="right" w:pos="9026" w:leader="dot"/>
            </w:tabs>
            <w:rPr/>
          </w:pPr>
          <w:hyperlink w:anchor="__RefHeading___Toc13424771_1280447820">
            <w:r>
              <w:rPr>
                <w:webHidden/>
                <w:rStyle w:val="IndexLink"/>
                <w:rtl w:val="true"/>
              </w:rPr>
              <w:t>كتاب الوديعة</w:t>
            </w:r>
            <w:r>
              <w:rPr>
                <w:rStyle w:val="IndexLink"/>
                <w:rtl w:val="true"/>
              </w:rPr>
              <w:tab/>
            </w:r>
            <w:r>
              <w:rPr>
                <w:rStyle w:val="IndexLink"/>
              </w:rPr>
              <w:t>37</w:t>
            </w:r>
          </w:hyperlink>
        </w:p>
        <w:p>
          <w:pPr>
            <w:pStyle w:val="Contents3"/>
            <w:tabs>
              <w:tab w:val="clear" w:pos="8459"/>
              <w:tab w:val="right" w:pos="9026" w:leader="dot"/>
            </w:tabs>
            <w:rPr/>
          </w:pPr>
          <w:hyperlink w:anchor="__RefHeading___Toc13424773_1280447820">
            <w:r>
              <w:rPr>
                <w:webHidden/>
                <w:rStyle w:val="IndexLink"/>
                <w:rtl w:val="true"/>
              </w:rPr>
              <w:t>تعريف الوديعة عرفاً وشرعاً ومبدأ اشتقاقها</w:t>
            </w:r>
            <w:r>
              <w:rPr>
                <w:rStyle w:val="IndexLink"/>
                <w:rtl w:val="true"/>
              </w:rPr>
              <w:tab/>
            </w:r>
            <w:r>
              <w:rPr>
                <w:rStyle w:val="IndexLink"/>
              </w:rPr>
              <w:t>37</w:t>
            </w:r>
          </w:hyperlink>
        </w:p>
        <w:p>
          <w:pPr>
            <w:pStyle w:val="Contents3"/>
            <w:tabs>
              <w:tab w:val="clear" w:pos="8459"/>
              <w:tab w:val="right" w:pos="9026" w:leader="dot"/>
            </w:tabs>
            <w:rPr/>
          </w:pPr>
          <w:hyperlink w:anchor="__RefHeading___Toc13424775_1280447820">
            <w:r>
              <w:rPr>
                <w:webHidden/>
                <w:rStyle w:val="IndexLink"/>
                <w:rtl w:val="true"/>
              </w:rPr>
              <w:t>وهنا أُمور</w:t>
            </w:r>
            <w:r>
              <w:rPr>
                <w:rStyle w:val="IndexLink"/>
                <w:rtl w:val="true"/>
              </w:rPr>
              <w:t>:</w:t>
              <w:tab/>
            </w:r>
            <w:r>
              <w:rPr>
                <w:rStyle w:val="IndexLink"/>
              </w:rPr>
              <w:t>38</w:t>
            </w:r>
          </w:hyperlink>
        </w:p>
        <w:p>
          <w:pPr>
            <w:pStyle w:val="Contents4"/>
            <w:tabs>
              <w:tab w:val="clear" w:pos="8176"/>
              <w:tab w:val="right" w:pos="9026" w:leader="dot"/>
            </w:tabs>
            <w:rPr/>
          </w:pPr>
          <w:hyperlink w:anchor="__RefHeading___Toc13424777_1280447820">
            <w:r>
              <w:rPr>
                <w:webHidden/>
                <w:rStyle w:val="IndexLink"/>
                <w:rtl w:val="true"/>
              </w:rPr>
              <w:t>أحدها</w:t>
            </w:r>
            <w:r>
              <w:rPr>
                <w:rStyle w:val="IndexLink"/>
                <w:rtl w:val="true"/>
              </w:rPr>
              <w:t xml:space="preserve">: </w:t>
            </w:r>
            <w:r>
              <w:rPr>
                <w:rStyle w:val="IndexLink"/>
                <w:rtl w:val="true"/>
              </w:rPr>
              <w:t>فى أنّ الوديعة عقد لا إذن</w:t>
            </w:r>
            <w:r>
              <w:rPr>
                <w:rStyle w:val="IndexLink"/>
                <w:rtl w:val="true"/>
              </w:rPr>
              <w:tab/>
            </w:r>
            <w:r>
              <w:rPr>
                <w:rStyle w:val="IndexLink"/>
              </w:rPr>
              <w:t>38</w:t>
            </w:r>
          </w:hyperlink>
        </w:p>
        <w:p>
          <w:pPr>
            <w:pStyle w:val="Contents4"/>
            <w:tabs>
              <w:tab w:val="clear" w:pos="8176"/>
              <w:tab w:val="right" w:pos="9026" w:leader="dot"/>
            </w:tabs>
            <w:rPr/>
          </w:pPr>
          <w:hyperlink w:anchor="__RefHeading___Toc13424779_1280447820">
            <w:r>
              <w:rPr>
                <w:webHidden/>
                <w:rStyle w:val="IndexLink"/>
                <w:rtl w:val="true"/>
              </w:rPr>
              <w:t>ثانيها</w:t>
            </w:r>
            <w:r>
              <w:rPr>
                <w:rStyle w:val="IndexLink"/>
                <w:rtl w:val="true"/>
              </w:rPr>
              <w:t xml:space="preserve">: </w:t>
            </w:r>
            <w:r>
              <w:rPr>
                <w:rStyle w:val="IndexLink"/>
                <w:rtl w:val="true"/>
              </w:rPr>
              <w:t>فيما يجب على المستودع إذا قبض الوديعة</w:t>
            </w:r>
            <w:r>
              <w:rPr>
                <w:rStyle w:val="IndexLink"/>
                <w:rtl w:val="true"/>
              </w:rPr>
              <w:tab/>
            </w:r>
            <w:r>
              <w:rPr>
                <w:rStyle w:val="IndexLink"/>
              </w:rPr>
              <w:t>40</w:t>
            </w:r>
          </w:hyperlink>
        </w:p>
        <w:p>
          <w:pPr>
            <w:pStyle w:val="Contents4"/>
            <w:tabs>
              <w:tab w:val="clear" w:pos="8176"/>
              <w:tab w:val="right" w:pos="9026" w:leader="dot"/>
            </w:tabs>
            <w:rPr/>
          </w:pPr>
          <w:hyperlink w:anchor="__RefHeading___Toc13424781_1280447820">
            <w:r>
              <w:rPr>
                <w:webHidden/>
                <w:rStyle w:val="IndexLink"/>
                <w:rtl w:val="true"/>
              </w:rPr>
              <w:t>ثالثها</w:t>
            </w:r>
            <w:r>
              <w:rPr>
                <w:rStyle w:val="IndexLink"/>
                <w:rtl w:val="true"/>
              </w:rPr>
              <w:t xml:space="preserve">: </w:t>
            </w:r>
            <w:r>
              <w:rPr>
                <w:rStyle w:val="IndexLink"/>
                <w:rtl w:val="true"/>
              </w:rPr>
              <w:t>في عدم ضمان الودعيّ لو دفع الوديعة لغير المودع ملجاً أو كرهاً أو تقية</w:t>
            </w:r>
            <w:r>
              <w:rPr>
                <w:rStyle w:val="IndexLink"/>
                <w:rtl w:val="true"/>
              </w:rPr>
              <w:tab/>
            </w:r>
            <w:r>
              <w:rPr>
                <w:rStyle w:val="IndexLink"/>
              </w:rPr>
              <w:t>41</w:t>
            </w:r>
          </w:hyperlink>
        </w:p>
        <w:p>
          <w:pPr>
            <w:pStyle w:val="Contents4"/>
            <w:tabs>
              <w:tab w:val="clear" w:pos="8176"/>
              <w:tab w:val="right" w:pos="9026" w:leader="dot"/>
            </w:tabs>
            <w:rPr/>
          </w:pPr>
          <w:hyperlink w:anchor="__RefHeading___Toc13424783_1280447820">
            <w:r>
              <w:rPr>
                <w:webHidden/>
                <w:rStyle w:val="IndexLink"/>
                <w:rtl w:val="true"/>
              </w:rPr>
              <w:t>رابعها</w:t>
            </w:r>
            <w:r>
              <w:rPr>
                <w:rStyle w:val="IndexLink"/>
                <w:rtl w:val="true"/>
              </w:rPr>
              <w:t xml:space="preserve">: </w:t>
            </w:r>
            <w:r>
              <w:rPr>
                <w:rStyle w:val="IndexLink"/>
                <w:rtl w:val="true"/>
              </w:rPr>
              <w:t>بطلان الوديعة بالفسخ من المودع والمستودع</w:t>
            </w:r>
            <w:r>
              <w:rPr>
                <w:rStyle w:val="IndexLink"/>
                <w:rtl w:val="true"/>
              </w:rPr>
              <w:tab/>
            </w:r>
            <w:r>
              <w:rPr>
                <w:rStyle w:val="IndexLink"/>
              </w:rPr>
              <w:t>43</w:t>
            </w:r>
          </w:hyperlink>
        </w:p>
        <w:p>
          <w:pPr>
            <w:pStyle w:val="Contents4"/>
            <w:tabs>
              <w:tab w:val="clear" w:pos="8176"/>
              <w:tab w:val="right" w:pos="9026" w:leader="dot"/>
            </w:tabs>
            <w:rPr/>
          </w:pPr>
          <w:hyperlink w:anchor="__RefHeading___Toc13424785_1280447820">
            <w:r>
              <w:rPr>
                <w:webHidden/>
                <w:rStyle w:val="IndexLink"/>
                <w:rtl w:val="true"/>
              </w:rPr>
              <w:t>خامسها</w:t>
            </w:r>
            <w:r>
              <w:rPr>
                <w:rStyle w:val="IndexLink"/>
                <w:rtl w:val="true"/>
              </w:rPr>
              <w:t xml:space="preserve">: </w:t>
            </w:r>
            <w:r>
              <w:rPr>
                <w:rStyle w:val="IndexLink"/>
                <w:rtl w:val="true"/>
              </w:rPr>
              <w:t>في أنّ المرجع في حفظ الوديعة العرف والعادة</w:t>
            </w:r>
            <w:r>
              <w:rPr>
                <w:rStyle w:val="IndexLink"/>
                <w:rtl w:val="true"/>
              </w:rPr>
              <w:tab/>
            </w:r>
            <w:r>
              <w:rPr>
                <w:rStyle w:val="IndexLink"/>
              </w:rPr>
              <w:t>44</w:t>
            </w:r>
          </w:hyperlink>
        </w:p>
        <w:p>
          <w:pPr>
            <w:pStyle w:val="Contents4"/>
            <w:tabs>
              <w:tab w:val="clear" w:pos="8176"/>
              <w:tab w:val="right" w:pos="9026" w:leader="dot"/>
            </w:tabs>
            <w:rPr/>
          </w:pPr>
          <w:hyperlink w:anchor="__RefHeading___Toc13424787_1280447820">
            <w:r>
              <w:rPr>
                <w:webHidden/>
                <w:rStyle w:val="IndexLink"/>
                <w:rtl w:val="true"/>
              </w:rPr>
              <w:t>سادسها</w:t>
            </w:r>
            <w:r>
              <w:rPr>
                <w:rStyle w:val="IndexLink"/>
                <w:rtl w:val="true"/>
              </w:rPr>
              <w:t xml:space="preserve">: </w:t>
            </w:r>
            <w:r>
              <w:rPr>
                <w:rStyle w:val="IndexLink"/>
                <w:rtl w:val="true"/>
              </w:rPr>
              <w:t>فيما يجب على الودعيّ لو أودع المودع عنده دابّة وقبلها المستودع</w:t>
            </w:r>
            <w:r>
              <w:rPr>
                <w:rStyle w:val="IndexLink"/>
                <w:rtl w:val="true"/>
              </w:rPr>
              <w:tab/>
            </w:r>
            <w:r>
              <w:rPr>
                <w:rStyle w:val="IndexLink"/>
              </w:rPr>
              <w:t>44</w:t>
            </w:r>
          </w:hyperlink>
        </w:p>
        <w:p>
          <w:pPr>
            <w:pStyle w:val="Contents4"/>
            <w:tabs>
              <w:tab w:val="clear" w:pos="8176"/>
              <w:tab w:val="right" w:pos="9026" w:leader="dot"/>
            </w:tabs>
            <w:rPr/>
          </w:pPr>
          <w:hyperlink w:anchor="__RefHeading___Toc13424789_1280447820">
            <w:r>
              <w:rPr>
                <w:webHidden/>
                <w:rStyle w:val="IndexLink"/>
                <w:rtl w:val="true"/>
              </w:rPr>
              <w:t>سابعها</w:t>
            </w:r>
            <w:r>
              <w:rPr>
                <w:rStyle w:val="IndexLink"/>
                <w:rtl w:val="true"/>
              </w:rPr>
              <w:t xml:space="preserve">: </w:t>
            </w:r>
            <w:r>
              <w:rPr>
                <w:rStyle w:val="IndexLink"/>
                <w:rtl w:val="true"/>
              </w:rPr>
              <w:t>لو عين المودع للوديعة حرزاً وجب على المستودع وضعها في حرزها</w:t>
            </w:r>
            <w:r>
              <w:rPr>
                <w:rStyle w:val="IndexLink"/>
                <w:rtl w:val="true"/>
              </w:rPr>
              <w:tab/>
            </w:r>
            <w:r>
              <w:rPr>
                <w:rStyle w:val="IndexLink"/>
              </w:rPr>
              <w:t>46</w:t>
            </w:r>
          </w:hyperlink>
        </w:p>
        <w:p>
          <w:pPr>
            <w:pStyle w:val="Contents4"/>
            <w:tabs>
              <w:tab w:val="clear" w:pos="8176"/>
              <w:tab w:val="right" w:pos="9026" w:leader="dot"/>
            </w:tabs>
            <w:rPr/>
          </w:pPr>
          <w:hyperlink w:anchor="__RefHeading___Toc13424791_1280447820">
            <w:r>
              <w:rPr>
                <w:webHidden/>
                <w:rStyle w:val="IndexLink"/>
                <w:rtl w:val="true"/>
              </w:rPr>
              <w:t>ثامنها</w:t>
            </w:r>
            <w:r>
              <w:rPr>
                <w:rStyle w:val="IndexLink"/>
                <w:rtl w:val="true"/>
              </w:rPr>
              <w:t xml:space="preserve">: </w:t>
            </w:r>
            <w:r>
              <w:rPr>
                <w:rStyle w:val="IndexLink"/>
                <w:rtl w:val="true"/>
              </w:rPr>
              <w:t>في أنّه تضمن الوديعة بالتعدّي والتفريط</w:t>
            </w:r>
            <w:r>
              <w:rPr>
                <w:rStyle w:val="IndexLink"/>
                <w:rtl w:val="true"/>
              </w:rPr>
              <w:tab/>
            </w:r>
            <w:r>
              <w:rPr>
                <w:rStyle w:val="IndexLink"/>
              </w:rPr>
              <w:t>46</w:t>
            </w:r>
          </w:hyperlink>
        </w:p>
        <w:p>
          <w:pPr>
            <w:pStyle w:val="Contents4"/>
            <w:tabs>
              <w:tab w:val="clear" w:pos="8176"/>
              <w:tab w:val="right" w:pos="9026" w:leader="dot"/>
            </w:tabs>
            <w:rPr/>
          </w:pPr>
          <w:hyperlink w:anchor="__RefHeading___Toc13424793_1280447820">
            <w:r>
              <w:rPr>
                <w:webHidden/>
                <w:rStyle w:val="IndexLink"/>
                <w:rtl w:val="true"/>
              </w:rPr>
              <w:t>تاسعها</w:t>
            </w:r>
            <w:r>
              <w:rPr>
                <w:rStyle w:val="IndexLink"/>
                <w:rtl w:val="true"/>
              </w:rPr>
              <w:t xml:space="preserve">: </w:t>
            </w:r>
            <w:r>
              <w:rPr>
                <w:rStyle w:val="IndexLink"/>
                <w:rtl w:val="true"/>
              </w:rPr>
              <w:t>عدم صحّة الوديعة من المجنون والصبي</w:t>
            </w:r>
            <w:r>
              <w:rPr>
                <w:rStyle w:val="IndexLink"/>
                <w:rtl w:val="true"/>
              </w:rPr>
              <w:tab/>
            </w:r>
            <w:r>
              <w:rPr>
                <w:rStyle w:val="IndexLink"/>
              </w:rPr>
              <w:t>47</w:t>
            </w:r>
          </w:hyperlink>
        </w:p>
        <w:p>
          <w:pPr>
            <w:pStyle w:val="Contents4"/>
            <w:tabs>
              <w:tab w:val="clear" w:pos="8176"/>
              <w:tab w:val="right" w:pos="9026" w:leader="dot"/>
            </w:tabs>
            <w:rPr/>
          </w:pPr>
          <w:hyperlink w:anchor="__RefHeading___Toc13424795_1280447820">
            <w:r>
              <w:rPr>
                <w:webHidden/>
                <w:rStyle w:val="IndexLink"/>
                <w:rtl w:val="true"/>
              </w:rPr>
              <w:t>عاشرها</w:t>
            </w:r>
            <w:r>
              <w:rPr>
                <w:rStyle w:val="IndexLink"/>
                <w:rtl w:val="true"/>
              </w:rPr>
              <w:t xml:space="preserve">: </w:t>
            </w:r>
            <w:r>
              <w:rPr>
                <w:rStyle w:val="IndexLink"/>
                <w:rtl w:val="true"/>
              </w:rPr>
              <w:t>وجوب ردّ الوديعة على المالك أو وكيله إن كان حاضراً وإن كان غائباً انتظره</w:t>
            </w:r>
            <w:r>
              <w:rPr>
                <w:rStyle w:val="IndexLink"/>
                <w:rtl w:val="true"/>
              </w:rPr>
              <w:tab/>
            </w:r>
            <w:r>
              <w:rPr>
                <w:rStyle w:val="IndexLink"/>
              </w:rPr>
              <w:t>48</w:t>
            </w:r>
          </w:hyperlink>
        </w:p>
        <w:p>
          <w:pPr>
            <w:pStyle w:val="Contents4"/>
            <w:tabs>
              <w:tab w:val="clear" w:pos="8176"/>
              <w:tab w:val="right" w:pos="9026" w:leader="dot"/>
            </w:tabs>
            <w:rPr/>
          </w:pPr>
          <w:hyperlink w:anchor="__RefHeading___Toc13424797_1280447820">
            <w:r>
              <w:rPr>
                <w:webHidden/>
                <w:rStyle w:val="IndexLink"/>
                <w:rtl w:val="true"/>
              </w:rPr>
              <w:t>حادي عشرها</w:t>
            </w:r>
            <w:r>
              <w:rPr>
                <w:rStyle w:val="IndexLink"/>
                <w:rtl w:val="true"/>
              </w:rPr>
              <w:t xml:space="preserve">: </w:t>
            </w:r>
            <w:r>
              <w:rPr>
                <w:rStyle w:val="IndexLink"/>
                <w:rtl w:val="true"/>
              </w:rPr>
              <w:t>وجوب ردّ الوديعة إلى المالك عند المطالبة</w:t>
            </w:r>
            <w:r>
              <w:rPr>
                <w:rStyle w:val="IndexLink"/>
                <w:rtl w:val="true"/>
              </w:rPr>
              <w:tab/>
            </w:r>
            <w:r>
              <w:rPr>
                <w:rStyle w:val="IndexLink"/>
              </w:rPr>
              <w:t>48</w:t>
            </w:r>
          </w:hyperlink>
        </w:p>
        <w:p>
          <w:pPr>
            <w:pStyle w:val="Contents4"/>
            <w:tabs>
              <w:tab w:val="clear" w:pos="8176"/>
              <w:tab w:val="right" w:pos="9026" w:leader="dot"/>
            </w:tabs>
            <w:rPr/>
          </w:pPr>
          <w:hyperlink w:anchor="__RefHeading___Toc13424799_1280447820">
            <w:r>
              <w:rPr>
                <w:webHidden/>
                <w:rStyle w:val="IndexLink"/>
                <w:rtl w:val="true"/>
              </w:rPr>
              <w:t>ثاني عشرها</w:t>
            </w:r>
            <w:r>
              <w:rPr>
                <w:rStyle w:val="IndexLink"/>
                <w:rtl w:val="true"/>
              </w:rPr>
              <w:t xml:space="preserve">: </w:t>
            </w:r>
            <w:r>
              <w:rPr>
                <w:rStyle w:val="IndexLink"/>
                <w:rtl w:val="true"/>
              </w:rPr>
              <w:t>لزوم اتباع نهى المالك لو نهى صريحاً عن جعل الوديعة في مكان معين</w:t>
            </w:r>
            <w:r>
              <w:rPr>
                <w:rStyle w:val="IndexLink"/>
                <w:rtl w:val="true"/>
              </w:rPr>
              <w:tab/>
            </w:r>
            <w:r>
              <w:rPr>
                <w:rStyle w:val="IndexLink"/>
              </w:rPr>
              <w:t>50</w:t>
            </w:r>
          </w:hyperlink>
        </w:p>
        <w:p>
          <w:pPr>
            <w:pStyle w:val="Contents4"/>
            <w:tabs>
              <w:tab w:val="clear" w:pos="8176"/>
              <w:tab w:val="right" w:pos="9026" w:leader="dot"/>
            </w:tabs>
            <w:rPr/>
          </w:pPr>
          <w:hyperlink w:anchor="__RefHeading___Toc13424801_1280447820">
            <w:r>
              <w:rPr>
                <w:webHidden/>
                <w:rStyle w:val="IndexLink"/>
                <w:rtl w:val="true"/>
              </w:rPr>
              <w:t>ثالث عشرها</w:t>
            </w:r>
            <w:r>
              <w:rPr>
                <w:rStyle w:val="IndexLink"/>
                <w:rtl w:val="true"/>
              </w:rPr>
              <w:t xml:space="preserve">: </w:t>
            </w:r>
            <w:r>
              <w:rPr>
                <w:rStyle w:val="IndexLink"/>
                <w:rtl w:val="true"/>
              </w:rPr>
              <w:t>في أن تصرف المستودع في الوديعة فضولي موقوف على الإجازة</w:t>
            </w:r>
            <w:r>
              <w:rPr>
                <w:rStyle w:val="IndexLink"/>
                <w:rtl w:val="true"/>
              </w:rPr>
              <w:tab/>
            </w:r>
            <w:r>
              <w:rPr>
                <w:rStyle w:val="IndexLink"/>
              </w:rPr>
              <w:t>51</w:t>
            </w:r>
          </w:hyperlink>
        </w:p>
        <w:p>
          <w:pPr>
            <w:pStyle w:val="Contents4"/>
            <w:tabs>
              <w:tab w:val="clear" w:pos="8176"/>
              <w:tab w:val="right" w:pos="9026" w:leader="dot"/>
            </w:tabs>
            <w:rPr/>
          </w:pPr>
          <w:hyperlink w:anchor="__RefHeading___Toc13424803_1280447820">
            <w:r>
              <w:rPr>
                <w:webHidden/>
                <w:rStyle w:val="IndexLink"/>
                <w:rtl w:val="true"/>
              </w:rPr>
              <w:t>رابع عشرها</w:t>
            </w:r>
            <w:r>
              <w:rPr>
                <w:rStyle w:val="IndexLink"/>
                <w:rtl w:val="true"/>
              </w:rPr>
              <w:t xml:space="preserve">: </w:t>
            </w:r>
            <w:r>
              <w:rPr>
                <w:rStyle w:val="IndexLink"/>
                <w:rtl w:val="true"/>
              </w:rPr>
              <w:t>فيما يجب على المستودع لو ظهرت عليه أمارات الموت</w:t>
            </w:r>
            <w:r>
              <w:rPr>
                <w:rStyle w:val="IndexLink"/>
                <w:rtl w:val="true"/>
              </w:rPr>
              <w:tab/>
            </w:r>
            <w:r>
              <w:rPr>
                <w:rStyle w:val="IndexLink"/>
              </w:rPr>
              <w:t>52</w:t>
            </w:r>
          </w:hyperlink>
        </w:p>
        <w:p>
          <w:pPr>
            <w:pStyle w:val="Contents4"/>
            <w:tabs>
              <w:tab w:val="clear" w:pos="8176"/>
              <w:tab w:val="right" w:pos="9026" w:leader="dot"/>
            </w:tabs>
            <w:rPr/>
          </w:pPr>
          <w:hyperlink w:anchor="__RefHeading___Toc13424805_1280447820">
            <w:r>
              <w:rPr>
                <w:webHidden/>
                <w:rStyle w:val="IndexLink"/>
                <w:rtl w:val="true"/>
              </w:rPr>
              <w:t>خامس عشرها</w:t>
            </w:r>
            <w:r>
              <w:rPr>
                <w:rStyle w:val="IndexLink"/>
                <w:rtl w:val="true"/>
              </w:rPr>
              <w:t xml:space="preserve">: </w:t>
            </w:r>
            <w:r>
              <w:rPr>
                <w:rStyle w:val="IndexLink"/>
                <w:rtl w:val="true"/>
              </w:rPr>
              <w:t>فيما يتعلّق بما لو كانت الوديعة غصباً وكان المودع مقهوراً</w:t>
            </w:r>
            <w:r>
              <w:rPr>
                <w:rStyle w:val="IndexLink"/>
                <w:rtl w:val="true"/>
              </w:rPr>
              <w:tab/>
            </w:r>
            <w:r>
              <w:rPr>
                <w:rStyle w:val="IndexLink"/>
              </w:rPr>
              <w:t>53</w:t>
            </w:r>
          </w:hyperlink>
        </w:p>
        <w:p>
          <w:pPr>
            <w:pStyle w:val="Contents4"/>
            <w:tabs>
              <w:tab w:val="clear" w:pos="8176"/>
              <w:tab w:val="right" w:pos="9026" w:leader="dot"/>
            </w:tabs>
            <w:rPr/>
          </w:pPr>
          <w:hyperlink w:anchor="__RefHeading___Toc13424807_1280447820">
            <w:r>
              <w:rPr>
                <w:webHidden/>
                <w:rStyle w:val="IndexLink"/>
                <w:rtl w:val="true"/>
              </w:rPr>
              <w:t>سادس عشرها</w:t>
            </w:r>
            <w:r>
              <w:rPr>
                <w:rStyle w:val="IndexLink"/>
                <w:rtl w:val="true"/>
              </w:rPr>
              <w:t xml:space="preserve">: </w:t>
            </w:r>
            <w:r>
              <w:rPr>
                <w:rStyle w:val="IndexLink"/>
                <w:rtl w:val="true"/>
              </w:rPr>
              <w:t>فيما لو أراد المستودع السفر جاز له ولا يلزمه الامتناع</w:t>
            </w:r>
            <w:r>
              <w:rPr>
                <w:rStyle w:val="IndexLink"/>
                <w:rtl w:val="true"/>
              </w:rPr>
              <w:tab/>
            </w:r>
            <w:r>
              <w:rPr>
                <w:rStyle w:val="IndexLink"/>
              </w:rPr>
              <w:t>54</w:t>
            </w:r>
          </w:hyperlink>
        </w:p>
        <w:p>
          <w:pPr>
            <w:pStyle w:val="Contents4"/>
            <w:tabs>
              <w:tab w:val="clear" w:pos="8176"/>
              <w:tab w:val="right" w:pos="9026" w:leader="dot"/>
            </w:tabs>
            <w:rPr/>
          </w:pPr>
          <w:hyperlink w:anchor="__RefHeading___Toc13424809_1280447820">
            <w:r>
              <w:rPr>
                <w:webHidden/>
                <w:rStyle w:val="IndexLink"/>
                <w:rtl w:val="true"/>
              </w:rPr>
              <w:t>سابع عشرها</w:t>
            </w:r>
            <w:r>
              <w:rPr>
                <w:rStyle w:val="IndexLink"/>
                <w:rtl w:val="true"/>
              </w:rPr>
              <w:t xml:space="preserve">: </w:t>
            </w:r>
            <w:r>
              <w:rPr>
                <w:rStyle w:val="IndexLink"/>
                <w:rtl w:val="true"/>
              </w:rPr>
              <w:t>فيما لو أودع الوديعة عند غيره من دون إذن المالك ضمنها</w:t>
            </w:r>
            <w:r>
              <w:rPr>
                <w:rStyle w:val="IndexLink"/>
                <w:rtl w:val="true"/>
              </w:rPr>
              <w:tab/>
            </w:r>
            <w:r>
              <w:rPr>
                <w:rStyle w:val="IndexLink"/>
              </w:rPr>
              <w:t>56</w:t>
            </w:r>
          </w:hyperlink>
        </w:p>
        <w:p>
          <w:pPr>
            <w:pStyle w:val="Contents4"/>
            <w:tabs>
              <w:tab w:val="clear" w:pos="8176"/>
              <w:tab w:val="right" w:pos="9026" w:leader="dot"/>
            </w:tabs>
            <w:rPr/>
          </w:pPr>
          <w:hyperlink w:anchor="__RefHeading___Toc13424811_1280447820">
            <w:r>
              <w:rPr>
                <w:webHidden/>
                <w:rStyle w:val="IndexLink"/>
                <w:rtl w:val="true"/>
              </w:rPr>
              <w:t>ثامن عشرها</w:t>
            </w:r>
            <w:r>
              <w:rPr>
                <w:rStyle w:val="IndexLink"/>
                <w:rtl w:val="true"/>
              </w:rPr>
              <w:t xml:space="preserve">: </w:t>
            </w:r>
            <w:r>
              <w:rPr>
                <w:rStyle w:val="IndexLink"/>
                <w:rtl w:val="true"/>
              </w:rPr>
              <w:t>حكم ما لو قبض المستودع الوديعة ابتداءً بقصد الخيانة أو قصدها في الأثناء</w:t>
            </w:r>
            <w:r>
              <w:rPr>
                <w:rStyle w:val="IndexLink"/>
                <w:rtl w:val="true"/>
              </w:rPr>
              <w:tab/>
            </w:r>
            <w:r>
              <w:rPr>
                <w:rStyle w:val="IndexLink"/>
              </w:rPr>
              <w:t>56</w:t>
            </w:r>
          </w:hyperlink>
        </w:p>
        <w:p>
          <w:pPr>
            <w:pStyle w:val="Contents4"/>
            <w:tabs>
              <w:tab w:val="clear" w:pos="8176"/>
              <w:tab w:val="right" w:pos="9026" w:leader="dot"/>
            </w:tabs>
            <w:rPr/>
          </w:pPr>
          <w:hyperlink w:anchor="__RefHeading___Toc13424813_1280447820">
            <w:r>
              <w:rPr>
                <w:webHidden/>
                <w:rStyle w:val="IndexLink"/>
                <w:rtl w:val="true"/>
              </w:rPr>
              <w:t>تاسع عشرها</w:t>
            </w:r>
            <w:r>
              <w:rPr>
                <w:rStyle w:val="IndexLink"/>
                <w:rtl w:val="true"/>
              </w:rPr>
              <w:t xml:space="preserve">: </w:t>
            </w:r>
            <w:r>
              <w:rPr>
                <w:rStyle w:val="IndexLink"/>
                <w:rtl w:val="true"/>
              </w:rPr>
              <w:t>في أنّ التفريط سبب في الضمان ولو لم تتلف الوديعة به</w:t>
            </w:r>
            <w:r>
              <w:rPr>
                <w:rStyle w:val="IndexLink"/>
                <w:rtl w:val="true"/>
              </w:rPr>
              <w:tab/>
            </w:r>
            <w:r>
              <w:rPr>
                <w:rStyle w:val="IndexLink"/>
              </w:rPr>
              <w:t>56</w:t>
            </w:r>
          </w:hyperlink>
        </w:p>
        <w:p>
          <w:pPr>
            <w:pStyle w:val="Contents4"/>
            <w:tabs>
              <w:tab w:val="clear" w:pos="8176"/>
              <w:tab w:val="right" w:pos="9026" w:leader="dot"/>
            </w:tabs>
            <w:rPr/>
          </w:pPr>
          <w:hyperlink w:anchor="__RefHeading___Toc13424815_1280447820">
            <w:r>
              <w:rPr>
                <w:webHidden/>
                <w:rStyle w:val="IndexLink"/>
                <w:rtl w:val="true"/>
              </w:rPr>
              <w:t>العشرون</w:t>
            </w:r>
            <w:r>
              <w:rPr>
                <w:rStyle w:val="IndexLink"/>
                <w:rtl w:val="true"/>
              </w:rPr>
              <w:t xml:space="preserve">: </w:t>
            </w:r>
            <w:r>
              <w:rPr>
                <w:rStyle w:val="IndexLink"/>
                <w:rtl w:val="true"/>
              </w:rPr>
              <w:t>فيما لو أمره المالك بدفع الوديعة إلى الوكيل وجب ذلك</w:t>
            </w:r>
            <w:r>
              <w:rPr>
                <w:rStyle w:val="IndexLink"/>
                <w:rtl w:val="true"/>
              </w:rPr>
              <w:tab/>
            </w:r>
            <w:r>
              <w:rPr>
                <w:rStyle w:val="IndexLink"/>
              </w:rPr>
              <w:t>57</w:t>
            </w:r>
          </w:hyperlink>
        </w:p>
        <w:p>
          <w:pPr>
            <w:pStyle w:val="Contents4"/>
            <w:tabs>
              <w:tab w:val="clear" w:pos="8176"/>
              <w:tab w:val="right" w:pos="9026" w:leader="dot"/>
            </w:tabs>
            <w:rPr/>
          </w:pPr>
          <w:hyperlink w:anchor="__RefHeading___Toc13424817_1280447820">
            <w:r>
              <w:rPr>
                <w:webHidden/>
                <w:rStyle w:val="IndexLink"/>
                <w:rtl w:val="true"/>
              </w:rPr>
              <w:t>الحادي والعشرون</w:t>
            </w:r>
            <w:r>
              <w:rPr>
                <w:rStyle w:val="IndexLink"/>
                <w:rtl w:val="true"/>
              </w:rPr>
              <w:t xml:space="preserve">: </w:t>
            </w:r>
            <w:r>
              <w:rPr>
                <w:rStyle w:val="IndexLink"/>
                <w:rtl w:val="true"/>
              </w:rPr>
              <w:t>حكم ما لو جحد الودعيّ الوديعة من غير عذر بعد طلب المالك لها</w:t>
            </w:r>
            <w:r>
              <w:rPr>
                <w:rStyle w:val="IndexLink"/>
                <w:rtl w:val="true"/>
              </w:rPr>
              <w:tab/>
            </w:r>
            <w:r>
              <w:rPr>
                <w:rStyle w:val="IndexLink"/>
              </w:rPr>
              <w:t>57</w:t>
            </w:r>
          </w:hyperlink>
        </w:p>
        <w:p>
          <w:pPr>
            <w:pStyle w:val="Contents4"/>
            <w:tabs>
              <w:tab w:val="clear" w:pos="8176"/>
              <w:tab w:val="right" w:pos="9026" w:leader="dot"/>
            </w:tabs>
            <w:rPr/>
          </w:pPr>
          <w:hyperlink w:anchor="__RefHeading___Toc13424819_1280447820">
            <w:r>
              <w:rPr>
                <w:webHidden/>
                <w:rStyle w:val="IndexLink"/>
                <w:rtl w:val="true"/>
              </w:rPr>
              <w:t>الثاني والعشرون</w:t>
            </w:r>
            <w:r>
              <w:rPr>
                <w:rStyle w:val="IndexLink"/>
                <w:rtl w:val="true"/>
              </w:rPr>
              <w:t xml:space="preserve">: </w:t>
            </w:r>
            <w:r>
              <w:rPr>
                <w:rStyle w:val="IndexLink"/>
                <w:rtl w:val="true"/>
              </w:rPr>
              <w:t>حكم ما لو مزج الوديعة بماله أو بمال المالك أو بمال ثالث مزجاً لا يتميّز أو يعسر تمييزه</w:t>
            </w:r>
            <w:r>
              <w:rPr>
                <w:rStyle w:val="IndexLink"/>
                <w:rtl w:val="true"/>
              </w:rPr>
              <w:tab/>
            </w:r>
            <w:r>
              <w:rPr>
                <w:rStyle w:val="IndexLink"/>
              </w:rPr>
              <w:t>58</w:t>
            </w:r>
          </w:hyperlink>
        </w:p>
        <w:p>
          <w:pPr>
            <w:pStyle w:val="Contents4"/>
            <w:tabs>
              <w:tab w:val="clear" w:pos="8176"/>
              <w:tab w:val="right" w:pos="9026" w:leader="dot"/>
            </w:tabs>
            <w:rPr/>
          </w:pPr>
          <w:hyperlink w:anchor="__RefHeading___Toc13424821_1280447820">
            <w:r>
              <w:rPr>
                <w:webHidden/>
                <w:rStyle w:val="IndexLink"/>
                <w:rtl w:val="true"/>
              </w:rPr>
              <w:t xml:space="preserve">الثالث والعشرون </w:t>
            </w:r>
            <w:r>
              <w:rPr>
                <w:rStyle w:val="IndexLink"/>
                <w:rtl w:val="true"/>
              </w:rPr>
              <w:t xml:space="preserve">: </w:t>
            </w:r>
            <w:r>
              <w:rPr>
                <w:rStyle w:val="IndexLink"/>
                <w:rtl w:val="true"/>
              </w:rPr>
              <w:t>حكم ما لو أجرى على الوديعة عقود معاوضةٍ أو غيرها</w:t>
            </w:r>
            <w:r>
              <w:rPr>
                <w:rStyle w:val="IndexLink"/>
                <w:rtl w:val="true"/>
              </w:rPr>
              <w:tab/>
            </w:r>
            <w:r>
              <w:rPr>
                <w:rStyle w:val="IndexLink"/>
              </w:rPr>
              <w:t>59</w:t>
            </w:r>
          </w:hyperlink>
        </w:p>
        <w:p>
          <w:pPr>
            <w:pStyle w:val="Contents4"/>
            <w:tabs>
              <w:tab w:val="clear" w:pos="8176"/>
              <w:tab w:val="right" w:pos="9026" w:leader="dot"/>
            </w:tabs>
            <w:rPr/>
          </w:pPr>
          <w:hyperlink w:anchor="__RefHeading___Toc13424823_1280447820">
            <w:r>
              <w:rPr>
                <w:webHidden/>
                <w:rStyle w:val="IndexLink"/>
                <w:rtl w:val="true"/>
              </w:rPr>
              <w:t>الرابع والعشرون</w:t>
            </w:r>
            <w:r>
              <w:rPr>
                <w:rStyle w:val="IndexLink"/>
                <w:rtl w:val="true"/>
              </w:rPr>
              <w:t xml:space="preserve">: </w:t>
            </w:r>
            <w:r>
              <w:rPr>
                <w:rStyle w:val="IndexLink"/>
                <w:rtl w:val="true"/>
              </w:rPr>
              <w:t>عدم جواز التصرّف بالوديعة من غير إذن صاحبها ولو بالفحوى</w:t>
            </w:r>
            <w:r>
              <w:rPr>
                <w:rStyle w:val="IndexLink"/>
                <w:rtl w:val="true"/>
              </w:rPr>
              <w:tab/>
            </w:r>
            <w:r>
              <w:rPr>
                <w:rStyle w:val="IndexLink"/>
              </w:rPr>
              <w:t>59</w:t>
            </w:r>
          </w:hyperlink>
        </w:p>
        <w:p>
          <w:pPr>
            <w:pStyle w:val="Contents4"/>
            <w:tabs>
              <w:tab w:val="clear" w:pos="8176"/>
              <w:tab w:val="right" w:pos="9026" w:leader="dot"/>
            </w:tabs>
            <w:rPr/>
          </w:pPr>
          <w:hyperlink w:anchor="__RefHeading___Toc13424825_1280447820">
            <w:r>
              <w:rPr>
                <w:webHidden/>
                <w:rStyle w:val="IndexLink"/>
                <w:rtl w:val="true"/>
              </w:rPr>
              <w:t>الخامس والعشرون</w:t>
            </w:r>
            <w:r>
              <w:rPr>
                <w:rStyle w:val="IndexLink"/>
                <w:rtl w:val="true"/>
              </w:rPr>
              <w:t xml:space="preserve">: </w:t>
            </w:r>
            <w:r>
              <w:rPr>
                <w:rStyle w:val="IndexLink"/>
                <w:rtl w:val="true"/>
              </w:rPr>
              <w:t>فيما لو تصرّف المستودع بالوديعة حتّى ضمن تعلّق به الضمان</w:t>
            </w:r>
            <w:r>
              <w:rPr>
                <w:rStyle w:val="IndexLink"/>
                <w:rtl w:val="true"/>
              </w:rPr>
              <w:tab/>
            </w:r>
            <w:r>
              <w:rPr>
                <w:rStyle w:val="IndexLink"/>
              </w:rPr>
              <w:t>59</w:t>
            </w:r>
          </w:hyperlink>
        </w:p>
        <w:p>
          <w:pPr>
            <w:pStyle w:val="Contents4"/>
            <w:tabs>
              <w:tab w:val="clear" w:pos="8176"/>
              <w:tab w:val="right" w:pos="9026" w:leader="dot"/>
            </w:tabs>
            <w:rPr/>
          </w:pPr>
          <w:hyperlink w:anchor="__RefHeading___Toc13424827_1280447820">
            <w:r>
              <w:rPr>
                <w:webHidden/>
                <w:rStyle w:val="IndexLink"/>
                <w:rtl w:val="true"/>
              </w:rPr>
              <w:t>السادس والعشرون</w:t>
            </w:r>
            <w:r>
              <w:rPr>
                <w:rStyle w:val="IndexLink"/>
                <w:rtl w:val="true"/>
              </w:rPr>
              <w:t xml:space="preserve">: </w:t>
            </w:r>
            <w:r>
              <w:rPr>
                <w:rStyle w:val="IndexLink"/>
                <w:rtl w:val="true"/>
              </w:rPr>
              <w:t xml:space="preserve">في جملة ممّا يتعلّق بالدعاوي وفيه أمور </w:t>
            </w:r>
            <w:r>
              <w:rPr>
                <w:rStyle w:val="IndexLink"/>
                <w:rtl w:val="true"/>
              </w:rPr>
              <w:t>:</w:t>
              <w:tab/>
            </w:r>
            <w:r>
              <w:rPr>
                <w:rStyle w:val="IndexLink"/>
              </w:rPr>
              <w:t>60</w:t>
            </w:r>
          </w:hyperlink>
        </w:p>
        <w:p>
          <w:pPr>
            <w:pStyle w:val="Contents5"/>
            <w:tabs>
              <w:tab w:val="clear" w:pos="7892"/>
              <w:tab w:val="right" w:pos="9026" w:leader="dot"/>
            </w:tabs>
            <w:rPr/>
          </w:pPr>
          <w:hyperlink w:anchor="__RefHeading___Toc13424829_1280447820">
            <w:r>
              <w:rPr>
                <w:webHidden/>
                <w:rStyle w:val="IndexLink"/>
                <w:rtl w:val="true"/>
              </w:rPr>
              <w:t>أحدها</w:t>
            </w:r>
            <w:r>
              <w:rPr>
                <w:rStyle w:val="IndexLink"/>
                <w:rtl w:val="true"/>
              </w:rPr>
              <w:t xml:space="preserve">: </w:t>
            </w:r>
            <w:r>
              <w:rPr>
                <w:rStyle w:val="IndexLink"/>
                <w:rtl w:val="true"/>
              </w:rPr>
              <w:t>لو اختلفا في أصل الوديعة، كان القول قول منكرها؛ للأصل</w:t>
            </w:r>
            <w:r>
              <w:rPr>
                <w:rStyle w:val="IndexLink"/>
                <w:rtl w:val="true"/>
              </w:rPr>
              <w:t>.</w:t>
              <w:tab/>
            </w:r>
            <w:r>
              <w:rPr>
                <w:rStyle w:val="IndexLink"/>
              </w:rPr>
              <w:t>60</w:t>
            </w:r>
          </w:hyperlink>
        </w:p>
        <w:p>
          <w:pPr>
            <w:pStyle w:val="Contents5"/>
            <w:tabs>
              <w:tab w:val="clear" w:pos="7892"/>
              <w:tab w:val="right" w:pos="9026" w:leader="dot"/>
            </w:tabs>
            <w:rPr/>
          </w:pPr>
          <w:hyperlink w:anchor="__RefHeading___Toc13424831_1280447820">
            <w:r>
              <w:rPr>
                <w:webHidden/>
                <w:rStyle w:val="IndexLink"/>
                <w:rtl w:val="true"/>
              </w:rPr>
              <w:t>ثانيها</w:t>
            </w:r>
            <w:r>
              <w:rPr>
                <w:rStyle w:val="IndexLink"/>
                <w:rtl w:val="true"/>
              </w:rPr>
              <w:t xml:space="preserve">: </w:t>
            </w:r>
            <w:r>
              <w:rPr>
                <w:rStyle w:val="IndexLink"/>
                <w:rtl w:val="true"/>
              </w:rPr>
              <w:t>حكم ما لو ادّعى الودعيّ الردّ إمّا على المالك أو على وكيله أو إلى مَنْ أذن له المالك بالردّ إليه</w:t>
            </w:r>
            <w:r>
              <w:rPr>
                <w:rStyle w:val="IndexLink"/>
                <w:rtl w:val="true"/>
              </w:rPr>
              <w:tab/>
            </w:r>
            <w:r>
              <w:rPr>
                <w:rStyle w:val="IndexLink"/>
              </w:rPr>
              <w:t>61</w:t>
            </w:r>
          </w:hyperlink>
        </w:p>
        <w:p>
          <w:pPr>
            <w:pStyle w:val="Contents5"/>
            <w:tabs>
              <w:tab w:val="clear" w:pos="7892"/>
              <w:tab w:val="right" w:pos="9026" w:leader="dot"/>
            </w:tabs>
            <w:rPr/>
          </w:pPr>
          <w:hyperlink w:anchor="__RefHeading___Toc13424833_1280447820">
            <w:r>
              <w:rPr>
                <w:webHidden/>
                <w:rStyle w:val="IndexLink"/>
                <w:rtl w:val="true"/>
              </w:rPr>
              <w:t>ثالثها</w:t>
            </w:r>
            <w:r>
              <w:rPr>
                <w:rStyle w:val="IndexLink"/>
                <w:rtl w:val="true"/>
              </w:rPr>
              <w:t xml:space="preserve">: </w:t>
            </w:r>
            <w:r>
              <w:rPr>
                <w:rStyle w:val="IndexLink"/>
                <w:rtl w:val="true"/>
              </w:rPr>
              <w:t>حكم ما لو اختلف المالك مع من في يده المال فقال المالك</w:t>
            </w:r>
            <w:r>
              <w:rPr>
                <w:rStyle w:val="IndexLink"/>
                <w:rtl w:val="true"/>
              </w:rPr>
              <w:t xml:space="preserve">: </w:t>
            </w:r>
            <w:r>
              <w:rPr>
                <w:rStyle w:val="IndexLink"/>
                <w:rtl w:val="true"/>
              </w:rPr>
              <w:t>وديعة وقال الآخر</w:t>
            </w:r>
            <w:r>
              <w:rPr>
                <w:rStyle w:val="IndexLink"/>
                <w:rtl w:val="true"/>
              </w:rPr>
              <w:t xml:space="preserve">: </w:t>
            </w:r>
            <w:r>
              <w:rPr>
                <w:rStyle w:val="IndexLink"/>
                <w:rtl w:val="true"/>
              </w:rPr>
              <w:t>رهن أو قرض</w:t>
            </w:r>
            <w:r>
              <w:rPr>
                <w:rStyle w:val="IndexLink"/>
                <w:rtl w:val="true"/>
              </w:rPr>
              <w:tab/>
            </w:r>
            <w:r>
              <w:rPr>
                <w:rStyle w:val="IndexLink"/>
              </w:rPr>
              <w:t>62</w:t>
            </w:r>
          </w:hyperlink>
        </w:p>
        <w:p>
          <w:pPr>
            <w:pStyle w:val="Contents5"/>
            <w:tabs>
              <w:tab w:val="clear" w:pos="7892"/>
              <w:tab w:val="right" w:pos="9026" w:leader="dot"/>
            </w:tabs>
            <w:rPr/>
          </w:pPr>
          <w:hyperlink w:anchor="__RefHeading___Toc13424835_1280447820">
            <w:r>
              <w:rPr>
                <w:webHidden/>
                <w:rStyle w:val="IndexLink"/>
                <w:rtl w:val="true"/>
              </w:rPr>
              <w:t>رابعها</w:t>
            </w:r>
            <w:r>
              <w:rPr>
                <w:rStyle w:val="IndexLink"/>
                <w:rtl w:val="true"/>
              </w:rPr>
              <w:t xml:space="preserve">: </w:t>
            </w:r>
            <w:r>
              <w:rPr>
                <w:rStyle w:val="IndexLink"/>
                <w:rtl w:val="true"/>
              </w:rPr>
              <w:t>حكم ما لو اختلفا في قدر قيمة الوديعة بعد تلفها إذا كانت مضمونة</w:t>
            </w:r>
            <w:r>
              <w:rPr>
                <w:rStyle w:val="IndexLink"/>
                <w:rtl w:val="true"/>
              </w:rPr>
              <w:tab/>
            </w:r>
            <w:r>
              <w:rPr>
                <w:rStyle w:val="IndexLink"/>
              </w:rPr>
              <w:t>62</w:t>
            </w:r>
          </w:hyperlink>
        </w:p>
        <w:p>
          <w:pPr>
            <w:pStyle w:val="Contents5"/>
            <w:tabs>
              <w:tab w:val="clear" w:pos="7892"/>
              <w:tab w:val="right" w:pos="9026" w:leader="dot"/>
            </w:tabs>
            <w:rPr/>
          </w:pPr>
          <w:hyperlink w:anchor="__RefHeading___Toc13424837_1280447820">
            <w:r>
              <w:rPr>
                <w:webHidden/>
                <w:rStyle w:val="IndexLink"/>
                <w:rtl w:val="true"/>
              </w:rPr>
              <w:t>خامسها</w:t>
            </w:r>
            <w:r>
              <w:rPr>
                <w:rStyle w:val="IndexLink"/>
                <w:rtl w:val="true"/>
              </w:rPr>
              <w:t xml:space="preserve">: </w:t>
            </w:r>
            <w:r>
              <w:rPr>
                <w:rStyle w:val="IndexLink"/>
                <w:rtl w:val="true"/>
              </w:rPr>
              <w:t>حكم ما لو اختلفا في أصل الوديعة أو في قدرها أو في اشتراط أمر زائد فيها أو</w:t>
            </w:r>
            <w:r>
              <w:rPr>
                <w:rStyle w:val="IndexLink"/>
                <w:rtl w:val="true"/>
              </w:rPr>
              <w:tab/>
            </w:r>
            <w:r>
              <w:rPr>
                <w:rStyle w:val="IndexLink"/>
              </w:rPr>
              <w:t>62</w:t>
            </w:r>
          </w:hyperlink>
        </w:p>
        <w:p>
          <w:pPr>
            <w:pStyle w:val="Contents5"/>
            <w:tabs>
              <w:tab w:val="clear" w:pos="7892"/>
              <w:tab w:val="right" w:pos="9026" w:leader="dot"/>
            </w:tabs>
            <w:rPr/>
          </w:pPr>
          <w:hyperlink w:anchor="__RefHeading___Toc13424839_1280447820">
            <w:r>
              <w:rPr>
                <w:webHidden/>
                <w:rStyle w:val="IndexLink"/>
                <w:rtl w:val="true"/>
              </w:rPr>
              <w:t>سادسها</w:t>
            </w:r>
            <w:r>
              <w:rPr>
                <w:rStyle w:val="IndexLink"/>
                <w:rtl w:val="true"/>
              </w:rPr>
              <w:t xml:space="preserve">: </w:t>
            </w:r>
            <w:r>
              <w:rPr>
                <w:rStyle w:val="IndexLink"/>
                <w:rtl w:val="true"/>
              </w:rPr>
              <w:t>فيما إذا مات المودع سُلّمت الوديعة إلى وارثه</w:t>
            </w:r>
            <w:r>
              <w:rPr>
                <w:rStyle w:val="IndexLink"/>
                <w:rtl w:val="true"/>
              </w:rPr>
              <w:tab/>
            </w:r>
            <w:r>
              <w:rPr>
                <w:rStyle w:val="IndexLink"/>
              </w:rPr>
              <w:t>62</w:t>
            </w:r>
          </w:hyperlink>
        </w:p>
        <w:p>
          <w:pPr>
            <w:pStyle w:val="Contents5"/>
            <w:tabs>
              <w:tab w:val="clear" w:pos="7892"/>
              <w:tab w:val="right" w:pos="9026" w:leader="dot"/>
            </w:tabs>
            <w:rPr/>
          </w:pPr>
          <w:hyperlink w:anchor="__RefHeading___Toc13424841_1280447820">
            <w:r>
              <w:rPr>
                <w:webHidden/>
                <w:rStyle w:val="IndexLink"/>
                <w:rtl w:val="true"/>
              </w:rPr>
              <w:t>سابعها</w:t>
            </w:r>
            <w:r>
              <w:rPr>
                <w:rStyle w:val="IndexLink"/>
                <w:rtl w:val="true"/>
              </w:rPr>
              <w:t xml:space="preserve">: </w:t>
            </w:r>
            <w:r>
              <w:rPr>
                <w:rStyle w:val="IndexLink"/>
                <w:rtl w:val="true"/>
              </w:rPr>
              <w:t>حكم ما مات الودعيّ وعلمت الوديعة أو لم تُعلم</w:t>
            </w:r>
            <w:r>
              <w:rPr>
                <w:rStyle w:val="IndexLink"/>
                <w:rtl w:val="true"/>
              </w:rPr>
              <w:tab/>
            </w:r>
            <w:r>
              <w:rPr>
                <w:rStyle w:val="IndexLink"/>
              </w:rPr>
              <w:t>63</w:t>
            </w:r>
          </w:hyperlink>
        </w:p>
        <w:p>
          <w:pPr>
            <w:pStyle w:val="Contents5"/>
            <w:tabs>
              <w:tab w:val="clear" w:pos="7892"/>
              <w:tab w:val="right" w:pos="9026" w:leader="dot"/>
            </w:tabs>
            <w:rPr/>
          </w:pPr>
          <w:hyperlink w:anchor="__RefHeading___Toc13424843_1280447820">
            <w:r>
              <w:rPr>
                <w:webHidden/>
                <w:rStyle w:val="IndexLink"/>
                <w:rtl w:val="true"/>
              </w:rPr>
              <w:t>ثامنها</w:t>
            </w:r>
            <w:r>
              <w:rPr>
                <w:rStyle w:val="IndexLink"/>
                <w:rtl w:val="true"/>
              </w:rPr>
              <w:t xml:space="preserve">: </w:t>
            </w:r>
            <w:r>
              <w:rPr>
                <w:rStyle w:val="IndexLink"/>
                <w:rtl w:val="true"/>
              </w:rPr>
              <w:t>حكم ما لو أنكر الوديعة ثمّ أقربها ثمّ ادّعى تلفها بعد الإنكار أو قبله</w:t>
            </w:r>
            <w:r>
              <w:rPr>
                <w:rStyle w:val="IndexLink"/>
                <w:rtl w:val="true"/>
              </w:rPr>
              <w:tab/>
            </w:r>
            <w:r>
              <w:rPr>
                <w:rStyle w:val="IndexLink"/>
              </w:rPr>
              <w:t>64</w:t>
            </w:r>
          </w:hyperlink>
        </w:p>
        <w:p>
          <w:pPr>
            <w:pStyle w:val="Contents5"/>
            <w:tabs>
              <w:tab w:val="clear" w:pos="7892"/>
              <w:tab w:val="right" w:pos="9026" w:leader="dot"/>
            </w:tabs>
            <w:rPr/>
          </w:pPr>
          <w:hyperlink w:anchor="__RefHeading___Toc13424845_1280447820">
            <w:r>
              <w:rPr>
                <w:webHidden/>
                <w:rStyle w:val="IndexLink"/>
                <w:rtl w:val="true"/>
              </w:rPr>
              <w:t xml:space="preserve">تاسعها </w:t>
            </w:r>
            <w:r>
              <w:rPr>
                <w:rStyle w:val="IndexLink"/>
                <w:rtl w:val="true"/>
              </w:rPr>
              <w:t xml:space="preserve">: </w:t>
            </w:r>
            <w:r>
              <w:rPr>
                <w:rStyle w:val="IndexLink"/>
                <w:rtl w:val="true"/>
              </w:rPr>
              <w:t>حكم ما لو كانت عنده وديعة فادّعاها اثنان</w:t>
            </w:r>
            <w:r>
              <w:rPr>
                <w:rStyle w:val="IndexLink"/>
                <w:rtl w:val="true"/>
              </w:rPr>
              <w:tab/>
            </w:r>
            <w:r>
              <w:rPr>
                <w:rStyle w:val="IndexLink"/>
              </w:rPr>
              <w:t>64</w:t>
            </w:r>
          </w:hyperlink>
        </w:p>
        <w:p>
          <w:pPr>
            <w:pStyle w:val="Contents2"/>
            <w:tabs>
              <w:tab w:val="clear" w:pos="8743"/>
              <w:tab w:val="right" w:pos="9026" w:leader="dot"/>
            </w:tabs>
            <w:rPr/>
          </w:pPr>
          <w:hyperlink w:anchor="__RefHeading___Toc13424847_1280447820">
            <w:r>
              <w:rPr>
                <w:webHidden/>
                <w:rStyle w:val="IndexLink"/>
                <w:rtl w:val="true"/>
              </w:rPr>
              <w:t>كتاب العارية</w:t>
            </w:r>
            <w:r>
              <w:rPr>
                <w:rStyle w:val="IndexLink"/>
                <w:rtl w:val="true"/>
              </w:rPr>
              <w:tab/>
            </w:r>
            <w:r>
              <w:rPr>
                <w:rStyle w:val="IndexLink"/>
              </w:rPr>
              <w:t>69</w:t>
            </w:r>
          </w:hyperlink>
        </w:p>
        <w:p>
          <w:pPr>
            <w:pStyle w:val="Contents3"/>
            <w:tabs>
              <w:tab w:val="clear" w:pos="8459"/>
              <w:tab w:val="right" w:pos="9026" w:leader="dot"/>
            </w:tabs>
            <w:rPr/>
          </w:pPr>
          <w:hyperlink w:anchor="__RefHeading___Toc13424849_1280447820">
            <w:r>
              <w:rPr>
                <w:webHidden/>
                <w:rStyle w:val="IndexLink"/>
                <w:rtl w:val="true"/>
              </w:rPr>
              <w:t>تعريف العارية ومبدأ اشتقاقها</w:t>
            </w:r>
            <w:r>
              <w:rPr>
                <w:rStyle w:val="IndexLink"/>
                <w:rtl w:val="true"/>
              </w:rPr>
              <w:tab/>
            </w:r>
            <w:r>
              <w:rPr>
                <w:rStyle w:val="IndexLink"/>
              </w:rPr>
              <w:t>69</w:t>
            </w:r>
          </w:hyperlink>
        </w:p>
        <w:p>
          <w:pPr>
            <w:pStyle w:val="Contents3"/>
            <w:tabs>
              <w:tab w:val="clear" w:pos="8459"/>
              <w:tab w:val="right" w:pos="9026" w:leader="dot"/>
            </w:tabs>
            <w:rPr/>
          </w:pPr>
          <w:hyperlink w:anchor="__RefHeading___Toc13424851_1280447820">
            <w:r>
              <w:rPr>
                <w:webHidden/>
                <w:rStyle w:val="IndexLink"/>
                <w:rtl w:val="true"/>
              </w:rPr>
              <w:t>وهنا أمور</w:t>
            </w:r>
            <w:r>
              <w:rPr>
                <w:rStyle w:val="IndexLink"/>
                <w:rtl w:val="true"/>
              </w:rPr>
              <w:t>:</w:t>
              <w:tab/>
            </w:r>
            <w:r>
              <w:rPr>
                <w:rStyle w:val="IndexLink"/>
              </w:rPr>
              <w:t>70</w:t>
            </w:r>
          </w:hyperlink>
        </w:p>
        <w:p>
          <w:pPr>
            <w:pStyle w:val="Contents4"/>
            <w:tabs>
              <w:tab w:val="clear" w:pos="8176"/>
              <w:tab w:val="right" w:pos="9026" w:leader="dot"/>
            </w:tabs>
            <w:rPr/>
          </w:pPr>
          <w:hyperlink w:anchor="__RefHeading___Toc13424853_1280447820">
            <w:r>
              <w:rPr>
                <w:webHidden/>
                <w:rStyle w:val="IndexLink"/>
                <w:rtl w:val="true"/>
              </w:rPr>
              <w:t>أحدها</w:t>
            </w:r>
            <w:r>
              <w:rPr>
                <w:rStyle w:val="IndexLink"/>
                <w:rtl w:val="true"/>
              </w:rPr>
              <w:t xml:space="preserve">: </w:t>
            </w:r>
            <w:r>
              <w:rPr>
                <w:rStyle w:val="IndexLink"/>
                <w:rtl w:val="true"/>
              </w:rPr>
              <w:t>في أنّ العارية من العقود لابد فيها من إيجاب و قبول</w:t>
            </w:r>
            <w:r>
              <w:rPr>
                <w:rStyle w:val="IndexLink"/>
                <w:rtl w:val="true"/>
              </w:rPr>
              <w:tab/>
            </w:r>
            <w:r>
              <w:rPr>
                <w:rStyle w:val="IndexLink"/>
              </w:rPr>
              <w:t>70</w:t>
            </w:r>
          </w:hyperlink>
        </w:p>
        <w:p>
          <w:pPr>
            <w:pStyle w:val="Contents4"/>
            <w:tabs>
              <w:tab w:val="clear" w:pos="8176"/>
              <w:tab w:val="right" w:pos="9026" w:leader="dot"/>
            </w:tabs>
            <w:rPr/>
          </w:pPr>
          <w:hyperlink w:anchor="__RefHeading___Toc13424855_1280447820">
            <w:r>
              <w:rPr>
                <w:webHidden/>
                <w:rStyle w:val="IndexLink"/>
                <w:rtl w:val="true"/>
              </w:rPr>
              <w:t>ثانيها</w:t>
            </w:r>
            <w:r>
              <w:rPr>
                <w:rStyle w:val="IndexLink"/>
                <w:rtl w:val="true"/>
              </w:rPr>
              <w:t xml:space="preserve">: </w:t>
            </w:r>
            <w:r>
              <w:rPr>
                <w:rStyle w:val="IndexLink"/>
                <w:rtl w:val="true"/>
              </w:rPr>
              <w:t>فيما تصحّ إعارته</w:t>
            </w:r>
            <w:r>
              <w:rPr>
                <w:rStyle w:val="IndexLink"/>
                <w:rtl w:val="true"/>
              </w:rPr>
              <w:tab/>
            </w:r>
            <w:r>
              <w:rPr>
                <w:rStyle w:val="IndexLink"/>
              </w:rPr>
              <w:t>71</w:t>
            </w:r>
          </w:hyperlink>
        </w:p>
        <w:p>
          <w:pPr>
            <w:pStyle w:val="Contents4"/>
            <w:tabs>
              <w:tab w:val="clear" w:pos="8176"/>
              <w:tab w:val="right" w:pos="9026" w:leader="dot"/>
            </w:tabs>
            <w:rPr/>
          </w:pPr>
          <w:hyperlink w:anchor="__RefHeading___Toc13424857_1280447820">
            <w:r>
              <w:rPr>
                <w:webHidden/>
                <w:rStyle w:val="IndexLink"/>
                <w:rtl w:val="true"/>
              </w:rPr>
              <w:t>ثالثها في أنّ من شأن العارية الجواز وقد تلزم في مواضع</w:t>
            </w:r>
            <w:r>
              <w:rPr>
                <w:rStyle w:val="IndexLink"/>
                <w:rtl w:val="true"/>
              </w:rPr>
              <w:tab/>
            </w:r>
            <w:r>
              <w:rPr>
                <w:rStyle w:val="IndexLink"/>
              </w:rPr>
              <w:t>72</w:t>
            </w:r>
          </w:hyperlink>
        </w:p>
        <w:p>
          <w:pPr>
            <w:pStyle w:val="Contents4"/>
            <w:tabs>
              <w:tab w:val="clear" w:pos="8176"/>
              <w:tab w:val="right" w:pos="9026" w:leader="dot"/>
            </w:tabs>
            <w:rPr/>
          </w:pPr>
          <w:hyperlink w:anchor="__RefHeading___Toc13424859_1280447820">
            <w:r>
              <w:rPr>
                <w:webHidden/>
                <w:rStyle w:val="IndexLink"/>
                <w:rtl w:val="true"/>
              </w:rPr>
              <w:t>رابعها</w:t>
            </w:r>
            <w:r>
              <w:rPr>
                <w:rStyle w:val="IndexLink"/>
                <w:rtl w:val="true"/>
              </w:rPr>
              <w:t xml:space="preserve">: </w:t>
            </w:r>
            <w:r>
              <w:rPr>
                <w:rStyle w:val="IndexLink"/>
                <w:rtl w:val="true"/>
              </w:rPr>
              <w:t>حكم ما لو كانت للعين المستعارة منفعة واحدة أو منافع متعدّدة</w:t>
            </w:r>
            <w:r>
              <w:rPr>
                <w:rStyle w:val="IndexLink"/>
                <w:rtl w:val="true"/>
              </w:rPr>
              <w:tab/>
            </w:r>
            <w:r>
              <w:rPr>
                <w:rStyle w:val="IndexLink"/>
              </w:rPr>
              <w:t>74</w:t>
            </w:r>
          </w:hyperlink>
        </w:p>
        <w:p>
          <w:pPr>
            <w:pStyle w:val="Contents4"/>
            <w:tabs>
              <w:tab w:val="clear" w:pos="8176"/>
              <w:tab w:val="right" w:pos="9026" w:leader="dot"/>
            </w:tabs>
            <w:rPr/>
          </w:pPr>
          <w:hyperlink w:anchor="__RefHeading___Toc13424861_1280447820">
            <w:r>
              <w:rPr>
                <w:webHidden/>
                <w:rStyle w:val="IndexLink"/>
                <w:rtl w:val="true"/>
              </w:rPr>
              <w:t>خامسها</w:t>
            </w:r>
            <w:r>
              <w:rPr>
                <w:rStyle w:val="IndexLink"/>
                <w:rtl w:val="true"/>
              </w:rPr>
              <w:t xml:space="preserve">: </w:t>
            </w:r>
            <w:r>
              <w:rPr>
                <w:rStyle w:val="IndexLink"/>
                <w:rtl w:val="true"/>
              </w:rPr>
              <w:t>اشتراط البلوغ والعقل والرشد وعدم الحجر في المعير</w:t>
            </w:r>
            <w:r>
              <w:rPr>
                <w:rStyle w:val="IndexLink"/>
                <w:rtl w:val="true"/>
              </w:rPr>
              <w:tab/>
            </w:r>
            <w:r>
              <w:rPr>
                <w:rStyle w:val="IndexLink"/>
              </w:rPr>
              <w:t>74</w:t>
            </w:r>
          </w:hyperlink>
        </w:p>
        <w:p>
          <w:pPr>
            <w:pStyle w:val="Contents4"/>
            <w:tabs>
              <w:tab w:val="clear" w:pos="8176"/>
              <w:tab w:val="right" w:pos="9026" w:leader="dot"/>
            </w:tabs>
            <w:rPr/>
          </w:pPr>
          <w:hyperlink w:anchor="__RefHeading___Toc13424863_1280447820">
            <w:r>
              <w:rPr>
                <w:webHidden/>
                <w:rStyle w:val="IndexLink"/>
                <w:rtl w:val="true"/>
              </w:rPr>
              <w:t>سادسها</w:t>
            </w:r>
            <w:r>
              <w:rPr>
                <w:rStyle w:val="IndexLink"/>
                <w:rtl w:val="true"/>
              </w:rPr>
              <w:t xml:space="preserve">: </w:t>
            </w:r>
            <w:r>
              <w:rPr>
                <w:rStyle w:val="IndexLink"/>
                <w:rtl w:val="true"/>
              </w:rPr>
              <w:t>فيما لو استعار المغصوب عالماً بالغصب ضمن العين والمنفعة</w:t>
            </w:r>
            <w:r>
              <w:rPr>
                <w:rStyle w:val="IndexLink"/>
                <w:rtl w:val="true"/>
              </w:rPr>
              <w:tab/>
            </w:r>
            <w:r>
              <w:rPr>
                <w:rStyle w:val="IndexLink"/>
              </w:rPr>
              <w:t>75</w:t>
            </w:r>
          </w:hyperlink>
        </w:p>
        <w:p>
          <w:pPr>
            <w:pStyle w:val="Contents4"/>
            <w:tabs>
              <w:tab w:val="clear" w:pos="8176"/>
              <w:tab w:val="right" w:pos="9026" w:leader="dot"/>
            </w:tabs>
            <w:rPr/>
          </w:pPr>
          <w:hyperlink w:anchor="__RefHeading___Toc13424865_1280447820">
            <w:r>
              <w:rPr>
                <w:webHidden/>
                <w:rStyle w:val="IndexLink"/>
                <w:rtl w:val="true"/>
              </w:rPr>
              <w:t>سابعها</w:t>
            </w:r>
            <w:r>
              <w:rPr>
                <w:rStyle w:val="IndexLink"/>
                <w:rtl w:val="true"/>
              </w:rPr>
              <w:t xml:space="preserve">: </w:t>
            </w:r>
            <w:r>
              <w:rPr>
                <w:rStyle w:val="IndexLink"/>
                <w:rtl w:val="true"/>
              </w:rPr>
              <w:t>في أنّ الأصل في العارية عدم الضمان</w:t>
            </w:r>
            <w:r>
              <w:rPr>
                <w:rStyle w:val="IndexLink"/>
                <w:rtl w:val="true"/>
              </w:rPr>
              <w:tab/>
            </w:r>
            <w:r>
              <w:rPr>
                <w:rStyle w:val="IndexLink"/>
              </w:rPr>
              <w:t>76</w:t>
            </w:r>
          </w:hyperlink>
        </w:p>
        <w:p>
          <w:pPr>
            <w:pStyle w:val="Contents5"/>
            <w:tabs>
              <w:tab w:val="clear" w:pos="7892"/>
              <w:tab w:val="right" w:pos="9026" w:leader="dot"/>
            </w:tabs>
            <w:rPr/>
          </w:pPr>
          <w:hyperlink w:anchor="__RefHeading___Toc13424867_1280447820">
            <w:r>
              <w:rPr>
                <w:webHidden/>
                <w:rStyle w:val="IndexLink"/>
                <w:rtl w:val="true"/>
              </w:rPr>
              <w:t>إشارة</w:t>
            </w:r>
            <w:r>
              <w:rPr>
                <w:rStyle w:val="IndexLink"/>
                <w:rtl w:val="true"/>
              </w:rPr>
              <w:t>:</w:t>
              <w:tab/>
            </w:r>
            <w:r>
              <w:rPr>
                <w:rStyle w:val="IndexLink"/>
              </w:rPr>
              <w:t>76</w:t>
            </w:r>
          </w:hyperlink>
        </w:p>
        <w:p>
          <w:pPr>
            <w:pStyle w:val="Contents5"/>
            <w:tabs>
              <w:tab w:val="clear" w:pos="7892"/>
              <w:tab w:val="right" w:pos="9026" w:leader="dot"/>
            </w:tabs>
            <w:rPr/>
          </w:pPr>
          <w:hyperlink w:anchor="__RefHeading___Toc13424869_1280447820">
            <w:r>
              <w:rPr>
                <w:webHidden/>
                <w:rStyle w:val="IndexLink"/>
                <w:rtl w:val="true"/>
              </w:rPr>
              <w:t>بيان موارد خارجة عن أصل عدم الضمان</w:t>
            </w:r>
            <w:r>
              <w:rPr>
                <w:rStyle w:val="IndexLink"/>
                <w:rtl w:val="true"/>
              </w:rPr>
              <w:tab/>
            </w:r>
            <w:r>
              <w:rPr>
                <w:rStyle w:val="IndexLink"/>
              </w:rPr>
              <w:t>77</w:t>
            </w:r>
          </w:hyperlink>
        </w:p>
        <w:p>
          <w:pPr>
            <w:pStyle w:val="Contents4"/>
            <w:tabs>
              <w:tab w:val="clear" w:pos="8176"/>
              <w:tab w:val="right" w:pos="9026" w:leader="dot"/>
            </w:tabs>
            <w:rPr/>
          </w:pPr>
          <w:hyperlink w:anchor="__RefHeading___Toc13424871_1280447820">
            <w:r>
              <w:rPr>
                <w:webHidden/>
                <w:rStyle w:val="IndexLink"/>
                <w:rtl w:val="true"/>
              </w:rPr>
              <w:t>ثامنها</w:t>
            </w:r>
            <w:r>
              <w:rPr>
                <w:rStyle w:val="IndexLink"/>
                <w:rtl w:val="true"/>
              </w:rPr>
              <w:t xml:space="preserve">: </w:t>
            </w:r>
            <w:r>
              <w:rPr>
                <w:rStyle w:val="IndexLink"/>
                <w:rtl w:val="true"/>
              </w:rPr>
              <w:t>فى أنّه لا يجوز للمستعير أن يعير غيره من غير إذن</w:t>
            </w:r>
            <w:r>
              <w:rPr>
                <w:rStyle w:val="IndexLink"/>
                <w:rtl w:val="true"/>
              </w:rPr>
              <w:tab/>
            </w:r>
            <w:r>
              <w:rPr>
                <w:rStyle w:val="IndexLink"/>
              </w:rPr>
              <w:t>80</w:t>
            </w:r>
          </w:hyperlink>
        </w:p>
        <w:p>
          <w:pPr>
            <w:pStyle w:val="Contents4"/>
            <w:tabs>
              <w:tab w:val="clear" w:pos="8176"/>
              <w:tab w:val="right" w:pos="9026" w:leader="dot"/>
            </w:tabs>
            <w:rPr/>
          </w:pPr>
          <w:hyperlink w:anchor="__RefHeading___Toc13424873_1280447820">
            <w:r>
              <w:rPr>
                <w:webHidden/>
                <w:rStyle w:val="IndexLink"/>
                <w:rtl w:val="true"/>
              </w:rPr>
              <w:t>تاسعها</w:t>
            </w:r>
            <w:r>
              <w:rPr>
                <w:rStyle w:val="IndexLink"/>
                <w:rtl w:val="true"/>
              </w:rPr>
              <w:t xml:space="preserve">: </w:t>
            </w:r>
            <w:r>
              <w:rPr>
                <w:rStyle w:val="IndexLink"/>
                <w:rtl w:val="true"/>
              </w:rPr>
              <w:t>في أنّه يلزم المستعير مدّة معلومة ردّ العارية إلى أهلها بعد المدّة إذا شرط المالك عليه ردّها</w:t>
            </w:r>
            <w:r>
              <w:rPr>
                <w:rStyle w:val="IndexLink"/>
                <w:rtl w:val="true"/>
              </w:rPr>
              <w:tab/>
            </w:r>
            <w:r>
              <w:rPr>
                <w:rStyle w:val="IndexLink"/>
              </w:rPr>
              <w:t>80</w:t>
            </w:r>
          </w:hyperlink>
        </w:p>
        <w:p>
          <w:pPr>
            <w:pStyle w:val="Contents4"/>
            <w:tabs>
              <w:tab w:val="clear" w:pos="8176"/>
              <w:tab w:val="right" w:pos="9026" w:leader="dot"/>
            </w:tabs>
            <w:rPr/>
          </w:pPr>
          <w:hyperlink w:anchor="__RefHeading___Toc13424875_1280447820">
            <w:r>
              <w:rPr>
                <w:webHidden/>
                <w:rStyle w:val="IndexLink"/>
                <w:rtl w:val="true"/>
              </w:rPr>
              <w:t>عاشرها</w:t>
            </w:r>
            <w:r>
              <w:rPr>
                <w:rStyle w:val="IndexLink"/>
                <w:rtl w:val="true"/>
              </w:rPr>
              <w:t xml:space="preserve">: </w:t>
            </w:r>
            <w:r>
              <w:rPr>
                <w:rStyle w:val="IndexLink"/>
                <w:rtl w:val="true"/>
              </w:rPr>
              <w:t>في أنّ التعدّي والتفريط لا يخرج العارية عن كونها عارية</w:t>
            </w:r>
            <w:r>
              <w:rPr>
                <w:rStyle w:val="IndexLink"/>
                <w:rtl w:val="true"/>
              </w:rPr>
              <w:tab/>
            </w:r>
            <w:r>
              <w:rPr>
                <w:rStyle w:val="IndexLink"/>
              </w:rPr>
              <w:t>81</w:t>
            </w:r>
          </w:hyperlink>
        </w:p>
        <w:p>
          <w:pPr>
            <w:pStyle w:val="Contents4"/>
            <w:tabs>
              <w:tab w:val="clear" w:pos="8176"/>
              <w:tab w:val="right" w:pos="9026" w:leader="dot"/>
            </w:tabs>
            <w:rPr/>
          </w:pPr>
          <w:hyperlink w:anchor="__RefHeading___Toc13424877_1280447820">
            <w:r>
              <w:rPr>
                <w:webHidden/>
                <w:rStyle w:val="IndexLink"/>
                <w:rtl w:val="true"/>
              </w:rPr>
              <w:t>حادي عشرها</w:t>
            </w:r>
            <w:r>
              <w:rPr>
                <w:rStyle w:val="IndexLink"/>
                <w:rtl w:val="true"/>
              </w:rPr>
              <w:t xml:space="preserve">: </w:t>
            </w:r>
            <w:r>
              <w:rPr>
                <w:rStyle w:val="IndexLink"/>
                <w:rtl w:val="true"/>
              </w:rPr>
              <w:t>في أنّ الأصل في العارية أن تتعلق بالأعيان القائمة</w:t>
            </w:r>
            <w:r>
              <w:rPr>
                <w:rStyle w:val="IndexLink"/>
                <w:rtl w:val="true"/>
              </w:rPr>
              <w:tab/>
            </w:r>
            <w:r>
              <w:rPr>
                <w:rStyle w:val="IndexLink"/>
              </w:rPr>
              <w:t>82</w:t>
            </w:r>
          </w:hyperlink>
        </w:p>
        <w:p>
          <w:pPr>
            <w:pStyle w:val="Contents4"/>
            <w:tabs>
              <w:tab w:val="clear" w:pos="8176"/>
              <w:tab w:val="right" w:pos="9026" w:leader="dot"/>
            </w:tabs>
            <w:rPr/>
          </w:pPr>
          <w:hyperlink w:anchor="__RefHeading___Toc13424879_1280447820">
            <w:r>
              <w:rPr>
                <w:webHidden/>
                <w:rStyle w:val="IndexLink"/>
                <w:rtl w:val="true"/>
              </w:rPr>
              <w:t>ثاني عشرها</w:t>
            </w:r>
            <w:r>
              <w:rPr>
                <w:rStyle w:val="IndexLink"/>
                <w:rtl w:val="true"/>
              </w:rPr>
              <w:t xml:space="preserve">: </w:t>
            </w:r>
            <w:r>
              <w:rPr>
                <w:rStyle w:val="IndexLink"/>
                <w:rtl w:val="true"/>
              </w:rPr>
              <w:t>حكم ما لو أنكر العارية أو ادّعى ردّها أو تلفها</w:t>
            </w:r>
            <w:r>
              <w:rPr>
                <w:rStyle w:val="IndexLink"/>
                <w:rtl w:val="true"/>
              </w:rPr>
              <w:tab/>
            </w:r>
            <w:r>
              <w:rPr>
                <w:rStyle w:val="IndexLink"/>
              </w:rPr>
              <w:t>83</w:t>
            </w:r>
          </w:hyperlink>
        </w:p>
        <w:p>
          <w:pPr>
            <w:pStyle w:val="Contents4"/>
            <w:tabs>
              <w:tab w:val="clear" w:pos="8176"/>
              <w:tab w:val="right" w:pos="9026" w:leader="dot"/>
            </w:tabs>
            <w:rPr/>
          </w:pPr>
          <w:hyperlink w:anchor="__RefHeading___Toc13424881_1280447820">
            <w:r>
              <w:rPr>
                <w:webHidden/>
                <w:rStyle w:val="IndexLink"/>
                <w:rtl w:val="true"/>
              </w:rPr>
              <w:t>ثالث عشرها</w:t>
            </w:r>
            <w:r>
              <w:rPr>
                <w:rStyle w:val="IndexLink"/>
                <w:rtl w:val="true"/>
              </w:rPr>
              <w:t xml:space="preserve">: </w:t>
            </w:r>
            <w:r>
              <w:rPr>
                <w:rStyle w:val="IndexLink"/>
                <w:rtl w:val="true"/>
              </w:rPr>
              <w:t>حكم ما لو اختلفا في اشتراط الضمان العين في العارية وعدمه</w:t>
            </w:r>
            <w:r>
              <w:rPr>
                <w:rStyle w:val="IndexLink"/>
                <w:rtl w:val="true"/>
              </w:rPr>
              <w:tab/>
            </w:r>
            <w:r>
              <w:rPr>
                <w:rStyle w:val="IndexLink"/>
              </w:rPr>
              <w:t>85</w:t>
            </w:r>
          </w:hyperlink>
        </w:p>
        <w:p>
          <w:pPr>
            <w:pStyle w:val="Contents4"/>
            <w:tabs>
              <w:tab w:val="clear" w:pos="8176"/>
              <w:tab w:val="right" w:pos="9026" w:leader="dot"/>
            </w:tabs>
            <w:rPr/>
          </w:pPr>
          <w:hyperlink w:anchor="__RefHeading___Toc13424883_1280447820">
            <w:r>
              <w:rPr>
                <w:webHidden/>
                <w:rStyle w:val="IndexLink"/>
                <w:rtl w:val="true"/>
              </w:rPr>
              <w:t>رابع عشرها</w:t>
            </w:r>
            <w:r>
              <w:rPr>
                <w:rStyle w:val="IndexLink"/>
                <w:rtl w:val="true"/>
              </w:rPr>
              <w:t xml:space="preserve">: </w:t>
            </w:r>
            <w:r>
              <w:rPr>
                <w:rStyle w:val="IndexLink"/>
                <w:rtl w:val="true"/>
              </w:rPr>
              <w:t>حكم ما لو شرط المالك ضمان العين مع تلف الكل</w:t>
            </w:r>
            <w:r>
              <w:rPr>
                <w:rStyle w:val="IndexLink"/>
                <w:rtl w:val="true"/>
              </w:rPr>
              <w:tab/>
            </w:r>
            <w:r>
              <w:rPr>
                <w:rStyle w:val="IndexLink"/>
              </w:rPr>
              <w:t>85</w:t>
            </w:r>
          </w:hyperlink>
        </w:p>
        <w:p>
          <w:pPr>
            <w:pStyle w:val="Contents4"/>
            <w:tabs>
              <w:tab w:val="clear" w:pos="8176"/>
              <w:tab w:val="right" w:pos="9026" w:leader="dot"/>
            </w:tabs>
            <w:rPr/>
          </w:pPr>
          <w:hyperlink w:anchor="__RefHeading___Toc13424885_1280447820">
            <w:r>
              <w:rPr>
                <w:webHidden/>
                <w:rStyle w:val="IndexLink"/>
                <w:rtl w:val="true"/>
              </w:rPr>
              <w:t>خامس عشرها</w:t>
            </w:r>
            <w:r>
              <w:rPr>
                <w:rStyle w:val="IndexLink"/>
                <w:rtl w:val="true"/>
              </w:rPr>
              <w:t xml:space="preserve">: </w:t>
            </w:r>
            <w:r>
              <w:rPr>
                <w:rStyle w:val="IndexLink"/>
                <w:rtl w:val="true"/>
              </w:rPr>
              <w:t>حكم ما لو ألقت الريح حباً أو نوى أو غيرهما في دار الغير فصار زرعاً أو نخلاً</w:t>
            </w:r>
            <w:r>
              <w:rPr>
                <w:rStyle w:val="IndexLink"/>
                <w:rtl w:val="true"/>
              </w:rPr>
              <w:tab/>
            </w:r>
            <w:r>
              <w:rPr>
                <w:rStyle w:val="IndexLink"/>
              </w:rPr>
              <w:t>86</w:t>
            </w:r>
          </w:hyperlink>
        </w:p>
        <w:p>
          <w:pPr>
            <w:pStyle w:val="Contents4"/>
            <w:tabs>
              <w:tab w:val="clear" w:pos="8176"/>
              <w:tab w:val="right" w:pos="9026" w:leader="dot"/>
            </w:tabs>
            <w:rPr/>
          </w:pPr>
          <w:hyperlink w:anchor="__RefHeading___Toc13424887_1280447820">
            <w:r>
              <w:rPr>
                <w:webHidden/>
                <w:rStyle w:val="IndexLink"/>
                <w:rtl w:val="true"/>
              </w:rPr>
              <w:t>خاتمة</w:t>
            </w:r>
            <w:r>
              <w:rPr>
                <w:rStyle w:val="IndexLink"/>
                <w:rtl w:val="true"/>
              </w:rPr>
              <w:t xml:space="preserve">: </w:t>
            </w:r>
            <w:r>
              <w:rPr>
                <w:rStyle w:val="IndexLink"/>
                <w:rtl w:val="true"/>
              </w:rPr>
              <w:t>حكم ما لو استعار أرضاً للزرع أو الغرس أو البناء فزرع وغرس وبنى فتلف ما صنعه</w:t>
            </w:r>
            <w:r>
              <w:rPr>
                <w:rStyle w:val="IndexLink"/>
                <w:rtl w:val="true"/>
              </w:rPr>
              <w:tab/>
            </w:r>
            <w:r>
              <w:rPr>
                <w:rStyle w:val="IndexLink"/>
              </w:rPr>
              <w:t>87</w:t>
            </w:r>
          </w:hyperlink>
        </w:p>
        <w:p>
          <w:pPr>
            <w:pStyle w:val="Contents2"/>
            <w:tabs>
              <w:tab w:val="clear" w:pos="8743"/>
              <w:tab w:val="right" w:pos="9026" w:leader="dot"/>
            </w:tabs>
            <w:rPr/>
          </w:pPr>
          <w:hyperlink w:anchor="__RefHeading___Toc13424889_1280447820">
            <w:r>
              <w:rPr>
                <w:webHidden/>
                <w:rStyle w:val="IndexLink"/>
                <w:rtl w:val="true"/>
              </w:rPr>
              <w:t>كتاب الإجارة</w:t>
            </w:r>
            <w:r>
              <w:rPr>
                <w:rStyle w:val="IndexLink"/>
                <w:rtl w:val="true"/>
              </w:rPr>
              <w:tab/>
            </w:r>
            <w:r>
              <w:rPr>
                <w:rStyle w:val="IndexLink"/>
              </w:rPr>
              <w:t>91</w:t>
            </w:r>
          </w:hyperlink>
        </w:p>
        <w:p>
          <w:pPr>
            <w:pStyle w:val="Contents3"/>
            <w:tabs>
              <w:tab w:val="clear" w:pos="8459"/>
              <w:tab w:val="right" w:pos="9026" w:leader="dot"/>
            </w:tabs>
            <w:rPr/>
          </w:pPr>
          <w:hyperlink w:anchor="__RefHeading___Toc13424891_1280447820">
            <w:r>
              <w:rPr>
                <w:webHidden/>
                <w:rStyle w:val="IndexLink"/>
                <w:rtl w:val="true"/>
              </w:rPr>
              <w:t>تعريف الإجارة لغةً وشرعاً</w:t>
            </w:r>
            <w:r>
              <w:rPr>
                <w:rStyle w:val="IndexLink"/>
                <w:rtl w:val="true"/>
              </w:rPr>
              <w:tab/>
            </w:r>
            <w:r>
              <w:rPr>
                <w:rStyle w:val="IndexLink"/>
              </w:rPr>
              <w:t>91</w:t>
            </w:r>
          </w:hyperlink>
        </w:p>
        <w:p>
          <w:pPr>
            <w:pStyle w:val="Contents3"/>
            <w:tabs>
              <w:tab w:val="clear" w:pos="8459"/>
              <w:tab w:val="right" w:pos="9026" w:leader="dot"/>
            </w:tabs>
            <w:rPr/>
          </w:pPr>
          <w:hyperlink w:anchor="__RefHeading___Toc13424893_1280447820">
            <w:r>
              <w:rPr>
                <w:webHidden/>
                <w:rStyle w:val="IndexLink"/>
                <w:rtl w:val="true"/>
              </w:rPr>
              <w:t>والكلام يقع فيها في أُمور</w:t>
            </w:r>
            <w:r>
              <w:rPr>
                <w:rStyle w:val="IndexLink"/>
                <w:rtl w:val="true"/>
              </w:rPr>
              <w:t>:</w:t>
              <w:tab/>
            </w:r>
            <w:r>
              <w:rPr>
                <w:rStyle w:val="IndexLink"/>
              </w:rPr>
              <w:t>92</w:t>
            </w:r>
          </w:hyperlink>
        </w:p>
        <w:p>
          <w:pPr>
            <w:pStyle w:val="Contents4"/>
            <w:tabs>
              <w:tab w:val="clear" w:pos="8176"/>
              <w:tab w:val="right" w:pos="9026" w:leader="dot"/>
            </w:tabs>
            <w:rPr/>
          </w:pPr>
          <w:hyperlink w:anchor="__RefHeading___Toc13424895_1280447820">
            <w:r>
              <w:rPr>
                <w:webHidden/>
                <w:rStyle w:val="IndexLink"/>
                <w:rtl w:val="true"/>
              </w:rPr>
              <w:t>أحدها</w:t>
            </w:r>
            <w:r>
              <w:rPr>
                <w:rStyle w:val="IndexLink"/>
                <w:rtl w:val="true"/>
              </w:rPr>
              <w:t xml:space="preserve">: </w:t>
            </w:r>
            <w:r>
              <w:rPr>
                <w:rStyle w:val="IndexLink"/>
                <w:rtl w:val="true"/>
              </w:rPr>
              <w:t>في أنّ الإجارة تمليك المنفعة بعوض معلوم مع بقاء العين</w:t>
            </w:r>
            <w:r>
              <w:rPr>
                <w:rStyle w:val="IndexLink"/>
                <w:rtl w:val="true"/>
              </w:rPr>
              <w:tab/>
            </w:r>
            <w:r>
              <w:rPr>
                <w:rStyle w:val="IndexLink"/>
              </w:rPr>
              <w:t>92</w:t>
            </w:r>
          </w:hyperlink>
        </w:p>
        <w:p>
          <w:pPr>
            <w:pStyle w:val="Contents4"/>
            <w:tabs>
              <w:tab w:val="clear" w:pos="8176"/>
              <w:tab w:val="right" w:pos="9026" w:leader="dot"/>
            </w:tabs>
            <w:rPr/>
          </w:pPr>
          <w:hyperlink w:anchor="__RefHeading___Toc13424897_1280447820">
            <w:r>
              <w:rPr>
                <w:webHidden/>
                <w:rStyle w:val="IndexLink"/>
                <w:rtl w:val="true"/>
              </w:rPr>
              <w:t>ثانيها</w:t>
            </w:r>
            <w:r>
              <w:rPr>
                <w:rStyle w:val="IndexLink"/>
                <w:rtl w:val="true"/>
              </w:rPr>
              <w:t xml:space="preserve">: </w:t>
            </w:r>
            <w:r>
              <w:rPr>
                <w:rStyle w:val="IndexLink"/>
                <w:rtl w:val="true"/>
              </w:rPr>
              <w:t>في أنّ الإجارة من العقود اللازمة</w:t>
            </w:r>
            <w:r>
              <w:rPr>
                <w:rStyle w:val="IndexLink"/>
                <w:rtl w:val="true"/>
              </w:rPr>
              <w:tab/>
            </w:r>
            <w:r>
              <w:rPr>
                <w:rStyle w:val="IndexLink"/>
              </w:rPr>
              <w:t>93</w:t>
            </w:r>
          </w:hyperlink>
        </w:p>
        <w:p>
          <w:pPr>
            <w:pStyle w:val="Contents4"/>
            <w:tabs>
              <w:tab w:val="clear" w:pos="8176"/>
              <w:tab w:val="right" w:pos="9026" w:leader="dot"/>
            </w:tabs>
            <w:rPr/>
          </w:pPr>
          <w:hyperlink w:anchor="__RefHeading___Toc13424899_1280447820">
            <w:r>
              <w:rPr>
                <w:webHidden/>
                <w:rStyle w:val="IndexLink"/>
                <w:rtl w:val="true"/>
              </w:rPr>
              <w:t>ثالثها</w:t>
            </w:r>
            <w:r>
              <w:rPr>
                <w:rStyle w:val="IndexLink"/>
                <w:rtl w:val="true"/>
              </w:rPr>
              <w:t xml:space="preserve">: </w:t>
            </w:r>
            <w:r>
              <w:rPr>
                <w:rStyle w:val="IndexLink"/>
                <w:rtl w:val="true"/>
              </w:rPr>
              <w:t>في أنّ العين المستأجرة أمانة بيد المستأجر إذا تسلّمها بإذنه</w:t>
            </w:r>
            <w:r>
              <w:rPr>
                <w:rStyle w:val="IndexLink"/>
                <w:rtl w:val="true"/>
              </w:rPr>
              <w:tab/>
            </w:r>
            <w:r>
              <w:rPr>
                <w:rStyle w:val="IndexLink"/>
              </w:rPr>
              <w:t>95</w:t>
            </w:r>
          </w:hyperlink>
        </w:p>
        <w:p>
          <w:pPr>
            <w:pStyle w:val="Contents4"/>
            <w:tabs>
              <w:tab w:val="clear" w:pos="8176"/>
              <w:tab w:val="right" w:pos="9026" w:leader="dot"/>
            </w:tabs>
            <w:rPr/>
          </w:pPr>
          <w:hyperlink w:anchor="__RefHeading___Toc13424901_1280447820">
            <w:r>
              <w:rPr>
                <w:webHidden/>
                <w:rStyle w:val="IndexLink"/>
                <w:rtl w:val="true"/>
              </w:rPr>
              <w:t>رابعها</w:t>
            </w:r>
            <w:r>
              <w:rPr>
                <w:rStyle w:val="IndexLink"/>
                <w:rtl w:val="true"/>
              </w:rPr>
              <w:t xml:space="preserve">: </w:t>
            </w:r>
            <w:r>
              <w:rPr>
                <w:rStyle w:val="IndexLink"/>
                <w:rtl w:val="true"/>
              </w:rPr>
              <w:t>في أنّ كلّ ما تصحّ إعارته تصحّ إجارته</w:t>
            </w:r>
            <w:r>
              <w:rPr>
                <w:rStyle w:val="IndexLink"/>
                <w:rtl w:val="true"/>
              </w:rPr>
              <w:tab/>
            </w:r>
            <w:r>
              <w:rPr>
                <w:rStyle w:val="IndexLink"/>
              </w:rPr>
              <w:t>97</w:t>
            </w:r>
          </w:hyperlink>
        </w:p>
        <w:p>
          <w:pPr>
            <w:pStyle w:val="Contents4"/>
            <w:tabs>
              <w:tab w:val="clear" w:pos="8176"/>
              <w:tab w:val="right" w:pos="9026" w:leader="dot"/>
            </w:tabs>
            <w:rPr/>
          </w:pPr>
          <w:hyperlink w:anchor="__RefHeading___Toc13424903_1280447820">
            <w:r>
              <w:rPr>
                <w:webHidden/>
                <w:rStyle w:val="IndexLink"/>
                <w:rtl w:val="true"/>
              </w:rPr>
              <w:t>خامسها</w:t>
            </w:r>
            <w:r>
              <w:rPr>
                <w:rStyle w:val="IndexLink"/>
                <w:rtl w:val="true"/>
              </w:rPr>
              <w:t xml:space="preserve">: </w:t>
            </w:r>
            <w:r>
              <w:rPr>
                <w:rStyle w:val="IndexLink"/>
                <w:rtl w:val="true"/>
              </w:rPr>
              <w:t>في أنّ خيار المجلس والحيوان والتأخير لا يسري إلى الإجارة</w:t>
            </w:r>
            <w:r>
              <w:rPr>
                <w:rStyle w:val="IndexLink"/>
                <w:rtl w:val="true"/>
              </w:rPr>
              <w:tab/>
            </w:r>
            <w:r>
              <w:rPr>
                <w:rStyle w:val="IndexLink"/>
              </w:rPr>
              <w:t>98</w:t>
            </w:r>
          </w:hyperlink>
        </w:p>
        <w:p>
          <w:pPr>
            <w:pStyle w:val="Contents4"/>
            <w:tabs>
              <w:tab w:val="clear" w:pos="8176"/>
              <w:tab w:val="right" w:pos="9026" w:leader="dot"/>
            </w:tabs>
            <w:rPr/>
          </w:pPr>
          <w:hyperlink w:anchor="__RefHeading___Toc13424905_1280447820">
            <w:r>
              <w:rPr>
                <w:webHidden/>
                <w:rStyle w:val="IndexLink"/>
                <w:rtl w:val="true"/>
              </w:rPr>
              <w:t>سادسها</w:t>
            </w:r>
            <w:r>
              <w:rPr>
                <w:rStyle w:val="IndexLink"/>
                <w:rtl w:val="true"/>
              </w:rPr>
              <w:t xml:space="preserve">: </w:t>
            </w:r>
            <w:r>
              <w:rPr>
                <w:rStyle w:val="IndexLink"/>
                <w:rtl w:val="true"/>
              </w:rPr>
              <w:t>في أنّه يُملك الأجرة والمنفعة بنفس العقد</w:t>
            </w:r>
            <w:r>
              <w:rPr>
                <w:rStyle w:val="IndexLink"/>
                <w:rtl w:val="true"/>
              </w:rPr>
              <w:tab/>
            </w:r>
            <w:r>
              <w:rPr>
                <w:rStyle w:val="IndexLink"/>
              </w:rPr>
              <w:t>99</w:t>
            </w:r>
          </w:hyperlink>
        </w:p>
        <w:p>
          <w:pPr>
            <w:pStyle w:val="Contents4"/>
            <w:tabs>
              <w:tab w:val="clear" w:pos="8176"/>
              <w:tab w:val="right" w:pos="9026" w:leader="dot"/>
            </w:tabs>
            <w:rPr/>
          </w:pPr>
          <w:hyperlink w:anchor="__RefHeading___Toc13424907_1280447820">
            <w:r>
              <w:rPr>
                <w:webHidden/>
                <w:rStyle w:val="IndexLink"/>
                <w:rtl w:val="true"/>
              </w:rPr>
              <w:t>سابعها</w:t>
            </w:r>
            <w:r>
              <w:rPr>
                <w:rStyle w:val="IndexLink"/>
                <w:rtl w:val="true"/>
              </w:rPr>
              <w:t xml:space="preserve">: </w:t>
            </w:r>
            <w:r>
              <w:rPr>
                <w:rStyle w:val="IndexLink"/>
                <w:rtl w:val="true"/>
              </w:rPr>
              <w:t>في أنّه يشترط في عوض الإجارة كونه مملوكاً</w:t>
            </w:r>
            <w:r>
              <w:rPr>
                <w:rStyle w:val="IndexLink"/>
                <w:rtl w:val="true"/>
              </w:rPr>
              <w:tab/>
            </w:r>
            <w:r>
              <w:rPr>
                <w:rStyle w:val="IndexLink"/>
              </w:rPr>
              <w:t>100</w:t>
            </w:r>
          </w:hyperlink>
        </w:p>
        <w:p>
          <w:pPr>
            <w:pStyle w:val="Contents4"/>
            <w:tabs>
              <w:tab w:val="clear" w:pos="8176"/>
              <w:tab w:val="right" w:pos="9026" w:leader="dot"/>
            </w:tabs>
            <w:rPr/>
          </w:pPr>
          <w:hyperlink w:anchor="__RefHeading___Toc13424909_1280447820">
            <w:r>
              <w:rPr>
                <w:webHidden/>
                <w:rStyle w:val="IndexLink"/>
                <w:rtl w:val="true"/>
              </w:rPr>
              <w:t>ثامنها</w:t>
            </w:r>
            <w:r>
              <w:rPr>
                <w:rStyle w:val="IndexLink"/>
                <w:rtl w:val="true"/>
              </w:rPr>
              <w:t xml:space="preserve">: </w:t>
            </w:r>
            <w:r>
              <w:rPr>
                <w:rStyle w:val="IndexLink"/>
                <w:rtl w:val="true"/>
              </w:rPr>
              <w:t>حكم ما لو توقف استيفاء المنفعة على قبض العين وتوقف العمل على قبض العين المعمول بها</w:t>
            </w:r>
            <w:r>
              <w:rPr>
                <w:rStyle w:val="IndexLink"/>
                <w:rtl w:val="true"/>
              </w:rPr>
              <w:tab/>
            </w:r>
            <w:r>
              <w:rPr>
                <w:rStyle w:val="IndexLink"/>
              </w:rPr>
              <w:t>102</w:t>
            </w:r>
          </w:hyperlink>
        </w:p>
        <w:p>
          <w:pPr>
            <w:pStyle w:val="Contents4"/>
            <w:tabs>
              <w:tab w:val="clear" w:pos="8176"/>
              <w:tab w:val="right" w:pos="9026" w:leader="dot"/>
            </w:tabs>
            <w:rPr/>
          </w:pPr>
          <w:hyperlink w:anchor="__RefHeading___Toc13424911_1280447820">
            <w:r>
              <w:rPr>
                <w:webHidden/>
                <w:rStyle w:val="IndexLink"/>
                <w:rtl w:val="true"/>
              </w:rPr>
              <w:t>تاسعها</w:t>
            </w:r>
            <w:r>
              <w:rPr>
                <w:rStyle w:val="IndexLink"/>
                <w:rtl w:val="true"/>
              </w:rPr>
              <w:t xml:space="preserve">: </w:t>
            </w:r>
            <w:r>
              <w:rPr>
                <w:rStyle w:val="IndexLink"/>
                <w:rtl w:val="true"/>
              </w:rPr>
              <w:t>في أنّه يشترط في عوض الإجارة المعلومية بالنوع والوصف أو المشاهدة أو التقدير بالكيل والوزن والعدّ</w:t>
            </w:r>
            <w:r>
              <w:rPr>
                <w:rStyle w:val="IndexLink"/>
                <w:rtl w:val="true"/>
              </w:rPr>
              <w:tab/>
            </w:r>
            <w:r>
              <w:rPr>
                <w:rStyle w:val="IndexLink"/>
              </w:rPr>
              <w:t>103</w:t>
            </w:r>
          </w:hyperlink>
        </w:p>
        <w:p>
          <w:pPr>
            <w:pStyle w:val="Contents4"/>
            <w:tabs>
              <w:tab w:val="clear" w:pos="8176"/>
              <w:tab w:val="right" w:pos="9026" w:leader="dot"/>
            </w:tabs>
            <w:rPr/>
          </w:pPr>
          <w:hyperlink w:anchor="__RefHeading___Toc13424913_1280447820">
            <w:r>
              <w:rPr>
                <w:webHidden/>
                <w:rStyle w:val="IndexLink"/>
                <w:rtl w:val="true"/>
              </w:rPr>
              <w:t>عاشرها</w:t>
            </w:r>
            <w:r>
              <w:rPr>
                <w:rStyle w:val="IndexLink"/>
                <w:rtl w:val="true"/>
              </w:rPr>
              <w:t xml:space="preserve">: </w:t>
            </w:r>
            <w:r>
              <w:rPr>
                <w:rStyle w:val="IndexLink"/>
                <w:rtl w:val="true"/>
              </w:rPr>
              <w:t>اشتراط الجزم في عقد الإجارة</w:t>
            </w:r>
            <w:r>
              <w:rPr>
                <w:rStyle w:val="IndexLink"/>
                <w:rtl w:val="true"/>
              </w:rPr>
              <w:tab/>
            </w:r>
            <w:r>
              <w:rPr>
                <w:rStyle w:val="IndexLink"/>
              </w:rPr>
              <w:t>105</w:t>
            </w:r>
          </w:hyperlink>
        </w:p>
        <w:p>
          <w:pPr>
            <w:pStyle w:val="Contents4"/>
            <w:tabs>
              <w:tab w:val="clear" w:pos="8176"/>
              <w:tab w:val="right" w:pos="9026" w:leader="dot"/>
            </w:tabs>
            <w:rPr/>
          </w:pPr>
          <w:hyperlink w:anchor="__RefHeading___Toc13424915_1280447820">
            <w:r>
              <w:rPr>
                <w:webHidden/>
                <w:rStyle w:val="IndexLink"/>
                <w:rtl w:val="true"/>
              </w:rPr>
              <w:t>حادي عشرها</w:t>
            </w:r>
            <w:r>
              <w:rPr>
                <w:rStyle w:val="IndexLink"/>
                <w:rtl w:val="true"/>
              </w:rPr>
              <w:t xml:space="preserve">: </w:t>
            </w:r>
            <w:r>
              <w:rPr>
                <w:rStyle w:val="IndexLink"/>
                <w:rtl w:val="true"/>
              </w:rPr>
              <w:t>في أنّ كلّ موضع يفسد عقد الإجارة فيه تضمن المنفعة فيه</w:t>
            </w:r>
            <w:r>
              <w:rPr>
                <w:rStyle w:val="IndexLink"/>
                <w:rtl w:val="true"/>
              </w:rPr>
              <w:tab/>
            </w:r>
            <w:r>
              <w:rPr>
                <w:rStyle w:val="IndexLink"/>
              </w:rPr>
              <w:t>106</w:t>
            </w:r>
          </w:hyperlink>
        </w:p>
        <w:p>
          <w:pPr>
            <w:pStyle w:val="Contents4"/>
            <w:tabs>
              <w:tab w:val="clear" w:pos="8176"/>
              <w:tab w:val="right" w:pos="9026" w:leader="dot"/>
            </w:tabs>
            <w:rPr/>
          </w:pPr>
          <w:hyperlink w:anchor="__RefHeading___Toc13424917_1280447820">
            <w:r>
              <w:rPr>
                <w:webHidden/>
                <w:rStyle w:val="IndexLink"/>
                <w:rtl w:val="true"/>
              </w:rPr>
              <w:t>ثاني عشرها</w:t>
            </w:r>
            <w:r>
              <w:rPr>
                <w:rStyle w:val="IndexLink"/>
                <w:rtl w:val="true"/>
              </w:rPr>
              <w:t xml:space="preserve">: </w:t>
            </w:r>
            <w:r>
              <w:rPr>
                <w:rStyle w:val="IndexLink"/>
                <w:rtl w:val="true"/>
              </w:rPr>
              <w:t>فيما يتعلّق بالأجير الخاص والأجير المطلق</w:t>
            </w:r>
            <w:r>
              <w:rPr>
                <w:rStyle w:val="IndexLink"/>
                <w:rtl w:val="true"/>
              </w:rPr>
              <w:tab/>
            </w:r>
            <w:r>
              <w:rPr>
                <w:rStyle w:val="IndexLink"/>
              </w:rPr>
              <w:t>108</w:t>
            </w:r>
          </w:hyperlink>
        </w:p>
        <w:p>
          <w:pPr>
            <w:pStyle w:val="Contents4"/>
            <w:tabs>
              <w:tab w:val="clear" w:pos="8176"/>
              <w:tab w:val="right" w:pos="9026" w:leader="dot"/>
            </w:tabs>
            <w:rPr/>
          </w:pPr>
          <w:hyperlink w:anchor="__RefHeading___Toc13424919_1280447820">
            <w:r>
              <w:rPr>
                <w:webHidden/>
                <w:rStyle w:val="IndexLink"/>
                <w:rtl w:val="true"/>
              </w:rPr>
              <w:t>ثالث عشرها</w:t>
            </w:r>
            <w:r>
              <w:rPr>
                <w:rStyle w:val="IndexLink"/>
                <w:rtl w:val="true"/>
              </w:rPr>
              <w:t xml:space="preserve">: </w:t>
            </w:r>
            <w:r>
              <w:rPr>
                <w:rStyle w:val="IndexLink"/>
                <w:rtl w:val="true"/>
              </w:rPr>
              <w:t>حكم ما لو قدرت المنفعة بالعمل المخصوص أو بالمدّة</w:t>
            </w:r>
            <w:r>
              <w:rPr>
                <w:rStyle w:val="IndexLink"/>
                <w:rtl w:val="true"/>
              </w:rPr>
              <w:tab/>
            </w:r>
            <w:r>
              <w:rPr>
                <w:rStyle w:val="IndexLink"/>
              </w:rPr>
              <w:t>111</w:t>
            </w:r>
          </w:hyperlink>
        </w:p>
        <w:p>
          <w:pPr>
            <w:pStyle w:val="Contents4"/>
            <w:tabs>
              <w:tab w:val="clear" w:pos="8176"/>
              <w:tab w:val="right" w:pos="9026" w:leader="dot"/>
            </w:tabs>
            <w:rPr/>
          </w:pPr>
          <w:hyperlink w:anchor="__RefHeading___Toc13424921_1280447820">
            <w:r>
              <w:rPr>
                <w:webHidden/>
                <w:rStyle w:val="IndexLink"/>
                <w:rtl w:val="true"/>
              </w:rPr>
              <w:t>رابع عشرها</w:t>
            </w:r>
            <w:r>
              <w:rPr>
                <w:rStyle w:val="IndexLink"/>
                <w:rtl w:val="true"/>
              </w:rPr>
              <w:t xml:space="preserve">: </w:t>
            </w:r>
            <w:r>
              <w:rPr>
                <w:rStyle w:val="IndexLink"/>
                <w:rtl w:val="true"/>
              </w:rPr>
              <w:t>فيما لو تعيّنت المدّة فبذل المؤجر العين فيها لزمت الإجارة</w:t>
            </w:r>
            <w:r>
              <w:rPr>
                <w:rStyle w:val="IndexLink"/>
                <w:rtl w:val="true"/>
              </w:rPr>
              <w:tab/>
            </w:r>
            <w:r>
              <w:rPr>
                <w:rStyle w:val="IndexLink"/>
              </w:rPr>
              <w:t>112</w:t>
            </w:r>
          </w:hyperlink>
        </w:p>
        <w:p>
          <w:pPr>
            <w:pStyle w:val="Contents4"/>
            <w:tabs>
              <w:tab w:val="clear" w:pos="8176"/>
              <w:tab w:val="right" w:pos="9026" w:leader="dot"/>
            </w:tabs>
            <w:rPr/>
          </w:pPr>
          <w:hyperlink w:anchor="__RefHeading___Toc13424923_1280447820">
            <w:r>
              <w:rPr>
                <w:webHidden/>
                <w:rStyle w:val="IndexLink"/>
                <w:rtl w:val="true"/>
              </w:rPr>
              <w:t>خامس عشرها</w:t>
            </w:r>
            <w:r>
              <w:rPr>
                <w:rStyle w:val="IndexLink"/>
                <w:rtl w:val="true"/>
              </w:rPr>
              <w:t xml:space="preserve">: </w:t>
            </w:r>
            <w:r>
              <w:rPr>
                <w:rStyle w:val="IndexLink"/>
                <w:rtl w:val="true"/>
              </w:rPr>
              <w:t>في أنّ كلّ ما يتوقف عليه استيفاء المنفعة من المستأجر وكان من متعلقات العمل أو العين المؤجرة فهو على المؤجر</w:t>
            </w:r>
            <w:r>
              <w:rPr>
                <w:rStyle w:val="IndexLink"/>
                <w:rtl w:val="true"/>
              </w:rPr>
              <w:tab/>
            </w:r>
            <w:r>
              <w:rPr>
                <w:rStyle w:val="IndexLink"/>
              </w:rPr>
              <w:t>113</w:t>
            </w:r>
          </w:hyperlink>
        </w:p>
        <w:p>
          <w:pPr>
            <w:pStyle w:val="Contents4"/>
            <w:tabs>
              <w:tab w:val="clear" w:pos="8176"/>
              <w:tab w:val="right" w:pos="9026" w:leader="dot"/>
            </w:tabs>
            <w:rPr/>
          </w:pPr>
          <w:hyperlink w:anchor="__RefHeading___Toc13424925_1280447820">
            <w:r>
              <w:rPr>
                <w:webHidden/>
                <w:rStyle w:val="IndexLink"/>
                <w:rtl w:val="true"/>
              </w:rPr>
              <w:t>سادس عشرها</w:t>
            </w:r>
            <w:r>
              <w:rPr>
                <w:rStyle w:val="IndexLink"/>
                <w:rtl w:val="true"/>
              </w:rPr>
              <w:t xml:space="preserve">: </w:t>
            </w:r>
            <w:r>
              <w:rPr>
                <w:rStyle w:val="IndexLink"/>
                <w:rtl w:val="true"/>
              </w:rPr>
              <w:t>في أنّ تلف المنفعة قبل استيفائها بمنزلة تلف المبيع قبل قبضه سادس عشرها</w:t>
            </w:r>
            <w:r>
              <w:rPr>
                <w:rStyle w:val="IndexLink"/>
                <w:rtl w:val="true"/>
              </w:rPr>
              <w:t xml:space="preserve">: </w:t>
            </w:r>
            <w:r>
              <w:rPr>
                <w:rStyle w:val="IndexLink"/>
                <w:rtl w:val="true"/>
              </w:rPr>
              <w:t xml:space="preserve">ظاهر الأصحاب أنّ تلف المنفعة قبل استيفائها أو قبل مضي مدّة يمكن فيها استيفاؤها منها كلّاً أو بعضاً بمنزلة تلف المبيع قبل قبضه، تنفسخ فيه الإجارة كلاً إن تلفت كلّاً وبعضاً إن تلفت بعضاً فيتسلّط المستأجر على الخيار </w:t>
            </w:r>
            <w:r>
              <w:rPr>
                <w:rStyle w:val="IndexLink"/>
                <w:rtl w:val="true"/>
              </w:rPr>
              <w:t xml:space="preserve">- </w:t>
            </w:r>
            <w:r>
              <w:rPr>
                <w:rStyle w:val="IndexLink"/>
                <w:rtl w:val="true"/>
              </w:rPr>
              <w:t xml:space="preserve">لمكان تبعيض الصفقة </w:t>
            </w:r>
            <w:r>
              <w:rPr>
                <w:rStyle w:val="IndexLink"/>
                <w:rtl w:val="true"/>
              </w:rPr>
              <w:t xml:space="preserve">- </w:t>
            </w:r>
            <w:r>
              <w:rPr>
                <w:rStyle w:val="IndexLink"/>
                <w:rtl w:val="true"/>
              </w:rPr>
              <w:t>بين الفسخ والرجوع بالمسمّى وبين الإمضاء والرجوع بما قابل المتخلف، فإن كانت متساوية فظاهر، وإلا قوم الجميع، وقوم المتخلف منفرداً ورجع بتلك النسبة</w:t>
            </w:r>
            <w:r>
              <w:rPr>
                <w:rStyle w:val="IndexLink"/>
                <w:rtl w:val="true"/>
              </w:rPr>
              <w:t>.</w:t>
              <w:tab/>
            </w:r>
            <w:r>
              <w:rPr>
                <w:rStyle w:val="IndexLink"/>
              </w:rPr>
              <w:t>114</w:t>
            </w:r>
          </w:hyperlink>
        </w:p>
        <w:p>
          <w:pPr>
            <w:pStyle w:val="Contents4"/>
            <w:tabs>
              <w:tab w:val="clear" w:pos="8176"/>
              <w:tab w:val="right" w:pos="9026" w:leader="dot"/>
            </w:tabs>
            <w:rPr/>
          </w:pPr>
          <w:hyperlink w:anchor="__RefHeading___Toc13424927_1280447820">
            <w:r>
              <w:rPr>
                <w:webHidden/>
                <w:rStyle w:val="IndexLink"/>
                <w:rtl w:val="true"/>
              </w:rPr>
              <w:t>سابع عشرها</w:t>
            </w:r>
            <w:r>
              <w:rPr>
                <w:rStyle w:val="IndexLink"/>
                <w:rtl w:val="true"/>
              </w:rPr>
              <w:t xml:space="preserve">: </w:t>
            </w:r>
            <w:r>
              <w:rPr>
                <w:rStyle w:val="IndexLink"/>
                <w:rtl w:val="true"/>
              </w:rPr>
              <w:t>في أنّ امتناع المنفعة عقلاً أو عادةً أو شرعاً كتلف المنفعة</w:t>
            </w:r>
            <w:r>
              <w:rPr>
                <w:rStyle w:val="IndexLink"/>
                <w:rtl w:val="true"/>
              </w:rPr>
              <w:tab/>
            </w:r>
            <w:r>
              <w:rPr>
                <w:rStyle w:val="IndexLink"/>
              </w:rPr>
              <w:t>115</w:t>
            </w:r>
          </w:hyperlink>
        </w:p>
        <w:p>
          <w:pPr>
            <w:pStyle w:val="Contents4"/>
            <w:tabs>
              <w:tab w:val="clear" w:pos="8176"/>
              <w:tab w:val="right" w:pos="9026" w:leader="dot"/>
            </w:tabs>
            <w:rPr/>
          </w:pPr>
          <w:hyperlink w:anchor="__RefHeading___Toc13424929_1280447820">
            <w:r>
              <w:rPr>
                <w:webHidden/>
                <w:rStyle w:val="IndexLink"/>
                <w:rtl w:val="true"/>
              </w:rPr>
              <w:t>ثامن عشرها</w:t>
            </w:r>
            <w:r>
              <w:rPr>
                <w:rStyle w:val="IndexLink"/>
                <w:rtl w:val="true"/>
              </w:rPr>
              <w:t xml:space="preserve">: </w:t>
            </w:r>
            <w:r>
              <w:rPr>
                <w:rStyle w:val="IndexLink"/>
                <w:rtl w:val="true"/>
              </w:rPr>
              <w:t>اشتراط معلوميّة العين المستأجرة بالمشاهدة أو الوصف وكذا معلومية المستوفي للمنفعة</w:t>
            </w:r>
            <w:r>
              <w:rPr>
                <w:rStyle w:val="IndexLink"/>
                <w:rtl w:val="true"/>
              </w:rPr>
              <w:tab/>
            </w:r>
            <w:r>
              <w:rPr>
                <w:rStyle w:val="IndexLink"/>
              </w:rPr>
              <w:t>115</w:t>
            </w:r>
          </w:hyperlink>
        </w:p>
        <w:p>
          <w:pPr>
            <w:pStyle w:val="Contents4"/>
            <w:tabs>
              <w:tab w:val="clear" w:pos="8176"/>
              <w:tab w:val="right" w:pos="9026" w:leader="dot"/>
            </w:tabs>
            <w:rPr/>
          </w:pPr>
          <w:hyperlink w:anchor="__RefHeading___Toc13424931_1280447820">
            <w:r>
              <w:rPr>
                <w:webHidden/>
                <w:rStyle w:val="IndexLink"/>
                <w:rtl w:val="true"/>
              </w:rPr>
              <w:t>تاسع عشرها</w:t>
            </w:r>
            <w:r>
              <w:rPr>
                <w:rStyle w:val="IndexLink"/>
                <w:rtl w:val="true"/>
              </w:rPr>
              <w:t xml:space="preserve">: </w:t>
            </w:r>
            <w:r>
              <w:rPr>
                <w:rStyle w:val="IndexLink"/>
                <w:rtl w:val="true"/>
              </w:rPr>
              <w:t>حكم ما لو تعدّى المستأجر في العين المستأجرة أو فرّط</w:t>
            </w:r>
            <w:r>
              <w:rPr>
                <w:rStyle w:val="IndexLink"/>
                <w:rtl w:val="true"/>
              </w:rPr>
              <w:tab/>
            </w:r>
            <w:r>
              <w:rPr>
                <w:rStyle w:val="IndexLink"/>
              </w:rPr>
              <w:t>120</w:t>
            </w:r>
          </w:hyperlink>
        </w:p>
        <w:p>
          <w:pPr>
            <w:pStyle w:val="Contents4"/>
            <w:tabs>
              <w:tab w:val="clear" w:pos="8176"/>
              <w:tab w:val="right" w:pos="9026" w:leader="dot"/>
            </w:tabs>
            <w:rPr/>
          </w:pPr>
          <w:hyperlink w:anchor="__RefHeading___Toc13424933_1280447820">
            <w:r>
              <w:rPr>
                <w:webHidden/>
                <w:rStyle w:val="IndexLink"/>
                <w:rtl w:val="true"/>
              </w:rPr>
              <w:t>العشرون</w:t>
            </w:r>
            <w:r>
              <w:rPr>
                <w:rStyle w:val="IndexLink"/>
                <w:rtl w:val="true"/>
              </w:rPr>
              <w:t xml:space="preserve">: </w:t>
            </w:r>
            <w:r>
              <w:rPr>
                <w:rStyle w:val="IndexLink"/>
                <w:rtl w:val="true"/>
              </w:rPr>
              <w:t>في أنّه يلزم المستأجر ذكر موضع التسليم للعين المستأجرة</w:t>
            </w:r>
            <w:r>
              <w:rPr>
                <w:rStyle w:val="IndexLink"/>
                <w:rtl w:val="true"/>
              </w:rPr>
              <w:tab/>
            </w:r>
            <w:r>
              <w:rPr>
                <w:rStyle w:val="IndexLink"/>
              </w:rPr>
              <w:t>122</w:t>
            </w:r>
          </w:hyperlink>
        </w:p>
        <w:p>
          <w:pPr>
            <w:pStyle w:val="Contents4"/>
            <w:tabs>
              <w:tab w:val="clear" w:pos="8176"/>
              <w:tab w:val="right" w:pos="9026" w:leader="dot"/>
            </w:tabs>
            <w:rPr/>
          </w:pPr>
          <w:hyperlink w:anchor="__RefHeading___Toc13424935_1280447820">
            <w:r>
              <w:rPr>
                <w:webHidden/>
                <w:rStyle w:val="IndexLink"/>
                <w:rtl w:val="true"/>
              </w:rPr>
              <w:t>الواحد والعشرون</w:t>
            </w:r>
            <w:r>
              <w:rPr>
                <w:rStyle w:val="IndexLink"/>
                <w:rtl w:val="true"/>
              </w:rPr>
              <w:t xml:space="preserve">: </w:t>
            </w:r>
            <w:r>
              <w:rPr>
                <w:rStyle w:val="IndexLink"/>
                <w:rtl w:val="true"/>
              </w:rPr>
              <w:t>صحّة استئجار كلّ ماله منفعة مقصودة عقلائية مع بقاء عينه</w:t>
            </w:r>
            <w:r>
              <w:rPr>
                <w:rStyle w:val="IndexLink"/>
                <w:rtl w:val="true"/>
              </w:rPr>
              <w:tab/>
            </w:r>
            <w:r>
              <w:rPr>
                <w:rStyle w:val="IndexLink"/>
              </w:rPr>
              <w:t>124</w:t>
            </w:r>
          </w:hyperlink>
        </w:p>
        <w:p>
          <w:pPr>
            <w:pStyle w:val="Contents4"/>
            <w:tabs>
              <w:tab w:val="clear" w:pos="8176"/>
              <w:tab w:val="right" w:pos="9026" w:leader="dot"/>
            </w:tabs>
            <w:rPr/>
          </w:pPr>
          <w:hyperlink w:anchor="__RefHeading___Toc13424937_1280447820">
            <w:r>
              <w:rPr>
                <w:webHidden/>
                <w:rStyle w:val="IndexLink"/>
                <w:rtl w:val="true"/>
              </w:rPr>
              <w:t>الثاني والعشرون</w:t>
            </w:r>
            <w:r>
              <w:rPr>
                <w:rStyle w:val="IndexLink"/>
                <w:rtl w:val="true"/>
              </w:rPr>
              <w:t xml:space="preserve">: </w:t>
            </w:r>
            <w:r>
              <w:rPr>
                <w:rStyle w:val="IndexLink"/>
                <w:rtl w:val="true"/>
              </w:rPr>
              <w:t>حكم ما لو استأجر دابّة أو أجيراً لحمل شيء معين فزاده عند الحمل من دون علم المؤجر أو الاستئذان منه</w:t>
            </w:r>
            <w:r>
              <w:rPr>
                <w:rStyle w:val="IndexLink"/>
                <w:rtl w:val="true"/>
              </w:rPr>
              <w:tab/>
            </w:r>
            <w:r>
              <w:rPr>
                <w:rStyle w:val="IndexLink"/>
              </w:rPr>
              <w:t>125</w:t>
            </w:r>
          </w:hyperlink>
        </w:p>
        <w:p>
          <w:pPr>
            <w:pStyle w:val="Contents4"/>
            <w:tabs>
              <w:tab w:val="clear" w:pos="8176"/>
              <w:tab w:val="right" w:pos="9026" w:leader="dot"/>
            </w:tabs>
            <w:rPr/>
          </w:pPr>
          <w:hyperlink w:anchor="__RefHeading___Toc13424939_1280447820">
            <w:r>
              <w:rPr>
                <w:webHidden/>
                <w:rStyle w:val="IndexLink"/>
                <w:rtl w:val="true"/>
              </w:rPr>
              <w:t>الثالث والعشرون</w:t>
            </w:r>
            <w:r>
              <w:rPr>
                <w:rStyle w:val="IndexLink"/>
                <w:rtl w:val="true"/>
              </w:rPr>
              <w:t xml:space="preserve">: </w:t>
            </w:r>
            <w:r>
              <w:rPr>
                <w:rStyle w:val="IndexLink"/>
                <w:rtl w:val="true"/>
              </w:rPr>
              <w:t>في أنّه يشترط في الإجارة كون المنفعة المقصود عليها محلّلةً</w:t>
            </w:r>
            <w:r>
              <w:rPr>
                <w:rStyle w:val="IndexLink"/>
                <w:rtl w:val="true"/>
              </w:rPr>
              <w:tab/>
            </w:r>
            <w:r>
              <w:rPr>
                <w:rStyle w:val="IndexLink"/>
              </w:rPr>
              <w:t>126</w:t>
            </w:r>
          </w:hyperlink>
        </w:p>
        <w:p>
          <w:pPr>
            <w:pStyle w:val="Contents4"/>
            <w:tabs>
              <w:tab w:val="clear" w:pos="8176"/>
              <w:tab w:val="right" w:pos="9026" w:leader="dot"/>
            </w:tabs>
            <w:rPr/>
          </w:pPr>
          <w:hyperlink w:anchor="__RefHeading___Toc13424941_1280447820">
            <w:r>
              <w:rPr>
                <w:webHidden/>
                <w:rStyle w:val="IndexLink"/>
                <w:rtl w:val="true"/>
              </w:rPr>
              <w:t>الرابع والعشرون</w:t>
            </w:r>
            <w:r>
              <w:rPr>
                <w:rStyle w:val="IndexLink"/>
                <w:rtl w:val="true"/>
              </w:rPr>
              <w:t xml:space="preserve">: </w:t>
            </w:r>
            <w:r>
              <w:rPr>
                <w:rStyle w:val="IndexLink"/>
                <w:rtl w:val="true"/>
              </w:rPr>
              <w:t>في أنّه يشترط في عقد الإجارة القدرة على التسليم</w:t>
            </w:r>
            <w:r>
              <w:rPr>
                <w:rStyle w:val="IndexLink"/>
                <w:rtl w:val="true"/>
              </w:rPr>
              <w:tab/>
            </w:r>
            <w:r>
              <w:rPr>
                <w:rStyle w:val="IndexLink"/>
              </w:rPr>
              <w:t>127</w:t>
            </w:r>
          </w:hyperlink>
        </w:p>
        <w:p>
          <w:pPr>
            <w:pStyle w:val="Contents4"/>
            <w:tabs>
              <w:tab w:val="clear" w:pos="8176"/>
              <w:tab w:val="right" w:pos="9026" w:leader="dot"/>
            </w:tabs>
            <w:rPr/>
          </w:pPr>
          <w:hyperlink w:anchor="__RefHeading___Toc13424943_1280447820">
            <w:r>
              <w:rPr>
                <w:webHidden/>
                <w:rStyle w:val="IndexLink"/>
                <w:rtl w:val="true"/>
              </w:rPr>
              <w:t xml:space="preserve">الخامس والعشرون </w:t>
            </w:r>
            <w:r>
              <w:rPr>
                <w:rStyle w:val="IndexLink"/>
                <w:rtl w:val="true"/>
              </w:rPr>
              <w:t xml:space="preserve">: </w:t>
            </w:r>
            <w:r>
              <w:rPr>
                <w:rStyle w:val="IndexLink"/>
                <w:rtl w:val="true"/>
              </w:rPr>
              <w:t>حكم ما لو طرأ على العين المستأجرة ما يقضي ببطلان الانتفاع بها</w:t>
            </w:r>
            <w:r>
              <w:rPr>
                <w:rStyle w:val="IndexLink"/>
                <w:rtl w:val="true"/>
              </w:rPr>
              <w:tab/>
            </w:r>
            <w:r>
              <w:rPr>
                <w:rStyle w:val="IndexLink"/>
              </w:rPr>
              <w:t>129</w:t>
            </w:r>
          </w:hyperlink>
        </w:p>
        <w:p>
          <w:pPr>
            <w:pStyle w:val="Contents4"/>
            <w:tabs>
              <w:tab w:val="clear" w:pos="8176"/>
              <w:tab w:val="right" w:pos="9026" w:leader="dot"/>
            </w:tabs>
            <w:rPr/>
          </w:pPr>
          <w:hyperlink w:anchor="__RefHeading___Toc13424945_1280447820">
            <w:r>
              <w:rPr>
                <w:webHidden/>
                <w:rStyle w:val="IndexLink"/>
                <w:rtl w:val="true"/>
              </w:rPr>
              <w:t>السادس والعشرون</w:t>
            </w:r>
            <w:r>
              <w:rPr>
                <w:rStyle w:val="IndexLink"/>
                <w:rtl w:val="true"/>
              </w:rPr>
              <w:t xml:space="preserve">: </w:t>
            </w:r>
            <w:r>
              <w:rPr>
                <w:rStyle w:val="IndexLink"/>
                <w:rtl w:val="true"/>
              </w:rPr>
              <w:t>في أنّ صاحب الحمّام لا يكون ضامناً لما يسلّمه إليه المغتسل من الثياب وشبهها إلّا مع التعدّي أو التفريط</w:t>
            </w:r>
            <w:r>
              <w:rPr>
                <w:rStyle w:val="IndexLink"/>
                <w:rtl w:val="true"/>
              </w:rPr>
              <w:tab/>
            </w:r>
            <w:r>
              <w:rPr>
                <w:rStyle w:val="IndexLink"/>
              </w:rPr>
              <w:t>130</w:t>
            </w:r>
          </w:hyperlink>
        </w:p>
        <w:p>
          <w:pPr>
            <w:pStyle w:val="Contents4"/>
            <w:tabs>
              <w:tab w:val="clear" w:pos="8176"/>
              <w:tab w:val="right" w:pos="9026" w:leader="dot"/>
            </w:tabs>
            <w:rPr/>
          </w:pPr>
          <w:hyperlink w:anchor="__RefHeading___Toc13424947_1280447820">
            <w:r>
              <w:rPr>
                <w:webHidden/>
                <w:rStyle w:val="IndexLink"/>
                <w:rtl w:val="true"/>
              </w:rPr>
              <w:t>السابع والعشرون</w:t>
            </w:r>
            <w:r>
              <w:rPr>
                <w:rStyle w:val="IndexLink"/>
                <w:rtl w:val="true"/>
              </w:rPr>
              <w:t xml:space="preserve">: </w:t>
            </w:r>
            <w:r>
              <w:rPr>
                <w:rStyle w:val="IndexLink"/>
                <w:rtl w:val="true"/>
              </w:rPr>
              <w:t>في أنّ العين المقبوضة من يد المستأجر بيد المؤجر أمانة</w:t>
            </w:r>
            <w:r>
              <w:rPr>
                <w:rStyle w:val="IndexLink"/>
                <w:rtl w:val="true"/>
              </w:rPr>
              <w:tab/>
            </w:r>
            <w:r>
              <w:rPr>
                <w:rStyle w:val="IndexLink"/>
              </w:rPr>
              <w:t>130</w:t>
            </w:r>
          </w:hyperlink>
        </w:p>
        <w:p>
          <w:pPr>
            <w:pStyle w:val="Contents4"/>
            <w:tabs>
              <w:tab w:val="clear" w:pos="8176"/>
              <w:tab w:val="right" w:pos="9026" w:leader="dot"/>
            </w:tabs>
            <w:rPr/>
          </w:pPr>
          <w:hyperlink w:anchor="__RefHeading___Toc13424949_1280447820">
            <w:r>
              <w:rPr>
                <w:webHidden/>
                <w:rStyle w:val="IndexLink"/>
                <w:rtl w:val="true"/>
              </w:rPr>
              <w:t>الثامن والعشرون</w:t>
            </w:r>
            <w:r>
              <w:rPr>
                <w:rStyle w:val="IndexLink"/>
                <w:rtl w:val="true"/>
              </w:rPr>
              <w:t xml:space="preserve">: </w:t>
            </w:r>
            <w:r>
              <w:rPr>
                <w:rStyle w:val="IndexLink"/>
                <w:rtl w:val="true"/>
              </w:rPr>
              <w:t>في أنّ من تقبل عملاً بإجارة أو غيرها جاز أن يقبله غيره مطلقاً</w:t>
            </w:r>
            <w:r>
              <w:rPr>
                <w:rStyle w:val="IndexLink"/>
                <w:rtl w:val="true"/>
              </w:rPr>
              <w:tab/>
            </w:r>
            <w:r>
              <w:rPr>
                <w:rStyle w:val="IndexLink"/>
              </w:rPr>
              <w:t>134</w:t>
            </w:r>
          </w:hyperlink>
        </w:p>
        <w:p>
          <w:pPr>
            <w:pStyle w:val="Contents4"/>
            <w:tabs>
              <w:tab w:val="clear" w:pos="8176"/>
              <w:tab w:val="right" w:pos="9026" w:leader="dot"/>
            </w:tabs>
            <w:rPr/>
          </w:pPr>
          <w:hyperlink w:anchor="__RefHeading___Toc13424951_1280447820">
            <w:r>
              <w:rPr>
                <w:webHidden/>
                <w:rStyle w:val="IndexLink"/>
                <w:rtl w:val="true"/>
              </w:rPr>
              <w:t>التاسع والعشرون</w:t>
            </w:r>
            <w:r>
              <w:rPr>
                <w:rStyle w:val="IndexLink"/>
                <w:rtl w:val="true"/>
              </w:rPr>
              <w:t xml:space="preserve">: </w:t>
            </w:r>
            <w:r>
              <w:rPr>
                <w:rStyle w:val="IndexLink"/>
                <w:rtl w:val="true"/>
              </w:rPr>
              <w:t>في أنّه لا يلزم المستأجر نفقة الدابّة إلّا إذا اشترطت عليه مع تعيّنها قدراً</w:t>
            </w:r>
            <w:r>
              <w:rPr>
                <w:rStyle w:val="IndexLink"/>
                <w:rtl w:val="true"/>
              </w:rPr>
              <w:tab/>
            </w:r>
            <w:r>
              <w:rPr>
                <w:rStyle w:val="IndexLink"/>
              </w:rPr>
              <w:t>135</w:t>
            </w:r>
          </w:hyperlink>
        </w:p>
        <w:p>
          <w:pPr>
            <w:pStyle w:val="Contents4"/>
            <w:tabs>
              <w:tab w:val="clear" w:pos="8176"/>
              <w:tab w:val="right" w:pos="9026" w:leader="dot"/>
            </w:tabs>
            <w:rPr/>
          </w:pPr>
          <w:hyperlink w:anchor="__RefHeading___Toc13424953_1280447820">
            <w:r>
              <w:rPr>
                <w:webHidden/>
                <w:rStyle w:val="IndexLink"/>
                <w:rtl w:val="true"/>
              </w:rPr>
              <w:t>الثلاثون</w:t>
            </w:r>
            <w:r>
              <w:rPr>
                <w:rStyle w:val="IndexLink"/>
                <w:rtl w:val="true"/>
              </w:rPr>
              <w:t xml:space="preserve">: </w:t>
            </w:r>
            <w:r>
              <w:rPr>
                <w:rStyle w:val="IndexLink"/>
                <w:rtl w:val="true"/>
              </w:rPr>
              <w:t>حكم ما لو أجر العبد نفسه من دون إذن مولاه أو أجره المولى أو آجر نفسه بإذن مولاه وتعدى أو فرّط في العين المقبوضة</w:t>
            </w:r>
            <w:r>
              <w:rPr>
                <w:rStyle w:val="IndexLink"/>
                <w:rtl w:val="true"/>
              </w:rPr>
              <w:tab/>
            </w:r>
            <w:r>
              <w:rPr>
                <w:rStyle w:val="IndexLink"/>
              </w:rPr>
              <w:t>137</w:t>
            </w:r>
          </w:hyperlink>
        </w:p>
        <w:p>
          <w:pPr>
            <w:pStyle w:val="Contents4"/>
            <w:tabs>
              <w:tab w:val="clear" w:pos="8176"/>
              <w:tab w:val="right" w:pos="9026" w:leader="dot"/>
            </w:tabs>
            <w:rPr/>
          </w:pPr>
          <w:hyperlink w:anchor="__RefHeading___Toc13424955_1280447820">
            <w:r>
              <w:rPr>
                <w:webHidden/>
                <w:rStyle w:val="IndexLink"/>
                <w:rtl w:val="true"/>
              </w:rPr>
              <w:t>الواحد والثلاثون</w:t>
            </w:r>
            <w:r>
              <w:rPr>
                <w:rStyle w:val="IndexLink"/>
                <w:rtl w:val="true"/>
              </w:rPr>
              <w:t xml:space="preserve">: </w:t>
            </w:r>
            <w:r>
              <w:rPr>
                <w:rStyle w:val="IndexLink"/>
                <w:rtl w:val="true"/>
              </w:rPr>
              <w:t>فيما يتعلّق بجواز إجارة العبد ثمّ عتقه</w:t>
            </w:r>
            <w:r>
              <w:rPr>
                <w:rStyle w:val="IndexLink"/>
                <w:rtl w:val="true"/>
              </w:rPr>
              <w:tab/>
            </w:r>
            <w:r>
              <w:rPr>
                <w:rStyle w:val="IndexLink"/>
              </w:rPr>
              <w:t>138</w:t>
            </w:r>
          </w:hyperlink>
        </w:p>
        <w:p>
          <w:pPr>
            <w:pStyle w:val="Contents4"/>
            <w:tabs>
              <w:tab w:val="clear" w:pos="8176"/>
              <w:tab w:val="right" w:pos="9026" w:leader="dot"/>
            </w:tabs>
            <w:rPr/>
          </w:pPr>
          <w:hyperlink w:anchor="__RefHeading___Toc13424957_1280447820">
            <w:r>
              <w:rPr>
                <w:webHidden/>
                <w:rStyle w:val="IndexLink"/>
                <w:rtl w:val="true"/>
              </w:rPr>
              <w:t>الثاني والثلاثون</w:t>
            </w:r>
            <w:r>
              <w:rPr>
                <w:rStyle w:val="IndexLink"/>
                <w:rtl w:val="true"/>
              </w:rPr>
              <w:t xml:space="preserve">: </w:t>
            </w:r>
            <w:r>
              <w:rPr>
                <w:rStyle w:val="IndexLink"/>
                <w:rtl w:val="true"/>
              </w:rPr>
              <w:t>حكم إيجار الوليّ للصبي أو المجنون أو السفيه أو إيجاره ما لهم</w:t>
            </w:r>
            <w:r>
              <w:rPr>
                <w:rStyle w:val="IndexLink"/>
                <w:rtl w:val="true"/>
              </w:rPr>
              <w:tab/>
            </w:r>
            <w:r>
              <w:rPr>
                <w:rStyle w:val="IndexLink"/>
              </w:rPr>
              <w:t>139</w:t>
            </w:r>
          </w:hyperlink>
        </w:p>
        <w:p>
          <w:pPr>
            <w:pStyle w:val="Contents4"/>
            <w:tabs>
              <w:tab w:val="clear" w:pos="8176"/>
              <w:tab w:val="right" w:pos="9026" w:leader="dot"/>
            </w:tabs>
            <w:rPr/>
          </w:pPr>
          <w:hyperlink w:anchor="__RefHeading___Toc13424959_1280447820">
            <w:r>
              <w:rPr>
                <w:webHidden/>
                <w:rStyle w:val="IndexLink"/>
                <w:rtl w:val="true"/>
              </w:rPr>
              <w:t>الثالث والثلاثون</w:t>
            </w:r>
            <w:r>
              <w:rPr>
                <w:rStyle w:val="IndexLink"/>
                <w:rtl w:val="true"/>
              </w:rPr>
              <w:t xml:space="preserve">: </w:t>
            </w:r>
            <w:r>
              <w:rPr>
                <w:rStyle w:val="IndexLink"/>
                <w:rtl w:val="true"/>
              </w:rPr>
              <w:t>فيما يتعلّق بما لو أمر غيره بعمل له أجرة عادة وكان العامل ممّن يأخذ الأجرة على عمله</w:t>
            </w:r>
            <w:r>
              <w:rPr>
                <w:rStyle w:val="IndexLink"/>
                <w:rtl w:val="true"/>
              </w:rPr>
              <w:tab/>
            </w:r>
            <w:r>
              <w:rPr>
                <w:rStyle w:val="IndexLink"/>
              </w:rPr>
              <w:t>140</w:t>
            </w:r>
          </w:hyperlink>
        </w:p>
        <w:p>
          <w:pPr>
            <w:pStyle w:val="Contents3"/>
            <w:tabs>
              <w:tab w:val="clear" w:pos="8459"/>
              <w:tab w:val="right" w:pos="9026" w:leader="dot"/>
            </w:tabs>
            <w:rPr/>
          </w:pPr>
          <w:hyperlink w:anchor="__RefHeading___Toc13424961_1280447820">
            <w:r>
              <w:rPr>
                <w:webHidden/>
                <w:rStyle w:val="IndexLink"/>
                <w:rtl w:val="true"/>
              </w:rPr>
              <w:t>القول في التنازع</w:t>
            </w:r>
            <w:r>
              <w:rPr>
                <w:rStyle w:val="IndexLink"/>
                <w:rtl w:val="true"/>
              </w:rPr>
              <w:tab/>
            </w:r>
            <w:r>
              <w:rPr>
                <w:rStyle w:val="IndexLink"/>
              </w:rPr>
              <w:t>142</w:t>
            </w:r>
          </w:hyperlink>
        </w:p>
        <w:p>
          <w:pPr>
            <w:pStyle w:val="Contents4"/>
            <w:tabs>
              <w:tab w:val="clear" w:pos="8176"/>
              <w:tab w:val="right" w:pos="9026" w:leader="dot"/>
            </w:tabs>
            <w:rPr/>
          </w:pPr>
          <w:hyperlink w:anchor="__RefHeading___Toc13424963_1280447820">
            <w:r>
              <w:rPr>
                <w:webHidden/>
                <w:rStyle w:val="IndexLink"/>
                <w:rtl w:val="true"/>
              </w:rPr>
              <w:t>وفيه مواضع</w:t>
            </w:r>
            <w:r>
              <w:rPr>
                <w:rStyle w:val="IndexLink"/>
                <w:rtl w:val="true"/>
              </w:rPr>
              <w:t>:</w:t>
              <w:tab/>
            </w:r>
            <w:r>
              <w:rPr>
                <w:rStyle w:val="IndexLink"/>
              </w:rPr>
              <w:t>142</w:t>
            </w:r>
          </w:hyperlink>
        </w:p>
        <w:p>
          <w:pPr>
            <w:pStyle w:val="Contents5"/>
            <w:tabs>
              <w:tab w:val="clear" w:pos="7892"/>
              <w:tab w:val="right" w:pos="9026" w:leader="dot"/>
            </w:tabs>
            <w:rPr/>
          </w:pPr>
          <w:hyperlink w:anchor="__RefHeading___Toc13424965_1280447820">
            <w:r>
              <w:rPr>
                <w:webHidden/>
                <w:rStyle w:val="IndexLink"/>
                <w:rtl w:val="true"/>
              </w:rPr>
              <w:t>أحدها</w:t>
            </w:r>
            <w:r>
              <w:rPr>
                <w:rStyle w:val="IndexLink"/>
                <w:rtl w:val="true"/>
              </w:rPr>
              <w:t xml:space="preserve">: </w:t>
            </w:r>
            <w:r>
              <w:rPr>
                <w:rStyle w:val="IndexLink"/>
                <w:rtl w:val="true"/>
              </w:rPr>
              <w:t>حكم ما لو اختلفا في أصل الاستئجار</w:t>
            </w:r>
            <w:r>
              <w:rPr>
                <w:rStyle w:val="IndexLink"/>
                <w:rtl w:val="true"/>
              </w:rPr>
              <w:tab/>
            </w:r>
            <w:r>
              <w:rPr>
                <w:rStyle w:val="IndexLink"/>
              </w:rPr>
              <w:t>142</w:t>
            </w:r>
          </w:hyperlink>
        </w:p>
        <w:p>
          <w:pPr>
            <w:pStyle w:val="Contents5"/>
            <w:tabs>
              <w:tab w:val="clear" w:pos="7892"/>
              <w:tab w:val="right" w:pos="9026" w:leader="dot"/>
            </w:tabs>
            <w:rPr/>
          </w:pPr>
          <w:hyperlink w:anchor="__RefHeading___Toc13424967_1280447820">
            <w:r>
              <w:rPr>
                <w:webHidden/>
                <w:rStyle w:val="IndexLink"/>
                <w:rtl w:val="true"/>
              </w:rPr>
              <w:t>ثانيها</w:t>
            </w:r>
            <w:r>
              <w:rPr>
                <w:rStyle w:val="IndexLink"/>
                <w:rtl w:val="true"/>
              </w:rPr>
              <w:t xml:space="preserve">: </w:t>
            </w:r>
            <w:r>
              <w:rPr>
                <w:rStyle w:val="IndexLink"/>
                <w:rtl w:val="true"/>
              </w:rPr>
              <w:t>حكم ما لو اختلفا في ردّ العين المستأجرة</w:t>
            </w:r>
            <w:r>
              <w:rPr>
                <w:rStyle w:val="IndexLink"/>
                <w:rtl w:val="true"/>
              </w:rPr>
              <w:tab/>
            </w:r>
            <w:r>
              <w:rPr>
                <w:rStyle w:val="IndexLink"/>
              </w:rPr>
              <w:t>143</w:t>
            </w:r>
          </w:hyperlink>
        </w:p>
        <w:p>
          <w:pPr>
            <w:pStyle w:val="Contents5"/>
            <w:tabs>
              <w:tab w:val="clear" w:pos="7892"/>
              <w:tab w:val="right" w:pos="9026" w:leader="dot"/>
            </w:tabs>
            <w:rPr/>
          </w:pPr>
          <w:hyperlink w:anchor="__RefHeading___Toc13424969_1280447820">
            <w:r>
              <w:rPr>
                <w:webHidden/>
                <w:rStyle w:val="IndexLink"/>
                <w:rtl w:val="true"/>
              </w:rPr>
              <w:t>ثالثها</w:t>
            </w:r>
            <w:r>
              <w:rPr>
                <w:rStyle w:val="IndexLink"/>
                <w:rtl w:val="true"/>
              </w:rPr>
              <w:t xml:space="preserve">: </w:t>
            </w:r>
            <w:r>
              <w:rPr>
                <w:rStyle w:val="IndexLink"/>
                <w:rtl w:val="true"/>
              </w:rPr>
              <w:t>حكم ما لو اختلفا في قدر الشيء المستأجر عيناً أو عملاً واتفقا على قدر الأُجرة والزمان</w:t>
            </w:r>
            <w:r>
              <w:rPr>
                <w:rStyle w:val="IndexLink"/>
                <w:rtl w:val="true"/>
              </w:rPr>
              <w:tab/>
            </w:r>
            <w:r>
              <w:rPr>
                <w:rStyle w:val="IndexLink"/>
              </w:rPr>
              <w:t>143</w:t>
            </w:r>
          </w:hyperlink>
        </w:p>
        <w:p>
          <w:pPr>
            <w:pStyle w:val="Contents5"/>
            <w:tabs>
              <w:tab w:val="clear" w:pos="7892"/>
              <w:tab w:val="right" w:pos="9026" w:leader="dot"/>
            </w:tabs>
            <w:rPr/>
          </w:pPr>
          <w:hyperlink w:anchor="__RefHeading___Toc13424971_1280447820">
            <w:r>
              <w:rPr>
                <w:webHidden/>
                <w:rStyle w:val="IndexLink"/>
                <w:rtl w:val="true"/>
              </w:rPr>
              <w:t>رابعها</w:t>
            </w:r>
            <w:r>
              <w:rPr>
                <w:rStyle w:val="IndexLink"/>
                <w:rtl w:val="true"/>
              </w:rPr>
              <w:t xml:space="preserve">: </w:t>
            </w:r>
            <w:r>
              <w:rPr>
                <w:rStyle w:val="IndexLink"/>
                <w:rtl w:val="true"/>
              </w:rPr>
              <w:t>حكم ما لو اختلفا في التلف وعدمه أو التفريط وعدمه</w:t>
            </w:r>
            <w:r>
              <w:rPr>
                <w:rStyle w:val="IndexLink"/>
                <w:rtl w:val="true"/>
              </w:rPr>
              <w:tab/>
            </w:r>
            <w:r>
              <w:rPr>
                <w:rStyle w:val="IndexLink"/>
              </w:rPr>
              <w:t>145</w:t>
            </w:r>
          </w:hyperlink>
        </w:p>
        <w:p>
          <w:pPr>
            <w:pStyle w:val="Contents5"/>
            <w:tabs>
              <w:tab w:val="clear" w:pos="7892"/>
              <w:tab w:val="right" w:pos="9026" w:leader="dot"/>
            </w:tabs>
            <w:rPr/>
          </w:pPr>
          <w:hyperlink w:anchor="__RefHeading___Toc13424973_1280447820">
            <w:r>
              <w:rPr>
                <w:webHidden/>
                <w:rStyle w:val="IndexLink"/>
                <w:rtl w:val="true"/>
              </w:rPr>
              <w:t>خامسها</w:t>
            </w:r>
            <w:r>
              <w:rPr>
                <w:rStyle w:val="IndexLink"/>
                <w:rtl w:val="true"/>
              </w:rPr>
              <w:t xml:space="preserve">: </w:t>
            </w:r>
            <w:r>
              <w:rPr>
                <w:rStyle w:val="IndexLink"/>
                <w:rtl w:val="true"/>
              </w:rPr>
              <w:t>حكم ما لو اختلف المالك والخياط في قطع الثوب</w:t>
            </w:r>
            <w:r>
              <w:rPr>
                <w:rStyle w:val="IndexLink"/>
                <w:rtl w:val="true"/>
              </w:rPr>
              <w:tab/>
            </w:r>
            <w:r>
              <w:rPr>
                <w:rStyle w:val="IndexLink"/>
              </w:rPr>
              <w:t>146</w:t>
            </w:r>
          </w:hyperlink>
        </w:p>
        <w:p>
          <w:pPr>
            <w:pStyle w:val="Contents5"/>
            <w:tabs>
              <w:tab w:val="clear" w:pos="7892"/>
              <w:tab w:val="right" w:pos="9026" w:leader="dot"/>
            </w:tabs>
            <w:rPr/>
          </w:pPr>
          <w:hyperlink w:anchor="__RefHeading___Toc13424975_1280447820">
            <w:r>
              <w:rPr>
                <w:webHidden/>
                <w:rStyle w:val="IndexLink"/>
                <w:rtl w:val="true"/>
              </w:rPr>
              <w:t>سادسها</w:t>
            </w:r>
            <w:r>
              <w:rPr>
                <w:rStyle w:val="IndexLink"/>
                <w:rtl w:val="true"/>
              </w:rPr>
              <w:t xml:space="preserve">: </w:t>
            </w:r>
            <w:r>
              <w:rPr>
                <w:rStyle w:val="IndexLink"/>
                <w:rtl w:val="true"/>
              </w:rPr>
              <w:t>حكم ما لو اختلفا في صحّة عقد الإجارة وعدمها</w:t>
            </w:r>
            <w:r>
              <w:rPr>
                <w:rStyle w:val="IndexLink"/>
                <w:rtl w:val="true"/>
              </w:rPr>
              <w:tab/>
            </w:r>
            <w:r>
              <w:rPr>
                <w:rStyle w:val="IndexLink"/>
              </w:rPr>
              <w:t>147</w:t>
            </w:r>
          </w:hyperlink>
        </w:p>
        <w:p>
          <w:pPr>
            <w:pStyle w:val="Contents5"/>
            <w:tabs>
              <w:tab w:val="clear" w:pos="7892"/>
              <w:tab w:val="right" w:pos="9026" w:leader="dot"/>
            </w:tabs>
            <w:rPr/>
          </w:pPr>
          <w:hyperlink w:anchor="__RefHeading___Toc13424977_1280447820">
            <w:r>
              <w:rPr>
                <w:webHidden/>
                <w:rStyle w:val="IndexLink"/>
                <w:rtl w:val="true"/>
              </w:rPr>
              <w:t>سابعها</w:t>
            </w:r>
            <w:r>
              <w:rPr>
                <w:rStyle w:val="IndexLink"/>
                <w:rtl w:val="true"/>
              </w:rPr>
              <w:t xml:space="preserve">: </w:t>
            </w:r>
            <w:r>
              <w:rPr>
                <w:rStyle w:val="IndexLink"/>
                <w:rtl w:val="true"/>
              </w:rPr>
              <w:t>حكم ما لو ادّعى المستأجر إباق العبد أو مرض الدابّة أو انهدام المسكن</w:t>
            </w:r>
            <w:r>
              <w:rPr>
                <w:rStyle w:val="IndexLink"/>
                <w:rtl w:val="true"/>
              </w:rPr>
              <w:tab/>
            </w:r>
            <w:r>
              <w:rPr>
                <w:rStyle w:val="IndexLink"/>
              </w:rPr>
              <w:t>148</w:t>
            </w:r>
          </w:hyperlink>
        </w:p>
        <w:p>
          <w:pPr>
            <w:pStyle w:val="Contents3"/>
            <w:tabs>
              <w:tab w:val="clear" w:pos="8459"/>
              <w:tab w:val="right" w:pos="9026" w:leader="dot"/>
            </w:tabs>
            <w:rPr/>
          </w:pPr>
          <w:hyperlink w:anchor="__RefHeading___Toc13424979_1280447820">
            <w:r>
              <w:rPr>
                <w:webHidden/>
                <w:rStyle w:val="IndexLink"/>
                <w:rtl w:val="true"/>
              </w:rPr>
              <w:t>القول في مسائل متفرّقة</w:t>
            </w:r>
            <w:r>
              <w:rPr>
                <w:rStyle w:val="IndexLink"/>
                <w:rtl w:val="true"/>
              </w:rPr>
              <w:tab/>
            </w:r>
            <w:r>
              <w:rPr>
                <w:rStyle w:val="IndexLink"/>
              </w:rPr>
              <w:t>150</w:t>
            </w:r>
          </w:hyperlink>
        </w:p>
        <w:p>
          <w:pPr>
            <w:pStyle w:val="Contents4"/>
            <w:tabs>
              <w:tab w:val="clear" w:pos="8176"/>
              <w:tab w:val="right" w:pos="9026" w:leader="dot"/>
            </w:tabs>
            <w:rPr/>
          </w:pPr>
          <w:hyperlink w:anchor="__RefHeading___Toc13424981_1280447820">
            <w:r>
              <w:rPr>
                <w:webHidden/>
                <w:rStyle w:val="IndexLink"/>
                <w:rtl w:val="true"/>
              </w:rPr>
              <w:t>وهي أمور</w:t>
            </w:r>
            <w:r>
              <w:rPr>
                <w:rStyle w:val="IndexLink"/>
                <w:rtl w:val="true"/>
              </w:rPr>
              <w:t>:</w:t>
              <w:tab/>
            </w:r>
            <w:r>
              <w:rPr>
                <w:rStyle w:val="IndexLink"/>
              </w:rPr>
              <w:t>150</w:t>
            </w:r>
          </w:hyperlink>
        </w:p>
        <w:p>
          <w:pPr>
            <w:pStyle w:val="Contents5"/>
            <w:tabs>
              <w:tab w:val="clear" w:pos="7892"/>
              <w:tab w:val="right" w:pos="9026" w:leader="dot"/>
            </w:tabs>
            <w:rPr/>
          </w:pPr>
          <w:hyperlink w:anchor="__RefHeading___Toc13424983_1280447820">
            <w:r>
              <w:rPr>
                <w:webHidden/>
                <w:rStyle w:val="IndexLink"/>
                <w:rtl w:val="true"/>
              </w:rPr>
              <w:t>أحدها</w:t>
            </w:r>
            <w:r>
              <w:rPr>
                <w:rStyle w:val="IndexLink"/>
                <w:rtl w:val="true"/>
              </w:rPr>
              <w:t xml:space="preserve">: </w:t>
            </w:r>
            <w:r>
              <w:rPr>
                <w:rStyle w:val="IndexLink"/>
                <w:rtl w:val="true"/>
              </w:rPr>
              <w:t>عدم صحّة الإستئجار على ما لا يمكن تملّكه من المنافع ولا حصول السلطان عليه</w:t>
            </w:r>
            <w:r>
              <w:rPr>
                <w:rStyle w:val="IndexLink"/>
                <w:rtl w:val="true"/>
              </w:rPr>
              <w:tab/>
            </w:r>
            <w:r>
              <w:rPr>
                <w:rStyle w:val="IndexLink"/>
              </w:rPr>
              <w:t>150</w:t>
            </w:r>
          </w:hyperlink>
        </w:p>
        <w:p>
          <w:pPr>
            <w:pStyle w:val="Contents5"/>
            <w:tabs>
              <w:tab w:val="clear" w:pos="7892"/>
              <w:tab w:val="right" w:pos="9026" w:leader="dot"/>
            </w:tabs>
            <w:rPr/>
          </w:pPr>
          <w:hyperlink w:anchor="__RefHeading___Toc13424985_1280447820">
            <w:r>
              <w:rPr>
                <w:webHidden/>
                <w:rStyle w:val="IndexLink"/>
                <w:rtl w:val="true"/>
              </w:rPr>
              <w:t>ثانيها</w:t>
            </w:r>
            <w:r>
              <w:rPr>
                <w:rStyle w:val="IndexLink"/>
                <w:rtl w:val="true"/>
              </w:rPr>
              <w:t xml:space="preserve">: </w:t>
            </w:r>
            <w:r>
              <w:rPr>
                <w:rStyle w:val="IndexLink"/>
                <w:rtl w:val="true"/>
              </w:rPr>
              <w:t>جواز الاستئجار للزرع وحصاده ودياسه ونقله وسقيه وحفظه</w:t>
            </w:r>
            <w:r>
              <w:rPr>
                <w:rStyle w:val="IndexLink"/>
                <w:rtl w:val="true"/>
              </w:rPr>
              <w:tab/>
            </w:r>
            <w:r>
              <w:rPr>
                <w:rStyle w:val="IndexLink"/>
              </w:rPr>
              <w:t>153</w:t>
            </w:r>
          </w:hyperlink>
        </w:p>
        <w:p>
          <w:pPr>
            <w:pStyle w:val="Contents5"/>
            <w:tabs>
              <w:tab w:val="clear" w:pos="7892"/>
              <w:tab w:val="right" w:pos="9026" w:leader="dot"/>
            </w:tabs>
            <w:rPr/>
          </w:pPr>
          <w:hyperlink w:anchor="__RefHeading___Toc13424987_1280447820">
            <w:r>
              <w:rPr>
                <w:webHidden/>
                <w:rStyle w:val="IndexLink"/>
                <w:rtl w:val="true"/>
              </w:rPr>
              <w:t>ثالثها</w:t>
            </w:r>
            <w:r>
              <w:rPr>
                <w:rStyle w:val="IndexLink"/>
                <w:rtl w:val="true"/>
              </w:rPr>
              <w:t xml:space="preserve">: </w:t>
            </w:r>
            <w:r>
              <w:rPr>
                <w:rStyle w:val="IndexLink"/>
                <w:rtl w:val="true"/>
              </w:rPr>
              <w:t>جواز استئجار الأرض للبناء والغرس والزرع مع مشاهدة الأرض أو وصفها</w:t>
            </w:r>
            <w:r>
              <w:rPr>
                <w:rStyle w:val="IndexLink"/>
                <w:rtl w:val="true"/>
              </w:rPr>
              <w:tab/>
            </w:r>
            <w:r>
              <w:rPr>
                <w:rStyle w:val="IndexLink"/>
              </w:rPr>
              <w:t>154</w:t>
            </w:r>
          </w:hyperlink>
        </w:p>
        <w:p>
          <w:pPr>
            <w:pStyle w:val="Contents5"/>
            <w:tabs>
              <w:tab w:val="clear" w:pos="7892"/>
              <w:tab w:val="right" w:pos="9026" w:leader="dot"/>
            </w:tabs>
            <w:rPr/>
          </w:pPr>
          <w:hyperlink w:anchor="__RefHeading___Toc13424989_1280447820">
            <w:r>
              <w:rPr>
                <w:webHidden/>
                <w:rStyle w:val="IndexLink"/>
                <w:rtl w:val="true"/>
              </w:rPr>
              <w:t>رابعها</w:t>
            </w:r>
            <w:r>
              <w:rPr>
                <w:rStyle w:val="IndexLink"/>
                <w:rtl w:val="true"/>
              </w:rPr>
              <w:t xml:space="preserve">: </w:t>
            </w:r>
            <w:r>
              <w:rPr>
                <w:rStyle w:val="IndexLink"/>
                <w:rtl w:val="true"/>
              </w:rPr>
              <w:t>جواز الاستئجار لحيازة المباحات عن المستأجر وتقديره بالمدة وبالعمل</w:t>
            </w:r>
            <w:r>
              <w:rPr>
                <w:rStyle w:val="IndexLink"/>
                <w:rtl w:val="true"/>
              </w:rPr>
              <w:tab/>
            </w:r>
            <w:r>
              <w:rPr>
                <w:rStyle w:val="IndexLink"/>
              </w:rPr>
              <w:t>155</w:t>
            </w:r>
          </w:hyperlink>
        </w:p>
        <w:p>
          <w:pPr>
            <w:pStyle w:val="Contents5"/>
            <w:tabs>
              <w:tab w:val="clear" w:pos="7892"/>
              <w:tab w:val="right" w:pos="9026" w:leader="dot"/>
            </w:tabs>
            <w:rPr/>
          </w:pPr>
          <w:hyperlink w:anchor="__RefHeading___Toc13424991_1280447820">
            <w:r>
              <w:rPr>
                <w:webHidden/>
                <w:rStyle w:val="IndexLink"/>
                <w:rtl w:val="true"/>
              </w:rPr>
              <w:t>خامسها</w:t>
            </w:r>
            <w:r>
              <w:rPr>
                <w:rStyle w:val="IndexLink"/>
                <w:rtl w:val="true"/>
              </w:rPr>
              <w:t xml:space="preserve">: </w:t>
            </w:r>
            <w:r>
              <w:rPr>
                <w:rStyle w:val="IndexLink"/>
                <w:rtl w:val="true"/>
              </w:rPr>
              <w:t>جواز استئجار الشخص لرعي الماشية في المباح</w:t>
            </w:r>
            <w:r>
              <w:rPr>
                <w:rStyle w:val="IndexLink"/>
                <w:rtl w:val="true"/>
              </w:rPr>
              <w:tab/>
            </w:r>
            <w:r>
              <w:rPr>
                <w:rStyle w:val="IndexLink"/>
              </w:rPr>
              <w:t>156</w:t>
            </w:r>
          </w:hyperlink>
        </w:p>
        <w:p>
          <w:pPr>
            <w:pStyle w:val="Contents5"/>
            <w:tabs>
              <w:tab w:val="clear" w:pos="7892"/>
              <w:tab w:val="right" w:pos="9026" w:leader="dot"/>
            </w:tabs>
            <w:rPr/>
          </w:pPr>
          <w:hyperlink w:anchor="__RefHeading___Toc13424993_1280447820">
            <w:r>
              <w:rPr>
                <w:webHidden/>
                <w:rStyle w:val="IndexLink"/>
                <w:rtl w:val="true"/>
              </w:rPr>
              <w:t>سادسها</w:t>
            </w:r>
            <w:r>
              <w:rPr>
                <w:rStyle w:val="IndexLink"/>
                <w:rtl w:val="true"/>
              </w:rPr>
              <w:t xml:space="preserve">: </w:t>
            </w:r>
            <w:r>
              <w:rPr>
                <w:rStyle w:val="IndexLink"/>
                <w:rtl w:val="true"/>
              </w:rPr>
              <w:t>جواز استئجار الأرض للغرس والبناء فيها مع تعيين المدّة الرافعة للجهل وتعيين المبني والمغروس فيها</w:t>
            </w:r>
            <w:r>
              <w:rPr>
                <w:rStyle w:val="IndexLink"/>
                <w:rtl w:val="true"/>
              </w:rPr>
              <w:tab/>
            </w:r>
            <w:r>
              <w:rPr>
                <w:rStyle w:val="IndexLink"/>
              </w:rPr>
              <w:t>157</w:t>
            </w:r>
          </w:hyperlink>
        </w:p>
        <w:p>
          <w:pPr>
            <w:pStyle w:val="Contents5"/>
            <w:tabs>
              <w:tab w:val="clear" w:pos="7892"/>
              <w:tab w:val="right" w:pos="9026" w:leader="dot"/>
            </w:tabs>
            <w:rPr/>
          </w:pPr>
          <w:hyperlink w:anchor="__RefHeading___Toc13424995_1280447820">
            <w:r>
              <w:rPr>
                <w:webHidden/>
                <w:rStyle w:val="IndexLink"/>
                <w:rtl w:val="true"/>
              </w:rPr>
              <w:t>سابعها</w:t>
            </w:r>
            <w:r>
              <w:rPr>
                <w:rStyle w:val="IndexLink"/>
                <w:rtl w:val="true"/>
              </w:rPr>
              <w:t xml:space="preserve">: </w:t>
            </w:r>
            <w:r>
              <w:rPr>
                <w:rStyle w:val="IndexLink"/>
                <w:rtl w:val="true"/>
              </w:rPr>
              <w:t>حكم ما إذا استأجر أرضاً للزرع وعيّن مدّة يعتاد حصاده فيها</w:t>
            </w:r>
            <w:r>
              <w:rPr>
                <w:rStyle w:val="IndexLink"/>
                <w:rtl w:val="true"/>
              </w:rPr>
              <w:tab/>
            </w:r>
            <w:r>
              <w:rPr>
                <w:rStyle w:val="IndexLink"/>
              </w:rPr>
              <w:t>158</w:t>
            </w:r>
          </w:hyperlink>
        </w:p>
        <w:p>
          <w:pPr>
            <w:pStyle w:val="Contents5"/>
            <w:tabs>
              <w:tab w:val="clear" w:pos="7892"/>
              <w:tab w:val="right" w:pos="9026" w:leader="dot"/>
            </w:tabs>
            <w:rPr/>
          </w:pPr>
          <w:hyperlink w:anchor="__RefHeading___Toc13424997_1280447820">
            <w:r>
              <w:rPr>
                <w:webHidden/>
                <w:rStyle w:val="IndexLink"/>
                <w:rtl w:val="true"/>
              </w:rPr>
              <w:t>ثامنها</w:t>
            </w:r>
            <w:r>
              <w:rPr>
                <w:rStyle w:val="IndexLink"/>
                <w:rtl w:val="true"/>
              </w:rPr>
              <w:t xml:space="preserve">: </w:t>
            </w:r>
            <w:r>
              <w:rPr>
                <w:rStyle w:val="IndexLink"/>
                <w:rtl w:val="true"/>
              </w:rPr>
              <w:t>حكم ما لو استأجر الأرض للزرع ولم يكن لها ماء</w:t>
            </w:r>
            <w:r>
              <w:rPr>
                <w:rStyle w:val="IndexLink"/>
                <w:rtl w:val="true"/>
              </w:rPr>
              <w:tab/>
            </w:r>
            <w:r>
              <w:rPr>
                <w:rStyle w:val="IndexLink"/>
              </w:rPr>
              <w:t>159</w:t>
            </w:r>
          </w:hyperlink>
        </w:p>
        <w:p>
          <w:pPr>
            <w:pStyle w:val="Contents2"/>
            <w:tabs>
              <w:tab w:val="clear" w:pos="8743"/>
              <w:tab w:val="right" w:pos="9026" w:leader="dot"/>
            </w:tabs>
            <w:rPr/>
          </w:pPr>
          <w:hyperlink w:anchor="__RefHeading___Toc13424999_1280447820">
            <w:r>
              <w:rPr>
                <w:webHidden/>
                <w:rStyle w:val="IndexLink"/>
                <w:rtl w:val="true"/>
              </w:rPr>
              <w:t>كتاب الوكالة</w:t>
            </w:r>
            <w:r>
              <w:rPr>
                <w:rStyle w:val="IndexLink"/>
                <w:rtl w:val="true"/>
              </w:rPr>
              <w:tab/>
            </w:r>
            <w:r>
              <w:rPr>
                <w:rStyle w:val="IndexLink"/>
              </w:rPr>
              <w:t>163</w:t>
            </w:r>
          </w:hyperlink>
        </w:p>
        <w:p>
          <w:pPr>
            <w:pStyle w:val="Contents3"/>
            <w:tabs>
              <w:tab w:val="clear" w:pos="8459"/>
              <w:tab w:val="right" w:pos="9026" w:leader="dot"/>
            </w:tabs>
            <w:rPr/>
          </w:pPr>
          <w:hyperlink w:anchor="__RefHeading___Toc13425001_1280447820">
            <w:r>
              <w:rPr>
                <w:webHidden/>
                <w:rStyle w:val="IndexLink"/>
                <w:rtl w:val="true"/>
              </w:rPr>
              <w:t>تعريف الوكالة شرعاً</w:t>
            </w:r>
            <w:r>
              <w:rPr>
                <w:rStyle w:val="IndexLink"/>
                <w:rtl w:val="true"/>
              </w:rPr>
              <w:tab/>
            </w:r>
            <w:r>
              <w:rPr>
                <w:rStyle w:val="IndexLink"/>
              </w:rPr>
              <w:t>163</w:t>
            </w:r>
          </w:hyperlink>
        </w:p>
        <w:p>
          <w:pPr>
            <w:pStyle w:val="Contents3"/>
            <w:tabs>
              <w:tab w:val="clear" w:pos="8459"/>
              <w:tab w:val="right" w:pos="9026" w:leader="dot"/>
            </w:tabs>
            <w:rPr/>
          </w:pPr>
          <w:hyperlink w:anchor="__RefHeading___Toc13425003_1280447820">
            <w:r>
              <w:rPr>
                <w:webHidden/>
                <w:rStyle w:val="IndexLink"/>
                <w:rtl w:val="true"/>
              </w:rPr>
              <w:t>وهنا أُمور</w:t>
            </w:r>
            <w:r>
              <w:rPr>
                <w:rStyle w:val="IndexLink"/>
                <w:rtl w:val="true"/>
              </w:rPr>
              <w:t>:</w:t>
              <w:tab/>
            </w:r>
            <w:r>
              <w:rPr>
                <w:rStyle w:val="IndexLink"/>
              </w:rPr>
              <w:t>165</w:t>
            </w:r>
          </w:hyperlink>
        </w:p>
        <w:p>
          <w:pPr>
            <w:pStyle w:val="Contents4"/>
            <w:tabs>
              <w:tab w:val="clear" w:pos="8176"/>
              <w:tab w:val="right" w:pos="9026" w:leader="dot"/>
            </w:tabs>
            <w:rPr/>
          </w:pPr>
          <w:hyperlink w:anchor="__RefHeading___Toc13425005_1280447820">
            <w:r>
              <w:rPr>
                <w:webHidden/>
                <w:rStyle w:val="IndexLink"/>
                <w:rtl w:val="true"/>
              </w:rPr>
              <w:t>أحدها</w:t>
            </w:r>
            <w:r>
              <w:rPr>
                <w:rStyle w:val="IndexLink"/>
                <w:rtl w:val="true"/>
              </w:rPr>
              <w:t xml:space="preserve">: </w:t>
            </w:r>
            <w:r>
              <w:rPr>
                <w:rStyle w:val="IndexLink"/>
                <w:rtl w:val="true"/>
              </w:rPr>
              <w:t>اشتراط التعيين في عقد الوكالة</w:t>
            </w:r>
            <w:r>
              <w:rPr>
                <w:rStyle w:val="IndexLink"/>
                <w:rtl w:val="true"/>
              </w:rPr>
              <w:tab/>
            </w:r>
            <w:r>
              <w:rPr>
                <w:rStyle w:val="IndexLink"/>
              </w:rPr>
              <w:t>165</w:t>
            </w:r>
          </w:hyperlink>
        </w:p>
        <w:p>
          <w:pPr>
            <w:pStyle w:val="Contents4"/>
            <w:tabs>
              <w:tab w:val="clear" w:pos="8176"/>
              <w:tab w:val="right" w:pos="9026" w:leader="dot"/>
            </w:tabs>
            <w:rPr/>
          </w:pPr>
          <w:hyperlink w:anchor="__RefHeading___Toc13425007_1280447820">
            <w:r>
              <w:rPr>
                <w:webHidden/>
                <w:rStyle w:val="IndexLink"/>
                <w:rtl w:val="true"/>
              </w:rPr>
              <w:t>ثانيها</w:t>
            </w:r>
            <w:r>
              <w:rPr>
                <w:rStyle w:val="IndexLink"/>
                <w:rtl w:val="true"/>
              </w:rPr>
              <w:t xml:space="preserve">: </w:t>
            </w:r>
            <w:r>
              <w:rPr>
                <w:rStyle w:val="IndexLink"/>
                <w:rtl w:val="true"/>
              </w:rPr>
              <w:t>جواز الوكالة مطلقاً ومقيدةً بوصف أو وقت أو حال أو مكان</w:t>
            </w:r>
            <w:r>
              <w:rPr>
                <w:rStyle w:val="IndexLink"/>
                <w:rtl w:val="true"/>
              </w:rPr>
              <w:tab/>
            </w:r>
            <w:r>
              <w:rPr>
                <w:rStyle w:val="IndexLink"/>
              </w:rPr>
              <w:t>165</w:t>
            </w:r>
          </w:hyperlink>
        </w:p>
        <w:p>
          <w:pPr>
            <w:pStyle w:val="Contents4"/>
            <w:tabs>
              <w:tab w:val="clear" w:pos="8176"/>
              <w:tab w:val="right" w:pos="9026" w:leader="dot"/>
            </w:tabs>
            <w:rPr/>
          </w:pPr>
          <w:hyperlink w:anchor="__RefHeading___Toc13425009_1280447820">
            <w:r>
              <w:rPr>
                <w:webHidden/>
                <w:rStyle w:val="IndexLink"/>
                <w:rtl w:val="true"/>
              </w:rPr>
              <w:t>ثالثها</w:t>
            </w:r>
            <w:r>
              <w:rPr>
                <w:rStyle w:val="IndexLink"/>
                <w:rtl w:val="true"/>
              </w:rPr>
              <w:t xml:space="preserve">: </w:t>
            </w:r>
            <w:r>
              <w:rPr>
                <w:rStyle w:val="IndexLink"/>
                <w:rtl w:val="true"/>
              </w:rPr>
              <w:t>حكم ما لو عُلّقت الوكالة على شرط أو اشتملت على شرط فاسد</w:t>
            </w:r>
            <w:r>
              <w:rPr>
                <w:rStyle w:val="IndexLink"/>
                <w:rtl w:val="true"/>
              </w:rPr>
              <w:tab/>
            </w:r>
            <w:r>
              <w:rPr>
                <w:rStyle w:val="IndexLink"/>
              </w:rPr>
              <w:t>166</w:t>
            </w:r>
          </w:hyperlink>
        </w:p>
        <w:p>
          <w:pPr>
            <w:pStyle w:val="Contents4"/>
            <w:tabs>
              <w:tab w:val="clear" w:pos="8176"/>
              <w:tab w:val="right" w:pos="9026" w:leader="dot"/>
            </w:tabs>
            <w:rPr/>
          </w:pPr>
          <w:hyperlink w:anchor="__RefHeading___Toc13425011_1280447820">
            <w:r>
              <w:rPr>
                <w:webHidden/>
                <w:rStyle w:val="IndexLink"/>
                <w:rtl w:val="true"/>
              </w:rPr>
              <w:t>رابعها</w:t>
            </w:r>
            <w:r>
              <w:rPr>
                <w:rStyle w:val="IndexLink"/>
                <w:rtl w:val="true"/>
              </w:rPr>
              <w:t xml:space="preserve">: </w:t>
            </w:r>
            <w:r>
              <w:rPr>
                <w:rStyle w:val="IndexLink"/>
                <w:rtl w:val="true"/>
              </w:rPr>
              <w:t>حكم ما لو ردّ الوكيل بعد الإيجاب أو بعد الإيجاب والقبول</w:t>
            </w:r>
            <w:r>
              <w:rPr>
                <w:rStyle w:val="IndexLink"/>
                <w:rtl w:val="true"/>
              </w:rPr>
              <w:tab/>
            </w:r>
            <w:r>
              <w:rPr>
                <w:rStyle w:val="IndexLink"/>
              </w:rPr>
              <w:t>167</w:t>
            </w:r>
          </w:hyperlink>
        </w:p>
        <w:p>
          <w:pPr>
            <w:pStyle w:val="Contents4"/>
            <w:tabs>
              <w:tab w:val="clear" w:pos="8176"/>
              <w:tab w:val="right" w:pos="9026" w:leader="dot"/>
            </w:tabs>
            <w:rPr/>
          </w:pPr>
          <w:hyperlink w:anchor="__RefHeading___Toc13425013_1280447820">
            <w:r>
              <w:rPr>
                <w:webHidden/>
                <w:rStyle w:val="IndexLink"/>
                <w:rtl w:val="true"/>
              </w:rPr>
              <w:t>خامسها</w:t>
            </w:r>
            <w:r>
              <w:rPr>
                <w:rStyle w:val="IndexLink"/>
                <w:rtl w:val="true"/>
              </w:rPr>
              <w:t xml:space="preserve">: </w:t>
            </w:r>
            <w:r>
              <w:rPr>
                <w:rStyle w:val="IndexLink"/>
                <w:rtl w:val="true"/>
              </w:rPr>
              <w:t>صحّة الإيجاب بالإشارة المفهمة ولو لغير الأخرس وكذا صحّة القبول بالفعل الدال على الرضى</w:t>
            </w:r>
            <w:r>
              <w:rPr>
                <w:rStyle w:val="IndexLink"/>
                <w:rtl w:val="true"/>
              </w:rPr>
              <w:tab/>
            </w:r>
            <w:r>
              <w:rPr>
                <w:rStyle w:val="IndexLink"/>
              </w:rPr>
              <w:t>167</w:t>
            </w:r>
          </w:hyperlink>
        </w:p>
        <w:p>
          <w:pPr>
            <w:pStyle w:val="Contents4"/>
            <w:tabs>
              <w:tab w:val="clear" w:pos="8176"/>
              <w:tab w:val="right" w:pos="9026" w:leader="dot"/>
            </w:tabs>
            <w:rPr/>
          </w:pPr>
          <w:hyperlink w:anchor="__RefHeading___Toc13425015_1280447820">
            <w:r>
              <w:rPr>
                <w:webHidden/>
                <w:rStyle w:val="IndexLink"/>
                <w:rtl w:val="true"/>
              </w:rPr>
              <w:t xml:space="preserve">سادسها </w:t>
            </w:r>
            <w:r>
              <w:rPr>
                <w:rStyle w:val="IndexLink"/>
                <w:rtl w:val="true"/>
              </w:rPr>
              <w:t xml:space="preserve">: </w:t>
            </w:r>
            <w:r>
              <w:rPr>
                <w:rStyle w:val="IndexLink"/>
                <w:rtl w:val="true"/>
              </w:rPr>
              <w:t>انعزال الوكيل بعزل الموكّل له قبل القبول وبعده</w:t>
            </w:r>
            <w:r>
              <w:rPr>
                <w:rStyle w:val="IndexLink"/>
                <w:rtl w:val="true"/>
              </w:rPr>
              <w:tab/>
            </w:r>
            <w:r>
              <w:rPr>
                <w:rStyle w:val="IndexLink"/>
              </w:rPr>
              <w:t>167</w:t>
            </w:r>
          </w:hyperlink>
        </w:p>
        <w:p>
          <w:pPr>
            <w:pStyle w:val="Contents4"/>
            <w:tabs>
              <w:tab w:val="clear" w:pos="8176"/>
              <w:tab w:val="right" w:pos="9026" w:leader="dot"/>
            </w:tabs>
            <w:rPr/>
          </w:pPr>
          <w:hyperlink w:anchor="__RefHeading___Toc13425017_1280447820">
            <w:r>
              <w:rPr>
                <w:webHidden/>
                <w:rStyle w:val="IndexLink"/>
                <w:rtl w:val="true"/>
              </w:rPr>
              <w:t>سابعها</w:t>
            </w:r>
            <w:r>
              <w:rPr>
                <w:rStyle w:val="IndexLink"/>
                <w:rtl w:val="true"/>
              </w:rPr>
              <w:t xml:space="preserve">: </w:t>
            </w:r>
            <w:r>
              <w:rPr>
                <w:rStyle w:val="IndexLink"/>
                <w:rtl w:val="true"/>
              </w:rPr>
              <w:t>انفساخ الوكالة بموت الوكيل أو الموكّل وبجنون أحدهما وبالإغماء عليه وبسفه الموكّل</w:t>
            </w:r>
            <w:r>
              <w:rPr>
                <w:rStyle w:val="IndexLink"/>
                <w:rtl w:val="true"/>
              </w:rPr>
              <w:tab/>
            </w:r>
            <w:r>
              <w:rPr>
                <w:rStyle w:val="IndexLink"/>
              </w:rPr>
              <w:t>169</w:t>
            </w:r>
          </w:hyperlink>
        </w:p>
        <w:p>
          <w:pPr>
            <w:pStyle w:val="Contents4"/>
            <w:tabs>
              <w:tab w:val="clear" w:pos="8176"/>
              <w:tab w:val="right" w:pos="9026" w:leader="dot"/>
            </w:tabs>
            <w:rPr/>
          </w:pPr>
          <w:hyperlink w:anchor="__RefHeading___Toc13425019_1280447820">
            <w:r>
              <w:rPr>
                <w:webHidden/>
                <w:rStyle w:val="IndexLink"/>
                <w:rtl w:val="true"/>
              </w:rPr>
              <w:t>ثامنها</w:t>
            </w:r>
            <w:r>
              <w:rPr>
                <w:rStyle w:val="IndexLink"/>
                <w:rtl w:val="true"/>
              </w:rPr>
              <w:t xml:space="preserve">: </w:t>
            </w:r>
            <w:r>
              <w:rPr>
                <w:rStyle w:val="IndexLink"/>
                <w:rtl w:val="true"/>
              </w:rPr>
              <w:t>حكم ما لو باع الوكيل بثمن خاص فأنكر الموكّل قدره أو عينه أو جنسه أو وصفه أو زمانه أو</w:t>
            </w:r>
            <w:r>
              <w:rPr>
                <w:rStyle w:val="IndexLink"/>
                <w:rtl w:val="true"/>
              </w:rPr>
              <w:tab/>
            </w:r>
            <w:r>
              <w:rPr>
                <w:rStyle w:val="IndexLink"/>
              </w:rPr>
              <w:t>171</w:t>
            </w:r>
          </w:hyperlink>
        </w:p>
        <w:p>
          <w:pPr>
            <w:pStyle w:val="Contents4"/>
            <w:tabs>
              <w:tab w:val="clear" w:pos="8176"/>
              <w:tab w:val="right" w:pos="9026" w:leader="dot"/>
            </w:tabs>
            <w:rPr/>
          </w:pPr>
          <w:hyperlink w:anchor="__RefHeading___Toc13425021_1280447820">
            <w:r>
              <w:rPr>
                <w:webHidden/>
                <w:rStyle w:val="IndexLink"/>
                <w:rtl w:val="true"/>
              </w:rPr>
              <w:t>تاسعها</w:t>
            </w:r>
            <w:r>
              <w:rPr>
                <w:rStyle w:val="IndexLink"/>
                <w:rtl w:val="true"/>
              </w:rPr>
              <w:t xml:space="preserve">: </w:t>
            </w:r>
            <w:r>
              <w:rPr>
                <w:rStyle w:val="IndexLink"/>
                <w:rtl w:val="true"/>
              </w:rPr>
              <w:t>في بيان موارد تصحّ الوكالة فيها</w:t>
            </w:r>
            <w:r>
              <w:rPr>
                <w:rStyle w:val="IndexLink"/>
                <w:rtl w:val="true"/>
              </w:rPr>
              <w:tab/>
            </w:r>
            <w:r>
              <w:rPr>
                <w:rStyle w:val="IndexLink"/>
              </w:rPr>
              <w:t>171</w:t>
            </w:r>
          </w:hyperlink>
        </w:p>
        <w:p>
          <w:pPr>
            <w:pStyle w:val="Contents4"/>
            <w:tabs>
              <w:tab w:val="clear" w:pos="8176"/>
              <w:tab w:val="right" w:pos="9026" w:leader="dot"/>
            </w:tabs>
            <w:rPr/>
          </w:pPr>
          <w:hyperlink w:anchor="__RefHeading___Toc13425023_1280447820">
            <w:r>
              <w:rPr>
                <w:webHidden/>
                <w:rStyle w:val="IndexLink"/>
                <w:rtl w:val="true"/>
              </w:rPr>
              <w:t>عاشرها</w:t>
            </w:r>
            <w:r>
              <w:rPr>
                <w:rStyle w:val="IndexLink"/>
                <w:rtl w:val="true"/>
              </w:rPr>
              <w:t xml:space="preserve">: </w:t>
            </w:r>
            <w:r>
              <w:rPr>
                <w:rStyle w:val="IndexLink"/>
                <w:rtl w:val="true"/>
              </w:rPr>
              <w:t>اشتراط كون الموكّل مكلّفاً بالغاً، عاقلاً، جائز التصرّف فيما يوكل فيه</w:t>
            </w:r>
            <w:r>
              <w:rPr>
                <w:rStyle w:val="IndexLink"/>
                <w:rtl w:val="true"/>
              </w:rPr>
              <w:tab/>
            </w:r>
            <w:r>
              <w:rPr>
                <w:rStyle w:val="IndexLink"/>
              </w:rPr>
              <w:t>177</w:t>
            </w:r>
          </w:hyperlink>
        </w:p>
        <w:p>
          <w:pPr>
            <w:pStyle w:val="Contents4"/>
            <w:tabs>
              <w:tab w:val="clear" w:pos="8176"/>
              <w:tab w:val="right" w:pos="9026" w:leader="dot"/>
            </w:tabs>
            <w:rPr/>
          </w:pPr>
          <w:hyperlink w:anchor="__RefHeading___Toc13425025_1280447820">
            <w:r>
              <w:rPr>
                <w:webHidden/>
                <w:rStyle w:val="IndexLink"/>
                <w:rtl w:val="true"/>
              </w:rPr>
              <w:t>حادي عشرها</w:t>
            </w:r>
            <w:r>
              <w:rPr>
                <w:rStyle w:val="IndexLink"/>
                <w:rtl w:val="true"/>
              </w:rPr>
              <w:t xml:space="preserve">: </w:t>
            </w:r>
            <w:r>
              <w:rPr>
                <w:rStyle w:val="IndexLink"/>
                <w:rtl w:val="true"/>
              </w:rPr>
              <w:t>اشتراط البلوغ والعقل في الوكيل</w:t>
            </w:r>
            <w:r>
              <w:rPr>
                <w:rStyle w:val="IndexLink"/>
                <w:rtl w:val="true"/>
              </w:rPr>
              <w:tab/>
            </w:r>
            <w:r>
              <w:rPr>
                <w:rStyle w:val="IndexLink"/>
              </w:rPr>
              <w:t>181</w:t>
            </w:r>
          </w:hyperlink>
        </w:p>
        <w:p>
          <w:pPr>
            <w:pStyle w:val="Contents4"/>
            <w:tabs>
              <w:tab w:val="clear" w:pos="8176"/>
              <w:tab w:val="right" w:pos="9026" w:leader="dot"/>
            </w:tabs>
            <w:rPr/>
          </w:pPr>
          <w:hyperlink w:anchor="__RefHeading___Toc13425027_1280447820">
            <w:r>
              <w:rPr>
                <w:webHidden/>
                <w:rStyle w:val="IndexLink"/>
                <w:rtl w:val="true"/>
              </w:rPr>
              <w:t>ثاني عشرها</w:t>
            </w:r>
            <w:r>
              <w:rPr>
                <w:rStyle w:val="IndexLink"/>
                <w:rtl w:val="true"/>
              </w:rPr>
              <w:t xml:space="preserve">: </w:t>
            </w:r>
            <w:r>
              <w:rPr>
                <w:rStyle w:val="IndexLink"/>
                <w:rtl w:val="true"/>
              </w:rPr>
              <w:t>في أحكام الوكالة وفيه مسائل</w:t>
            </w:r>
            <w:r>
              <w:rPr>
                <w:rStyle w:val="IndexLink"/>
                <w:rtl w:val="true"/>
              </w:rPr>
              <w:t>:</w:t>
              <w:tab/>
            </w:r>
            <w:r>
              <w:rPr>
                <w:rStyle w:val="IndexLink"/>
              </w:rPr>
              <w:t>184</w:t>
            </w:r>
          </w:hyperlink>
        </w:p>
        <w:p>
          <w:pPr>
            <w:pStyle w:val="Contents5"/>
            <w:tabs>
              <w:tab w:val="clear" w:pos="7892"/>
              <w:tab w:val="right" w:pos="9026" w:leader="dot"/>
            </w:tabs>
            <w:rPr/>
          </w:pPr>
          <w:hyperlink w:anchor="__RefHeading___Toc13425029_1280447820">
            <w:r>
              <w:rPr>
                <w:webHidden/>
                <w:rStyle w:val="IndexLink"/>
                <w:rtl w:val="true"/>
              </w:rPr>
              <w:t>أحدها</w:t>
            </w:r>
            <w:r>
              <w:rPr>
                <w:rStyle w:val="IndexLink"/>
                <w:rtl w:val="true"/>
              </w:rPr>
              <w:t xml:space="preserve">: </w:t>
            </w:r>
            <w:r>
              <w:rPr>
                <w:rStyle w:val="IndexLink"/>
                <w:rtl w:val="true"/>
              </w:rPr>
              <w:t>وجوب اتباع إذن الموكّل والانتهاء بنهيه</w:t>
            </w:r>
            <w:r>
              <w:rPr>
                <w:rStyle w:val="IndexLink"/>
                <w:rtl w:val="true"/>
              </w:rPr>
              <w:tab/>
            </w:r>
            <w:r>
              <w:rPr>
                <w:rStyle w:val="IndexLink"/>
              </w:rPr>
              <w:t>184</w:t>
            </w:r>
          </w:hyperlink>
        </w:p>
        <w:p>
          <w:pPr>
            <w:pStyle w:val="Contents5"/>
            <w:tabs>
              <w:tab w:val="clear" w:pos="7892"/>
              <w:tab w:val="right" w:pos="9026" w:leader="dot"/>
            </w:tabs>
            <w:rPr/>
          </w:pPr>
          <w:hyperlink w:anchor="__RefHeading___Toc13425031_1280447820">
            <w:r>
              <w:rPr>
                <w:webHidden/>
                <w:rStyle w:val="IndexLink"/>
                <w:rtl w:val="true"/>
              </w:rPr>
              <w:t>ثانيها</w:t>
            </w:r>
            <w:r>
              <w:rPr>
                <w:rStyle w:val="IndexLink"/>
                <w:rtl w:val="true"/>
              </w:rPr>
              <w:t xml:space="preserve">: </w:t>
            </w:r>
            <w:r>
              <w:rPr>
                <w:rStyle w:val="IndexLink"/>
                <w:rtl w:val="true"/>
              </w:rPr>
              <w:t>عدم صحّة الوكالة في العقد الفاسد</w:t>
            </w:r>
            <w:r>
              <w:rPr>
                <w:rStyle w:val="IndexLink"/>
                <w:rtl w:val="true"/>
              </w:rPr>
              <w:tab/>
            </w:r>
            <w:r>
              <w:rPr>
                <w:rStyle w:val="IndexLink"/>
              </w:rPr>
              <w:t>186</w:t>
            </w:r>
          </w:hyperlink>
        </w:p>
        <w:p>
          <w:pPr>
            <w:pStyle w:val="Contents5"/>
            <w:tabs>
              <w:tab w:val="clear" w:pos="7892"/>
              <w:tab w:val="right" w:pos="9026" w:leader="dot"/>
            </w:tabs>
            <w:rPr/>
          </w:pPr>
          <w:hyperlink w:anchor="__RefHeading___Toc13425033_1280447820">
            <w:r>
              <w:rPr>
                <w:webHidden/>
                <w:rStyle w:val="IndexLink"/>
                <w:rtl w:val="true"/>
              </w:rPr>
              <w:t>ثالثها</w:t>
            </w:r>
            <w:r>
              <w:rPr>
                <w:rStyle w:val="IndexLink"/>
                <w:rtl w:val="true"/>
              </w:rPr>
              <w:t xml:space="preserve">: </w:t>
            </w:r>
            <w:r>
              <w:rPr>
                <w:rStyle w:val="IndexLink"/>
                <w:rtl w:val="true"/>
              </w:rPr>
              <w:t>في أنّ للوكالة مقتضيات لفظية وحالية ينصرف إليها الإطلاق وتكون مقيدة له</w:t>
            </w:r>
            <w:r>
              <w:rPr>
                <w:rStyle w:val="IndexLink"/>
                <w:rtl w:val="true"/>
              </w:rPr>
              <w:tab/>
            </w:r>
            <w:r>
              <w:rPr>
                <w:rStyle w:val="IndexLink"/>
              </w:rPr>
              <w:t>187</w:t>
            </w:r>
          </w:hyperlink>
        </w:p>
        <w:p>
          <w:pPr>
            <w:pStyle w:val="Contents5"/>
            <w:tabs>
              <w:tab w:val="clear" w:pos="7892"/>
              <w:tab w:val="right" w:pos="9026" w:leader="dot"/>
            </w:tabs>
            <w:rPr/>
          </w:pPr>
          <w:hyperlink w:anchor="__RefHeading___Toc13425035_1280447820">
            <w:r>
              <w:rPr>
                <w:webHidden/>
                <w:rStyle w:val="IndexLink"/>
                <w:rtl w:val="true"/>
              </w:rPr>
              <w:t>رابعها</w:t>
            </w:r>
            <w:r>
              <w:rPr>
                <w:rStyle w:val="IndexLink"/>
                <w:rtl w:val="true"/>
              </w:rPr>
              <w:t xml:space="preserve">: </w:t>
            </w:r>
            <w:r>
              <w:rPr>
                <w:rStyle w:val="IndexLink"/>
                <w:rtl w:val="true"/>
              </w:rPr>
              <w:t>حكم ما لو خالف الوكيل مقتضى الوكالة إطلاقاً أو تعيّناً</w:t>
            </w:r>
            <w:r>
              <w:rPr>
                <w:rStyle w:val="IndexLink"/>
                <w:rtl w:val="true"/>
              </w:rPr>
              <w:tab/>
            </w:r>
            <w:r>
              <w:rPr>
                <w:rStyle w:val="IndexLink"/>
              </w:rPr>
              <w:t>189</w:t>
            </w:r>
          </w:hyperlink>
        </w:p>
        <w:p>
          <w:pPr>
            <w:pStyle w:val="Contents5"/>
            <w:tabs>
              <w:tab w:val="clear" w:pos="7892"/>
              <w:tab w:val="right" w:pos="9026" w:leader="dot"/>
            </w:tabs>
            <w:rPr/>
          </w:pPr>
          <w:hyperlink w:anchor="__RefHeading___Toc13425037_1280447820">
            <w:r>
              <w:rPr>
                <w:webHidden/>
                <w:rStyle w:val="IndexLink"/>
                <w:rtl w:val="true"/>
              </w:rPr>
              <w:t>خامسها</w:t>
            </w:r>
            <w:r>
              <w:rPr>
                <w:rStyle w:val="IndexLink"/>
                <w:rtl w:val="true"/>
              </w:rPr>
              <w:t xml:space="preserve">: </w:t>
            </w:r>
            <w:r>
              <w:rPr>
                <w:rStyle w:val="IndexLink"/>
                <w:rtl w:val="true"/>
              </w:rPr>
              <w:t>في أنّ الوكيل أمين لا يضمن إلّا مع التعدّي أو التفريط</w:t>
            </w:r>
            <w:r>
              <w:rPr>
                <w:rStyle w:val="IndexLink"/>
                <w:rtl w:val="true"/>
              </w:rPr>
              <w:tab/>
            </w:r>
            <w:r>
              <w:rPr>
                <w:rStyle w:val="IndexLink"/>
              </w:rPr>
              <w:t>190</w:t>
            </w:r>
          </w:hyperlink>
        </w:p>
        <w:p>
          <w:pPr>
            <w:pStyle w:val="Contents5"/>
            <w:tabs>
              <w:tab w:val="clear" w:pos="7892"/>
              <w:tab w:val="right" w:pos="9026" w:leader="dot"/>
            </w:tabs>
            <w:rPr/>
          </w:pPr>
          <w:hyperlink w:anchor="__RefHeading___Toc13425039_1280447820">
            <w:r>
              <w:rPr>
                <w:webHidden/>
                <w:rStyle w:val="IndexLink"/>
                <w:rtl w:val="true"/>
              </w:rPr>
              <w:t>سادسها</w:t>
            </w:r>
            <w:r>
              <w:rPr>
                <w:rStyle w:val="IndexLink"/>
                <w:rtl w:val="true"/>
              </w:rPr>
              <w:t xml:space="preserve">: </w:t>
            </w:r>
            <w:r>
              <w:rPr>
                <w:rStyle w:val="IndexLink"/>
                <w:rtl w:val="true"/>
              </w:rPr>
              <w:t>في أنّه يلزم الوكيل تسليم ما في يده إلى الموكّل مع المطالبة</w:t>
            </w:r>
            <w:r>
              <w:rPr>
                <w:rStyle w:val="IndexLink"/>
                <w:rtl w:val="true"/>
              </w:rPr>
              <w:tab/>
            </w:r>
            <w:r>
              <w:rPr>
                <w:rStyle w:val="IndexLink"/>
              </w:rPr>
              <w:t>192</w:t>
            </w:r>
          </w:hyperlink>
        </w:p>
        <w:p>
          <w:pPr>
            <w:pStyle w:val="Contents5"/>
            <w:tabs>
              <w:tab w:val="clear" w:pos="7892"/>
              <w:tab w:val="right" w:pos="9026" w:leader="dot"/>
            </w:tabs>
            <w:rPr/>
          </w:pPr>
          <w:hyperlink w:anchor="__RefHeading___Toc13425041_1280447820">
            <w:r>
              <w:rPr>
                <w:webHidden/>
                <w:rStyle w:val="IndexLink"/>
                <w:rtl w:val="true"/>
              </w:rPr>
              <w:t>سابعها</w:t>
            </w:r>
            <w:r>
              <w:rPr>
                <w:rStyle w:val="IndexLink"/>
                <w:rtl w:val="true"/>
              </w:rPr>
              <w:t xml:space="preserve">: </w:t>
            </w:r>
            <w:r>
              <w:rPr>
                <w:rStyle w:val="IndexLink"/>
                <w:rtl w:val="true"/>
              </w:rPr>
              <w:t>حكم ما لو تعدّى الوكيل على ما في يده أو فرّط</w:t>
            </w:r>
            <w:r>
              <w:rPr>
                <w:rStyle w:val="IndexLink"/>
                <w:rtl w:val="true"/>
              </w:rPr>
              <w:tab/>
            </w:r>
            <w:r>
              <w:rPr>
                <w:rStyle w:val="IndexLink"/>
              </w:rPr>
              <w:t>194</w:t>
            </w:r>
          </w:hyperlink>
        </w:p>
        <w:p>
          <w:pPr>
            <w:pStyle w:val="Contents5"/>
            <w:tabs>
              <w:tab w:val="clear" w:pos="7892"/>
              <w:tab w:val="right" w:pos="9026" w:leader="dot"/>
            </w:tabs>
            <w:rPr/>
          </w:pPr>
          <w:hyperlink w:anchor="__RefHeading___Toc13425043_1280447820">
            <w:r>
              <w:rPr>
                <w:webHidden/>
                <w:rStyle w:val="IndexLink"/>
                <w:rtl w:val="true"/>
              </w:rPr>
              <w:t>ثامنها</w:t>
            </w:r>
            <w:r>
              <w:rPr>
                <w:rStyle w:val="IndexLink"/>
                <w:rtl w:val="true"/>
              </w:rPr>
              <w:t xml:space="preserve">: </w:t>
            </w:r>
            <w:r>
              <w:rPr>
                <w:rStyle w:val="IndexLink"/>
                <w:rtl w:val="true"/>
              </w:rPr>
              <w:t>صحّة توكيل اثنين لواحد وتوكيل مَنْ يشتري لنفسه بنفسه</w:t>
            </w:r>
            <w:r>
              <w:rPr>
                <w:rStyle w:val="IndexLink"/>
                <w:rtl w:val="true"/>
              </w:rPr>
              <w:tab/>
            </w:r>
            <w:r>
              <w:rPr>
                <w:rStyle w:val="IndexLink"/>
              </w:rPr>
              <w:t>195</w:t>
            </w:r>
          </w:hyperlink>
        </w:p>
        <w:p>
          <w:pPr>
            <w:pStyle w:val="Contents5"/>
            <w:tabs>
              <w:tab w:val="clear" w:pos="7892"/>
              <w:tab w:val="right" w:pos="9026" w:leader="dot"/>
            </w:tabs>
            <w:rPr/>
          </w:pPr>
          <w:hyperlink w:anchor="__RefHeading___Toc13425045_1280447820">
            <w:r>
              <w:rPr>
                <w:webHidden/>
                <w:rStyle w:val="IndexLink"/>
                <w:rtl w:val="true"/>
              </w:rPr>
              <w:t>تاسعها</w:t>
            </w:r>
            <w:r>
              <w:rPr>
                <w:rStyle w:val="IndexLink"/>
                <w:rtl w:val="true"/>
              </w:rPr>
              <w:t xml:space="preserve">: </w:t>
            </w:r>
            <w:r>
              <w:rPr>
                <w:rStyle w:val="IndexLink"/>
                <w:rtl w:val="true"/>
              </w:rPr>
              <w:t>ثبوت الوكالة بشاهدين عدلين وبالشياع المفيد للقطع وبإقرار الموكّل</w:t>
            </w:r>
            <w:r>
              <w:rPr>
                <w:rStyle w:val="IndexLink"/>
                <w:rtl w:val="true"/>
              </w:rPr>
              <w:tab/>
            </w:r>
            <w:r>
              <w:rPr>
                <w:rStyle w:val="IndexLink"/>
              </w:rPr>
              <w:t>196</w:t>
            </w:r>
          </w:hyperlink>
        </w:p>
        <w:p>
          <w:pPr>
            <w:pStyle w:val="Contents5"/>
            <w:tabs>
              <w:tab w:val="clear" w:pos="7892"/>
              <w:tab w:val="right" w:pos="9026" w:leader="dot"/>
            </w:tabs>
            <w:rPr/>
          </w:pPr>
          <w:hyperlink w:anchor="__RefHeading___Toc13425047_1280447820">
            <w:r>
              <w:rPr>
                <w:webHidden/>
                <w:rStyle w:val="IndexLink"/>
                <w:rtl w:val="true"/>
              </w:rPr>
              <w:t>عاشرها</w:t>
            </w:r>
            <w:r>
              <w:rPr>
                <w:rStyle w:val="IndexLink"/>
                <w:rtl w:val="true"/>
              </w:rPr>
              <w:t xml:space="preserve">: </w:t>
            </w:r>
            <w:r>
              <w:rPr>
                <w:rStyle w:val="IndexLink"/>
                <w:rtl w:val="true"/>
              </w:rPr>
              <w:t>قضاء إطلاق الوكالة بلزوم الإشهاد على الوكيل في وفاء الدين أو دفع عين مضمونة على الموكّل</w:t>
            </w:r>
            <w:r>
              <w:rPr>
                <w:rStyle w:val="IndexLink"/>
                <w:rtl w:val="true"/>
              </w:rPr>
              <w:tab/>
            </w:r>
            <w:r>
              <w:rPr>
                <w:rStyle w:val="IndexLink"/>
              </w:rPr>
              <w:t>198</w:t>
            </w:r>
          </w:hyperlink>
        </w:p>
        <w:p>
          <w:pPr>
            <w:pStyle w:val="Contents5"/>
            <w:tabs>
              <w:tab w:val="clear" w:pos="7892"/>
              <w:tab w:val="right" w:pos="9026" w:leader="dot"/>
            </w:tabs>
            <w:rPr/>
          </w:pPr>
          <w:hyperlink w:anchor="__RefHeading___Toc13425049_1280447820">
            <w:r>
              <w:rPr>
                <w:webHidden/>
                <w:rStyle w:val="IndexLink"/>
                <w:rtl w:val="true"/>
              </w:rPr>
              <w:t>حادي عشرها</w:t>
            </w:r>
            <w:r>
              <w:rPr>
                <w:rStyle w:val="IndexLink"/>
                <w:rtl w:val="true"/>
              </w:rPr>
              <w:t xml:space="preserve">: </w:t>
            </w:r>
            <w:r>
              <w:rPr>
                <w:rStyle w:val="IndexLink"/>
                <w:rtl w:val="true"/>
              </w:rPr>
              <w:t>حكم ما لو اختلفا في الوكالة ولا بينة</w:t>
            </w:r>
            <w:r>
              <w:rPr>
                <w:rStyle w:val="IndexLink"/>
                <w:rtl w:val="true"/>
              </w:rPr>
              <w:tab/>
            </w:r>
            <w:r>
              <w:rPr>
                <w:rStyle w:val="IndexLink"/>
              </w:rPr>
              <w:t>199</w:t>
            </w:r>
          </w:hyperlink>
        </w:p>
        <w:p>
          <w:pPr>
            <w:pStyle w:val="Contents5"/>
            <w:tabs>
              <w:tab w:val="clear" w:pos="7892"/>
              <w:tab w:val="right" w:pos="9026" w:leader="dot"/>
            </w:tabs>
            <w:rPr/>
          </w:pPr>
          <w:hyperlink w:anchor="__RefHeading___Toc13425051_1280447820">
            <w:r>
              <w:rPr>
                <w:webHidden/>
                <w:rStyle w:val="IndexLink"/>
                <w:rtl w:val="true"/>
              </w:rPr>
              <w:t>ثاني عشرها</w:t>
            </w:r>
            <w:r>
              <w:rPr>
                <w:rStyle w:val="IndexLink"/>
                <w:rtl w:val="true"/>
              </w:rPr>
              <w:t xml:space="preserve">: </w:t>
            </w:r>
            <w:r>
              <w:rPr>
                <w:rStyle w:val="IndexLink"/>
                <w:rtl w:val="true"/>
              </w:rPr>
              <w:t>حكم ما لو عقد على امرأة بادعائه الوكالة عن شخص</w:t>
            </w:r>
            <w:r>
              <w:rPr>
                <w:rStyle w:val="IndexLink"/>
                <w:rtl w:val="true"/>
              </w:rPr>
              <w:tab/>
            </w:r>
            <w:r>
              <w:rPr>
                <w:rStyle w:val="IndexLink"/>
              </w:rPr>
              <w:t>200</w:t>
            </w:r>
          </w:hyperlink>
        </w:p>
        <w:p>
          <w:pPr>
            <w:pStyle w:val="Contents5"/>
            <w:tabs>
              <w:tab w:val="clear" w:pos="7892"/>
              <w:tab w:val="right" w:pos="9026" w:leader="dot"/>
            </w:tabs>
            <w:rPr/>
          </w:pPr>
          <w:hyperlink w:anchor="__RefHeading___Toc13425053_1280447820">
            <w:r>
              <w:rPr>
                <w:webHidden/>
                <w:rStyle w:val="IndexLink"/>
                <w:rtl w:val="true"/>
              </w:rPr>
              <w:t>ثالث عشرها</w:t>
            </w:r>
            <w:r>
              <w:rPr>
                <w:rStyle w:val="IndexLink"/>
                <w:rtl w:val="true"/>
              </w:rPr>
              <w:t xml:space="preserve">: </w:t>
            </w:r>
            <w:r>
              <w:rPr>
                <w:rStyle w:val="IndexLink"/>
                <w:rtl w:val="true"/>
              </w:rPr>
              <w:t>قضاء إطلاق الوكالة في البيع بتسليم المبيع لو كان بيد الوكيل</w:t>
            </w:r>
            <w:r>
              <w:rPr>
                <w:rStyle w:val="IndexLink"/>
                <w:rtl w:val="true"/>
              </w:rPr>
              <w:tab/>
            </w:r>
            <w:r>
              <w:rPr>
                <w:rStyle w:val="IndexLink"/>
              </w:rPr>
              <w:t>201</w:t>
            </w:r>
          </w:hyperlink>
        </w:p>
        <w:p>
          <w:pPr>
            <w:pStyle w:val="Contents5"/>
            <w:tabs>
              <w:tab w:val="clear" w:pos="7892"/>
              <w:tab w:val="right" w:pos="9026" w:leader="dot"/>
            </w:tabs>
            <w:rPr/>
          </w:pPr>
          <w:hyperlink w:anchor="__RefHeading___Toc13425055_1280447820">
            <w:r>
              <w:rPr>
                <w:webHidden/>
                <w:rStyle w:val="IndexLink"/>
                <w:rtl w:val="true"/>
              </w:rPr>
              <w:t>رابع عشرها</w:t>
            </w:r>
            <w:r>
              <w:rPr>
                <w:rStyle w:val="IndexLink"/>
                <w:rtl w:val="true"/>
              </w:rPr>
              <w:t xml:space="preserve">: </w:t>
            </w:r>
            <w:r>
              <w:rPr>
                <w:rStyle w:val="IndexLink"/>
                <w:rtl w:val="true"/>
              </w:rPr>
              <w:t>حكم ما لو ادّعى شخص الوكالة عن غائب في قبض عين قبض عين ماله أو استيفاء دينه</w:t>
            </w:r>
            <w:r>
              <w:rPr>
                <w:rStyle w:val="IndexLink"/>
                <w:rtl w:val="true"/>
              </w:rPr>
              <w:tab/>
            </w:r>
            <w:r>
              <w:rPr>
                <w:rStyle w:val="IndexLink"/>
              </w:rPr>
              <w:t>202</w:t>
            </w:r>
          </w:hyperlink>
        </w:p>
        <w:p>
          <w:pPr>
            <w:pStyle w:val="Contents5"/>
            <w:tabs>
              <w:tab w:val="clear" w:pos="7892"/>
              <w:tab w:val="right" w:pos="9026" w:leader="dot"/>
            </w:tabs>
            <w:rPr/>
          </w:pPr>
          <w:hyperlink w:anchor="__RefHeading___Toc13425057_1280447820">
            <w:r>
              <w:rPr>
                <w:webHidden/>
                <w:rStyle w:val="IndexLink"/>
                <w:rtl w:val="true"/>
              </w:rPr>
              <w:t>خامس عشرها</w:t>
            </w:r>
            <w:r>
              <w:rPr>
                <w:rStyle w:val="IndexLink"/>
                <w:rtl w:val="true"/>
              </w:rPr>
              <w:t xml:space="preserve">: </w:t>
            </w:r>
            <w:r>
              <w:rPr>
                <w:rStyle w:val="IndexLink"/>
                <w:rtl w:val="true"/>
              </w:rPr>
              <w:t>حكم ما لو طالب الموكّل الوكيل بردّ المال فأنكره أو أقرّ به وامتنع من إيصاله ثمّ ادّعى بعد ذلك تلف المال قبل الإنكار</w:t>
            </w:r>
            <w:r>
              <w:rPr>
                <w:rStyle w:val="IndexLink"/>
                <w:rtl w:val="true"/>
              </w:rPr>
              <w:tab/>
            </w:r>
            <w:r>
              <w:rPr>
                <w:rStyle w:val="IndexLink"/>
              </w:rPr>
              <w:t>204</w:t>
            </w:r>
          </w:hyperlink>
        </w:p>
        <w:p>
          <w:pPr>
            <w:pStyle w:val="Contents5"/>
            <w:tabs>
              <w:tab w:val="clear" w:pos="7892"/>
              <w:tab w:val="right" w:pos="9026" w:leader="dot"/>
            </w:tabs>
            <w:rPr/>
          </w:pPr>
          <w:hyperlink w:anchor="__RefHeading___Toc13425059_1280447820">
            <w:r>
              <w:rPr>
                <w:webHidden/>
                <w:rStyle w:val="IndexLink"/>
                <w:rtl w:val="true"/>
              </w:rPr>
              <w:t>سادس عشرها</w:t>
            </w:r>
            <w:r>
              <w:rPr>
                <w:rStyle w:val="IndexLink"/>
                <w:rtl w:val="true"/>
              </w:rPr>
              <w:t xml:space="preserve">: </w:t>
            </w:r>
            <w:r>
              <w:rPr>
                <w:rStyle w:val="IndexLink"/>
                <w:rtl w:val="true"/>
              </w:rPr>
              <w:t>حكم ما إذا اشترى الوكيل شيئاً فأنكر الموكّل الوكالة فحلف على نفيها</w:t>
            </w:r>
            <w:r>
              <w:rPr>
                <w:rStyle w:val="IndexLink"/>
                <w:rtl w:val="true"/>
              </w:rPr>
              <w:tab/>
            </w:r>
            <w:r>
              <w:rPr>
                <w:rStyle w:val="IndexLink"/>
              </w:rPr>
              <w:t>205</w:t>
            </w:r>
          </w:hyperlink>
        </w:p>
        <w:p>
          <w:pPr>
            <w:pStyle w:val="Contents5"/>
            <w:tabs>
              <w:tab w:val="clear" w:pos="7892"/>
              <w:tab w:val="right" w:pos="9026" w:leader="dot"/>
            </w:tabs>
            <w:rPr/>
          </w:pPr>
          <w:hyperlink w:anchor="__RefHeading___Toc13425061_1280447820">
            <w:r>
              <w:rPr>
                <w:webHidden/>
                <w:rStyle w:val="IndexLink"/>
                <w:rtl w:val="true"/>
              </w:rPr>
              <w:t>سابع عشرها</w:t>
            </w:r>
            <w:r>
              <w:rPr>
                <w:rStyle w:val="IndexLink"/>
                <w:rtl w:val="true"/>
              </w:rPr>
              <w:t xml:space="preserve">: </w:t>
            </w:r>
            <w:r>
              <w:rPr>
                <w:rStyle w:val="IndexLink"/>
                <w:rtl w:val="true"/>
              </w:rPr>
              <w:t>حكم ما لو اختلف الموكّل والوكيل بعد الشراء أو البيع في مبلغهما</w:t>
            </w:r>
            <w:r>
              <w:rPr>
                <w:rStyle w:val="IndexLink"/>
                <w:rtl w:val="true"/>
              </w:rPr>
              <w:tab/>
            </w:r>
            <w:r>
              <w:rPr>
                <w:rStyle w:val="IndexLink"/>
              </w:rPr>
              <w:t>206</w:t>
            </w:r>
          </w:hyperlink>
        </w:p>
        <w:p>
          <w:pPr>
            <w:pStyle w:val="Contents5"/>
            <w:tabs>
              <w:tab w:val="clear" w:pos="7892"/>
              <w:tab w:val="right" w:pos="9026" w:leader="dot"/>
            </w:tabs>
            <w:rPr/>
          </w:pPr>
          <w:hyperlink w:anchor="__RefHeading___Toc13425063_1280447820">
            <w:r>
              <w:rPr>
                <w:webHidden/>
                <w:rStyle w:val="IndexLink"/>
                <w:rtl w:val="true"/>
              </w:rPr>
              <w:t xml:space="preserve">ثامن عشرها </w:t>
            </w:r>
            <w:r>
              <w:rPr>
                <w:rStyle w:val="IndexLink"/>
                <w:rtl w:val="true"/>
              </w:rPr>
              <w:t xml:space="preserve">: </w:t>
            </w:r>
            <w:r>
              <w:rPr>
                <w:rStyle w:val="IndexLink"/>
                <w:rtl w:val="true"/>
              </w:rPr>
              <w:t>حكم ما لو طالب الوكيل من عليه الحق فقال</w:t>
            </w:r>
            <w:r>
              <w:rPr>
                <w:rStyle w:val="IndexLink"/>
                <w:rtl w:val="true"/>
              </w:rPr>
              <w:t xml:space="preserve">: </w:t>
            </w:r>
            <w:r>
              <w:rPr>
                <w:rStyle w:val="IndexLink"/>
                <w:rtl w:val="true"/>
              </w:rPr>
              <w:t>لا يستحق المطالبة</w:t>
            </w:r>
            <w:r>
              <w:rPr>
                <w:rStyle w:val="IndexLink"/>
                <w:rtl w:val="true"/>
              </w:rPr>
              <w:tab/>
            </w:r>
            <w:r>
              <w:rPr>
                <w:rStyle w:val="IndexLink"/>
              </w:rPr>
              <w:t>207</w:t>
            </w:r>
          </w:hyperlink>
        </w:p>
        <w:p>
          <w:pPr>
            <w:pStyle w:val="Contents5"/>
            <w:tabs>
              <w:tab w:val="clear" w:pos="7892"/>
              <w:tab w:val="right" w:pos="9026" w:leader="dot"/>
            </w:tabs>
            <w:rPr/>
          </w:pPr>
          <w:hyperlink w:anchor="__RefHeading___Toc13425065_1280447820">
            <w:r>
              <w:rPr>
                <w:webHidden/>
                <w:rStyle w:val="IndexLink"/>
                <w:rtl w:val="true"/>
              </w:rPr>
              <w:t>تاسع عشرها</w:t>
            </w:r>
            <w:r>
              <w:rPr>
                <w:rStyle w:val="IndexLink"/>
                <w:rtl w:val="true"/>
              </w:rPr>
              <w:t xml:space="preserve">: </w:t>
            </w:r>
            <w:r>
              <w:rPr>
                <w:rStyle w:val="IndexLink"/>
                <w:rtl w:val="true"/>
              </w:rPr>
              <w:t>في أنّه تقبل شهادة الوكيل على موكله ولموكله فيما لا ولاية له فيه</w:t>
            </w:r>
            <w:r>
              <w:rPr>
                <w:rStyle w:val="IndexLink"/>
                <w:rtl w:val="true"/>
              </w:rPr>
              <w:tab/>
            </w:r>
            <w:r>
              <w:rPr>
                <w:rStyle w:val="IndexLink"/>
              </w:rPr>
              <w:t>207</w:t>
            </w:r>
          </w:hyperlink>
        </w:p>
        <w:p>
          <w:pPr>
            <w:pStyle w:val="Contents5"/>
            <w:tabs>
              <w:tab w:val="clear" w:pos="7892"/>
              <w:tab w:val="right" w:pos="9026" w:leader="dot"/>
            </w:tabs>
            <w:rPr/>
          </w:pPr>
          <w:hyperlink w:anchor="__RefHeading___Toc13425067_1280447820">
            <w:r>
              <w:rPr>
                <w:webHidden/>
                <w:rStyle w:val="IndexLink"/>
                <w:rtl w:val="true"/>
              </w:rPr>
              <w:t>العشرون</w:t>
            </w:r>
            <w:r>
              <w:rPr>
                <w:rStyle w:val="IndexLink"/>
                <w:rtl w:val="true"/>
              </w:rPr>
              <w:t xml:space="preserve">: </w:t>
            </w:r>
            <w:r>
              <w:rPr>
                <w:rStyle w:val="IndexLink"/>
                <w:rtl w:val="true"/>
              </w:rPr>
              <w:t>حكم ما لو وكل شخصاً على قبض دينه فأخبره بقبضه وصدقه المديون</w:t>
            </w:r>
            <w:r>
              <w:rPr>
                <w:rStyle w:val="IndexLink"/>
                <w:rtl w:val="true"/>
              </w:rPr>
              <w:tab/>
            </w:r>
            <w:r>
              <w:rPr>
                <w:rStyle w:val="IndexLink"/>
              </w:rPr>
              <w:t>207</w:t>
            </w:r>
          </w:hyperlink>
        </w:p>
        <w:p>
          <w:pPr>
            <w:pStyle w:val="Contents5"/>
            <w:tabs>
              <w:tab w:val="clear" w:pos="7892"/>
              <w:tab w:val="right" w:pos="9026" w:leader="dot"/>
            </w:tabs>
            <w:rPr/>
          </w:pPr>
          <w:hyperlink w:anchor="__RefHeading___Toc13425069_1280447820">
            <w:r>
              <w:rPr>
                <w:webHidden/>
                <w:rStyle w:val="IndexLink"/>
                <w:rtl w:val="true"/>
              </w:rPr>
              <w:t>الواحد والعشرون</w:t>
            </w:r>
            <w:r>
              <w:rPr>
                <w:rStyle w:val="IndexLink"/>
                <w:rtl w:val="true"/>
              </w:rPr>
              <w:t xml:space="preserve">: </w:t>
            </w:r>
            <w:r>
              <w:rPr>
                <w:rStyle w:val="IndexLink"/>
                <w:rtl w:val="true"/>
              </w:rPr>
              <w:t>حكم ما إذا وكله في شراء عين فاشتراها فظهرت مستحقةً للغير بعد تلفها في يد الوكيل</w:t>
            </w:r>
            <w:r>
              <w:rPr>
                <w:rStyle w:val="IndexLink"/>
                <w:rtl w:val="true"/>
              </w:rPr>
              <w:tab/>
            </w:r>
            <w:r>
              <w:rPr>
                <w:rStyle w:val="IndexLink"/>
              </w:rPr>
              <w:t>208</w:t>
            </w:r>
          </w:hyperlink>
        </w:p>
        <w:p>
          <w:pPr>
            <w:pStyle w:val="Contents2"/>
            <w:tabs>
              <w:tab w:val="clear" w:pos="8743"/>
              <w:tab w:val="right" w:pos="9026" w:leader="dot"/>
            </w:tabs>
            <w:rPr/>
          </w:pPr>
          <w:hyperlink w:anchor="__RefHeading___Toc13425071_1280447820">
            <w:r>
              <w:rPr>
                <w:webHidden/>
                <w:rStyle w:val="IndexLink"/>
                <w:rtl w:val="true"/>
              </w:rPr>
              <w:t>كتاب الوقف</w:t>
            </w:r>
            <w:r>
              <w:rPr>
                <w:rStyle w:val="IndexLink"/>
                <w:rtl w:val="true"/>
              </w:rPr>
              <w:tab/>
            </w:r>
            <w:r>
              <w:rPr>
                <w:rStyle w:val="IndexLink"/>
              </w:rPr>
              <w:t>211</w:t>
            </w:r>
          </w:hyperlink>
        </w:p>
        <w:p>
          <w:pPr>
            <w:pStyle w:val="Contents3"/>
            <w:tabs>
              <w:tab w:val="clear" w:pos="8459"/>
              <w:tab w:val="right" w:pos="9026" w:leader="dot"/>
            </w:tabs>
            <w:rPr/>
          </w:pPr>
          <w:hyperlink w:anchor="__RefHeading___Toc13425073_1280447820">
            <w:r>
              <w:rPr>
                <w:webHidden/>
                <w:rStyle w:val="IndexLink"/>
                <w:rtl w:val="true"/>
              </w:rPr>
              <w:t>تعريف الوقف لغة وشرعاً</w:t>
            </w:r>
            <w:r>
              <w:rPr>
                <w:rStyle w:val="IndexLink"/>
                <w:rtl w:val="true"/>
              </w:rPr>
              <w:tab/>
            </w:r>
            <w:r>
              <w:rPr>
                <w:rStyle w:val="IndexLink"/>
              </w:rPr>
              <w:t>211</w:t>
            </w:r>
          </w:hyperlink>
        </w:p>
        <w:p>
          <w:pPr>
            <w:pStyle w:val="Contents3"/>
            <w:tabs>
              <w:tab w:val="clear" w:pos="8459"/>
              <w:tab w:val="right" w:pos="9026" w:leader="dot"/>
            </w:tabs>
            <w:rPr/>
          </w:pPr>
          <w:hyperlink w:anchor="__RefHeading___Toc13425075_1280447820">
            <w:r>
              <w:rPr>
                <w:webHidden/>
                <w:rStyle w:val="IndexLink"/>
                <w:rtl w:val="true"/>
              </w:rPr>
              <w:t>وهنا أُمور</w:t>
            </w:r>
            <w:r>
              <w:rPr>
                <w:rStyle w:val="IndexLink"/>
                <w:rtl w:val="true"/>
              </w:rPr>
              <w:t>:</w:t>
              <w:tab/>
            </w:r>
            <w:r>
              <w:rPr>
                <w:rStyle w:val="IndexLink"/>
              </w:rPr>
              <w:t>212</w:t>
            </w:r>
          </w:hyperlink>
        </w:p>
        <w:p>
          <w:pPr>
            <w:pStyle w:val="Contents4"/>
            <w:tabs>
              <w:tab w:val="clear" w:pos="8176"/>
              <w:tab w:val="right" w:pos="9026" w:leader="dot"/>
            </w:tabs>
            <w:rPr/>
          </w:pPr>
          <w:hyperlink w:anchor="__RefHeading___Toc13425077_1280447820">
            <w:r>
              <w:rPr>
                <w:webHidden/>
                <w:rStyle w:val="IndexLink"/>
                <w:rtl w:val="true"/>
              </w:rPr>
              <w:t>أحدها</w:t>
            </w:r>
            <w:r>
              <w:rPr>
                <w:rStyle w:val="IndexLink"/>
                <w:rtl w:val="true"/>
              </w:rPr>
              <w:t xml:space="preserve">: </w:t>
            </w:r>
            <w:r>
              <w:rPr>
                <w:rStyle w:val="IndexLink"/>
                <w:rtl w:val="true"/>
              </w:rPr>
              <w:t>في أنّ الوقف من العبادات ومن العقود اللازمة</w:t>
            </w:r>
            <w:r>
              <w:rPr>
                <w:rStyle w:val="IndexLink"/>
                <w:rtl w:val="true"/>
              </w:rPr>
              <w:tab/>
            </w:r>
            <w:r>
              <w:rPr>
                <w:rStyle w:val="IndexLink"/>
              </w:rPr>
              <w:t>212</w:t>
            </w:r>
          </w:hyperlink>
        </w:p>
        <w:p>
          <w:pPr>
            <w:pStyle w:val="Contents4"/>
            <w:tabs>
              <w:tab w:val="clear" w:pos="8176"/>
              <w:tab w:val="right" w:pos="9026" w:leader="dot"/>
            </w:tabs>
            <w:rPr/>
          </w:pPr>
          <w:hyperlink w:anchor="__RefHeading___Toc13425079_1280447820">
            <w:r>
              <w:rPr>
                <w:webHidden/>
                <w:rStyle w:val="IndexLink"/>
                <w:rtl w:val="true"/>
              </w:rPr>
              <w:t>ثانيها</w:t>
            </w:r>
            <w:r>
              <w:rPr>
                <w:rStyle w:val="IndexLink"/>
                <w:rtl w:val="true"/>
              </w:rPr>
              <w:t xml:space="preserve">: </w:t>
            </w:r>
            <w:r>
              <w:rPr>
                <w:rStyle w:val="IndexLink"/>
                <w:rtl w:val="true"/>
              </w:rPr>
              <w:t>في أنّه لا يكفي في الوقف الفعل في إيجاب أو قبول</w:t>
            </w:r>
            <w:r>
              <w:rPr>
                <w:rStyle w:val="IndexLink"/>
                <w:rtl w:val="true"/>
              </w:rPr>
              <w:tab/>
            </w:r>
            <w:r>
              <w:rPr>
                <w:rStyle w:val="IndexLink"/>
              </w:rPr>
              <w:t>214</w:t>
            </w:r>
          </w:hyperlink>
        </w:p>
        <w:p>
          <w:pPr>
            <w:pStyle w:val="Contents4"/>
            <w:tabs>
              <w:tab w:val="clear" w:pos="8176"/>
              <w:tab w:val="right" w:pos="9026" w:leader="dot"/>
            </w:tabs>
            <w:rPr/>
          </w:pPr>
          <w:hyperlink w:anchor="__RefHeading___Toc13425081_1280447820">
            <w:r>
              <w:rPr>
                <w:webHidden/>
                <w:rStyle w:val="IndexLink"/>
                <w:rtl w:val="true"/>
              </w:rPr>
              <w:t>ثالثها</w:t>
            </w:r>
            <w:r>
              <w:rPr>
                <w:rStyle w:val="IndexLink"/>
                <w:rtl w:val="true"/>
              </w:rPr>
              <w:t xml:space="preserve">: </w:t>
            </w:r>
            <w:r>
              <w:rPr>
                <w:rStyle w:val="IndexLink"/>
                <w:rtl w:val="true"/>
              </w:rPr>
              <w:t>في بيان ما يشترط في الصيغة</w:t>
            </w:r>
            <w:r>
              <w:rPr>
                <w:rStyle w:val="IndexLink"/>
                <w:rtl w:val="true"/>
              </w:rPr>
              <w:tab/>
            </w:r>
            <w:r>
              <w:rPr>
                <w:rStyle w:val="IndexLink"/>
              </w:rPr>
              <w:t>218</w:t>
            </w:r>
          </w:hyperlink>
        </w:p>
        <w:p>
          <w:pPr>
            <w:pStyle w:val="Contents4"/>
            <w:tabs>
              <w:tab w:val="clear" w:pos="8176"/>
              <w:tab w:val="right" w:pos="9026" w:leader="dot"/>
            </w:tabs>
            <w:rPr/>
          </w:pPr>
          <w:hyperlink w:anchor="__RefHeading___Toc13425083_1280447820">
            <w:r>
              <w:rPr>
                <w:webHidden/>
                <w:rStyle w:val="IndexLink"/>
                <w:rtl w:val="true"/>
              </w:rPr>
              <w:t>رابعها</w:t>
            </w:r>
            <w:r>
              <w:rPr>
                <w:rStyle w:val="IndexLink"/>
                <w:rtl w:val="true"/>
              </w:rPr>
              <w:t xml:space="preserve">: </w:t>
            </w:r>
            <w:r>
              <w:rPr>
                <w:rStyle w:val="IndexLink"/>
                <w:rtl w:val="true"/>
              </w:rPr>
              <w:t>اشتراط القربة في صحّة الوقف</w:t>
            </w:r>
            <w:r>
              <w:rPr>
                <w:rStyle w:val="IndexLink"/>
                <w:rtl w:val="true"/>
              </w:rPr>
              <w:tab/>
            </w:r>
            <w:r>
              <w:rPr>
                <w:rStyle w:val="IndexLink"/>
              </w:rPr>
              <w:t>220</w:t>
            </w:r>
          </w:hyperlink>
        </w:p>
        <w:p>
          <w:pPr>
            <w:pStyle w:val="Contents4"/>
            <w:tabs>
              <w:tab w:val="clear" w:pos="8176"/>
              <w:tab w:val="right" w:pos="9026" w:leader="dot"/>
            </w:tabs>
            <w:rPr/>
          </w:pPr>
          <w:hyperlink w:anchor="__RefHeading___Toc13425085_1280447820">
            <w:r>
              <w:rPr>
                <w:webHidden/>
                <w:rStyle w:val="IndexLink"/>
                <w:rtl w:val="true"/>
              </w:rPr>
              <w:t xml:space="preserve">خامسها </w:t>
            </w:r>
            <w:r>
              <w:rPr>
                <w:rStyle w:val="IndexLink"/>
                <w:rtl w:val="true"/>
              </w:rPr>
              <w:t xml:space="preserve">: </w:t>
            </w:r>
            <w:r>
              <w:rPr>
                <w:rStyle w:val="IndexLink"/>
                <w:rtl w:val="true"/>
              </w:rPr>
              <w:t>اشتراط الدوام في صيغة الوقف</w:t>
            </w:r>
            <w:r>
              <w:rPr>
                <w:rStyle w:val="IndexLink"/>
                <w:rtl w:val="true"/>
              </w:rPr>
              <w:tab/>
            </w:r>
            <w:r>
              <w:rPr>
                <w:rStyle w:val="IndexLink"/>
              </w:rPr>
              <w:t>222</w:t>
            </w:r>
          </w:hyperlink>
        </w:p>
        <w:p>
          <w:pPr>
            <w:pStyle w:val="Contents5"/>
            <w:tabs>
              <w:tab w:val="clear" w:pos="7892"/>
              <w:tab w:val="right" w:pos="9026" w:leader="dot"/>
            </w:tabs>
            <w:rPr/>
          </w:pPr>
          <w:hyperlink w:anchor="__RefHeading___Toc13425087_1280447820">
            <w:r>
              <w:rPr>
                <w:webHidden/>
                <w:rStyle w:val="IndexLink"/>
                <w:rtl w:val="true"/>
              </w:rPr>
              <w:t>إشارة</w:t>
            </w:r>
            <w:r>
              <w:rPr>
                <w:rStyle w:val="IndexLink"/>
                <w:rtl w:val="true"/>
              </w:rPr>
              <w:t>:</w:t>
              <w:tab/>
            </w:r>
            <w:r>
              <w:rPr>
                <w:rStyle w:val="IndexLink"/>
              </w:rPr>
              <w:t>222</w:t>
            </w:r>
          </w:hyperlink>
        </w:p>
        <w:p>
          <w:pPr>
            <w:pStyle w:val="Contents5"/>
            <w:tabs>
              <w:tab w:val="clear" w:pos="7892"/>
              <w:tab w:val="right" w:pos="9026" w:leader="dot"/>
            </w:tabs>
            <w:rPr/>
          </w:pPr>
          <w:hyperlink w:anchor="__RefHeading___Toc13425089_1280447820">
            <w:r>
              <w:rPr>
                <w:webHidden/>
                <w:rStyle w:val="IndexLink"/>
                <w:rtl w:val="true"/>
              </w:rPr>
              <w:t>فهنا أحكام ثلاثة</w:t>
            </w:r>
            <w:r>
              <w:rPr>
                <w:rStyle w:val="IndexLink"/>
                <w:rtl w:val="true"/>
              </w:rPr>
              <w:t>:</w:t>
              <w:tab/>
            </w:r>
            <w:r>
              <w:rPr>
                <w:rStyle w:val="IndexLink"/>
              </w:rPr>
              <w:t>222</w:t>
            </w:r>
          </w:hyperlink>
        </w:p>
        <w:p>
          <w:pPr>
            <w:pStyle w:val="Contents6"/>
            <w:tabs>
              <w:tab w:val="clear" w:pos="7609"/>
              <w:tab w:val="right" w:pos="9026" w:leader="dot"/>
            </w:tabs>
            <w:rPr/>
          </w:pPr>
          <w:hyperlink w:anchor="__RefHeading___Toc13425091_1280447820">
            <w:r>
              <w:rPr>
                <w:webHidden/>
                <w:rStyle w:val="IndexLink"/>
                <w:rtl w:val="true"/>
              </w:rPr>
              <w:t>الأوّل منها</w:t>
            </w:r>
            <w:r>
              <w:rPr>
                <w:rStyle w:val="IndexLink"/>
                <w:rtl w:val="true"/>
              </w:rPr>
              <w:t xml:space="preserve">: </w:t>
            </w:r>
            <w:r>
              <w:rPr>
                <w:rStyle w:val="IndexLink"/>
                <w:rtl w:val="true"/>
              </w:rPr>
              <w:t>عدم جواز تحديد الوقف بنفس العقد</w:t>
            </w:r>
            <w:r>
              <w:rPr>
                <w:rStyle w:val="IndexLink"/>
                <w:rtl w:val="true"/>
              </w:rPr>
              <w:tab/>
            </w:r>
            <w:r>
              <w:rPr>
                <w:rStyle w:val="IndexLink"/>
              </w:rPr>
              <w:t>222</w:t>
            </w:r>
          </w:hyperlink>
        </w:p>
        <w:p>
          <w:pPr>
            <w:pStyle w:val="Contents6"/>
            <w:tabs>
              <w:tab w:val="clear" w:pos="7609"/>
              <w:tab w:val="right" w:pos="9026" w:leader="dot"/>
            </w:tabs>
            <w:rPr/>
          </w:pPr>
          <w:hyperlink w:anchor="__RefHeading___Toc13425093_1280447820">
            <w:r>
              <w:rPr>
                <w:webHidden/>
                <w:rStyle w:val="IndexLink"/>
                <w:rtl w:val="true"/>
              </w:rPr>
              <w:t>الثاني منها</w:t>
            </w:r>
            <w:r>
              <w:rPr>
                <w:rStyle w:val="IndexLink"/>
                <w:rtl w:val="true"/>
              </w:rPr>
              <w:t xml:space="preserve">: </w:t>
            </w:r>
            <w:r>
              <w:rPr>
                <w:rStyle w:val="IndexLink"/>
                <w:rtl w:val="true"/>
              </w:rPr>
              <w:t>عدم جواز كون الموقوف عليه غير مبني على الدوام</w:t>
            </w:r>
            <w:r>
              <w:rPr>
                <w:rStyle w:val="IndexLink"/>
                <w:rtl w:val="true"/>
              </w:rPr>
              <w:tab/>
            </w:r>
            <w:r>
              <w:rPr>
                <w:rStyle w:val="IndexLink"/>
              </w:rPr>
              <w:t>225</w:t>
            </w:r>
          </w:hyperlink>
        </w:p>
        <w:p>
          <w:pPr>
            <w:pStyle w:val="Contents6"/>
            <w:tabs>
              <w:tab w:val="clear" w:pos="7609"/>
              <w:tab w:val="right" w:pos="9026" w:leader="dot"/>
            </w:tabs>
            <w:rPr/>
          </w:pPr>
          <w:hyperlink w:anchor="__RefHeading___Toc13425095_1280447820">
            <w:r>
              <w:rPr>
                <w:webHidden/>
                <w:rStyle w:val="IndexLink"/>
                <w:rtl w:val="true"/>
              </w:rPr>
              <w:t>الثالث منها</w:t>
            </w:r>
            <w:r>
              <w:rPr>
                <w:rStyle w:val="IndexLink"/>
                <w:rtl w:val="true"/>
              </w:rPr>
              <w:t xml:space="preserve">: </w:t>
            </w:r>
            <w:r>
              <w:rPr>
                <w:rStyle w:val="IndexLink"/>
                <w:rtl w:val="true"/>
              </w:rPr>
              <w:t>كون العين ممّا ينتفع بها مع بقائها</w:t>
            </w:r>
            <w:r>
              <w:rPr>
                <w:rStyle w:val="IndexLink"/>
                <w:rtl w:val="true"/>
              </w:rPr>
              <w:tab/>
            </w:r>
            <w:r>
              <w:rPr>
                <w:rStyle w:val="IndexLink"/>
              </w:rPr>
              <w:t>229</w:t>
            </w:r>
          </w:hyperlink>
        </w:p>
        <w:p>
          <w:pPr>
            <w:pStyle w:val="Contents4"/>
            <w:tabs>
              <w:tab w:val="clear" w:pos="8176"/>
              <w:tab w:val="right" w:pos="9026" w:leader="dot"/>
            </w:tabs>
            <w:rPr/>
          </w:pPr>
          <w:hyperlink w:anchor="__RefHeading___Toc13425097_1280447820">
            <w:r>
              <w:rPr>
                <w:webHidden/>
                <w:rStyle w:val="IndexLink"/>
                <w:rtl w:val="true"/>
              </w:rPr>
              <w:t>سادسها</w:t>
            </w:r>
            <w:r>
              <w:rPr>
                <w:rStyle w:val="IndexLink"/>
                <w:rtl w:val="true"/>
              </w:rPr>
              <w:t xml:space="preserve">: </w:t>
            </w:r>
            <w:r>
              <w:rPr>
                <w:rStyle w:val="IndexLink"/>
                <w:rtl w:val="true"/>
              </w:rPr>
              <w:t>اشتراط التنجيز في الوقف</w:t>
            </w:r>
            <w:r>
              <w:rPr>
                <w:rStyle w:val="IndexLink"/>
                <w:rtl w:val="true"/>
              </w:rPr>
              <w:tab/>
            </w:r>
            <w:r>
              <w:rPr>
                <w:rStyle w:val="IndexLink"/>
              </w:rPr>
              <w:t>229</w:t>
            </w:r>
          </w:hyperlink>
        </w:p>
        <w:p>
          <w:pPr>
            <w:pStyle w:val="Contents4"/>
            <w:tabs>
              <w:tab w:val="clear" w:pos="8176"/>
              <w:tab w:val="right" w:pos="9026" w:leader="dot"/>
            </w:tabs>
            <w:rPr/>
          </w:pPr>
          <w:hyperlink w:anchor="__RefHeading___Toc13425099_1280447820">
            <w:r>
              <w:rPr>
                <w:webHidden/>
                <w:rStyle w:val="IndexLink"/>
                <w:rtl w:val="true"/>
              </w:rPr>
              <w:t>سابعها</w:t>
            </w:r>
            <w:r>
              <w:rPr>
                <w:rStyle w:val="IndexLink"/>
                <w:rtl w:val="true"/>
              </w:rPr>
              <w:t xml:space="preserve">: </w:t>
            </w:r>
            <w:r>
              <w:rPr>
                <w:rStyle w:val="IndexLink"/>
                <w:rtl w:val="true"/>
              </w:rPr>
              <w:t>في أنّه يشترط في صحّة الوقف القبض للموقوف من الموقوف عليه</w:t>
            </w:r>
            <w:r>
              <w:rPr>
                <w:rStyle w:val="IndexLink"/>
                <w:rtl w:val="true"/>
              </w:rPr>
              <w:tab/>
            </w:r>
            <w:r>
              <w:rPr>
                <w:rStyle w:val="IndexLink"/>
              </w:rPr>
              <w:t>230</w:t>
            </w:r>
          </w:hyperlink>
        </w:p>
        <w:p>
          <w:pPr>
            <w:pStyle w:val="Contents4"/>
            <w:tabs>
              <w:tab w:val="clear" w:pos="8176"/>
              <w:tab w:val="right" w:pos="9026" w:leader="dot"/>
            </w:tabs>
            <w:rPr/>
          </w:pPr>
          <w:hyperlink w:anchor="__RefHeading___Toc13425101_1280447820">
            <w:r>
              <w:rPr>
                <w:webHidden/>
                <w:rStyle w:val="IndexLink"/>
                <w:rtl w:val="true"/>
              </w:rPr>
              <w:t xml:space="preserve">ثامنها </w:t>
            </w:r>
            <w:r>
              <w:rPr>
                <w:rStyle w:val="IndexLink"/>
                <w:rtl w:val="true"/>
              </w:rPr>
              <w:t xml:space="preserve">: </w:t>
            </w:r>
            <w:r>
              <w:rPr>
                <w:rStyle w:val="IndexLink"/>
                <w:rtl w:val="true"/>
              </w:rPr>
              <w:t>قيام الولي مقام المولّى عليه في قبول الوقف وقبضه</w:t>
            </w:r>
            <w:r>
              <w:rPr>
                <w:rStyle w:val="IndexLink"/>
                <w:rtl w:val="true"/>
              </w:rPr>
              <w:tab/>
            </w:r>
            <w:r>
              <w:rPr>
                <w:rStyle w:val="IndexLink"/>
              </w:rPr>
              <w:t>231</w:t>
            </w:r>
          </w:hyperlink>
        </w:p>
        <w:p>
          <w:pPr>
            <w:pStyle w:val="Contents4"/>
            <w:tabs>
              <w:tab w:val="clear" w:pos="8176"/>
              <w:tab w:val="right" w:pos="9026" w:leader="dot"/>
            </w:tabs>
            <w:rPr/>
          </w:pPr>
          <w:hyperlink w:anchor="__RefHeading___Toc13425103_1280447820">
            <w:r>
              <w:rPr>
                <w:webHidden/>
                <w:rStyle w:val="IndexLink"/>
                <w:rtl w:val="true"/>
              </w:rPr>
              <w:t>تاسعها</w:t>
            </w:r>
            <w:r>
              <w:rPr>
                <w:rStyle w:val="IndexLink"/>
                <w:rtl w:val="true"/>
              </w:rPr>
              <w:t xml:space="preserve">: </w:t>
            </w:r>
            <w:r>
              <w:rPr>
                <w:rStyle w:val="IndexLink"/>
                <w:rtl w:val="true"/>
              </w:rPr>
              <w:t>فيما لو كان الوقف على جهة عامة كان القبض عنهم موكولاً للحاكم بنفسه أو بوكيله</w:t>
            </w:r>
            <w:r>
              <w:rPr>
                <w:rStyle w:val="IndexLink"/>
                <w:rtl w:val="true"/>
              </w:rPr>
              <w:tab/>
            </w:r>
            <w:r>
              <w:rPr>
                <w:rStyle w:val="IndexLink"/>
              </w:rPr>
              <w:t>233</w:t>
            </w:r>
          </w:hyperlink>
        </w:p>
        <w:p>
          <w:pPr>
            <w:pStyle w:val="Contents4"/>
            <w:tabs>
              <w:tab w:val="clear" w:pos="8176"/>
              <w:tab w:val="right" w:pos="9026" w:leader="dot"/>
            </w:tabs>
            <w:rPr/>
          </w:pPr>
          <w:hyperlink w:anchor="__RefHeading___Toc13425105_1280447820">
            <w:r>
              <w:rPr>
                <w:webHidden/>
                <w:rStyle w:val="IndexLink"/>
                <w:rtl w:val="true"/>
              </w:rPr>
              <w:t>عاشرها</w:t>
            </w:r>
            <w:r>
              <w:rPr>
                <w:rStyle w:val="IndexLink"/>
                <w:rtl w:val="true"/>
              </w:rPr>
              <w:t xml:space="preserve">: </w:t>
            </w:r>
            <w:r>
              <w:rPr>
                <w:rStyle w:val="IndexLink"/>
                <w:rtl w:val="true"/>
              </w:rPr>
              <w:t>في أنّه يشترط في الوقف إخراجه عن نفسه وتخليتها عنه ملكاً وانتفاعاً وعوداً إليه وقت الحاجة</w:t>
            </w:r>
            <w:r>
              <w:rPr>
                <w:rStyle w:val="IndexLink"/>
                <w:rtl w:val="true"/>
              </w:rPr>
              <w:tab/>
            </w:r>
            <w:r>
              <w:rPr>
                <w:rStyle w:val="IndexLink"/>
              </w:rPr>
              <w:t>235</w:t>
            </w:r>
          </w:hyperlink>
        </w:p>
        <w:p>
          <w:pPr>
            <w:pStyle w:val="Contents5"/>
            <w:tabs>
              <w:tab w:val="clear" w:pos="7892"/>
              <w:tab w:val="right" w:pos="9026" w:leader="dot"/>
            </w:tabs>
            <w:rPr/>
          </w:pPr>
          <w:hyperlink w:anchor="__RefHeading___Toc13425107_1280447820">
            <w:r>
              <w:rPr>
                <w:webHidden/>
                <w:rStyle w:val="IndexLink"/>
                <w:rtl w:val="true"/>
              </w:rPr>
              <w:t>إشارة</w:t>
            </w:r>
            <w:r>
              <w:rPr>
                <w:rStyle w:val="IndexLink"/>
                <w:rtl w:val="true"/>
              </w:rPr>
              <w:t>:</w:t>
              <w:tab/>
            </w:r>
            <w:r>
              <w:rPr>
                <w:rStyle w:val="IndexLink"/>
              </w:rPr>
              <w:t>235</w:t>
            </w:r>
          </w:hyperlink>
        </w:p>
        <w:p>
          <w:pPr>
            <w:pStyle w:val="Contents5"/>
            <w:tabs>
              <w:tab w:val="clear" w:pos="7892"/>
              <w:tab w:val="right" w:pos="9026" w:leader="dot"/>
            </w:tabs>
            <w:rPr/>
          </w:pPr>
          <w:hyperlink w:anchor="__RefHeading___Toc13425109_1280447820">
            <w:r>
              <w:rPr>
                <w:webHidden/>
                <w:rStyle w:val="IndexLink"/>
                <w:rtl w:val="true"/>
              </w:rPr>
              <w:t>هنا أُمور</w:t>
            </w:r>
            <w:r>
              <w:rPr>
                <w:rStyle w:val="IndexLink"/>
                <w:rtl w:val="true"/>
              </w:rPr>
              <w:t>:</w:t>
              <w:tab/>
            </w:r>
            <w:r>
              <w:rPr>
                <w:rStyle w:val="IndexLink"/>
              </w:rPr>
              <w:t>235</w:t>
            </w:r>
          </w:hyperlink>
        </w:p>
        <w:p>
          <w:pPr>
            <w:pStyle w:val="Contents6"/>
            <w:tabs>
              <w:tab w:val="clear" w:pos="7609"/>
              <w:tab w:val="right" w:pos="9026" w:leader="dot"/>
            </w:tabs>
            <w:rPr/>
          </w:pPr>
          <w:hyperlink w:anchor="__RefHeading___Toc13425111_1280447820">
            <w:r>
              <w:rPr>
                <w:webHidden/>
                <w:rStyle w:val="IndexLink"/>
                <w:rtl w:val="true"/>
              </w:rPr>
              <w:t>الأوّل</w:t>
            </w:r>
            <w:r>
              <w:rPr>
                <w:rStyle w:val="IndexLink"/>
                <w:rtl w:val="true"/>
              </w:rPr>
              <w:t xml:space="preserve">: </w:t>
            </w:r>
            <w:r>
              <w:rPr>
                <w:rStyle w:val="IndexLink"/>
                <w:rtl w:val="true"/>
              </w:rPr>
              <w:t>عدم صحّة وقف الإنسان على نفسه شيئاً</w:t>
            </w:r>
            <w:r>
              <w:rPr>
                <w:rStyle w:val="IndexLink"/>
                <w:rtl w:val="true"/>
              </w:rPr>
              <w:tab/>
            </w:r>
            <w:r>
              <w:rPr>
                <w:rStyle w:val="IndexLink"/>
              </w:rPr>
              <w:t>235</w:t>
            </w:r>
          </w:hyperlink>
        </w:p>
        <w:p>
          <w:pPr>
            <w:pStyle w:val="Contents6"/>
            <w:tabs>
              <w:tab w:val="clear" w:pos="7609"/>
              <w:tab w:val="right" w:pos="9026" w:leader="dot"/>
            </w:tabs>
            <w:rPr/>
          </w:pPr>
          <w:hyperlink w:anchor="__RefHeading___Toc13425113_1280447820">
            <w:r>
              <w:rPr>
                <w:webHidden/>
                <w:rStyle w:val="IndexLink"/>
                <w:rtl w:val="true"/>
              </w:rPr>
              <w:t>الثاني</w:t>
            </w:r>
            <w:r>
              <w:rPr>
                <w:rStyle w:val="IndexLink"/>
                <w:rtl w:val="true"/>
              </w:rPr>
              <w:t xml:space="preserve">: </w:t>
            </w:r>
            <w:r>
              <w:rPr>
                <w:rStyle w:val="IndexLink"/>
                <w:rtl w:val="true"/>
              </w:rPr>
              <w:t>بطلان الوقف فيما لو وقف الإنسان على نفسه أو أشرك مع نفسه غيره في الوقف</w:t>
            </w:r>
            <w:r>
              <w:rPr>
                <w:rStyle w:val="IndexLink"/>
                <w:rtl w:val="true"/>
              </w:rPr>
              <w:tab/>
            </w:r>
            <w:r>
              <w:rPr>
                <w:rStyle w:val="IndexLink"/>
              </w:rPr>
              <w:t>235</w:t>
            </w:r>
          </w:hyperlink>
        </w:p>
        <w:p>
          <w:pPr>
            <w:pStyle w:val="Contents6"/>
            <w:tabs>
              <w:tab w:val="clear" w:pos="7609"/>
              <w:tab w:val="right" w:pos="9026" w:leader="dot"/>
            </w:tabs>
            <w:rPr/>
          </w:pPr>
          <w:hyperlink w:anchor="__RefHeading___Toc13425115_1280447820">
            <w:r>
              <w:rPr>
                <w:webHidden/>
                <w:rStyle w:val="IndexLink"/>
                <w:rtl w:val="true"/>
              </w:rPr>
              <w:t>الثالث</w:t>
            </w:r>
            <w:r>
              <w:rPr>
                <w:rStyle w:val="IndexLink"/>
                <w:rtl w:val="true"/>
              </w:rPr>
              <w:t xml:space="preserve">: </w:t>
            </w:r>
            <w:r>
              <w:rPr>
                <w:rStyle w:val="IndexLink"/>
                <w:rtl w:val="true"/>
              </w:rPr>
              <w:t>حكم ما لو وقف على نفسه ثمّ على غيره</w:t>
            </w:r>
            <w:r>
              <w:rPr>
                <w:rStyle w:val="IndexLink"/>
                <w:rtl w:val="true"/>
              </w:rPr>
              <w:tab/>
            </w:r>
            <w:r>
              <w:rPr>
                <w:rStyle w:val="IndexLink"/>
              </w:rPr>
              <w:t>236</w:t>
            </w:r>
          </w:hyperlink>
        </w:p>
        <w:p>
          <w:pPr>
            <w:pStyle w:val="Contents6"/>
            <w:tabs>
              <w:tab w:val="clear" w:pos="7609"/>
              <w:tab w:val="right" w:pos="9026" w:leader="dot"/>
            </w:tabs>
            <w:rPr/>
          </w:pPr>
          <w:hyperlink w:anchor="__RefHeading___Toc13425117_1280447820">
            <w:r>
              <w:rPr>
                <w:webHidden/>
                <w:rStyle w:val="IndexLink"/>
                <w:rtl w:val="true"/>
              </w:rPr>
              <w:t>الرابع</w:t>
            </w:r>
            <w:r>
              <w:rPr>
                <w:rStyle w:val="IndexLink"/>
                <w:rtl w:val="true"/>
              </w:rPr>
              <w:t xml:space="preserve">: </w:t>
            </w:r>
            <w:r>
              <w:rPr>
                <w:rStyle w:val="IndexLink"/>
                <w:rtl w:val="true"/>
              </w:rPr>
              <w:t>حكم ما لو وقف واقف على جهة من الجهات وقفاً عاماً</w:t>
            </w:r>
            <w:r>
              <w:rPr>
                <w:rStyle w:val="IndexLink"/>
                <w:rtl w:val="true"/>
              </w:rPr>
              <w:tab/>
            </w:r>
            <w:r>
              <w:rPr>
                <w:rStyle w:val="IndexLink"/>
              </w:rPr>
              <w:t>237</w:t>
            </w:r>
          </w:hyperlink>
        </w:p>
        <w:p>
          <w:pPr>
            <w:pStyle w:val="Contents6"/>
            <w:tabs>
              <w:tab w:val="clear" w:pos="7609"/>
              <w:tab w:val="right" w:pos="9026" w:leader="dot"/>
            </w:tabs>
            <w:rPr/>
          </w:pPr>
          <w:hyperlink w:anchor="__RefHeading___Toc13425119_1280447820">
            <w:r>
              <w:rPr>
                <w:webHidden/>
                <w:rStyle w:val="IndexLink"/>
                <w:rtl w:val="true"/>
              </w:rPr>
              <w:t>الخامس</w:t>
            </w:r>
            <w:r>
              <w:rPr>
                <w:rStyle w:val="IndexLink"/>
                <w:rtl w:val="true"/>
              </w:rPr>
              <w:t xml:space="preserve">: </w:t>
            </w:r>
            <w:r>
              <w:rPr>
                <w:rStyle w:val="IndexLink"/>
                <w:rtl w:val="true"/>
              </w:rPr>
              <w:t>بطلان الوقف فيما إذا شرط الواقف قضاء ديونه منه أو إدرار مؤونته منه</w:t>
            </w:r>
            <w:r>
              <w:rPr>
                <w:rStyle w:val="IndexLink"/>
                <w:rtl w:val="true"/>
              </w:rPr>
              <w:tab/>
            </w:r>
            <w:r>
              <w:rPr>
                <w:rStyle w:val="IndexLink"/>
              </w:rPr>
              <w:t>239</w:t>
            </w:r>
          </w:hyperlink>
        </w:p>
        <w:p>
          <w:pPr>
            <w:pStyle w:val="Contents6"/>
            <w:tabs>
              <w:tab w:val="clear" w:pos="7609"/>
              <w:tab w:val="right" w:pos="9026" w:leader="dot"/>
            </w:tabs>
            <w:rPr/>
          </w:pPr>
          <w:hyperlink w:anchor="__RefHeading___Toc13425121_1280447820">
            <w:r>
              <w:rPr>
                <w:webHidden/>
                <w:rStyle w:val="IndexLink"/>
                <w:rtl w:val="true"/>
              </w:rPr>
              <w:t>السادس</w:t>
            </w:r>
            <w:r>
              <w:rPr>
                <w:rStyle w:val="IndexLink"/>
                <w:rtl w:val="true"/>
              </w:rPr>
              <w:t xml:space="preserve">: </w:t>
            </w:r>
            <w:r>
              <w:rPr>
                <w:rStyle w:val="IndexLink"/>
                <w:rtl w:val="true"/>
              </w:rPr>
              <w:t>حكم ما لو وقف الواقف وشرط عود الوقف إليه عند الحاجة</w:t>
            </w:r>
            <w:r>
              <w:rPr>
                <w:rStyle w:val="IndexLink"/>
                <w:rtl w:val="true"/>
              </w:rPr>
              <w:tab/>
            </w:r>
            <w:r>
              <w:rPr>
                <w:rStyle w:val="IndexLink"/>
              </w:rPr>
              <w:t>240</w:t>
            </w:r>
          </w:hyperlink>
        </w:p>
        <w:p>
          <w:pPr>
            <w:pStyle w:val="Contents6"/>
            <w:tabs>
              <w:tab w:val="clear" w:pos="7609"/>
              <w:tab w:val="right" w:pos="9026" w:leader="dot"/>
            </w:tabs>
            <w:rPr/>
          </w:pPr>
          <w:hyperlink w:anchor="__RefHeading___Toc13425123_1280447820">
            <w:r>
              <w:rPr>
                <w:webHidden/>
                <w:rStyle w:val="IndexLink"/>
                <w:rtl w:val="true"/>
              </w:rPr>
              <w:t>السابع</w:t>
            </w:r>
            <w:r>
              <w:rPr>
                <w:rStyle w:val="IndexLink"/>
                <w:rtl w:val="true"/>
              </w:rPr>
              <w:t xml:space="preserve">: </w:t>
            </w:r>
            <w:r>
              <w:rPr>
                <w:rStyle w:val="IndexLink"/>
                <w:rtl w:val="true"/>
              </w:rPr>
              <w:t>فيما لو صحّ اشتراط العود إليه فلابد من الاقتصار فيه على مورد النصّ والفتوى</w:t>
            </w:r>
            <w:r>
              <w:rPr>
                <w:rStyle w:val="IndexLink"/>
                <w:rtl w:val="true"/>
              </w:rPr>
              <w:tab/>
            </w:r>
            <w:r>
              <w:rPr>
                <w:rStyle w:val="IndexLink"/>
              </w:rPr>
              <w:t>242</w:t>
            </w:r>
          </w:hyperlink>
        </w:p>
        <w:p>
          <w:pPr>
            <w:pStyle w:val="Contents4"/>
            <w:tabs>
              <w:tab w:val="clear" w:pos="8176"/>
              <w:tab w:val="right" w:pos="9026" w:leader="dot"/>
            </w:tabs>
            <w:rPr/>
          </w:pPr>
          <w:hyperlink w:anchor="__RefHeading___Toc13425125_1280447820">
            <w:r>
              <w:rPr>
                <w:webHidden/>
                <w:rStyle w:val="IndexLink"/>
                <w:rtl w:val="true"/>
              </w:rPr>
              <w:t>حادي عشرها</w:t>
            </w:r>
            <w:r>
              <w:rPr>
                <w:rStyle w:val="IndexLink"/>
                <w:rtl w:val="true"/>
              </w:rPr>
              <w:t xml:space="preserve">: </w:t>
            </w:r>
            <w:r>
              <w:rPr>
                <w:rStyle w:val="IndexLink"/>
                <w:rtl w:val="true"/>
              </w:rPr>
              <w:t>حكم ما إذا وقف على أولاده الأصاغر</w:t>
            </w:r>
            <w:r>
              <w:rPr>
                <w:rStyle w:val="IndexLink"/>
                <w:rtl w:val="true"/>
              </w:rPr>
              <w:tab/>
            </w:r>
            <w:r>
              <w:rPr>
                <w:rStyle w:val="IndexLink"/>
              </w:rPr>
              <w:t>244</w:t>
            </w:r>
          </w:hyperlink>
        </w:p>
        <w:p>
          <w:pPr>
            <w:pStyle w:val="Contents4"/>
            <w:tabs>
              <w:tab w:val="clear" w:pos="8176"/>
              <w:tab w:val="right" w:pos="9026" w:leader="dot"/>
            </w:tabs>
            <w:rPr/>
          </w:pPr>
          <w:hyperlink w:anchor="__RefHeading___Toc13425127_1280447820">
            <w:r>
              <w:rPr>
                <w:webHidden/>
                <w:rStyle w:val="IndexLink"/>
                <w:rtl w:val="true"/>
              </w:rPr>
              <w:t>ثاني عشرها</w:t>
            </w:r>
            <w:r>
              <w:rPr>
                <w:rStyle w:val="IndexLink"/>
                <w:rtl w:val="true"/>
              </w:rPr>
              <w:t xml:space="preserve">: </w:t>
            </w:r>
            <w:r>
              <w:rPr>
                <w:rStyle w:val="IndexLink"/>
                <w:rtl w:val="true"/>
              </w:rPr>
              <w:t>فيما لو وقف الواقف على أشخاص على الإطلاق وقبضهم لم يصحّ إدخال غيرهم معهم</w:t>
            </w:r>
            <w:r>
              <w:rPr>
                <w:rStyle w:val="IndexLink"/>
                <w:rtl w:val="true"/>
              </w:rPr>
              <w:tab/>
            </w:r>
            <w:r>
              <w:rPr>
                <w:rStyle w:val="IndexLink"/>
              </w:rPr>
              <w:t>246</w:t>
            </w:r>
          </w:hyperlink>
        </w:p>
        <w:p>
          <w:pPr>
            <w:pStyle w:val="Contents4"/>
            <w:tabs>
              <w:tab w:val="clear" w:pos="8176"/>
              <w:tab w:val="right" w:pos="9026" w:leader="dot"/>
            </w:tabs>
            <w:rPr/>
          </w:pPr>
          <w:hyperlink w:anchor="__RefHeading___Toc13425129_1280447820">
            <w:r>
              <w:rPr>
                <w:webHidden/>
                <w:rStyle w:val="IndexLink"/>
                <w:rtl w:val="true"/>
              </w:rPr>
              <w:t>ثالث عشرها</w:t>
            </w:r>
            <w:r>
              <w:rPr>
                <w:rStyle w:val="IndexLink"/>
                <w:rtl w:val="true"/>
              </w:rPr>
              <w:t xml:space="preserve">: </w:t>
            </w:r>
            <w:r>
              <w:rPr>
                <w:rStyle w:val="IndexLink"/>
                <w:rtl w:val="true"/>
              </w:rPr>
              <w:t>في بيان شرائط الموقوف</w:t>
            </w:r>
            <w:r>
              <w:rPr>
                <w:rStyle w:val="IndexLink"/>
                <w:rtl w:val="true"/>
              </w:rPr>
              <w:tab/>
            </w:r>
            <w:r>
              <w:rPr>
                <w:rStyle w:val="IndexLink"/>
              </w:rPr>
              <w:t>248</w:t>
            </w:r>
          </w:hyperlink>
        </w:p>
        <w:p>
          <w:pPr>
            <w:pStyle w:val="Contents4"/>
            <w:tabs>
              <w:tab w:val="clear" w:pos="8176"/>
              <w:tab w:val="right" w:pos="9026" w:leader="dot"/>
            </w:tabs>
            <w:rPr/>
          </w:pPr>
          <w:hyperlink w:anchor="__RefHeading___Toc13425131_1280447820">
            <w:r>
              <w:rPr>
                <w:webHidden/>
                <w:rStyle w:val="IndexLink"/>
                <w:rtl w:val="true"/>
              </w:rPr>
              <w:t>رابع عشرها</w:t>
            </w:r>
            <w:r>
              <w:rPr>
                <w:rStyle w:val="IndexLink"/>
                <w:rtl w:val="true"/>
              </w:rPr>
              <w:t xml:space="preserve">: </w:t>
            </w:r>
            <w:r>
              <w:rPr>
                <w:rStyle w:val="IndexLink"/>
                <w:rtl w:val="true"/>
              </w:rPr>
              <w:t>في أنّه يصحّ وقف المشاع كما يصحّ وقف المقسوم</w:t>
            </w:r>
            <w:r>
              <w:rPr>
                <w:rStyle w:val="IndexLink"/>
                <w:rtl w:val="true"/>
              </w:rPr>
              <w:tab/>
            </w:r>
            <w:r>
              <w:rPr>
                <w:rStyle w:val="IndexLink"/>
              </w:rPr>
              <w:t>253</w:t>
            </w:r>
          </w:hyperlink>
        </w:p>
        <w:p>
          <w:pPr>
            <w:pStyle w:val="Contents4"/>
            <w:tabs>
              <w:tab w:val="clear" w:pos="8176"/>
              <w:tab w:val="right" w:pos="9026" w:leader="dot"/>
            </w:tabs>
            <w:rPr/>
          </w:pPr>
          <w:hyperlink w:anchor="__RefHeading___Toc13425133_1280447820">
            <w:r>
              <w:rPr>
                <w:webHidden/>
                <w:rStyle w:val="IndexLink"/>
                <w:rtl w:val="true"/>
              </w:rPr>
              <w:t>خامس عشرها</w:t>
            </w:r>
            <w:r>
              <w:rPr>
                <w:rStyle w:val="IndexLink"/>
                <w:rtl w:val="true"/>
              </w:rPr>
              <w:t xml:space="preserve">: </w:t>
            </w:r>
            <w:r>
              <w:rPr>
                <w:rStyle w:val="IndexLink"/>
                <w:rtl w:val="true"/>
              </w:rPr>
              <w:t>حكم وقف من بلغ عشراً</w:t>
            </w:r>
            <w:r>
              <w:rPr>
                <w:rStyle w:val="IndexLink"/>
                <w:rtl w:val="true"/>
              </w:rPr>
              <w:tab/>
            </w:r>
            <w:r>
              <w:rPr>
                <w:rStyle w:val="IndexLink"/>
              </w:rPr>
              <w:t>254</w:t>
            </w:r>
          </w:hyperlink>
        </w:p>
        <w:p>
          <w:pPr>
            <w:pStyle w:val="Contents4"/>
            <w:tabs>
              <w:tab w:val="clear" w:pos="8176"/>
              <w:tab w:val="right" w:pos="9026" w:leader="dot"/>
            </w:tabs>
            <w:rPr/>
          </w:pPr>
          <w:hyperlink w:anchor="__RefHeading___Toc13425135_1280447820">
            <w:r>
              <w:rPr>
                <w:webHidden/>
                <w:rStyle w:val="IndexLink"/>
                <w:rtl w:val="true"/>
              </w:rPr>
              <w:t>سادس عشرها</w:t>
            </w:r>
            <w:r>
              <w:rPr>
                <w:rStyle w:val="IndexLink"/>
                <w:rtl w:val="true"/>
              </w:rPr>
              <w:t xml:space="preserve">: </w:t>
            </w:r>
            <w:r>
              <w:rPr>
                <w:rStyle w:val="IndexLink"/>
                <w:rtl w:val="true"/>
              </w:rPr>
              <w:t>في أنّ للواقف أن يطلق الوقف بحسب النظارة</w:t>
            </w:r>
            <w:r>
              <w:rPr>
                <w:rStyle w:val="IndexLink"/>
                <w:rtl w:val="true"/>
              </w:rPr>
              <w:tab/>
            </w:r>
            <w:r>
              <w:rPr>
                <w:rStyle w:val="IndexLink"/>
              </w:rPr>
              <w:t>255</w:t>
            </w:r>
          </w:hyperlink>
        </w:p>
        <w:p>
          <w:pPr>
            <w:pStyle w:val="Contents5"/>
            <w:tabs>
              <w:tab w:val="clear" w:pos="7892"/>
              <w:tab w:val="right" w:pos="9026" w:leader="dot"/>
            </w:tabs>
            <w:rPr/>
          </w:pPr>
          <w:hyperlink w:anchor="__RefHeading___Toc13425137_1280447820">
            <w:r>
              <w:rPr>
                <w:webHidden/>
                <w:rStyle w:val="IndexLink"/>
                <w:rtl w:val="true"/>
              </w:rPr>
              <w:t>إشارة</w:t>
            </w:r>
            <w:r>
              <w:rPr>
                <w:rStyle w:val="IndexLink"/>
                <w:rtl w:val="true"/>
              </w:rPr>
              <w:t>:</w:t>
              <w:tab/>
            </w:r>
            <w:r>
              <w:rPr>
                <w:rStyle w:val="IndexLink"/>
              </w:rPr>
              <w:t>255</w:t>
            </w:r>
          </w:hyperlink>
        </w:p>
        <w:p>
          <w:pPr>
            <w:pStyle w:val="Contents5"/>
            <w:tabs>
              <w:tab w:val="clear" w:pos="7892"/>
              <w:tab w:val="right" w:pos="9026" w:leader="dot"/>
            </w:tabs>
            <w:rPr/>
          </w:pPr>
          <w:hyperlink w:anchor="__RefHeading___Toc13425139_1280447820">
            <w:r>
              <w:rPr>
                <w:webHidden/>
                <w:rStyle w:val="IndexLink"/>
                <w:rtl w:val="true"/>
              </w:rPr>
              <w:t>في ذكر أُمور متعلّقة بالناظر للوقف</w:t>
            </w:r>
            <w:r>
              <w:rPr>
                <w:rStyle w:val="IndexLink"/>
                <w:rtl w:val="true"/>
              </w:rPr>
              <w:tab/>
            </w:r>
            <w:r>
              <w:rPr>
                <w:rStyle w:val="IndexLink"/>
              </w:rPr>
              <w:t>257</w:t>
            </w:r>
          </w:hyperlink>
        </w:p>
        <w:p>
          <w:pPr>
            <w:pStyle w:val="Contents4"/>
            <w:tabs>
              <w:tab w:val="clear" w:pos="8176"/>
              <w:tab w:val="right" w:pos="9026" w:leader="dot"/>
            </w:tabs>
            <w:rPr/>
          </w:pPr>
          <w:hyperlink w:anchor="__RefHeading___Toc13425141_1280447820">
            <w:r>
              <w:rPr>
                <w:webHidden/>
                <w:rStyle w:val="IndexLink"/>
                <w:rtl w:val="true"/>
              </w:rPr>
              <w:t>سابع عشرها</w:t>
            </w:r>
            <w:r>
              <w:rPr>
                <w:rStyle w:val="IndexLink"/>
                <w:rtl w:val="true"/>
              </w:rPr>
              <w:t xml:space="preserve">: </w:t>
            </w:r>
            <w:r>
              <w:rPr>
                <w:rStyle w:val="IndexLink"/>
                <w:rtl w:val="true"/>
              </w:rPr>
              <w:t>في بيان الوقف العام والخاص وما يتعلّق بهما</w:t>
            </w:r>
            <w:r>
              <w:rPr>
                <w:rStyle w:val="IndexLink"/>
                <w:rtl w:val="true"/>
              </w:rPr>
              <w:tab/>
            </w:r>
            <w:r>
              <w:rPr>
                <w:rStyle w:val="IndexLink"/>
              </w:rPr>
              <w:t>262</w:t>
            </w:r>
          </w:hyperlink>
        </w:p>
        <w:p>
          <w:pPr>
            <w:pStyle w:val="Contents4"/>
            <w:tabs>
              <w:tab w:val="clear" w:pos="8176"/>
              <w:tab w:val="right" w:pos="9026" w:leader="dot"/>
            </w:tabs>
            <w:rPr/>
          </w:pPr>
          <w:hyperlink w:anchor="__RefHeading___Toc13425143_1280447820">
            <w:r>
              <w:rPr>
                <w:webHidden/>
                <w:rStyle w:val="IndexLink"/>
                <w:rtl w:val="true"/>
              </w:rPr>
              <w:t>ثامن عشرها</w:t>
            </w:r>
            <w:r>
              <w:rPr>
                <w:rStyle w:val="IndexLink"/>
                <w:rtl w:val="true"/>
              </w:rPr>
              <w:t xml:space="preserve">: </w:t>
            </w:r>
            <w:r>
              <w:rPr>
                <w:rStyle w:val="IndexLink"/>
                <w:rtl w:val="true"/>
              </w:rPr>
              <w:t>حكم ما لو وكل في الوقف مطلقاً أو وكل على الإطلاق أو العموم</w:t>
            </w:r>
            <w:r>
              <w:rPr>
                <w:rStyle w:val="IndexLink"/>
                <w:rtl w:val="true"/>
              </w:rPr>
              <w:tab/>
            </w:r>
            <w:r>
              <w:rPr>
                <w:rStyle w:val="IndexLink"/>
              </w:rPr>
              <w:t>265</w:t>
            </w:r>
          </w:hyperlink>
        </w:p>
        <w:p>
          <w:pPr>
            <w:pStyle w:val="Contents4"/>
            <w:tabs>
              <w:tab w:val="clear" w:pos="8176"/>
              <w:tab w:val="right" w:pos="9026" w:leader="dot"/>
            </w:tabs>
            <w:rPr/>
          </w:pPr>
          <w:hyperlink w:anchor="__RefHeading___Toc13425145_1280447820">
            <w:r>
              <w:rPr>
                <w:webHidden/>
                <w:rStyle w:val="IndexLink"/>
                <w:rtl w:val="true"/>
              </w:rPr>
              <w:t>تاسع عشرها</w:t>
            </w:r>
            <w:r>
              <w:rPr>
                <w:rStyle w:val="IndexLink"/>
                <w:rtl w:val="true"/>
              </w:rPr>
              <w:t xml:space="preserve">: </w:t>
            </w:r>
            <w:r>
              <w:rPr>
                <w:rStyle w:val="IndexLink"/>
                <w:rtl w:val="true"/>
              </w:rPr>
              <w:t>ثبوت الوقف بالبيّنة وبإخبار العدل وصاحب اليد</w:t>
            </w:r>
            <w:r>
              <w:rPr>
                <w:rStyle w:val="IndexLink"/>
                <w:rtl w:val="true"/>
              </w:rPr>
              <w:tab/>
            </w:r>
            <w:r>
              <w:rPr>
                <w:rStyle w:val="IndexLink"/>
              </w:rPr>
              <w:t>266</w:t>
            </w:r>
          </w:hyperlink>
        </w:p>
        <w:p>
          <w:pPr>
            <w:pStyle w:val="Contents4"/>
            <w:tabs>
              <w:tab w:val="clear" w:pos="8176"/>
              <w:tab w:val="right" w:pos="9026" w:leader="dot"/>
            </w:tabs>
            <w:rPr/>
          </w:pPr>
          <w:hyperlink w:anchor="__RefHeading___Toc13425147_1280447820">
            <w:r>
              <w:rPr>
                <w:webHidden/>
                <w:rStyle w:val="IndexLink"/>
                <w:rtl w:val="true"/>
              </w:rPr>
              <w:t>العشرون</w:t>
            </w:r>
            <w:r>
              <w:rPr>
                <w:rStyle w:val="IndexLink"/>
                <w:rtl w:val="true"/>
              </w:rPr>
              <w:t xml:space="preserve">: </w:t>
            </w:r>
            <w:r>
              <w:rPr>
                <w:rStyle w:val="IndexLink"/>
                <w:rtl w:val="true"/>
              </w:rPr>
              <w:t>في أنّ الوقف عامه وخاصه ينتقل عن الواقف</w:t>
            </w:r>
            <w:r>
              <w:rPr>
                <w:rStyle w:val="IndexLink"/>
                <w:rtl w:val="true"/>
              </w:rPr>
              <w:tab/>
            </w:r>
            <w:r>
              <w:rPr>
                <w:rStyle w:val="IndexLink"/>
              </w:rPr>
              <w:t>266</w:t>
            </w:r>
          </w:hyperlink>
        </w:p>
        <w:p>
          <w:pPr>
            <w:pStyle w:val="Contents5"/>
            <w:tabs>
              <w:tab w:val="clear" w:pos="7892"/>
              <w:tab w:val="right" w:pos="9026" w:leader="dot"/>
            </w:tabs>
            <w:rPr/>
          </w:pPr>
          <w:hyperlink w:anchor="__RefHeading___Toc13425149_1280447820">
            <w:r>
              <w:rPr>
                <w:webHidden/>
                <w:rStyle w:val="IndexLink"/>
                <w:rtl w:val="true"/>
              </w:rPr>
              <w:t>إشارة</w:t>
            </w:r>
            <w:r>
              <w:rPr>
                <w:rStyle w:val="IndexLink"/>
                <w:rtl w:val="true"/>
              </w:rPr>
              <w:t>:</w:t>
              <w:tab/>
            </w:r>
            <w:r>
              <w:rPr>
                <w:rStyle w:val="IndexLink"/>
              </w:rPr>
              <w:t>266</w:t>
            </w:r>
          </w:hyperlink>
        </w:p>
        <w:p>
          <w:pPr>
            <w:pStyle w:val="Contents5"/>
            <w:tabs>
              <w:tab w:val="clear" w:pos="7892"/>
              <w:tab w:val="right" w:pos="9026" w:leader="dot"/>
            </w:tabs>
            <w:rPr/>
          </w:pPr>
          <w:hyperlink w:anchor="__RefHeading___Toc13425151_1280447820">
            <w:r>
              <w:rPr>
                <w:webHidden/>
                <w:rStyle w:val="IndexLink"/>
                <w:rtl w:val="true"/>
              </w:rPr>
              <w:t>فروع</w:t>
            </w:r>
            <w:r>
              <w:rPr>
                <w:rStyle w:val="IndexLink"/>
                <w:rtl w:val="true"/>
              </w:rPr>
              <w:t>:</w:t>
              <w:tab/>
            </w:r>
            <w:r>
              <w:rPr>
                <w:rStyle w:val="IndexLink"/>
              </w:rPr>
              <w:t>269</w:t>
            </w:r>
          </w:hyperlink>
        </w:p>
        <w:p>
          <w:pPr>
            <w:pStyle w:val="Contents6"/>
            <w:tabs>
              <w:tab w:val="clear" w:pos="7609"/>
              <w:tab w:val="right" w:pos="9026" w:leader="dot"/>
            </w:tabs>
            <w:rPr/>
          </w:pPr>
          <w:hyperlink w:anchor="__RefHeading___Toc13425153_1280447820">
            <w:r>
              <w:rPr>
                <w:webHidden/>
                <w:rStyle w:val="IndexLink"/>
                <w:rtl w:val="true"/>
              </w:rPr>
              <w:t>الأوّل</w:t>
            </w:r>
            <w:r>
              <w:rPr>
                <w:rStyle w:val="IndexLink"/>
                <w:rtl w:val="true"/>
              </w:rPr>
              <w:t xml:space="preserve">: </w:t>
            </w:r>
            <w:r>
              <w:rPr>
                <w:rStyle w:val="IndexLink"/>
                <w:rtl w:val="true"/>
              </w:rPr>
              <w:t>ثبوت دعوى الوقف بشاهد ويمين</w:t>
            </w:r>
            <w:r>
              <w:rPr>
                <w:rStyle w:val="IndexLink"/>
                <w:rtl w:val="true"/>
              </w:rPr>
              <w:tab/>
            </w:r>
            <w:r>
              <w:rPr>
                <w:rStyle w:val="IndexLink"/>
              </w:rPr>
              <w:t>269</w:t>
            </w:r>
          </w:hyperlink>
        </w:p>
        <w:p>
          <w:pPr>
            <w:pStyle w:val="Contents6"/>
            <w:tabs>
              <w:tab w:val="clear" w:pos="7609"/>
              <w:tab w:val="right" w:pos="9026" w:leader="dot"/>
            </w:tabs>
            <w:rPr/>
          </w:pPr>
          <w:hyperlink w:anchor="__RefHeading___Toc13425155_1280447820">
            <w:r>
              <w:rPr>
                <w:webHidden/>
                <w:rStyle w:val="IndexLink"/>
                <w:rtl w:val="true"/>
              </w:rPr>
              <w:t>الثاني</w:t>
            </w:r>
            <w:r>
              <w:rPr>
                <w:rStyle w:val="IndexLink"/>
                <w:rtl w:val="true"/>
              </w:rPr>
              <w:t xml:space="preserve">: </w:t>
            </w:r>
            <w:r>
              <w:rPr>
                <w:rStyle w:val="IndexLink"/>
                <w:rtl w:val="true"/>
              </w:rPr>
              <w:t>عدم صحّة عتق العبد الموقوف</w:t>
            </w:r>
            <w:r>
              <w:rPr>
                <w:rStyle w:val="IndexLink"/>
                <w:rtl w:val="true"/>
              </w:rPr>
              <w:tab/>
            </w:r>
            <w:r>
              <w:rPr>
                <w:rStyle w:val="IndexLink"/>
              </w:rPr>
              <w:t>270</w:t>
            </w:r>
          </w:hyperlink>
        </w:p>
        <w:p>
          <w:pPr>
            <w:pStyle w:val="Contents6"/>
            <w:tabs>
              <w:tab w:val="clear" w:pos="7609"/>
              <w:tab w:val="right" w:pos="9026" w:leader="dot"/>
            </w:tabs>
            <w:rPr/>
          </w:pPr>
          <w:hyperlink w:anchor="__RefHeading___Toc13425157_1280447820">
            <w:r>
              <w:rPr>
                <w:webHidden/>
                <w:rStyle w:val="IndexLink"/>
                <w:rtl w:val="true"/>
              </w:rPr>
              <w:t>الثالث</w:t>
            </w:r>
            <w:r>
              <w:rPr>
                <w:rStyle w:val="IndexLink"/>
                <w:rtl w:val="true"/>
              </w:rPr>
              <w:t xml:space="preserve">: </w:t>
            </w:r>
            <w:r>
              <w:rPr>
                <w:rStyle w:val="IndexLink"/>
                <w:rtl w:val="true"/>
              </w:rPr>
              <w:t>فيما لو كان العبد بين اثنين فوقف أحدهما نصفه وعتق الآخر فإنّه لا يسري العتق هنا</w:t>
            </w:r>
            <w:r>
              <w:rPr>
                <w:rStyle w:val="IndexLink"/>
                <w:rtl w:val="true"/>
              </w:rPr>
              <w:tab/>
            </w:r>
            <w:r>
              <w:rPr>
                <w:rStyle w:val="IndexLink"/>
              </w:rPr>
              <w:t>270</w:t>
            </w:r>
          </w:hyperlink>
        </w:p>
        <w:p>
          <w:pPr>
            <w:pStyle w:val="Contents6"/>
            <w:tabs>
              <w:tab w:val="clear" w:pos="7609"/>
              <w:tab w:val="right" w:pos="9026" w:leader="dot"/>
            </w:tabs>
            <w:rPr/>
          </w:pPr>
          <w:hyperlink w:anchor="__RefHeading___Toc13425159_1280447820">
            <w:r>
              <w:rPr>
                <w:webHidden/>
                <w:rStyle w:val="IndexLink"/>
                <w:rtl w:val="true"/>
              </w:rPr>
              <w:t>الرابع</w:t>
            </w:r>
            <w:r>
              <w:rPr>
                <w:rStyle w:val="IndexLink"/>
                <w:rtl w:val="true"/>
              </w:rPr>
              <w:t xml:space="preserve">: </w:t>
            </w:r>
            <w:r>
              <w:rPr>
                <w:rStyle w:val="IndexLink"/>
                <w:rtl w:val="true"/>
              </w:rPr>
              <w:t>في أنّ عمارة الوقف تخرج من غلته ونمائه مقدّماً على حقّ الموقوف عليه</w:t>
            </w:r>
            <w:r>
              <w:rPr>
                <w:rStyle w:val="IndexLink"/>
                <w:rtl w:val="true"/>
              </w:rPr>
              <w:tab/>
            </w:r>
            <w:r>
              <w:rPr>
                <w:rStyle w:val="IndexLink"/>
              </w:rPr>
              <w:t>271</w:t>
            </w:r>
          </w:hyperlink>
        </w:p>
        <w:p>
          <w:pPr>
            <w:pStyle w:val="Contents6"/>
            <w:tabs>
              <w:tab w:val="clear" w:pos="7609"/>
              <w:tab w:val="right" w:pos="9026" w:leader="dot"/>
            </w:tabs>
            <w:rPr/>
          </w:pPr>
          <w:hyperlink w:anchor="__RefHeading___Toc13425161_1280447820">
            <w:r>
              <w:rPr>
                <w:webHidden/>
                <w:rStyle w:val="IndexLink"/>
                <w:rtl w:val="true"/>
              </w:rPr>
              <w:t>الخامس</w:t>
            </w:r>
            <w:r>
              <w:rPr>
                <w:rStyle w:val="IndexLink"/>
                <w:rtl w:val="true"/>
              </w:rPr>
              <w:t xml:space="preserve">: </w:t>
            </w:r>
            <w:r>
              <w:rPr>
                <w:rStyle w:val="IndexLink"/>
                <w:rtl w:val="true"/>
              </w:rPr>
              <w:t>فيما لو جنى العبد الموقوف عمداً فعليه القصاص</w:t>
            </w:r>
            <w:r>
              <w:rPr>
                <w:rStyle w:val="IndexLink"/>
                <w:rtl w:val="true"/>
              </w:rPr>
              <w:tab/>
            </w:r>
            <w:r>
              <w:rPr>
                <w:rStyle w:val="IndexLink"/>
              </w:rPr>
              <w:t>273</w:t>
            </w:r>
          </w:hyperlink>
        </w:p>
        <w:p>
          <w:pPr>
            <w:pStyle w:val="Contents4"/>
            <w:tabs>
              <w:tab w:val="clear" w:pos="8176"/>
              <w:tab w:val="right" w:pos="9026" w:leader="dot"/>
            </w:tabs>
            <w:rPr/>
          </w:pPr>
          <w:hyperlink w:anchor="__RefHeading___Toc13425163_1280447820">
            <w:r>
              <w:rPr>
                <w:webHidden/>
                <w:rStyle w:val="IndexLink"/>
                <w:rtl w:val="true"/>
              </w:rPr>
              <w:t>الحادي والعشرون</w:t>
            </w:r>
            <w:r>
              <w:rPr>
                <w:rStyle w:val="IndexLink"/>
                <w:rtl w:val="true"/>
              </w:rPr>
              <w:t xml:space="preserve">: </w:t>
            </w:r>
            <w:r>
              <w:rPr>
                <w:rStyle w:val="IndexLink"/>
                <w:rtl w:val="true"/>
              </w:rPr>
              <w:t>في مباحث متعلقة في الموقوف عليه</w:t>
            </w:r>
            <w:r>
              <w:rPr>
                <w:rStyle w:val="IndexLink"/>
                <w:rtl w:val="true"/>
              </w:rPr>
              <w:t>:</w:t>
              <w:tab/>
            </w:r>
            <w:r>
              <w:rPr>
                <w:rStyle w:val="IndexLink"/>
              </w:rPr>
              <w:t>276</w:t>
            </w:r>
          </w:hyperlink>
        </w:p>
        <w:p>
          <w:pPr>
            <w:pStyle w:val="Contents5"/>
            <w:tabs>
              <w:tab w:val="clear" w:pos="7892"/>
              <w:tab w:val="right" w:pos="9026" w:leader="dot"/>
            </w:tabs>
            <w:rPr/>
          </w:pPr>
          <w:hyperlink w:anchor="__RefHeading___Toc13425165_1280447820">
            <w:r>
              <w:rPr>
                <w:webHidden/>
                <w:rStyle w:val="IndexLink"/>
                <w:rtl w:val="true"/>
              </w:rPr>
              <w:t>الأوّل</w:t>
            </w:r>
            <w:r>
              <w:rPr>
                <w:rStyle w:val="IndexLink"/>
                <w:rtl w:val="true"/>
              </w:rPr>
              <w:t xml:space="preserve">: </w:t>
            </w:r>
            <w:r>
              <w:rPr>
                <w:rStyle w:val="IndexLink"/>
                <w:rtl w:val="true"/>
              </w:rPr>
              <w:t>في أنّه يشترط في الموقوف عليه ذكره بنفسه أو بما ينوب عنه من جهةٍ أو مصرف</w:t>
            </w:r>
            <w:r>
              <w:rPr>
                <w:rStyle w:val="IndexLink"/>
                <w:rtl w:val="true"/>
              </w:rPr>
              <w:tab/>
            </w:r>
            <w:r>
              <w:rPr>
                <w:rStyle w:val="IndexLink"/>
              </w:rPr>
              <w:t>276</w:t>
            </w:r>
          </w:hyperlink>
        </w:p>
        <w:p>
          <w:pPr>
            <w:pStyle w:val="Contents5"/>
            <w:tabs>
              <w:tab w:val="clear" w:pos="7892"/>
              <w:tab w:val="right" w:pos="9026" w:leader="dot"/>
            </w:tabs>
            <w:rPr/>
          </w:pPr>
          <w:hyperlink w:anchor="__RefHeading___Toc13425167_1280447820">
            <w:r>
              <w:rPr>
                <w:webHidden/>
                <w:rStyle w:val="IndexLink"/>
                <w:rtl w:val="true"/>
              </w:rPr>
              <w:t>الثاني</w:t>
            </w:r>
            <w:r>
              <w:rPr>
                <w:rStyle w:val="IndexLink"/>
                <w:rtl w:val="true"/>
              </w:rPr>
              <w:t xml:space="preserve">: </w:t>
            </w:r>
            <w:r>
              <w:rPr>
                <w:rStyle w:val="IndexLink"/>
                <w:rtl w:val="true"/>
              </w:rPr>
              <w:t>حكم ما إذا وقف على ما لا ينقطع عادة فاتفق انقطاعه ولم يكن الواقف عالماً بانقطاعه ولا قصده</w:t>
            </w:r>
            <w:r>
              <w:rPr>
                <w:rStyle w:val="IndexLink"/>
                <w:rtl w:val="true"/>
              </w:rPr>
              <w:tab/>
            </w:r>
            <w:r>
              <w:rPr>
                <w:rStyle w:val="IndexLink"/>
              </w:rPr>
              <w:t>280</w:t>
            </w:r>
          </w:hyperlink>
        </w:p>
        <w:p>
          <w:pPr>
            <w:pStyle w:val="Contents5"/>
            <w:tabs>
              <w:tab w:val="clear" w:pos="7892"/>
              <w:tab w:val="right" w:pos="9026" w:leader="dot"/>
            </w:tabs>
            <w:rPr/>
          </w:pPr>
          <w:hyperlink w:anchor="__RefHeading___Toc13425169_1280447820">
            <w:r>
              <w:rPr>
                <w:webHidden/>
                <w:rStyle w:val="IndexLink"/>
                <w:rtl w:val="true"/>
              </w:rPr>
              <w:t>الثالث</w:t>
            </w:r>
            <w:r>
              <w:rPr>
                <w:rStyle w:val="IndexLink"/>
                <w:rtl w:val="true"/>
              </w:rPr>
              <w:t xml:space="preserve">: </w:t>
            </w:r>
            <w:r>
              <w:rPr>
                <w:rStyle w:val="IndexLink"/>
                <w:rtl w:val="true"/>
              </w:rPr>
              <w:t>في أنّه لا يجوز للموقوف عليه وطء الأمة الموقوفة إذا كان له شركاء في طبقته فيها</w:t>
            </w:r>
            <w:r>
              <w:rPr>
                <w:rStyle w:val="IndexLink"/>
                <w:rtl w:val="true"/>
              </w:rPr>
              <w:tab/>
            </w:r>
            <w:r>
              <w:rPr>
                <w:rStyle w:val="IndexLink"/>
              </w:rPr>
              <w:t>282</w:t>
            </w:r>
          </w:hyperlink>
        </w:p>
        <w:p>
          <w:pPr>
            <w:pStyle w:val="Contents5"/>
            <w:tabs>
              <w:tab w:val="clear" w:pos="7892"/>
              <w:tab w:val="right" w:pos="9026" w:leader="dot"/>
            </w:tabs>
            <w:rPr/>
          </w:pPr>
          <w:hyperlink w:anchor="__RefHeading___Toc13425171_1280447820">
            <w:r>
              <w:rPr>
                <w:webHidden/>
                <w:rStyle w:val="IndexLink"/>
                <w:rtl w:val="true"/>
              </w:rPr>
              <w:t>الرابع</w:t>
            </w:r>
            <w:r>
              <w:rPr>
                <w:rStyle w:val="IndexLink"/>
                <w:rtl w:val="true"/>
              </w:rPr>
              <w:t xml:space="preserve">: </w:t>
            </w:r>
            <w:r>
              <w:rPr>
                <w:rStyle w:val="IndexLink"/>
                <w:rtl w:val="true"/>
              </w:rPr>
              <w:t>في أنّه يجوز للموقوف عليه إيجار الوقف ولكن ينفسخ العقد بموت المؤجر هنا</w:t>
            </w:r>
            <w:r>
              <w:rPr>
                <w:rStyle w:val="IndexLink"/>
                <w:rtl w:val="true"/>
              </w:rPr>
              <w:tab/>
            </w:r>
            <w:r>
              <w:rPr>
                <w:rStyle w:val="IndexLink"/>
              </w:rPr>
              <w:t>284</w:t>
            </w:r>
          </w:hyperlink>
        </w:p>
        <w:p>
          <w:pPr>
            <w:pStyle w:val="Contents5"/>
            <w:tabs>
              <w:tab w:val="clear" w:pos="7892"/>
              <w:tab w:val="right" w:pos="9026" w:leader="dot"/>
            </w:tabs>
            <w:rPr/>
          </w:pPr>
          <w:hyperlink w:anchor="__RefHeading___Toc13425173_1280447820">
            <w:r>
              <w:rPr>
                <w:webHidden/>
                <w:rStyle w:val="IndexLink"/>
                <w:rtl w:val="true"/>
              </w:rPr>
              <w:t>الخامس</w:t>
            </w:r>
            <w:r>
              <w:rPr>
                <w:rStyle w:val="IndexLink"/>
                <w:rtl w:val="true"/>
              </w:rPr>
              <w:t xml:space="preserve">: </w:t>
            </w:r>
            <w:r>
              <w:rPr>
                <w:rStyle w:val="IndexLink"/>
                <w:rtl w:val="true"/>
              </w:rPr>
              <w:t>في أنّه لا يجوز للمسلم أو المؤمن الوقف على الكنائس والبيع لمصلحتهما</w:t>
            </w:r>
            <w:r>
              <w:rPr>
                <w:rStyle w:val="IndexLink"/>
                <w:rtl w:val="true"/>
              </w:rPr>
              <w:tab/>
            </w:r>
            <w:r>
              <w:rPr>
                <w:rStyle w:val="IndexLink"/>
              </w:rPr>
              <w:t>285</w:t>
            </w:r>
          </w:hyperlink>
        </w:p>
        <w:p>
          <w:pPr>
            <w:pStyle w:val="Contents5"/>
            <w:tabs>
              <w:tab w:val="clear" w:pos="7892"/>
              <w:tab w:val="right" w:pos="9026" w:leader="dot"/>
            </w:tabs>
            <w:rPr/>
          </w:pPr>
          <w:hyperlink w:anchor="__RefHeading___Toc13425175_1280447820">
            <w:r>
              <w:rPr>
                <w:webHidden/>
                <w:rStyle w:val="IndexLink"/>
                <w:rtl w:val="true"/>
              </w:rPr>
              <w:t>السادس</w:t>
            </w:r>
            <w:r>
              <w:rPr>
                <w:rStyle w:val="IndexLink"/>
                <w:rtl w:val="true"/>
              </w:rPr>
              <w:t xml:space="preserve">: </w:t>
            </w:r>
            <w:r>
              <w:rPr>
                <w:rStyle w:val="IndexLink"/>
                <w:rtl w:val="true"/>
              </w:rPr>
              <w:t>جواز الوقف من الكافر والمخالف على المؤمن وعلى مَنْ كان مثلهما</w:t>
            </w:r>
            <w:r>
              <w:rPr>
                <w:rStyle w:val="IndexLink"/>
                <w:rtl w:val="true"/>
              </w:rPr>
              <w:tab/>
            </w:r>
            <w:r>
              <w:rPr>
                <w:rStyle w:val="IndexLink"/>
              </w:rPr>
              <w:t>286</w:t>
            </w:r>
          </w:hyperlink>
        </w:p>
        <w:p>
          <w:pPr>
            <w:pStyle w:val="Contents5"/>
            <w:tabs>
              <w:tab w:val="clear" w:pos="7892"/>
              <w:tab w:val="right" w:pos="9026" w:leader="dot"/>
            </w:tabs>
            <w:rPr/>
          </w:pPr>
          <w:hyperlink w:anchor="__RefHeading___Toc13425177_1280447820">
            <w:r>
              <w:rPr>
                <w:webHidden/>
                <w:rStyle w:val="IndexLink"/>
                <w:rtl w:val="true"/>
              </w:rPr>
              <w:t>السابع</w:t>
            </w:r>
            <w:r>
              <w:rPr>
                <w:rStyle w:val="IndexLink"/>
                <w:rtl w:val="true"/>
              </w:rPr>
              <w:t xml:space="preserve">: </w:t>
            </w:r>
            <w:r>
              <w:rPr>
                <w:rStyle w:val="IndexLink"/>
                <w:rtl w:val="true"/>
              </w:rPr>
              <w:t>عدم جواز الوقف من المسلم على الكافر أو المخالف وحكم الوقف عليهما لغير جهة الكفر أو الخلاف</w:t>
            </w:r>
            <w:r>
              <w:rPr>
                <w:rStyle w:val="IndexLink"/>
                <w:rtl w:val="true"/>
              </w:rPr>
              <w:tab/>
            </w:r>
            <w:r>
              <w:rPr>
                <w:rStyle w:val="IndexLink"/>
              </w:rPr>
              <w:t>287</w:t>
            </w:r>
          </w:hyperlink>
        </w:p>
        <w:p>
          <w:pPr>
            <w:pStyle w:val="Contents5"/>
            <w:tabs>
              <w:tab w:val="clear" w:pos="7892"/>
              <w:tab w:val="right" w:pos="9026" w:leader="dot"/>
            </w:tabs>
            <w:rPr/>
          </w:pPr>
          <w:hyperlink w:anchor="__RefHeading___Toc13425179_1280447820">
            <w:r>
              <w:rPr>
                <w:webHidden/>
                <w:rStyle w:val="IndexLink"/>
                <w:rtl w:val="true"/>
              </w:rPr>
              <w:t>الثامن</w:t>
            </w:r>
            <w:r>
              <w:rPr>
                <w:rStyle w:val="IndexLink"/>
                <w:rtl w:val="true"/>
              </w:rPr>
              <w:t xml:space="preserve">: </w:t>
            </w:r>
            <w:r>
              <w:rPr>
                <w:rStyle w:val="IndexLink"/>
                <w:rtl w:val="true"/>
              </w:rPr>
              <w:t>فيما يتعلّق بما لو وقف الواقف على ذي وصف بلفظ العموم</w:t>
            </w:r>
            <w:r>
              <w:rPr>
                <w:rStyle w:val="IndexLink"/>
                <w:rtl w:val="true"/>
              </w:rPr>
              <w:tab/>
            </w:r>
            <w:r>
              <w:rPr>
                <w:rStyle w:val="IndexLink"/>
              </w:rPr>
              <w:t>290</w:t>
            </w:r>
          </w:hyperlink>
        </w:p>
        <w:p>
          <w:pPr>
            <w:pStyle w:val="Contents5"/>
            <w:tabs>
              <w:tab w:val="clear" w:pos="7892"/>
              <w:tab w:val="right" w:pos="9026" w:leader="dot"/>
            </w:tabs>
            <w:rPr/>
          </w:pPr>
          <w:hyperlink w:anchor="__RefHeading___Toc13425181_1280447820">
            <w:r>
              <w:rPr>
                <w:webHidden/>
                <w:rStyle w:val="IndexLink"/>
                <w:rtl w:val="true"/>
              </w:rPr>
              <w:t>التاسع</w:t>
            </w:r>
            <w:r>
              <w:rPr>
                <w:rStyle w:val="IndexLink"/>
                <w:rtl w:val="true"/>
              </w:rPr>
              <w:t xml:space="preserve">: </w:t>
            </w:r>
            <w:r>
              <w:rPr>
                <w:rStyle w:val="IndexLink"/>
                <w:rtl w:val="true"/>
              </w:rPr>
              <w:t>فيما يتعلّق بما لو وقف واقف على الإماميّة</w:t>
            </w:r>
            <w:r>
              <w:rPr>
                <w:rStyle w:val="IndexLink"/>
                <w:rtl w:val="true"/>
              </w:rPr>
              <w:tab/>
            </w:r>
            <w:r>
              <w:rPr>
                <w:rStyle w:val="IndexLink"/>
              </w:rPr>
              <w:t>292</w:t>
            </w:r>
          </w:hyperlink>
        </w:p>
        <w:p>
          <w:pPr>
            <w:pStyle w:val="Contents5"/>
            <w:tabs>
              <w:tab w:val="clear" w:pos="7892"/>
              <w:tab w:val="right" w:pos="9026" w:leader="dot"/>
            </w:tabs>
            <w:rPr/>
          </w:pPr>
          <w:hyperlink w:anchor="__RefHeading___Toc13425183_1280447820">
            <w:r>
              <w:rPr>
                <w:webHidden/>
                <w:rStyle w:val="IndexLink"/>
                <w:rtl w:val="true"/>
              </w:rPr>
              <w:t>العاشر</w:t>
            </w:r>
            <w:r>
              <w:rPr>
                <w:rStyle w:val="IndexLink"/>
                <w:rtl w:val="true"/>
              </w:rPr>
              <w:t xml:space="preserve">: </w:t>
            </w:r>
            <w:r>
              <w:rPr>
                <w:rStyle w:val="IndexLink"/>
                <w:rtl w:val="true"/>
              </w:rPr>
              <w:t>فيما يتعلّق بما لو وقف واقف على الشيعة</w:t>
            </w:r>
            <w:r>
              <w:rPr>
                <w:rStyle w:val="IndexLink"/>
                <w:rtl w:val="true"/>
              </w:rPr>
              <w:tab/>
            </w:r>
            <w:r>
              <w:rPr>
                <w:rStyle w:val="IndexLink"/>
              </w:rPr>
              <w:t>293</w:t>
            </w:r>
          </w:hyperlink>
        </w:p>
        <w:p>
          <w:pPr>
            <w:pStyle w:val="Contents5"/>
            <w:tabs>
              <w:tab w:val="clear" w:pos="7892"/>
              <w:tab w:val="right" w:pos="9026" w:leader="dot"/>
            </w:tabs>
            <w:rPr/>
          </w:pPr>
          <w:hyperlink w:anchor="__RefHeading___Toc13425185_1280447820">
            <w:r>
              <w:rPr>
                <w:webHidden/>
                <w:rStyle w:val="IndexLink"/>
                <w:rtl w:val="true"/>
              </w:rPr>
              <w:t>الحادي عشر</w:t>
            </w:r>
            <w:r>
              <w:rPr>
                <w:rStyle w:val="IndexLink"/>
                <w:rtl w:val="true"/>
              </w:rPr>
              <w:t xml:space="preserve">: </w:t>
            </w:r>
            <w:r>
              <w:rPr>
                <w:rStyle w:val="IndexLink"/>
                <w:rtl w:val="true"/>
              </w:rPr>
              <w:t>فيما يتعلّق بما إذا وقف على أولاده أو بنيه</w:t>
            </w:r>
            <w:r>
              <w:rPr>
                <w:rStyle w:val="IndexLink"/>
                <w:rtl w:val="true"/>
              </w:rPr>
              <w:tab/>
            </w:r>
            <w:r>
              <w:rPr>
                <w:rStyle w:val="IndexLink"/>
              </w:rPr>
              <w:t>295</w:t>
            </w:r>
          </w:hyperlink>
        </w:p>
        <w:p>
          <w:pPr>
            <w:pStyle w:val="Contents5"/>
            <w:tabs>
              <w:tab w:val="clear" w:pos="7892"/>
              <w:tab w:val="right" w:pos="9026" w:leader="dot"/>
            </w:tabs>
            <w:rPr/>
          </w:pPr>
          <w:hyperlink w:anchor="__RefHeading___Toc13425187_1280447820">
            <w:r>
              <w:rPr>
                <w:webHidden/>
                <w:rStyle w:val="IndexLink"/>
                <w:rtl w:val="true"/>
              </w:rPr>
              <w:t>الثاني عشر</w:t>
            </w:r>
            <w:r>
              <w:rPr>
                <w:rStyle w:val="IndexLink"/>
                <w:rtl w:val="true"/>
              </w:rPr>
              <w:t xml:space="preserve">: </w:t>
            </w:r>
            <w:r>
              <w:rPr>
                <w:rStyle w:val="IndexLink"/>
                <w:rtl w:val="true"/>
              </w:rPr>
              <w:t>فيما يتعلق بما لو وقف على جيرانه</w:t>
            </w:r>
            <w:r>
              <w:rPr>
                <w:rStyle w:val="IndexLink"/>
                <w:rtl w:val="true"/>
              </w:rPr>
              <w:tab/>
            </w:r>
            <w:r>
              <w:rPr>
                <w:rStyle w:val="IndexLink"/>
              </w:rPr>
              <w:t>298</w:t>
            </w:r>
          </w:hyperlink>
        </w:p>
        <w:p>
          <w:pPr>
            <w:pStyle w:val="Contents5"/>
            <w:tabs>
              <w:tab w:val="clear" w:pos="7892"/>
              <w:tab w:val="right" w:pos="9026" w:leader="dot"/>
            </w:tabs>
            <w:rPr/>
          </w:pPr>
          <w:hyperlink w:anchor="__RefHeading___Toc13425189_1280447820">
            <w:r>
              <w:rPr>
                <w:webHidden/>
                <w:rStyle w:val="IndexLink"/>
                <w:rtl w:val="true"/>
              </w:rPr>
              <w:t>الثالث عشر</w:t>
            </w:r>
            <w:r>
              <w:rPr>
                <w:rStyle w:val="IndexLink"/>
                <w:rtl w:val="true"/>
              </w:rPr>
              <w:t xml:space="preserve">: </w:t>
            </w:r>
            <w:r>
              <w:rPr>
                <w:rStyle w:val="IndexLink"/>
                <w:rtl w:val="true"/>
              </w:rPr>
              <w:t>فيما يتعلّق بما إذا وقف على قومه</w:t>
            </w:r>
            <w:r>
              <w:rPr>
                <w:rStyle w:val="IndexLink"/>
                <w:rtl w:val="true"/>
              </w:rPr>
              <w:tab/>
            </w:r>
            <w:r>
              <w:rPr>
                <w:rStyle w:val="IndexLink"/>
              </w:rPr>
              <w:t>300</w:t>
            </w:r>
          </w:hyperlink>
        </w:p>
        <w:p>
          <w:pPr>
            <w:pStyle w:val="Contents5"/>
            <w:tabs>
              <w:tab w:val="clear" w:pos="7892"/>
              <w:tab w:val="right" w:pos="9026" w:leader="dot"/>
            </w:tabs>
            <w:rPr/>
          </w:pPr>
          <w:hyperlink w:anchor="__RefHeading___Toc13425191_1280447820">
            <w:r>
              <w:rPr>
                <w:webHidden/>
                <w:rStyle w:val="IndexLink"/>
                <w:rtl w:val="true"/>
              </w:rPr>
              <w:t>الرابع عشر</w:t>
            </w:r>
            <w:r>
              <w:rPr>
                <w:rStyle w:val="IndexLink"/>
                <w:rtl w:val="true"/>
              </w:rPr>
              <w:t xml:space="preserve">: </w:t>
            </w:r>
            <w:r>
              <w:rPr>
                <w:rStyle w:val="IndexLink"/>
                <w:rtl w:val="true"/>
              </w:rPr>
              <w:t>فيما يتعلّق بما لو وقف على مواليه</w:t>
            </w:r>
            <w:r>
              <w:rPr>
                <w:rStyle w:val="IndexLink"/>
                <w:rtl w:val="true"/>
              </w:rPr>
              <w:tab/>
            </w:r>
            <w:r>
              <w:rPr>
                <w:rStyle w:val="IndexLink"/>
              </w:rPr>
              <w:t>301</w:t>
            </w:r>
          </w:hyperlink>
        </w:p>
        <w:p>
          <w:pPr>
            <w:pStyle w:val="Contents5"/>
            <w:tabs>
              <w:tab w:val="clear" w:pos="7892"/>
              <w:tab w:val="right" w:pos="9026" w:leader="dot"/>
            </w:tabs>
            <w:rPr/>
          </w:pPr>
          <w:hyperlink w:anchor="__RefHeading___Toc13425193_1280447820">
            <w:r>
              <w:rPr>
                <w:webHidden/>
                <w:rStyle w:val="IndexLink"/>
                <w:rtl w:val="true"/>
              </w:rPr>
              <w:t>الخامس عشر</w:t>
            </w:r>
            <w:r>
              <w:rPr>
                <w:rStyle w:val="IndexLink"/>
                <w:rtl w:val="true"/>
              </w:rPr>
              <w:t xml:space="preserve">: </w:t>
            </w:r>
            <w:r>
              <w:rPr>
                <w:rStyle w:val="IndexLink"/>
                <w:rtl w:val="true"/>
              </w:rPr>
              <w:t>فيما يتعلّق بما لو وقف في سبيل اللّه</w:t>
            </w:r>
            <w:r>
              <w:rPr>
                <w:rStyle w:val="IndexLink"/>
                <w:rtl w:val="true"/>
              </w:rPr>
              <w:tab/>
            </w:r>
            <w:r>
              <w:rPr>
                <w:rStyle w:val="IndexLink"/>
              </w:rPr>
              <w:t>303</w:t>
            </w:r>
          </w:hyperlink>
        </w:p>
        <w:p>
          <w:pPr>
            <w:pStyle w:val="Contents4"/>
            <w:tabs>
              <w:tab w:val="clear" w:pos="8176"/>
              <w:tab w:val="right" w:pos="9026" w:leader="dot"/>
            </w:tabs>
            <w:rPr/>
          </w:pPr>
          <w:hyperlink w:anchor="__RefHeading___Toc13425195_1280447820">
            <w:r>
              <w:rPr>
                <w:webHidden/>
                <w:rStyle w:val="IndexLink"/>
                <w:rtl w:val="true"/>
              </w:rPr>
              <w:t>خاتمة</w:t>
            </w:r>
            <w:r>
              <w:rPr>
                <w:rStyle w:val="IndexLink"/>
                <w:rtl w:val="true"/>
              </w:rPr>
              <w:t xml:space="preserve">: </w:t>
            </w:r>
            <w:r>
              <w:rPr>
                <w:rStyle w:val="IndexLink"/>
                <w:rtl w:val="true"/>
              </w:rPr>
              <w:t>في بيان أُمور</w:t>
            </w:r>
            <w:r>
              <w:rPr>
                <w:rStyle w:val="IndexLink"/>
                <w:rtl w:val="true"/>
              </w:rPr>
              <w:t>:</w:t>
              <w:tab/>
            </w:r>
            <w:r>
              <w:rPr>
                <w:rStyle w:val="IndexLink"/>
              </w:rPr>
              <w:t>305</w:t>
            </w:r>
          </w:hyperlink>
        </w:p>
        <w:p>
          <w:pPr>
            <w:pStyle w:val="Contents5"/>
            <w:tabs>
              <w:tab w:val="clear" w:pos="7892"/>
              <w:tab w:val="right" w:pos="9026" w:leader="dot"/>
            </w:tabs>
            <w:rPr/>
          </w:pPr>
          <w:hyperlink w:anchor="__RefHeading___Toc13425197_1280447820">
            <w:r>
              <w:rPr>
                <w:webHidden/>
                <w:rStyle w:val="IndexLink"/>
                <w:rtl w:val="true"/>
              </w:rPr>
              <w:t>أحدها</w:t>
            </w:r>
            <w:r>
              <w:rPr>
                <w:rStyle w:val="IndexLink"/>
                <w:rtl w:val="true"/>
              </w:rPr>
              <w:t xml:space="preserve">: </w:t>
            </w:r>
            <w:r>
              <w:rPr>
                <w:rStyle w:val="IndexLink"/>
                <w:rtl w:val="true"/>
              </w:rPr>
              <w:t>حكم ما لو اضمحل الموقوف باستيلاء الماء أو الخراب الذي لا يرجى معه العود</w:t>
            </w:r>
            <w:r>
              <w:rPr>
                <w:rStyle w:val="IndexLink"/>
                <w:rtl w:val="true"/>
              </w:rPr>
              <w:tab/>
            </w:r>
            <w:r>
              <w:rPr>
                <w:rStyle w:val="IndexLink"/>
              </w:rPr>
              <w:t>305</w:t>
            </w:r>
          </w:hyperlink>
        </w:p>
        <w:p>
          <w:pPr>
            <w:pStyle w:val="Contents5"/>
            <w:tabs>
              <w:tab w:val="clear" w:pos="7892"/>
              <w:tab w:val="right" w:pos="9026" w:leader="dot"/>
            </w:tabs>
            <w:rPr/>
          </w:pPr>
          <w:hyperlink w:anchor="__RefHeading___Toc13425199_1280447820">
            <w:r>
              <w:rPr>
                <w:webHidden/>
                <w:rStyle w:val="IndexLink"/>
                <w:rtl w:val="true"/>
              </w:rPr>
              <w:t>ثانيها</w:t>
            </w:r>
            <w:r>
              <w:rPr>
                <w:rStyle w:val="IndexLink"/>
                <w:rtl w:val="true"/>
              </w:rPr>
              <w:t xml:space="preserve">: </w:t>
            </w:r>
            <w:r>
              <w:rPr>
                <w:rStyle w:val="IndexLink"/>
                <w:rtl w:val="true"/>
              </w:rPr>
              <w:t>عدم جواز بيع الوقف المبني على الدوام ولا نقله مطلقاً</w:t>
            </w:r>
            <w:r>
              <w:rPr>
                <w:rStyle w:val="IndexLink"/>
                <w:rtl w:val="true"/>
              </w:rPr>
              <w:tab/>
            </w:r>
            <w:r>
              <w:rPr>
                <w:rStyle w:val="IndexLink"/>
              </w:rPr>
              <w:t>306</w:t>
            </w:r>
          </w:hyperlink>
        </w:p>
        <w:p>
          <w:pPr>
            <w:pStyle w:val="Contents5"/>
            <w:tabs>
              <w:tab w:val="clear" w:pos="7892"/>
              <w:tab w:val="right" w:pos="9026" w:leader="dot"/>
            </w:tabs>
            <w:rPr/>
          </w:pPr>
          <w:hyperlink w:anchor="__RefHeading___Toc13425201_1280447820">
            <w:r>
              <w:rPr>
                <w:webHidden/>
                <w:rStyle w:val="IndexLink"/>
                <w:rtl w:val="true"/>
              </w:rPr>
              <w:t>ثالثها</w:t>
            </w:r>
            <w:r>
              <w:rPr>
                <w:rStyle w:val="IndexLink"/>
                <w:rtl w:val="true"/>
              </w:rPr>
              <w:t xml:space="preserve">: </w:t>
            </w:r>
            <w:r>
              <w:rPr>
                <w:rStyle w:val="IndexLink"/>
                <w:rtl w:val="true"/>
              </w:rPr>
              <w:t>عدم جواز صرف آلات وقف في وقف آخر اللّه</w:t>
            </w:r>
            <w:r>
              <w:rPr>
                <w:rStyle w:val="IndexLink"/>
                <w:rtl w:val="true"/>
              </w:rPr>
              <w:tab/>
            </w:r>
            <w:r>
              <w:rPr>
                <w:rStyle w:val="IndexLink"/>
              </w:rPr>
              <w:t>307</w:t>
            </w:r>
          </w:hyperlink>
        </w:p>
        <w:p>
          <w:pPr>
            <w:pStyle w:val="Contents5"/>
            <w:tabs>
              <w:tab w:val="clear" w:pos="7892"/>
              <w:tab w:val="right" w:pos="9026" w:leader="dot"/>
            </w:tabs>
            <w:rPr/>
          </w:pPr>
          <w:hyperlink w:anchor="__RefHeading___Toc13425203_1280447820">
            <w:r>
              <w:rPr>
                <w:webHidden/>
                <w:rStyle w:val="IndexLink"/>
                <w:rtl w:val="true"/>
              </w:rPr>
              <w:t>رابعها</w:t>
            </w:r>
            <w:r>
              <w:rPr>
                <w:rStyle w:val="IndexLink"/>
                <w:rtl w:val="true"/>
              </w:rPr>
              <w:t xml:space="preserve">: </w:t>
            </w:r>
            <w:r>
              <w:rPr>
                <w:rStyle w:val="IndexLink"/>
                <w:rtl w:val="true"/>
              </w:rPr>
              <w:t>حكم ما لو اندرس شرط الواقف</w:t>
            </w:r>
            <w:r>
              <w:rPr>
                <w:rStyle w:val="IndexLink"/>
                <w:rtl w:val="true"/>
              </w:rPr>
              <w:tab/>
            </w:r>
            <w:r>
              <w:rPr>
                <w:rStyle w:val="IndexLink"/>
              </w:rPr>
              <w:t>307</w:t>
            </w:r>
          </w:hyperlink>
        </w:p>
        <w:p>
          <w:pPr>
            <w:pStyle w:val="Contents5"/>
            <w:tabs>
              <w:tab w:val="clear" w:pos="7892"/>
              <w:tab w:val="right" w:pos="9026" w:leader="dot"/>
            </w:tabs>
            <w:rPr/>
          </w:pPr>
          <w:hyperlink w:anchor="__RefHeading___Toc13425205_1280447820">
            <w:r>
              <w:rPr>
                <w:webHidden/>
                <w:rStyle w:val="IndexLink"/>
                <w:rtl w:val="true"/>
              </w:rPr>
              <w:t>خامسها</w:t>
            </w:r>
            <w:r>
              <w:rPr>
                <w:rStyle w:val="IndexLink"/>
                <w:rtl w:val="true"/>
              </w:rPr>
              <w:t xml:space="preserve">: </w:t>
            </w:r>
            <w:r>
              <w:rPr>
                <w:rStyle w:val="IndexLink"/>
                <w:rtl w:val="true"/>
              </w:rPr>
              <w:t>جواز قسمة الوقف عن الطلق في المشاع</w:t>
            </w:r>
            <w:r>
              <w:rPr>
                <w:rStyle w:val="IndexLink"/>
                <w:rtl w:val="true"/>
              </w:rPr>
              <w:tab/>
            </w:r>
            <w:r>
              <w:rPr>
                <w:rStyle w:val="IndexLink"/>
              </w:rPr>
              <w:t>307</w:t>
            </w:r>
          </w:hyperlink>
        </w:p>
        <w:p>
          <w:pPr>
            <w:pStyle w:val="Contents3"/>
            <w:tabs>
              <w:tab w:val="clear" w:pos="8459"/>
              <w:tab w:val="right" w:pos="9026" w:leader="dot"/>
            </w:tabs>
            <w:rPr/>
          </w:pPr>
          <w:hyperlink w:anchor="__RefHeading___Toc13425207_1280447820">
            <w:r>
              <w:rPr>
                <w:webHidden/>
                <w:rStyle w:val="IndexLink"/>
                <w:rtl w:val="true"/>
              </w:rPr>
              <w:t>بحث في السكنى</w:t>
            </w:r>
            <w:r>
              <w:rPr>
                <w:rStyle w:val="IndexLink"/>
                <w:rtl w:val="true"/>
              </w:rPr>
              <w:tab/>
            </w:r>
            <w:r>
              <w:rPr>
                <w:rStyle w:val="IndexLink"/>
              </w:rPr>
              <w:t>309</w:t>
            </w:r>
          </w:hyperlink>
        </w:p>
        <w:p>
          <w:pPr>
            <w:pStyle w:val="Contents4"/>
            <w:tabs>
              <w:tab w:val="clear" w:pos="8176"/>
              <w:tab w:val="right" w:pos="9026" w:leader="dot"/>
            </w:tabs>
            <w:rPr/>
          </w:pPr>
          <w:hyperlink w:anchor="__RefHeading___Toc13425209_1280447820">
            <w:r>
              <w:rPr>
                <w:webHidden/>
                <w:rStyle w:val="IndexLink"/>
                <w:rtl w:val="true"/>
              </w:rPr>
              <w:t>تعريف السكنى وبيان ما يشترط فيها</w:t>
            </w:r>
            <w:r>
              <w:rPr>
                <w:rStyle w:val="IndexLink"/>
                <w:rtl w:val="true"/>
              </w:rPr>
              <w:tab/>
            </w:r>
            <w:r>
              <w:rPr>
                <w:rStyle w:val="IndexLink"/>
              </w:rPr>
              <w:t>309</w:t>
            </w:r>
          </w:hyperlink>
        </w:p>
        <w:p>
          <w:pPr>
            <w:pStyle w:val="Contents2"/>
            <w:tabs>
              <w:tab w:val="clear" w:pos="8743"/>
              <w:tab w:val="right" w:pos="9026" w:leader="dot"/>
            </w:tabs>
            <w:rPr/>
          </w:pPr>
          <w:hyperlink w:anchor="__RefHeading___Toc13425211_1280447820">
            <w:r>
              <w:rPr>
                <w:webHidden/>
                <w:rStyle w:val="IndexLink"/>
                <w:rtl w:val="true"/>
              </w:rPr>
              <w:t>كتاب الهبة والصدقة</w:t>
            </w:r>
            <w:r>
              <w:rPr>
                <w:rStyle w:val="IndexLink"/>
                <w:rtl w:val="true"/>
              </w:rPr>
              <w:tab/>
            </w:r>
            <w:r>
              <w:rPr>
                <w:rStyle w:val="IndexLink"/>
              </w:rPr>
              <w:t>313</w:t>
            </w:r>
          </w:hyperlink>
        </w:p>
        <w:p>
          <w:pPr>
            <w:pStyle w:val="Contents3"/>
            <w:tabs>
              <w:tab w:val="clear" w:pos="8459"/>
              <w:tab w:val="right" w:pos="9026" w:leader="dot"/>
            </w:tabs>
            <w:rPr/>
          </w:pPr>
          <w:hyperlink w:anchor="__RefHeading___Toc13425213_1280447820">
            <w:r>
              <w:rPr>
                <w:webHidden/>
                <w:rStyle w:val="IndexLink"/>
                <w:rtl w:val="true"/>
              </w:rPr>
              <w:t>تعريف الصدقة والهبة والعطيّة</w:t>
            </w:r>
            <w:r>
              <w:rPr>
                <w:rStyle w:val="IndexLink"/>
                <w:rtl w:val="true"/>
              </w:rPr>
              <w:tab/>
            </w:r>
            <w:r>
              <w:rPr>
                <w:rStyle w:val="IndexLink"/>
              </w:rPr>
              <w:t>313</w:t>
            </w:r>
          </w:hyperlink>
        </w:p>
        <w:p>
          <w:pPr>
            <w:pStyle w:val="Contents3"/>
            <w:tabs>
              <w:tab w:val="clear" w:pos="8459"/>
              <w:tab w:val="right" w:pos="9026" w:leader="dot"/>
            </w:tabs>
            <w:rPr/>
          </w:pPr>
          <w:hyperlink w:anchor="__RefHeading___Toc13425215_1280447820">
            <w:r>
              <w:rPr>
                <w:webHidden/>
                <w:rStyle w:val="IndexLink"/>
                <w:rtl w:val="true"/>
              </w:rPr>
              <w:t>وعلى أي تقدير فهنا مقامان</w:t>
            </w:r>
            <w:r>
              <w:rPr>
                <w:rStyle w:val="IndexLink"/>
                <w:rtl w:val="true"/>
              </w:rPr>
              <w:t>:</w:t>
              <w:tab/>
            </w:r>
            <w:r>
              <w:rPr>
                <w:rStyle w:val="IndexLink"/>
              </w:rPr>
              <w:t>315</w:t>
            </w:r>
          </w:hyperlink>
        </w:p>
        <w:p>
          <w:pPr>
            <w:pStyle w:val="Contents4"/>
            <w:tabs>
              <w:tab w:val="clear" w:pos="8176"/>
              <w:tab w:val="right" w:pos="9026" w:leader="dot"/>
            </w:tabs>
            <w:rPr/>
          </w:pPr>
          <w:hyperlink w:anchor="__RefHeading___Toc13425217_1280447820">
            <w:r>
              <w:rPr>
                <w:webHidden/>
                <w:rStyle w:val="IndexLink"/>
                <w:rtl w:val="true"/>
              </w:rPr>
              <w:t>المقام الأوّل</w:t>
            </w:r>
            <w:r>
              <w:rPr>
                <w:rStyle w:val="IndexLink"/>
                <w:rtl w:val="true"/>
              </w:rPr>
              <w:t xml:space="preserve">: </w:t>
            </w:r>
            <w:r>
              <w:rPr>
                <w:rStyle w:val="IndexLink"/>
                <w:rtl w:val="true"/>
              </w:rPr>
              <w:t>في الصدقة بالمعنى الخاص والعام وبيان ما يتعلّق بهما</w:t>
            </w:r>
            <w:r>
              <w:rPr>
                <w:rStyle w:val="IndexLink"/>
                <w:rtl w:val="true"/>
              </w:rPr>
              <w:tab/>
            </w:r>
            <w:r>
              <w:rPr>
                <w:rStyle w:val="IndexLink"/>
              </w:rPr>
              <w:t>315</w:t>
            </w:r>
          </w:hyperlink>
        </w:p>
        <w:p>
          <w:pPr>
            <w:pStyle w:val="Contents4"/>
            <w:tabs>
              <w:tab w:val="clear" w:pos="8176"/>
              <w:tab w:val="right" w:pos="9026" w:leader="dot"/>
            </w:tabs>
            <w:rPr/>
          </w:pPr>
          <w:hyperlink w:anchor="__RefHeading___Toc13425219_1280447820">
            <w:r>
              <w:rPr>
                <w:webHidden/>
                <w:rStyle w:val="IndexLink"/>
                <w:rtl w:val="true"/>
              </w:rPr>
              <w:t>المقام الثاني</w:t>
            </w:r>
            <w:r>
              <w:rPr>
                <w:rStyle w:val="IndexLink"/>
                <w:rtl w:val="true"/>
              </w:rPr>
              <w:t xml:space="preserve">: </w:t>
            </w:r>
            <w:r>
              <w:rPr>
                <w:rStyle w:val="IndexLink"/>
                <w:rtl w:val="true"/>
              </w:rPr>
              <w:t>في الهبة</w:t>
            </w:r>
            <w:r>
              <w:rPr>
                <w:rStyle w:val="IndexLink"/>
                <w:rtl w:val="true"/>
              </w:rPr>
              <w:tab/>
            </w:r>
            <w:r>
              <w:rPr>
                <w:rStyle w:val="IndexLink"/>
              </w:rPr>
              <w:t>318</w:t>
            </w:r>
          </w:hyperlink>
        </w:p>
        <w:p>
          <w:pPr>
            <w:pStyle w:val="Contents4"/>
            <w:tabs>
              <w:tab w:val="clear" w:pos="8176"/>
              <w:tab w:val="right" w:pos="9026" w:leader="dot"/>
            </w:tabs>
            <w:rPr/>
          </w:pPr>
          <w:hyperlink w:anchor="__RefHeading___Toc13425221_1280447820">
            <w:r>
              <w:rPr>
                <w:webHidden/>
                <w:rStyle w:val="IndexLink"/>
                <w:rtl w:val="true"/>
              </w:rPr>
              <w:t>وهنا أُمور</w:t>
            </w:r>
            <w:r>
              <w:rPr>
                <w:rStyle w:val="IndexLink"/>
                <w:rtl w:val="true"/>
              </w:rPr>
              <w:t>:</w:t>
              <w:tab/>
            </w:r>
            <w:r>
              <w:rPr>
                <w:rStyle w:val="IndexLink"/>
              </w:rPr>
              <w:t>320</w:t>
            </w:r>
          </w:hyperlink>
        </w:p>
        <w:p>
          <w:pPr>
            <w:pStyle w:val="Contents5"/>
            <w:tabs>
              <w:tab w:val="clear" w:pos="7892"/>
              <w:tab w:val="right" w:pos="9026" w:leader="dot"/>
            </w:tabs>
            <w:rPr/>
          </w:pPr>
          <w:hyperlink w:anchor="__RefHeading___Toc13425223_1280447820">
            <w:r>
              <w:rPr>
                <w:webHidden/>
                <w:rStyle w:val="IndexLink"/>
                <w:rtl w:val="true"/>
              </w:rPr>
              <w:t>أحدها</w:t>
            </w:r>
            <w:r>
              <w:rPr>
                <w:rStyle w:val="IndexLink"/>
                <w:rtl w:val="true"/>
              </w:rPr>
              <w:t xml:space="preserve">: </w:t>
            </w:r>
            <w:r>
              <w:rPr>
                <w:rStyle w:val="IndexLink"/>
                <w:rtl w:val="true"/>
              </w:rPr>
              <w:t>عدم صحّة هبة المنفعة ولا الحق ولا الكلّي إذا لم يتشخّص بفردٍ</w:t>
            </w:r>
            <w:r>
              <w:rPr>
                <w:rStyle w:val="IndexLink"/>
                <w:rtl w:val="true"/>
              </w:rPr>
              <w:tab/>
            </w:r>
            <w:r>
              <w:rPr>
                <w:rStyle w:val="IndexLink"/>
              </w:rPr>
              <w:t>320</w:t>
            </w:r>
          </w:hyperlink>
        </w:p>
        <w:p>
          <w:pPr>
            <w:pStyle w:val="Contents5"/>
            <w:tabs>
              <w:tab w:val="clear" w:pos="7892"/>
              <w:tab w:val="right" w:pos="9026" w:leader="dot"/>
            </w:tabs>
            <w:rPr/>
          </w:pPr>
          <w:hyperlink w:anchor="__RefHeading___Toc13425225_1280447820">
            <w:r>
              <w:rPr>
                <w:webHidden/>
                <w:rStyle w:val="IndexLink"/>
                <w:rtl w:val="true"/>
              </w:rPr>
              <w:t>ثانيها</w:t>
            </w:r>
            <w:r>
              <w:rPr>
                <w:rStyle w:val="IndexLink"/>
                <w:rtl w:val="true"/>
              </w:rPr>
              <w:t xml:space="preserve">: </w:t>
            </w:r>
            <w:r>
              <w:rPr>
                <w:rStyle w:val="IndexLink"/>
                <w:rtl w:val="true"/>
              </w:rPr>
              <w:t>هل القبض شرط في صحّة الهبة أو لزومها؟</w:t>
            </w:r>
            <w:r>
              <w:rPr>
                <w:rStyle w:val="IndexLink"/>
                <w:rtl w:val="true"/>
              </w:rPr>
              <w:tab/>
            </w:r>
            <w:r>
              <w:rPr>
                <w:rStyle w:val="IndexLink"/>
              </w:rPr>
              <w:t>321</w:t>
            </w:r>
          </w:hyperlink>
        </w:p>
        <w:p>
          <w:pPr>
            <w:pStyle w:val="Contents5"/>
            <w:tabs>
              <w:tab w:val="clear" w:pos="7892"/>
              <w:tab w:val="right" w:pos="9026" w:leader="dot"/>
            </w:tabs>
            <w:rPr/>
          </w:pPr>
          <w:hyperlink w:anchor="__RefHeading___Toc13425227_1280447820">
            <w:r>
              <w:rPr>
                <w:webHidden/>
                <w:rStyle w:val="IndexLink"/>
                <w:rtl w:val="true"/>
              </w:rPr>
              <w:t>ثالثها</w:t>
            </w:r>
            <w:r>
              <w:rPr>
                <w:rStyle w:val="IndexLink"/>
                <w:rtl w:val="true"/>
              </w:rPr>
              <w:t xml:space="preserve">: </w:t>
            </w:r>
            <w:r>
              <w:rPr>
                <w:rStyle w:val="IndexLink"/>
                <w:rtl w:val="true"/>
              </w:rPr>
              <w:t>لزوم إذن الواهب في القبض</w:t>
            </w:r>
            <w:r>
              <w:rPr>
                <w:rStyle w:val="IndexLink"/>
                <w:rtl w:val="true"/>
              </w:rPr>
              <w:tab/>
            </w:r>
            <w:r>
              <w:rPr>
                <w:rStyle w:val="IndexLink"/>
              </w:rPr>
              <w:t>323</w:t>
            </w:r>
          </w:hyperlink>
        </w:p>
        <w:p>
          <w:pPr>
            <w:pStyle w:val="Contents5"/>
            <w:tabs>
              <w:tab w:val="clear" w:pos="7892"/>
              <w:tab w:val="right" w:pos="9026" w:leader="dot"/>
            </w:tabs>
            <w:rPr/>
          </w:pPr>
          <w:hyperlink w:anchor="__RefHeading___Toc13425229_1280447820">
            <w:r>
              <w:rPr>
                <w:webHidden/>
                <w:rStyle w:val="IndexLink"/>
                <w:rtl w:val="true"/>
              </w:rPr>
              <w:t>رابعها</w:t>
            </w:r>
            <w:r>
              <w:rPr>
                <w:rStyle w:val="IndexLink"/>
                <w:rtl w:val="true"/>
              </w:rPr>
              <w:t xml:space="preserve">: </w:t>
            </w:r>
            <w:r>
              <w:rPr>
                <w:rStyle w:val="IndexLink"/>
                <w:rtl w:val="true"/>
              </w:rPr>
              <w:t>في أنّ الأصل في الهبة بعد الحكم بصحّتها هو الجواز إلّا فيما دلّ الدليل على لزومه</w:t>
            </w:r>
            <w:r>
              <w:rPr>
                <w:rStyle w:val="IndexLink"/>
                <w:rtl w:val="true"/>
              </w:rPr>
              <w:tab/>
            </w:r>
            <w:r>
              <w:rPr>
                <w:rStyle w:val="IndexLink"/>
              </w:rPr>
              <w:t>326</w:t>
            </w:r>
          </w:hyperlink>
        </w:p>
        <w:p>
          <w:pPr>
            <w:pStyle w:val="Contents5"/>
            <w:tabs>
              <w:tab w:val="clear" w:pos="7892"/>
              <w:tab w:val="right" w:pos="9026" w:leader="dot"/>
            </w:tabs>
            <w:rPr/>
          </w:pPr>
          <w:hyperlink w:anchor="__RefHeading___Toc13425231_1280447820">
            <w:r>
              <w:rPr>
                <w:webHidden/>
                <w:rStyle w:val="IndexLink"/>
                <w:rtl w:val="true"/>
              </w:rPr>
              <w:t>خامسها</w:t>
            </w:r>
            <w:r>
              <w:rPr>
                <w:rStyle w:val="IndexLink"/>
                <w:rtl w:val="true"/>
              </w:rPr>
              <w:t xml:space="preserve">: </w:t>
            </w:r>
            <w:r>
              <w:rPr>
                <w:rStyle w:val="IndexLink"/>
                <w:rtl w:val="true"/>
              </w:rPr>
              <w:t>في بيان الموارد الخارجة عن أصل جواز الهبة</w:t>
            </w:r>
            <w:r>
              <w:rPr>
                <w:rStyle w:val="IndexLink"/>
                <w:rtl w:val="true"/>
              </w:rPr>
              <w:tab/>
            </w:r>
            <w:r>
              <w:rPr>
                <w:rStyle w:val="IndexLink"/>
              </w:rPr>
              <w:t>327</w:t>
            </w:r>
          </w:hyperlink>
        </w:p>
        <w:p>
          <w:pPr>
            <w:pStyle w:val="Contents5"/>
            <w:tabs>
              <w:tab w:val="clear" w:pos="7892"/>
              <w:tab w:val="right" w:pos="9026" w:leader="dot"/>
            </w:tabs>
            <w:rPr/>
          </w:pPr>
          <w:hyperlink w:anchor="__RefHeading___Toc13425233_1280447820">
            <w:r>
              <w:rPr>
                <w:webHidden/>
                <w:rStyle w:val="IndexLink"/>
                <w:rtl w:val="true"/>
              </w:rPr>
              <w:t>فالكلام في مواضع</w:t>
            </w:r>
            <w:r>
              <w:rPr>
                <w:rStyle w:val="IndexLink"/>
                <w:rtl w:val="true"/>
              </w:rPr>
              <w:t>:</w:t>
              <w:tab/>
            </w:r>
            <w:r>
              <w:rPr>
                <w:rStyle w:val="IndexLink"/>
              </w:rPr>
              <w:t>328</w:t>
            </w:r>
          </w:hyperlink>
        </w:p>
        <w:p>
          <w:pPr>
            <w:pStyle w:val="Contents6"/>
            <w:tabs>
              <w:tab w:val="clear" w:pos="7609"/>
              <w:tab w:val="right" w:pos="9026" w:leader="dot"/>
            </w:tabs>
            <w:rPr/>
          </w:pPr>
          <w:hyperlink w:anchor="__RefHeading___Toc13425235_1280447820">
            <w:r>
              <w:rPr>
                <w:webHidden/>
                <w:rStyle w:val="IndexLink"/>
                <w:rtl w:val="true"/>
              </w:rPr>
              <w:t>الموضع الأوّل</w:t>
            </w:r>
            <w:r>
              <w:rPr>
                <w:rStyle w:val="IndexLink"/>
                <w:rtl w:val="true"/>
              </w:rPr>
              <w:t xml:space="preserve">: </w:t>
            </w:r>
            <w:r>
              <w:rPr>
                <w:rStyle w:val="IndexLink"/>
                <w:rtl w:val="true"/>
              </w:rPr>
              <w:t>فيما لو تلفت العين الموهوبة بعد قبضها لم يجز الرجوع</w:t>
            </w:r>
            <w:r>
              <w:rPr>
                <w:rStyle w:val="IndexLink"/>
                <w:rtl w:val="true"/>
              </w:rPr>
              <w:tab/>
            </w:r>
            <w:r>
              <w:rPr>
                <w:rStyle w:val="IndexLink"/>
              </w:rPr>
              <w:t>328</w:t>
            </w:r>
          </w:hyperlink>
        </w:p>
        <w:p>
          <w:pPr>
            <w:pStyle w:val="Contents6"/>
            <w:tabs>
              <w:tab w:val="clear" w:pos="7609"/>
              <w:tab w:val="right" w:pos="9026" w:leader="dot"/>
            </w:tabs>
            <w:rPr/>
          </w:pPr>
          <w:hyperlink w:anchor="__RefHeading___Toc13425237_1280447820">
            <w:r>
              <w:rPr>
                <w:webHidden/>
                <w:rStyle w:val="IndexLink"/>
                <w:rtl w:val="true"/>
              </w:rPr>
              <w:t>الموضع الثاني</w:t>
            </w:r>
            <w:r>
              <w:rPr>
                <w:rStyle w:val="IndexLink"/>
                <w:rtl w:val="true"/>
              </w:rPr>
              <w:t xml:space="preserve">: </w:t>
            </w:r>
            <w:r>
              <w:rPr>
                <w:rStyle w:val="IndexLink"/>
                <w:rtl w:val="true"/>
              </w:rPr>
              <w:t>لزوم الهبة فيما لو تقرّب في هبته عند صدور الصيغة</w:t>
            </w:r>
            <w:r>
              <w:rPr>
                <w:rStyle w:val="IndexLink"/>
                <w:rtl w:val="true"/>
              </w:rPr>
              <w:tab/>
            </w:r>
            <w:r>
              <w:rPr>
                <w:rStyle w:val="IndexLink"/>
              </w:rPr>
              <w:t>328</w:t>
            </w:r>
          </w:hyperlink>
        </w:p>
        <w:p>
          <w:pPr>
            <w:pStyle w:val="Contents6"/>
            <w:tabs>
              <w:tab w:val="clear" w:pos="7609"/>
              <w:tab w:val="right" w:pos="9026" w:leader="dot"/>
            </w:tabs>
            <w:rPr/>
          </w:pPr>
          <w:hyperlink w:anchor="__RefHeading___Toc13425239_1280447820">
            <w:r>
              <w:rPr>
                <w:webHidden/>
                <w:rStyle w:val="IndexLink"/>
                <w:rtl w:val="true"/>
              </w:rPr>
              <w:t xml:space="preserve">الموضع الثالث </w:t>
            </w:r>
            <w:r>
              <w:rPr>
                <w:rStyle w:val="IndexLink"/>
                <w:rtl w:val="true"/>
              </w:rPr>
              <w:t xml:space="preserve">: </w:t>
            </w:r>
            <w:r>
              <w:rPr>
                <w:rStyle w:val="IndexLink"/>
                <w:rtl w:val="true"/>
              </w:rPr>
              <w:t>لزوم الهبة فيما لو عاوض عن هبته</w:t>
            </w:r>
            <w:r>
              <w:rPr>
                <w:rStyle w:val="IndexLink"/>
                <w:rtl w:val="true"/>
              </w:rPr>
              <w:tab/>
            </w:r>
            <w:r>
              <w:rPr>
                <w:rStyle w:val="IndexLink"/>
              </w:rPr>
              <w:t>329</w:t>
            </w:r>
          </w:hyperlink>
        </w:p>
        <w:p>
          <w:pPr>
            <w:pStyle w:val="Contents6"/>
            <w:tabs>
              <w:tab w:val="clear" w:pos="7609"/>
              <w:tab w:val="right" w:pos="9026" w:leader="dot"/>
            </w:tabs>
            <w:rPr/>
          </w:pPr>
          <w:hyperlink w:anchor="__RefHeading___Toc13425241_1280447820">
            <w:r>
              <w:rPr>
                <w:webHidden/>
                <w:rStyle w:val="IndexLink"/>
                <w:rtl w:val="true"/>
              </w:rPr>
              <w:t>الموضع الرابع</w:t>
            </w:r>
            <w:r>
              <w:rPr>
                <w:rStyle w:val="IndexLink"/>
                <w:rtl w:val="true"/>
              </w:rPr>
              <w:t xml:space="preserve">: </w:t>
            </w:r>
            <w:r>
              <w:rPr>
                <w:rStyle w:val="IndexLink"/>
                <w:rtl w:val="true"/>
              </w:rPr>
              <w:t>لزوم الهبة فيما لو وهب الوالدان لأولادهما أو بالعكس</w:t>
            </w:r>
            <w:r>
              <w:rPr>
                <w:rStyle w:val="IndexLink"/>
                <w:rtl w:val="true"/>
              </w:rPr>
              <w:tab/>
            </w:r>
            <w:r>
              <w:rPr>
                <w:rStyle w:val="IndexLink"/>
              </w:rPr>
              <w:t>331</w:t>
            </w:r>
          </w:hyperlink>
        </w:p>
        <w:p>
          <w:pPr>
            <w:pStyle w:val="Contents6"/>
            <w:tabs>
              <w:tab w:val="clear" w:pos="7609"/>
              <w:tab w:val="right" w:pos="9026" w:leader="dot"/>
            </w:tabs>
            <w:rPr/>
          </w:pPr>
          <w:hyperlink w:anchor="__RefHeading___Toc13425243_1280447820">
            <w:r>
              <w:rPr>
                <w:webHidden/>
                <w:rStyle w:val="IndexLink"/>
                <w:rtl w:val="true"/>
              </w:rPr>
              <w:t>الموضع الخامس</w:t>
            </w:r>
            <w:r>
              <w:rPr>
                <w:rStyle w:val="IndexLink"/>
                <w:rtl w:val="true"/>
              </w:rPr>
              <w:t xml:space="preserve">: </w:t>
            </w:r>
            <w:r>
              <w:rPr>
                <w:rStyle w:val="IndexLink"/>
                <w:rtl w:val="true"/>
              </w:rPr>
              <w:t>هل يلزم الهبة فيما لو وهب أحد الزوجين الآخر</w:t>
            </w:r>
            <w:r>
              <w:rPr>
                <w:rStyle w:val="IndexLink"/>
                <w:rtl w:val="true"/>
              </w:rPr>
              <w:tab/>
            </w:r>
            <w:r>
              <w:rPr>
                <w:rStyle w:val="IndexLink"/>
              </w:rPr>
              <w:t>333</w:t>
            </w:r>
          </w:hyperlink>
        </w:p>
        <w:p>
          <w:pPr>
            <w:pStyle w:val="Contents6"/>
            <w:tabs>
              <w:tab w:val="clear" w:pos="7609"/>
              <w:tab w:val="right" w:pos="9026" w:leader="dot"/>
            </w:tabs>
            <w:rPr/>
          </w:pPr>
          <w:hyperlink w:anchor="__RefHeading___Toc13425245_1280447820">
            <w:r>
              <w:rPr>
                <w:webHidden/>
                <w:rStyle w:val="IndexLink"/>
                <w:rtl w:val="true"/>
              </w:rPr>
              <w:t>الموضع السادس</w:t>
            </w:r>
            <w:r>
              <w:rPr>
                <w:rStyle w:val="IndexLink"/>
                <w:rtl w:val="true"/>
              </w:rPr>
              <w:t xml:space="preserve">: </w:t>
            </w:r>
            <w:r>
              <w:rPr>
                <w:rStyle w:val="IndexLink"/>
                <w:rtl w:val="true"/>
              </w:rPr>
              <w:t>عدم لزوم الهبة بالتصرف من حيث إنّه تصرّف في الهبة</w:t>
            </w:r>
            <w:r>
              <w:rPr>
                <w:rStyle w:val="IndexLink"/>
                <w:rtl w:val="true"/>
              </w:rPr>
              <w:tab/>
            </w:r>
            <w:r>
              <w:rPr>
                <w:rStyle w:val="IndexLink"/>
              </w:rPr>
              <w:t>334</w:t>
            </w:r>
          </w:hyperlink>
        </w:p>
        <w:p>
          <w:pPr>
            <w:pStyle w:val="Contents2"/>
            <w:tabs>
              <w:tab w:val="clear" w:pos="8743"/>
              <w:tab w:val="right" w:pos="9026" w:leader="dot"/>
            </w:tabs>
            <w:rPr/>
          </w:pPr>
          <w:hyperlink w:anchor="__RefHeading___Toc13425247_1280447820">
            <w:r>
              <w:rPr>
                <w:webHidden/>
                <w:rStyle w:val="IndexLink"/>
                <w:rtl w:val="true"/>
              </w:rPr>
              <w:t>كتاب الوصيّة</w:t>
            </w:r>
            <w:r>
              <w:rPr>
                <w:rStyle w:val="IndexLink"/>
                <w:rtl w:val="true"/>
              </w:rPr>
              <w:tab/>
            </w:r>
            <w:r>
              <w:rPr>
                <w:rStyle w:val="IndexLink"/>
              </w:rPr>
              <w:t>339</w:t>
            </w:r>
          </w:hyperlink>
        </w:p>
        <w:p>
          <w:pPr>
            <w:pStyle w:val="Contents3"/>
            <w:tabs>
              <w:tab w:val="clear" w:pos="8459"/>
              <w:tab w:val="right" w:pos="9026" w:leader="dot"/>
            </w:tabs>
            <w:rPr/>
          </w:pPr>
          <w:hyperlink w:anchor="__RefHeading___Toc13425249_1280447820">
            <w:r>
              <w:rPr>
                <w:webHidden/>
                <w:rStyle w:val="IndexLink"/>
                <w:rtl w:val="true"/>
              </w:rPr>
              <w:t>تعريف الوصيّة والحثّ عليها</w:t>
            </w:r>
            <w:r>
              <w:rPr>
                <w:rStyle w:val="IndexLink"/>
                <w:rtl w:val="true"/>
              </w:rPr>
              <w:tab/>
            </w:r>
            <w:r>
              <w:rPr>
                <w:rStyle w:val="IndexLink"/>
              </w:rPr>
              <w:t>339</w:t>
            </w:r>
          </w:hyperlink>
        </w:p>
        <w:p>
          <w:pPr>
            <w:pStyle w:val="Contents3"/>
            <w:tabs>
              <w:tab w:val="clear" w:pos="8459"/>
              <w:tab w:val="right" w:pos="9026" w:leader="dot"/>
            </w:tabs>
            <w:rPr/>
          </w:pPr>
          <w:hyperlink w:anchor="__RefHeading___Toc13425251_1280447820">
            <w:r>
              <w:rPr>
                <w:webHidden/>
                <w:rStyle w:val="IndexLink"/>
                <w:rtl w:val="true"/>
              </w:rPr>
              <w:t>وهنا أُمور</w:t>
            </w:r>
            <w:r>
              <w:rPr>
                <w:rStyle w:val="IndexLink"/>
                <w:rtl w:val="true"/>
              </w:rPr>
              <w:t>:</w:t>
              <w:tab/>
            </w:r>
            <w:r>
              <w:rPr>
                <w:rStyle w:val="IndexLink"/>
              </w:rPr>
              <w:t>342</w:t>
            </w:r>
          </w:hyperlink>
        </w:p>
        <w:p>
          <w:pPr>
            <w:pStyle w:val="Contents4"/>
            <w:tabs>
              <w:tab w:val="clear" w:pos="8176"/>
              <w:tab w:val="right" w:pos="9026" w:leader="dot"/>
            </w:tabs>
            <w:rPr/>
          </w:pPr>
          <w:hyperlink w:anchor="__RefHeading___Toc13425253_1280447820">
            <w:r>
              <w:rPr>
                <w:webHidden/>
                <w:rStyle w:val="IndexLink"/>
                <w:rtl w:val="true"/>
              </w:rPr>
              <w:t>أحدها</w:t>
            </w:r>
            <w:r>
              <w:rPr>
                <w:rStyle w:val="IndexLink"/>
                <w:rtl w:val="true"/>
              </w:rPr>
              <w:t xml:space="preserve">: </w:t>
            </w:r>
            <w:r>
              <w:rPr>
                <w:rStyle w:val="IndexLink"/>
                <w:rtl w:val="true"/>
              </w:rPr>
              <w:t>في أنّ الوصيّة بالمعنى الخاص إيقاع لا عقد</w:t>
            </w:r>
            <w:r>
              <w:rPr>
                <w:rStyle w:val="IndexLink"/>
                <w:rtl w:val="true"/>
              </w:rPr>
              <w:tab/>
            </w:r>
            <w:r>
              <w:rPr>
                <w:rStyle w:val="IndexLink"/>
              </w:rPr>
              <w:t>342</w:t>
            </w:r>
          </w:hyperlink>
        </w:p>
        <w:p>
          <w:pPr>
            <w:pStyle w:val="Contents4"/>
            <w:tabs>
              <w:tab w:val="clear" w:pos="8176"/>
              <w:tab w:val="right" w:pos="9026" w:leader="dot"/>
            </w:tabs>
            <w:rPr/>
          </w:pPr>
          <w:hyperlink w:anchor="__RefHeading___Toc13425255_1280447820">
            <w:r>
              <w:rPr>
                <w:webHidden/>
                <w:rStyle w:val="IndexLink"/>
                <w:rtl w:val="true"/>
              </w:rPr>
              <w:t>ثانيها</w:t>
            </w:r>
            <w:r>
              <w:rPr>
                <w:rStyle w:val="IndexLink"/>
                <w:rtl w:val="true"/>
              </w:rPr>
              <w:t xml:space="preserve">: </w:t>
            </w:r>
            <w:r>
              <w:rPr>
                <w:rStyle w:val="IndexLink"/>
                <w:rtl w:val="true"/>
              </w:rPr>
              <w:t>فيما لو مات الموصى له قبل القبول وقبل الردّ قام وارثه في القبول مقامه</w:t>
            </w:r>
            <w:r>
              <w:rPr>
                <w:rStyle w:val="IndexLink"/>
                <w:rtl w:val="true"/>
              </w:rPr>
              <w:tab/>
            </w:r>
            <w:r>
              <w:rPr>
                <w:rStyle w:val="IndexLink"/>
              </w:rPr>
              <w:t>349</w:t>
            </w:r>
          </w:hyperlink>
        </w:p>
        <w:p>
          <w:pPr>
            <w:pStyle w:val="Contents4"/>
            <w:tabs>
              <w:tab w:val="clear" w:pos="8176"/>
              <w:tab w:val="right" w:pos="9026" w:leader="dot"/>
            </w:tabs>
            <w:rPr/>
          </w:pPr>
          <w:hyperlink w:anchor="__RefHeading___Toc13425257_1280447820">
            <w:r>
              <w:rPr>
                <w:webHidden/>
                <w:rStyle w:val="IndexLink"/>
                <w:rtl w:val="true"/>
              </w:rPr>
              <w:t>ثالثها</w:t>
            </w:r>
            <w:r>
              <w:rPr>
                <w:rStyle w:val="IndexLink"/>
                <w:rtl w:val="true"/>
              </w:rPr>
              <w:t xml:space="preserve">: </w:t>
            </w:r>
            <w:r>
              <w:rPr>
                <w:rStyle w:val="IndexLink"/>
                <w:rtl w:val="true"/>
              </w:rPr>
              <w:t>هل تتوقف الوصيّة على القبول من الموصى له؟</w:t>
            </w:r>
            <w:r>
              <w:rPr>
                <w:rStyle w:val="IndexLink"/>
                <w:rtl w:val="true"/>
              </w:rPr>
              <w:tab/>
            </w:r>
            <w:r>
              <w:rPr>
                <w:rStyle w:val="IndexLink"/>
              </w:rPr>
              <w:t>353</w:t>
            </w:r>
          </w:hyperlink>
        </w:p>
        <w:p>
          <w:pPr>
            <w:pStyle w:val="Contents4"/>
            <w:tabs>
              <w:tab w:val="clear" w:pos="8176"/>
              <w:tab w:val="right" w:pos="9026" w:leader="dot"/>
            </w:tabs>
            <w:rPr/>
          </w:pPr>
          <w:hyperlink w:anchor="__RefHeading___Toc13425259_1280447820">
            <w:r>
              <w:rPr>
                <w:webHidden/>
                <w:rStyle w:val="IndexLink"/>
                <w:rtl w:val="true"/>
              </w:rPr>
              <w:t>رابعها</w:t>
            </w:r>
            <w:r>
              <w:rPr>
                <w:rStyle w:val="IndexLink"/>
                <w:rtl w:val="true"/>
              </w:rPr>
              <w:t xml:space="preserve">: </w:t>
            </w:r>
            <w:r>
              <w:rPr>
                <w:rStyle w:val="IndexLink"/>
                <w:rtl w:val="true"/>
              </w:rPr>
              <w:t>عدم صحّة الوصيّة في معصية</w:t>
            </w:r>
            <w:r>
              <w:rPr>
                <w:rStyle w:val="IndexLink"/>
                <w:rtl w:val="true"/>
              </w:rPr>
              <w:tab/>
            </w:r>
            <w:r>
              <w:rPr>
                <w:rStyle w:val="IndexLink"/>
              </w:rPr>
              <w:t>358</w:t>
            </w:r>
          </w:hyperlink>
        </w:p>
        <w:p>
          <w:pPr>
            <w:pStyle w:val="Contents4"/>
            <w:tabs>
              <w:tab w:val="clear" w:pos="8176"/>
              <w:tab w:val="right" w:pos="9026" w:leader="dot"/>
            </w:tabs>
            <w:rPr/>
          </w:pPr>
          <w:hyperlink w:anchor="__RefHeading___Toc13425261_1280447820">
            <w:r>
              <w:rPr>
                <w:webHidden/>
                <w:rStyle w:val="IndexLink"/>
                <w:rtl w:val="true"/>
              </w:rPr>
              <w:t>خامسها</w:t>
            </w:r>
            <w:r>
              <w:rPr>
                <w:rStyle w:val="IndexLink"/>
                <w:rtl w:val="true"/>
              </w:rPr>
              <w:t xml:space="preserve">: </w:t>
            </w:r>
            <w:r>
              <w:rPr>
                <w:rStyle w:val="IndexLink"/>
                <w:rtl w:val="true"/>
              </w:rPr>
              <w:t>في أنّ الوصيّة عقد جائز حال حياة الموصي ولازم بعد الموت والقبول</w:t>
            </w:r>
            <w:r>
              <w:rPr>
                <w:rStyle w:val="IndexLink"/>
                <w:rtl w:val="true"/>
              </w:rPr>
              <w:tab/>
            </w:r>
            <w:r>
              <w:rPr>
                <w:rStyle w:val="IndexLink"/>
              </w:rPr>
              <w:t>359</w:t>
            </w:r>
          </w:hyperlink>
        </w:p>
        <w:p>
          <w:pPr>
            <w:pStyle w:val="Contents4"/>
            <w:tabs>
              <w:tab w:val="clear" w:pos="8176"/>
              <w:tab w:val="right" w:pos="9026" w:leader="dot"/>
            </w:tabs>
            <w:rPr/>
          </w:pPr>
          <w:hyperlink w:anchor="__RefHeading___Toc13425263_1280447820">
            <w:r>
              <w:rPr>
                <w:webHidden/>
                <w:rStyle w:val="IndexLink"/>
                <w:rtl w:val="true"/>
              </w:rPr>
              <w:t>سادسها</w:t>
            </w:r>
            <w:r>
              <w:rPr>
                <w:rStyle w:val="IndexLink"/>
                <w:rtl w:val="true"/>
              </w:rPr>
              <w:t xml:space="preserve">: </w:t>
            </w:r>
            <w:r>
              <w:rPr>
                <w:rStyle w:val="IndexLink"/>
                <w:rtl w:val="true"/>
              </w:rPr>
              <w:t>اشتراط العقل والبلوغ في الموصي</w:t>
            </w:r>
            <w:r>
              <w:rPr>
                <w:rStyle w:val="IndexLink"/>
                <w:rtl w:val="true"/>
              </w:rPr>
              <w:tab/>
            </w:r>
            <w:r>
              <w:rPr>
                <w:rStyle w:val="IndexLink"/>
              </w:rPr>
              <w:t>361</w:t>
            </w:r>
          </w:hyperlink>
        </w:p>
        <w:p>
          <w:pPr>
            <w:pStyle w:val="Contents4"/>
            <w:tabs>
              <w:tab w:val="clear" w:pos="8176"/>
              <w:tab w:val="right" w:pos="9026" w:leader="dot"/>
            </w:tabs>
            <w:rPr/>
          </w:pPr>
          <w:hyperlink w:anchor="__RefHeading___Toc13425265_1280447820">
            <w:r>
              <w:rPr>
                <w:webHidden/>
                <w:rStyle w:val="IndexLink"/>
                <w:rtl w:val="true"/>
              </w:rPr>
              <w:t>سابعها</w:t>
            </w:r>
            <w:r>
              <w:rPr>
                <w:rStyle w:val="IndexLink"/>
                <w:rtl w:val="true"/>
              </w:rPr>
              <w:t xml:space="preserve">: </w:t>
            </w:r>
            <w:r>
              <w:rPr>
                <w:rStyle w:val="IndexLink"/>
                <w:rtl w:val="true"/>
              </w:rPr>
              <w:t>بطلان الوصيّة فيما لو جرح الموصي نفسه عمداً بما فيه هلاكها عالماً بترتب الهلاك فأوصى</w:t>
            </w:r>
            <w:r>
              <w:rPr>
                <w:rStyle w:val="IndexLink"/>
                <w:rtl w:val="true"/>
              </w:rPr>
              <w:tab/>
            </w:r>
            <w:r>
              <w:rPr>
                <w:rStyle w:val="IndexLink"/>
              </w:rPr>
              <w:t>363</w:t>
            </w:r>
          </w:hyperlink>
        </w:p>
        <w:p>
          <w:pPr>
            <w:pStyle w:val="Contents4"/>
            <w:tabs>
              <w:tab w:val="clear" w:pos="8176"/>
              <w:tab w:val="right" w:pos="9026" w:leader="dot"/>
            </w:tabs>
            <w:rPr/>
          </w:pPr>
          <w:hyperlink w:anchor="__RefHeading___Toc13425267_1280447820">
            <w:r>
              <w:rPr>
                <w:webHidden/>
                <w:rStyle w:val="IndexLink"/>
                <w:rtl w:val="true"/>
              </w:rPr>
              <w:t>ثامنها</w:t>
            </w:r>
            <w:r>
              <w:rPr>
                <w:rStyle w:val="IndexLink"/>
                <w:rtl w:val="true"/>
              </w:rPr>
              <w:t xml:space="preserve">: </w:t>
            </w:r>
            <w:r>
              <w:rPr>
                <w:rStyle w:val="IndexLink"/>
                <w:rtl w:val="true"/>
              </w:rPr>
              <w:t>في الموصى له</w:t>
            </w:r>
            <w:r>
              <w:rPr>
                <w:rStyle w:val="IndexLink"/>
                <w:rtl w:val="true"/>
              </w:rPr>
              <w:tab/>
            </w:r>
            <w:r>
              <w:rPr>
                <w:rStyle w:val="IndexLink"/>
              </w:rPr>
              <w:t>364</w:t>
            </w:r>
          </w:hyperlink>
        </w:p>
        <w:p>
          <w:pPr>
            <w:pStyle w:val="Contents5"/>
            <w:tabs>
              <w:tab w:val="clear" w:pos="7892"/>
              <w:tab w:val="right" w:pos="9026" w:leader="dot"/>
            </w:tabs>
            <w:rPr/>
          </w:pPr>
          <w:hyperlink w:anchor="__RefHeading___Toc13425269_1280447820">
            <w:r>
              <w:rPr>
                <w:webHidden/>
                <w:rStyle w:val="IndexLink"/>
                <w:rtl w:val="true"/>
              </w:rPr>
              <w:t>وفيه أمور</w:t>
            </w:r>
            <w:r>
              <w:rPr>
                <w:rStyle w:val="IndexLink"/>
                <w:rtl w:val="true"/>
              </w:rPr>
              <w:t>:</w:t>
              <w:tab/>
            </w:r>
            <w:r>
              <w:rPr>
                <w:rStyle w:val="IndexLink"/>
              </w:rPr>
              <w:t>364</w:t>
            </w:r>
          </w:hyperlink>
        </w:p>
        <w:p>
          <w:pPr>
            <w:pStyle w:val="Contents6"/>
            <w:tabs>
              <w:tab w:val="clear" w:pos="7609"/>
              <w:tab w:val="right" w:pos="9026" w:leader="dot"/>
            </w:tabs>
            <w:rPr/>
          </w:pPr>
          <w:hyperlink w:anchor="__RefHeading___Toc13425271_1280447820">
            <w:r>
              <w:rPr>
                <w:webHidden/>
                <w:rStyle w:val="IndexLink"/>
                <w:rtl w:val="true"/>
              </w:rPr>
              <w:t xml:space="preserve">أولها </w:t>
            </w:r>
            <w:r>
              <w:rPr>
                <w:rStyle w:val="IndexLink"/>
                <w:rtl w:val="true"/>
              </w:rPr>
              <w:t xml:space="preserve">: </w:t>
            </w:r>
            <w:r>
              <w:rPr>
                <w:rStyle w:val="IndexLink"/>
                <w:rtl w:val="true"/>
              </w:rPr>
              <w:t>في أنّه لا يشترط في الوصيّة وجود الموصى له ولا حياته ولا دوام تمليكه</w:t>
            </w:r>
            <w:r>
              <w:rPr>
                <w:rStyle w:val="IndexLink"/>
                <w:rtl w:val="true"/>
              </w:rPr>
              <w:tab/>
            </w:r>
            <w:r>
              <w:rPr>
                <w:rStyle w:val="IndexLink"/>
              </w:rPr>
              <w:t>364</w:t>
            </w:r>
          </w:hyperlink>
        </w:p>
        <w:p>
          <w:pPr>
            <w:pStyle w:val="Contents6"/>
            <w:tabs>
              <w:tab w:val="clear" w:pos="7609"/>
              <w:tab w:val="right" w:pos="9026" w:leader="dot"/>
            </w:tabs>
            <w:rPr/>
          </w:pPr>
          <w:hyperlink w:anchor="__RefHeading___Toc13425273_1280447820">
            <w:r>
              <w:rPr>
                <w:webHidden/>
                <w:rStyle w:val="IndexLink"/>
                <w:rtl w:val="true"/>
              </w:rPr>
              <w:t>ثانيها</w:t>
            </w:r>
            <w:r>
              <w:rPr>
                <w:rStyle w:val="IndexLink"/>
                <w:rtl w:val="true"/>
              </w:rPr>
              <w:t xml:space="preserve">: </w:t>
            </w:r>
            <w:r>
              <w:rPr>
                <w:rStyle w:val="IndexLink"/>
                <w:rtl w:val="true"/>
              </w:rPr>
              <w:t>صحّة الوصيّة للقريب والبعيد</w:t>
            </w:r>
            <w:r>
              <w:rPr>
                <w:rStyle w:val="IndexLink"/>
                <w:rtl w:val="true"/>
              </w:rPr>
              <w:tab/>
            </w:r>
            <w:r>
              <w:rPr>
                <w:rStyle w:val="IndexLink"/>
              </w:rPr>
              <w:t>365</w:t>
            </w:r>
          </w:hyperlink>
        </w:p>
        <w:p>
          <w:pPr>
            <w:pStyle w:val="Contents6"/>
            <w:tabs>
              <w:tab w:val="clear" w:pos="7609"/>
              <w:tab w:val="right" w:pos="9026" w:leader="dot"/>
            </w:tabs>
            <w:rPr/>
          </w:pPr>
          <w:hyperlink w:anchor="__RefHeading___Toc13425275_1280447820">
            <w:r>
              <w:rPr>
                <w:webHidden/>
                <w:rStyle w:val="IndexLink"/>
                <w:rtl w:val="true"/>
              </w:rPr>
              <w:t>ثالثها</w:t>
            </w:r>
            <w:r>
              <w:rPr>
                <w:rStyle w:val="IndexLink"/>
                <w:rtl w:val="true"/>
              </w:rPr>
              <w:t xml:space="preserve">: </w:t>
            </w:r>
            <w:r>
              <w:rPr>
                <w:rStyle w:val="IndexLink"/>
                <w:rtl w:val="true"/>
              </w:rPr>
              <w:t>صحّة الوصيّة للحمل إذا وقع حياً وبطلانها مع عدمه</w:t>
            </w:r>
            <w:r>
              <w:rPr>
                <w:rStyle w:val="IndexLink"/>
                <w:rtl w:val="true"/>
              </w:rPr>
              <w:tab/>
            </w:r>
            <w:r>
              <w:rPr>
                <w:rStyle w:val="IndexLink"/>
              </w:rPr>
              <w:t>366</w:t>
            </w:r>
          </w:hyperlink>
        </w:p>
        <w:p>
          <w:pPr>
            <w:pStyle w:val="Contents6"/>
            <w:tabs>
              <w:tab w:val="clear" w:pos="7609"/>
              <w:tab w:val="right" w:pos="9026" w:leader="dot"/>
            </w:tabs>
            <w:rPr/>
          </w:pPr>
          <w:hyperlink w:anchor="__RefHeading___Toc13425277_1280447820">
            <w:r>
              <w:rPr>
                <w:webHidden/>
                <w:rStyle w:val="IndexLink"/>
                <w:rtl w:val="true"/>
              </w:rPr>
              <w:t>رابعها</w:t>
            </w:r>
            <w:r>
              <w:rPr>
                <w:rStyle w:val="IndexLink"/>
                <w:rtl w:val="true"/>
              </w:rPr>
              <w:t xml:space="preserve">: </w:t>
            </w:r>
            <w:r>
              <w:rPr>
                <w:rStyle w:val="IndexLink"/>
                <w:rtl w:val="true"/>
              </w:rPr>
              <w:t>صحّة الوصيّة لأهل الذمّة ولو من أهل الإسلام</w:t>
            </w:r>
            <w:r>
              <w:rPr>
                <w:rStyle w:val="IndexLink"/>
                <w:rtl w:val="true"/>
              </w:rPr>
              <w:tab/>
            </w:r>
            <w:r>
              <w:rPr>
                <w:rStyle w:val="IndexLink"/>
              </w:rPr>
              <w:t>367</w:t>
            </w:r>
          </w:hyperlink>
        </w:p>
        <w:p>
          <w:pPr>
            <w:pStyle w:val="Contents6"/>
            <w:tabs>
              <w:tab w:val="clear" w:pos="7609"/>
              <w:tab w:val="right" w:pos="9026" w:leader="dot"/>
            </w:tabs>
            <w:rPr/>
          </w:pPr>
          <w:hyperlink w:anchor="__RefHeading___Toc13425279_1280447820">
            <w:r>
              <w:rPr>
                <w:webHidden/>
                <w:rStyle w:val="IndexLink"/>
                <w:rtl w:val="true"/>
              </w:rPr>
              <w:t>خامسها</w:t>
            </w:r>
            <w:r>
              <w:rPr>
                <w:rStyle w:val="IndexLink"/>
                <w:rtl w:val="true"/>
              </w:rPr>
              <w:t xml:space="preserve">: </w:t>
            </w:r>
            <w:r>
              <w:rPr>
                <w:rStyle w:val="IndexLink"/>
                <w:rtl w:val="true"/>
              </w:rPr>
              <w:t>صحّة الوصيّة للمبعض</w:t>
            </w:r>
            <w:r>
              <w:rPr>
                <w:rStyle w:val="IndexLink"/>
                <w:rtl w:val="true"/>
              </w:rPr>
              <w:tab/>
            </w:r>
            <w:r>
              <w:rPr>
                <w:rStyle w:val="IndexLink"/>
              </w:rPr>
              <w:t>369</w:t>
            </w:r>
          </w:hyperlink>
        </w:p>
        <w:p>
          <w:pPr>
            <w:pStyle w:val="Contents6"/>
            <w:tabs>
              <w:tab w:val="clear" w:pos="7609"/>
              <w:tab w:val="right" w:pos="9026" w:leader="dot"/>
            </w:tabs>
            <w:rPr/>
          </w:pPr>
          <w:hyperlink w:anchor="__RefHeading___Toc13425281_1280447820">
            <w:r>
              <w:rPr>
                <w:webHidden/>
                <w:rStyle w:val="IndexLink"/>
                <w:rtl w:val="true"/>
              </w:rPr>
              <w:t>سادسها</w:t>
            </w:r>
            <w:r>
              <w:rPr>
                <w:rStyle w:val="IndexLink"/>
                <w:rtl w:val="true"/>
              </w:rPr>
              <w:t xml:space="preserve">: </w:t>
            </w:r>
            <w:r>
              <w:rPr>
                <w:rStyle w:val="IndexLink"/>
                <w:rtl w:val="true"/>
              </w:rPr>
              <w:t>حكم ما لو أعتق المريض عبداً عند موته وليس له سواه وعليه دين</w:t>
            </w:r>
            <w:r>
              <w:rPr>
                <w:rStyle w:val="IndexLink"/>
                <w:rtl w:val="true"/>
              </w:rPr>
              <w:tab/>
            </w:r>
            <w:r>
              <w:rPr>
                <w:rStyle w:val="IndexLink"/>
              </w:rPr>
              <w:t>374</w:t>
            </w:r>
          </w:hyperlink>
        </w:p>
        <w:p>
          <w:pPr>
            <w:pStyle w:val="Contents6"/>
            <w:tabs>
              <w:tab w:val="clear" w:pos="7609"/>
              <w:tab w:val="right" w:pos="9026" w:leader="dot"/>
            </w:tabs>
            <w:rPr/>
          </w:pPr>
          <w:hyperlink w:anchor="__RefHeading___Toc13425283_1280447820">
            <w:r>
              <w:rPr>
                <w:webHidden/>
                <w:rStyle w:val="IndexLink"/>
                <w:rtl w:val="true"/>
              </w:rPr>
              <w:t>سابعها</w:t>
            </w:r>
            <w:r>
              <w:rPr>
                <w:rStyle w:val="IndexLink"/>
                <w:rtl w:val="true"/>
              </w:rPr>
              <w:t xml:space="preserve">: </w:t>
            </w:r>
            <w:r>
              <w:rPr>
                <w:rStyle w:val="IndexLink"/>
                <w:rtl w:val="true"/>
              </w:rPr>
              <w:t>اشتراط تحقق شرائط الموصى له حين الوصيّة</w:t>
            </w:r>
            <w:r>
              <w:rPr>
                <w:rStyle w:val="IndexLink"/>
                <w:rtl w:val="true"/>
              </w:rPr>
              <w:tab/>
            </w:r>
            <w:r>
              <w:rPr>
                <w:rStyle w:val="IndexLink"/>
              </w:rPr>
              <w:t>377</w:t>
            </w:r>
          </w:hyperlink>
        </w:p>
        <w:p>
          <w:pPr>
            <w:pStyle w:val="Contents6"/>
            <w:tabs>
              <w:tab w:val="clear" w:pos="7609"/>
              <w:tab w:val="right" w:pos="9026" w:leader="dot"/>
            </w:tabs>
            <w:rPr/>
          </w:pPr>
          <w:hyperlink w:anchor="__RefHeading___Toc13425285_1280447820">
            <w:r>
              <w:rPr>
                <w:webHidden/>
                <w:rStyle w:val="IndexLink"/>
                <w:rtl w:val="true"/>
              </w:rPr>
              <w:t>ثامنها</w:t>
            </w:r>
            <w:r>
              <w:rPr>
                <w:rStyle w:val="IndexLink"/>
                <w:rtl w:val="true"/>
              </w:rPr>
              <w:t xml:space="preserve">: </w:t>
            </w:r>
            <w:r>
              <w:rPr>
                <w:rStyle w:val="IndexLink"/>
                <w:rtl w:val="true"/>
              </w:rPr>
              <w:t>في أن مقتضى الوصيّة التسوية بين الموصى له في قسمة الموصى به</w:t>
            </w:r>
            <w:r>
              <w:rPr>
                <w:rStyle w:val="IndexLink"/>
                <w:rtl w:val="true"/>
              </w:rPr>
              <w:tab/>
            </w:r>
            <w:r>
              <w:rPr>
                <w:rStyle w:val="IndexLink"/>
              </w:rPr>
              <w:t>377</w:t>
            </w:r>
          </w:hyperlink>
        </w:p>
        <w:p>
          <w:pPr>
            <w:pStyle w:val="Contents6"/>
            <w:tabs>
              <w:tab w:val="clear" w:pos="7609"/>
              <w:tab w:val="right" w:pos="9026" w:leader="dot"/>
            </w:tabs>
            <w:rPr/>
          </w:pPr>
          <w:hyperlink w:anchor="__RefHeading___Toc13425287_1280447820">
            <w:r>
              <w:rPr>
                <w:webHidden/>
                <w:rStyle w:val="IndexLink"/>
                <w:rtl w:val="true"/>
              </w:rPr>
              <w:t>تاسعها</w:t>
            </w:r>
            <w:r>
              <w:rPr>
                <w:rStyle w:val="IndexLink"/>
                <w:rtl w:val="true"/>
              </w:rPr>
              <w:t xml:space="preserve">: </w:t>
            </w:r>
            <w:r>
              <w:rPr>
                <w:rStyle w:val="IndexLink"/>
                <w:rtl w:val="true"/>
              </w:rPr>
              <w:t>بيان المراد بالقرابة فيما لو أوصى لقرابته أو لأقاربه أو لذوي قرابته أو لأرحامه أو لذوي رحمه</w:t>
            </w:r>
            <w:r>
              <w:rPr>
                <w:rStyle w:val="IndexLink"/>
                <w:rtl w:val="true"/>
              </w:rPr>
              <w:tab/>
            </w:r>
            <w:r>
              <w:rPr>
                <w:rStyle w:val="IndexLink"/>
              </w:rPr>
              <w:t>377</w:t>
            </w:r>
          </w:hyperlink>
        </w:p>
        <w:p>
          <w:pPr>
            <w:pStyle w:val="Contents6"/>
            <w:tabs>
              <w:tab w:val="clear" w:pos="7609"/>
              <w:tab w:val="right" w:pos="9026" w:leader="dot"/>
            </w:tabs>
            <w:rPr/>
          </w:pPr>
          <w:hyperlink w:anchor="__RefHeading___Toc13425289_1280447820">
            <w:r>
              <w:rPr>
                <w:webHidden/>
                <w:rStyle w:val="IndexLink"/>
                <w:rtl w:val="true"/>
              </w:rPr>
              <w:t>عاشرها</w:t>
            </w:r>
            <w:r>
              <w:rPr>
                <w:rStyle w:val="IndexLink"/>
                <w:rtl w:val="true"/>
              </w:rPr>
              <w:t xml:space="preserve">: </w:t>
            </w:r>
            <w:r>
              <w:rPr>
                <w:rStyle w:val="IndexLink"/>
                <w:rtl w:val="true"/>
              </w:rPr>
              <w:t>بيان مَنْ يدخل في الوصيّة فيما لو أوصى لأقارب أقاربه</w:t>
            </w:r>
            <w:r>
              <w:rPr>
                <w:rStyle w:val="IndexLink"/>
                <w:rtl w:val="true"/>
              </w:rPr>
              <w:tab/>
            </w:r>
            <w:r>
              <w:rPr>
                <w:rStyle w:val="IndexLink"/>
              </w:rPr>
              <w:t>379</w:t>
            </w:r>
          </w:hyperlink>
        </w:p>
        <w:p>
          <w:pPr>
            <w:pStyle w:val="Contents6"/>
            <w:tabs>
              <w:tab w:val="clear" w:pos="7609"/>
              <w:tab w:val="right" w:pos="9026" w:leader="dot"/>
            </w:tabs>
            <w:rPr/>
          </w:pPr>
          <w:hyperlink w:anchor="__RefHeading___Toc13425291_1280447820">
            <w:r>
              <w:rPr>
                <w:webHidden/>
                <w:rStyle w:val="IndexLink"/>
                <w:rtl w:val="true"/>
              </w:rPr>
              <w:t>حادي عشرها</w:t>
            </w:r>
            <w:r>
              <w:rPr>
                <w:rStyle w:val="IndexLink"/>
                <w:rtl w:val="true"/>
              </w:rPr>
              <w:t xml:space="preserve">: </w:t>
            </w:r>
            <w:r>
              <w:rPr>
                <w:rStyle w:val="IndexLink"/>
                <w:rtl w:val="true"/>
              </w:rPr>
              <w:t>فيما لو مات الموصى له انتقل حكم الوصيّة إلى ورثته</w:t>
            </w:r>
            <w:r>
              <w:rPr>
                <w:rStyle w:val="IndexLink"/>
                <w:rtl w:val="true"/>
              </w:rPr>
              <w:tab/>
            </w:r>
            <w:r>
              <w:rPr>
                <w:rStyle w:val="IndexLink"/>
              </w:rPr>
              <w:t>380</w:t>
            </w:r>
          </w:hyperlink>
        </w:p>
        <w:p>
          <w:pPr>
            <w:pStyle w:val="Contents6"/>
            <w:tabs>
              <w:tab w:val="clear" w:pos="7609"/>
              <w:tab w:val="right" w:pos="9026" w:leader="dot"/>
            </w:tabs>
            <w:rPr/>
          </w:pPr>
          <w:hyperlink w:anchor="__RefHeading___Toc13425293_1280447820">
            <w:r>
              <w:rPr>
                <w:webHidden/>
                <w:rStyle w:val="IndexLink"/>
                <w:rtl w:val="true"/>
              </w:rPr>
              <w:t>ثاني عشرها</w:t>
            </w:r>
            <w:r>
              <w:rPr>
                <w:rStyle w:val="IndexLink"/>
                <w:rtl w:val="true"/>
              </w:rPr>
              <w:t xml:space="preserve">: </w:t>
            </w:r>
            <w:r>
              <w:rPr>
                <w:rStyle w:val="IndexLink"/>
                <w:rtl w:val="true"/>
              </w:rPr>
              <w:t>صحّة الوصيّة بما لا يتموّل وبما لا يقدر على تسليمه على تقدير القدرة</w:t>
            </w:r>
            <w:r>
              <w:rPr>
                <w:rStyle w:val="IndexLink"/>
                <w:rtl w:val="true"/>
              </w:rPr>
              <w:tab/>
            </w:r>
            <w:r>
              <w:rPr>
                <w:rStyle w:val="IndexLink"/>
              </w:rPr>
              <w:t>381</w:t>
            </w:r>
          </w:hyperlink>
        </w:p>
        <w:p>
          <w:pPr>
            <w:pStyle w:val="Contents6"/>
            <w:tabs>
              <w:tab w:val="clear" w:pos="7609"/>
              <w:tab w:val="right" w:pos="9026" w:leader="dot"/>
            </w:tabs>
            <w:rPr/>
          </w:pPr>
          <w:hyperlink w:anchor="__RefHeading___Toc13425295_1280447820">
            <w:r>
              <w:rPr>
                <w:webHidden/>
                <w:rStyle w:val="IndexLink"/>
                <w:rtl w:val="true"/>
              </w:rPr>
              <w:t>ثالث عشرها</w:t>
            </w:r>
            <w:r>
              <w:rPr>
                <w:rStyle w:val="IndexLink"/>
                <w:rtl w:val="true"/>
              </w:rPr>
              <w:t xml:space="preserve">: </w:t>
            </w:r>
            <w:r>
              <w:rPr>
                <w:rStyle w:val="IndexLink"/>
                <w:rtl w:val="true"/>
              </w:rPr>
              <w:t>فيما يتعلّق بما إذا أجاز الوارث الوصيّة بمازاد على الثلث</w:t>
            </w:r>
            <w:r>
              <w:rPr>
                <w:rStyle w:val="IndexLink"/>
                <w:rtl w:val="true"/>
              </w:rPr>
              <w:tab/>
            </w:r>
            <w:r>
              <w:rPr>
                <w:rStyle w:val="IndexLink"/>
              </w:rPr>
              <w:t>383</w:t>
            </w:r>
          </w:hyperlink>
        </w:p>
        <w:p>
          <w:pPr>
            <w:pStyle w:val="Contents6"/>
            <w:tabs>
              <w:tab w:val="clear" w:pos="7609"/>
              <w:tab w:val="right" w:pos="9026" w:leader="dot"/>
            </w:tabs>
            <w:rPr/>
          </w:pPr>
          <w:hyperlink w:anchor="__RefHeading___Toc13425297_1280447820">
            <w:r>
              <w:rPr>
                <w:webHidden/>
                <w:rStyle w:val="IndexLink"/>
                <w:rtl w:val="true"/>
              </w:rPr>
              <w:t>رابع عشرها</w:t>
            </w:r>
            <w:r>
              <w:rPr>
                <w:rStyle w:val="IndexLink"/>
                <w:rtl w:val="true"/>
              </w:rPr>
              <w:t xml:space="preserve">: </w:t>
            </w:r>
            <w:r>
              <w:rPr>
                <w:rStyle w:val="IndexLink"/>
                <w:rtl w:val="true"/>
              </w:rPr>
              <w:t>وجوب العمل بما رسمه الموصي ممّا يتعلق بأمواله من المصالح الدنيوية أو الأخروية</w:t>
            </w:r>
            <w:r>
              <w:rPr>
                <w:rStyle w:val="IndexLink"/>
                <w:rtl w:val="true"/>
              </w:rPr>
              <w:tab/>
            </w:r>
            <w:r>
              <w:rPr>
                <w:rStyle w:val="IndexLink"/>
              </w:rPr>
              <w:t>386</w:t>
            </w:r>
          </w:hyperlink>
        </w:p>
        <w:p>
          <w:pPr>
            <w:pStyle w:val="Contents6"/>
            <w:tabs>
              <w:tab w:val="clear" w:pos="7609"/>
              <w:tab w:val="right" w:pos="9026" w:leader="dot"/>
            </w:tabs>
            <w:rPr/>
          </w:pPr>
          <w:hyperlink w:anchor="__RefHeading___Toc13425299_1280447820">
            <w:r>
              <w:rPr>
                <w:webHidden/>
                <w:rStyle w:val="IndexLink"/>
                <w:rtl w:val="true"/>
              </w:rPr>
              <w:t>خامس عشرها</w:t>
            </w:r>
            <w:r>
              <w:rPr>
                <w:rStyle w:val="IndexLink"/>
                <w:rtl w:val="true"/>
              </w:rPr>
              <w:t xml:space="preserve">: </w:t>
            </w:r>
            <w:r>
              <w:rPr>
                <w:rStyle w:val="IndexLink"/>
                <w:rtl w:val="true"/>
              </w:rPr>
              <w:t>صحّة الوصيّة بالمضاربة بثلثه دائماً أو في مدّة معيّنة</w:t>
            </w:r>
            <w:r>
              <w:rPr>
                <w:rStyle w:val="IndexLink"/>
                <w:rtl w:val="true"/>
              </w:rPr>
              <w:tab/>
            </w:r>
            <w:r>
              <w:rPr>
                <w:rStyle w:val="IndexLink"/>
              </w:rPr>
              <w:t>387</w:t>
            </w:r>
          </w:hyperlink>
        </w:p>
        <w:p>
          <w:pPr>
            <w:pStyle w:val="Contents6"/>
            <w:tabs>
              <w:tab w:val="clear" w:pos="7609"/>
              <w:tab w:val="right" w:pos="9026" w:leader="dot"/>
            </w:tabs>
            <w:rPr/>
          </w:pPr>
          <w:hyperlink w:anchor="__RefHeading___Toc13425301_1280447820">
            <w:r>
              <w:rPr>
                <w:webHidden/>
                <w:rStyle w:val="IndexLink"/>
                <w:rtl w:val="true"/>
              </w:rPr>
              <w:t>سادس عشرها</w:t>
            </w:r>
            <w:r>
              <w:rPr>
                <w:rStyle w:val="IndexLink"/>
                <w:rtl w:val="true"/>
              </w:rPr>
              <w:t xml:space="preserve">: </w:t>
            </w:r>
            <w:r>
              <w:rPr>
                <w:rStyle w:val="IndexLink"/>
                <w:rtl w:val="true"/>
              </w:rPr>
              <w:t>فيما يتعلق بما لو أوصى بواجب مالي أو بدني من خمس أو زكاة</w:t>
            </w:r>
            <w:r>
              <w:rPr>
                <w:rStyle w:val="IndexLink"/>
                <w:rtl w:val="true"/>
              </w:rPr>
              <w:tab/>
            </w:r>
            <w:r>
              <w:rPr>
                <w:rStyle w:val="IndexLink"/>
              </w:rPr>
              <w:t>391</w:t>
            </w:r>
          </w:hyperlink>
        </w:p>
        <w:p>
          <w:pPr>
            <w:pStyle w:val="Contents6"/>
            <w:tabs>
              <w:tab w:val="clear" w:pos="7609"/>
              <w:tab w:val="right" w:pos="9026" w:leader="dot"/>
            </w:tabs>
            <w:rPr/>
          </w:pPr>
          <w:hyperlink w:anchor="__RefHeading___Toc13425303_1280447820">
            <w:r>
              <w:rPr>
                <w:webHidden/>
                <w:rStyle w:val="IndexLink"/>
                <w:rtl w:val="true"/>
              </w:rPr>
              <w:t>سابع عشرها</w:t>
            </w:r>
            <w:r>
              <w:rPr>
                <w:rStyle w:val="IndexLink"/>
                <w:rtl w:val="true"/>
              </w:rPr>
              <w:t xml:space="preserve">: </w:t>
            </w:r>
            <w:r>
              <w:rPr>
                <w:rStyle w:val="IndexLink"/>
                <w:rtl w:val="true"/>
              </w:rPr>
              <w:t>فيما يتعلّق بما لو أوصى بعتق مماليكه بعد وفاته</w:t>
            </w:r>
            <w:r>
              <w:rPr>
                <w:rStyle w:val="IndexLink"/>
                <w:rtl w:val="true"/>
              </w:rPr>
              <w:tab/>
            </w:r>
            <w:r>
              <w:rPr>
                <w:rStyle w:val="IndexLink"/>
              </w:rPr>
              <w:t>393</w:t>
            </w:r>
          </w:hyperlink>
        </w:p>
        <w:p>
          <w:pPr>
            <w:pStyle w:val="Contents6"/>
            <w:tabs>
              <w:tab w:val="clear" w:pos="7609"/>
              <w:tab w:val="right" w:pos="9026" w:leader="dot"/>
            </w:tabs>
            <w:rPr/>
          </w:pPr>
          <w:hyperlink w:anchor="__RefHeading___Toc13425305_1280447820">
            <w:r>
              <w:rPr>
                <w:webHidden/>
                <w:rStyle w:val="IndexLink"/>
                <w:rtl w:val="true"/>
              </w:rPr>
              <w:t>ثامن عشرها</w:t>
            </w:r>
            <w:r>
              <w:rPr>
                <w:rStyle w:val="IndexLink"/>
                <w:rtl w:val="true"/>
              </w:rPr>
              <w:t xml:space="preserve">: </w:t>
            </w:r>
            <w:r>
              <w:rPr>
                <w:rStyle w:val="IndexLink"/>
                <w:rtl w:val="true"/>
              </w:rPr>
              <w:t>حكم ما لو أوصى لواحد بمعين ثمّ أوصى به لآخر</w:t>
            </w:r>
            <w:r>
              <w:rPr>
                <w:rStyle w:val="IndexLink"/>
                <w:rtl w:val="true"/>
              </w:rPr>
              <w:tab/>
            </w:r>
            <w:r>
              <w:rPr>
                <w:rStyle w:val="IndexLink"/>
              </w:rPr>
              <w:t>394</w:t>
            </w:r>
          </w:hyperlink>
        </w:p>
        <w:p>
          <w:pPr>
            <w:pStyle w:val="Contents6"/>
            <w:tabs>
              <w:tab w:val="clear" w:pos="7609"/>
              <w:tab w:val="right" w:pos="9026" w:leader="dot"/>
            </w:tabs>
            <w:rPr/>
          </w:pPr>
          <w:hyperlink w:anchor="__RefHeading___Toc13425307_1280447820">
            <w:r>
              <w:rPr>
                <w:webHidden/>
                <w:rStyle w:val="IndexLink"/>
                <w:rtl w:val="true"/>
              </w:rPr>
              <w:t>تاسع عشرها</w:t>
            </w:r>
            <w:r>
              <w:rPr>
                <w:rStyle w:val="IndexLink"/>
                <w:rtl w:val="true"/>
              </w:rPr>
              <w:t xml:space="preserve">: </w:t>
            </w:r>
            <w:r>
              <w:rPr>
                <w:rStyle w:val="IndexLink"/>
                <w:rtl w:val="true"/>
              </w:rPr>
              <w:t>حكم ما لو أوصى بنصف ماله لشخص وأجاز الوارث فادعى بعد ذلك أنّه ظنّ قلّة المال فأجاز فتبيّن كثرته</w:t>
            </w:r>
            <w:r>
              <w:rPr>
                <w:rStyle w:val="IndexLink"/>
                <w:rtl w:val="true"/>
              </w:rPr>
              <w:tab/>
            </w:r>
            <w:r>
              <w:rPr>
                <w:rStyle w:val="IndexLink"/>
              </w:rPr>
              <w:t>395</w:t>
            </w:r>
          </w:hyperlink>
        </w:p>
        <w:p>
          <w:pPr>
            <w:pStyle w:val="Contents6"/>
            <w:tabs>
              <w:tab w:val="clear" w:pos="7609"/>
              <w:tab w:val="right" w:pos="9026" w:leader="dot"/>
            </w:tabs>
            <w:rPr/>
          </w:pPr>
          <w:hyperlink w:anchor="__RefHeading___Toc13425309_1280447820">
            <w:r>
              <w:rPr>
                <w:webHidden/>
                <w:rStyle w:val="IndexLink"/>
                <w:rtl w:val="true"/>
              </w:rPr>
              <w:t>العشرون</w:t>
            </w:r>
            <w:r>
              <w:rPr>
                <w:rStyle w:val="IndexLink"/>
                <w:rtl w:val="true"/>
              </w:rPr>
              <w:t xml:space="preserve">: </w:t>
            </w:r>
            <w:r>
              <w:rPr>
                <w:rStyle w:val="IndexLink"/>
                <w:rtl w:val="true"/>
              </w:rPr>
              <w:t>حكم ما لو أوصى لشخص بمشاع أو بمعين</w:t>
            </w:r>
            <w:r>
              <w:rPr>
                <w:rStyle w:val="IndexLink"/>
                <w:rtl w:val="true"/>
              </w:rPr>
              <w:tab/>
            </w:r>
            <w:r>
              <w:rPr>
                <w:rStyle w:val="IndexLink"/>
              </w:rPr>
              <w:t>396</w:t>
            </w:r>
          </w:hyperlink>
        </w:p>
        <w:p>
          <w:pPr>
            <w:pStyle w:val="Contents6"/>
            <w:tabs>
              <w:tab w:val="clear" w:pos="7609"/>
              <w:tab w:val="right" w:pos="9026" w:leader="dot"/>
            </w:tabs>
            <w:rPr/>
          </w:pPr>
          <w:hyperlink w:anchor="__RefHeading___Toc13425311_1280447820">
            <w:r>
              <w:rPr>
                <w:webHidden/>
                <w:rStyle w:val="IndexLink"/>
                <w:rtl w:val="true"/>
              </w:rPr>
              <w:t>الحادي والعشرون</w:t>
            </w:r>
            <w:r>
              <w:rPr>
                <w:rStyle w:val="IndexLink"/>
                <w:rtl w:val="true"/>
              </w:rPr>
              <w:t xml:space="preserve">: </w:t>
            </w:r>
            <w:r>
              <w:rPr>
                <w:rStyle w:val="IndexLink"/>
                <w:rtl w:val="true"/>
              </w:rPr>
              <w:t>حكم ما لو أوصى بثلث عبده فخرج ثلثاه مستحقاً</w:t>
            </w:r>
            <w:r>
              <w:rPr>
                <w:rStyle w:val="IndexLink"/>
                <w:rtl w:val="true"/>
              </w:rPr>
              <w:tab/>
            </w:r>
            <w:r>
              <w:rPr>
                <w:rStyle w:val="IndexLink"/>
              </w:rPr>
              <w:t>397</w:t>
            </w:r>
          </w:hyperlink>
        </w:p>
        <w:p>
          <w:pPr>
            <w:pStyle w:val="Contents6"/>
            <w:tabs>
              <w:tab w:val="clear" w:pos="7609"/>
              <w:tab w:val="right" w:pos="9026" w:leader="dot"/>
            </w:tabs>
            <w:rPr/>
          </w:pPr>
          <w:hyperlink w:anchor="__RefHeading___Toc13425313_1280447820">
            <w:r>
              <w:rPr>
                <w:webHidden/>
                <w:rStyle w:val="IndexLink"/>
                <w:rtl w:val="true"/>
              </w:rPr>
              <w:t>الثاني والعشرون</w:t>
            </w:r>
            <w:r>
              <w:rPr>
                <w:rStyle w:val="IndexLink"/>
                <w:rtl w:val="true"/>
              </w:rPr>
              <w:t xml:space="preserve">: </w:t>
            </w:r>
            <w:r>
              <w:rPr>
                <w:rStyle w:val="IndexLink"/>
                <w:rtl w:val="true"/>
              </w:rPr>
              <w:t>حكم ما لو أوصى بمشترك معنوي أو لفظي</w:t>
            </w:r>
            <w:r>
              <w:rPr>
                <w:rStyle w:val="IndexLink"/>
                <w:rtl w:val="true"/>
              </w:rPr>
              <w:tab/>
            </w:r>
            <w:r>
              <w:rPr>
                <w:rStyle w:val="IndexLink"/>
              </w:rPr>
              <w:t>398</w:t>
            </w:r>
          </w:hyperlink>
        </w:p>
        <w:p>
          <w:pPr>
            <w:pStyle w:val="Contents6"/>
            <w:tabs>
              <w:tab w:val="clear" w:pos="7609"/>
              <w:tab w:val="right" w:pos="9026" w:leader="dot"/>
            </w:tabs>
            <w:rPr/>
          </w:pPr>
          <w:hyperlink w:anchor="__RefHeading___Toc13425315_1280447820">
            <w:r>
              <w:rPr>
                <w:webHidden/>
                <w:rStyle w:val="IndexLink"/>
                <w:rtl w:val="true"/>
              </w:rPr>
              <w:t>الثالث والعشرون</w:t>
            </w:r>
            <w:r>
              <w:rPr>
                <w:rStyle w:val="IndexLink"/>
                <w:rtl w:val="true"/>
              </w:rPr>
              <w:t xml:space="preserve">: </w:t>
            </w:r>
            <w:r>
              <w:rPr>
                <w:rStyle w:val="IndexLink"/>
                <w:rtl w:val="true"/>
              </w:rPr>
              <w:t>في أنّ الأصل في الوصيّة أن يتّبع قصد الموصي</w:t>
            </w:r>
            <w:r>
              <w:rPr>
                <w:rStyle w:val="IndexLink"/>
                <w:rtl w:val="true"/>
              </w:rPr>
              <w:tab/>
            </w:r>
            <w:r>
              <w:rPr>
                <w:rStyle w:val="IndexLink"/>
              </w:rPr>
              <w:t>399</w:t>
            </w:r>
          </w:hyperlink>
        </w:p>
        <w:p>
          <w:pPr>
            <w:pStyle w:val="Contents6"/>
            <w:tabs>
              <w:tab w:val="clear" w:pos="7609"/>
              <w:tab w:val="right" w:pos="9026" w:leader="dot"/>
            </w:tabs>
            <w:rPr/>
          </w:pPr>
          <w:hyperlink w:anchor="__RefHeading___Toc13425317_1280447820">
            <w:r>
              <w:rPr>
                <w:webHidden/>
                <w:rStyle w:val="IndexLink"/>
                <w:rtl w:val="true"/>
              </w:rPr>
              <w:t>الرابع والعشرون</w:t>
            </w:r>
            <w:r>
              <w:rPr>
                <w:rStyle w:val="IndexLink"/>
                <w:rtl w:val="true"/>
              </w:rPr>
              <w:t xml:space="preserve">: </w:t>
            </w:r>
            <w:r>
              <w:rPr>
                <w:rStyle w:val="IndexLink"/>
                <w:rtl w:val="true"/>
              </w:rPr>
              <w:t>عدم صحّة الوصيّة فيما لو أوصى بإخراج الولد من الإرث</w:t>
            </w:r>
            <w:r>
              <w:rPr>
                <w:rStyle w:val="IndexLink"/>
                <w:rtl w:val="true"/>
              </w:rPr>
              <w:tab/>
            </w:r>
            <w:r>
              <w:rPr>
                <w:rStyle w:val="IndexLink"/>
              </w:rPr>
              <w:t>404</w:t>
            </w:r>
          </w:hyperlink>
        </w:p>
        <w:p>
          <w:pPr>
            <w:pStyle w:val="Contents6"/>
            <w:tabs>
              <w:tab w:val="clear" w:pos="7609"/>
              <w:tab w:val="right" w:pos="9026" w:leader="dot"/>
            </w:tabs>
            <w:rPr/>
          </w:pPr>
          <w:hyperlink w:anchor="__RefHeading___Toc13425319_1280447820">
            <w:r>
              <w:rPr>
                <w:webHidden/>
                <w:rStyle w:val="IndexLink"/>
                <w:rtl w:val="true"/>
              </w:rPr>
              <w:t>الخامس والعشرون</w:t>
            </w:r>
            <w:r>
              <w:rPr>
                <w:rStyle w:val="IndexLink"/>
                <w:rtl w:val="true"/>
              </w:rPr>
              <w:t xml:space="preserve">: </w:t>
            </w:r>
            <w:r>
              <w:rPr>
                <w:rStyle w:val="IndexLink"/>
                <w:rtl w:val="true"/>
              </w:rPr>
              <w:t>في الوصاية ومشروعيتها</w:t>
            </w:r>
            <w:r>
              <w:rPr>
                <w:rStyle w:val="IndexLink"/>
                <w:rtl w:val="true"/>
              </w:rPr>
              <w:tab/>
            </w:r>
            <w:r>
              <w:rPr>
                <w:rStyle w:val="IndexLink"/>
              </w:rPr>
              <w:t>405</w:t>
            </w:r>
          </w:hyperlink>
        </w:p>
        <w:p>
          <w:pPr>
            <w:pStyle w:val="Contents3"/>
            <w:tabs>
              <w:tab w:val="clear" w:pos="8459"/>
              <w:tab w:val="right" w:pos="9026" w:leader="dot"/>
            </w:tabs>
            <w:rPr/>
          </w:pPr>
          <w:hyperlink w:anchor="__RefHeading___Toc13425321_1280447820">
            <w:r>
              <w:rPr>
                <w:webHidden/>
                <w:rStyle w:val="IndexLink"/>
                <w:rtl w:val="true"/>
              </w:rPr>
              <w:t>وفيها أُمور</w:t>
            </w:r>
            <w:r>
              <w:rPr>
                <w:rStyle w:val="IndexLink"/>
                <w:rtl w:val="true"/>
              </w:rPr>
              <w:t>:</w:t>
              <w:tab/>
            </w:r>
            <w:r>
              <w:rPr>
                <w:rStyle w:val="IndexLink"/>
              </w:rPr>
              <w:t>406</w:t>
            </w:r>
          </w:hyperlink>
        </w:p>
        <w:p>
          <w:pPr>
            <w:pStyle w:val="Contents4"/>
            <w:tabs>
              <w:tab w:val="clear" w:pos="8176"/>
              <w:tab w:val="right" w:pos="9026" w:leader="dot"/>
            </w:tabs>
            <w:rPr/>
          </w:pPr>
          <w:hyperlink w:anchor="__RefHeading___Toc13425323_1280447820">
            <w:r>
              <w:rPr>
                <w:webHidden/>
                <w:rStyle w:val="IndexLink"/>
                <w:rtl w:val="true"/>
              </w:rPr>
              <w:t>أحدها</w:t>
            </w:r>
            <w:r>
              <w:rPr>
                <w:rStyle w:val="IndexLink"/>
                <w:rtl w:val="true"/>
              </w:rPr>
              <w:t xml:space="preserve">: </w:t>
            </w:r>
            <w:r>
              <w:rPr>
                <w:rStyle w:val="IndexLink"/>
                <w:rtl w:val="true"/>
              </w:rPr>
              <w:t>اشتراط العقل والبلوغ والرشد في الوصي</w:t>
            </w:r>
            <w:r>
              <w:rPr>
                <w:rStyle w:val="IndexLink"/>
                <w:rtl w:val="true"/>
              </w:rPr>
              <w:tab/>
            </w:r>
            <w:r>
              <w:rPr>
                <w:rStyle w:val="IndexLink"/>
              </w:rPr>
              <w:t>406</w:t>
            </w:r>
          </w:hyperlink>
        </w:p>
        <w:p>
          <w:pPr>
            <w:pStyle w:val="Contents4"/>
            <w:tabs>
              <w:tab w:val="clear" w:pos="8176"/>
              <w:tab w:val="right" w:pos="9026" w:leader="dot"/>
            </w:tabs>
            <w:rPr/>
          </w:pPr>
          <w:hyperlink w:anchor="__RefHeading___Toc13425325_1280447820">
            <w:r>
              <w:rPr>
                <w:webHidden/>
                <w:rStyle w:val="IndexLink"/>
                <w:rtl w:val="true"/>
              </w:rPr>
              <w:t>ثانيها</w:t>
            </w:r>
            <w:r>
              <w:rPr>
                <w:rStyle w:val="IndexLink"/>
                <w:rtl w:val="true"/>
              </w:rPr>
              <w:t xml:space="preserve">: </w:t>
            </w:r>
            <w:r>
              <w:rPr>
                <w:rStyle w:val="IndexLink"/>
                <w:rtl w:val="true"/>
              </w:rPr>
              <w:t>عدم صحّة الوصيّة إلى المملوك لنفسه أو غيره</w:t>
            </w:r>
            <w:r>
              <w:rPr>
                <w:rStyle w:val="IndexLink"/>
                <w:rtl w:val="true"/>
              </w:rPr>
              <w:tab/>
            </w:r>
            <w:r>
              <w:rPr>
                <w:rStyle w:val="IndexLink"/>
              </w:rPr>
              <w:t>409</w:t>
            </w:r>
          </w:hyperlink>
        </w:p>
        <w:p>
          <w:pPr>
            <w:pStyle w:val="Contents4"/>
            <w:tabs>
              <w:tab w:val="clear" w:pos="8176"/>
              <w:tab w:val="right" w:pos="9026" w:leader="dot"/>
            </w:tabs>
            <w:rPr/>
          </w:pPr>
          <w:hyperlink w:anchor="__RefHeading___Toc13425327_1280447820">
            <w:r>
              <w:rPr>
                <w:webHidden/>
                <w:rStyle w:val="IndexLink"/>
                <w:rtl w:val="true"/>
              </w:rPr>
              <w:t>ثالثها</w:t>
            </w:r>
            <w:r>
              <w:rPr>
                <w:rStyle w:val="IndexLink"/>
                <w:rtl w:val="true"/>
              </w:rPr>
              <w:t xml:space="preserve">: </w:t>
            </w:r>
            <w:r>
              <w:rPr>
                <w:rStyle w:val="IndexLink"/>
                <w:rtl w:val="true"/>
              </w:rPr>
              <w:t>عدم صحّة الوصاية للصبي بحيث يتصرف حال صباه</w:t>
            </w:r>
            <w:r>
              <w:rPr>
                <w:rStyle w:val="IndexLink"/>
                <w:rtl w:val="true"/>
              </w:rPr>
              <w:tab/>
            </w:r>
            <w:r>
              <w:rPr>
                <w:rStyle w:val="IndexLink"/>
              </w:rPr>
              <w:t>409</w:t>
            </w:r>
          </w:hyperlink>
        </w:p>
        <w:p>
          <w:pPr>
            <w:pStyle w:val="Contents4"/>
            <w:tabs>
              <w:tab w:val="clear" w:pos="8176"/>
              <w:tab w:val="right" w:pos="9026" w:leader="dot"/>
            </w:tabs>
            <w:rPr/>
          </w:pPr>
          <w:hyperlink w:anchor="__RefHeading___Toc13425329_1280447820">
            <w:r>
              <w:rPr>
                <w:webHidden/>
                <w:rStyle w:val="IndexLink"/>
                <w:rtl w:val="true"/>
              </w:rPr>
              <w:t>رابعها</w:t>
            </w:r>
            <w:r>
              <w:rPr>
                <w:rStyle w:val="IndexLink"/>
                <w:rtl w:val="true"/>
              </w:rPr>
              <w:t xml:space="preserve">: </w:t>
            </w:r>
            <w:r>
              <w:rPr>
                <w:rStyle w:val="IndexLink"/>
                <w:rtl w:val="true"/>
              </w:rPr>
              <w:t>عدم صحّة وصاية الكافر من المسلم على مسلم وكذا وصاية الكافر من الكافر على مسلم</w:t>
            </w:r>
            <w:r>
              <w:rPr>
                <w:rStyle w:val="IndexLink"/>
                <w:rtl w:val="true"/>
              </w:rPr>
              <w:tab/>
            </w:r>
            <w:r>
              <w:rPr>
                <w:rStyle w:val="IndexLink"/>
              </w:rPr>
              <w:t>411</w:t>
            </w:r>
          </w:hyperlink>
        </w:p>
        <w:p>
          <w:pPr>
            <w:pStyle w:val="Contents4"/>
            <w:tabs>
              <w:tab w:val="clear" w:pos="8176"/>
              <w:tab w:val="right" w:pos="9026" w:leader="dot"/>
            </w:tabs>
            <w:rPr/>
          </w:pPr>
          <w:hyperlink w:anchor="__RefHeading___Toc13425331_1280447820">
            <w:r>
              <w:rPr>
                <w:webHidden/>
                <w:rStyle w:val="IndexLink"/>
                <w:rtl w:val="true"/>
              </w:rPr>
              <w:t>خامسها</w:t>
            </w:r>
            <w:r>
              <w:rPr>
                <w:rStyle w:val="IndexLink"/>
                <w:rtl w:val="true"/>
              </w:rPr>
              <w:t xml:space="preserve">: </w:t>
            </w:r>
            <w:r>
              <w:rPr>
                <w:rStyle w:val="IndexLink"/>
                <w:rtl w:val="true"/>
              </w:rPr>
              <w:t>صحّة الوصاية لما فوق الواحد دفعة ومترتباً</w:t>
            </w:r>
            <w:r>
              <w:rPr>
                <w:rStyle w:val="IndexLink"/>
                <w:rtl w:val="true"/>
              </w:rPr>
              <w:tab/>
            </w:r>
            <w:r>
              <w:rPr>
                <w:rStyle w:val="IndexLink"/>
              </w:rPr>
              <w:t>412</w:t>
            </w:r>
          </w:hyperlink>
        </w:p>
        <w:p>
          <w:pPr>
            <w:pStyle w:val="Contents4"/>
            <w:tabs>
              <w:tab w:val="clear" w:pos="8176"/>
              <w:tab w:val="right" w:pos="9026" w:leader="dot"/>
            </w:tabs>
            <w:rPr/>
          </w:pPr>
          <w:hyperlink w:anchor="__RefHeading___Toc13425333_1280447820">
            <w:r>
              <w:rPr>
                <w:webHidden/>
                <w:rStyle w:val="IndexLink"/>
                <w:rtl w:val="true"/>
              </w:rPr>
              <w:t>سادسها</w:t>
            </w:r>
            <w:r>
              <w:rPr>
                <w:rStyle w:val="IndexLink"/>
                <w:rtl w:val="true"/>
              </w:rPr>
              <w:t xml:space="preserve">: </w:t>
            </w:r>
            <w:r>
              <w:rPr>
                <w:rStyle w:val="IndexLink"/>
                <w:rtl w:val="true"/>
              </w:rPr>
              <w:t>حكم ما إذا تشاح الوصيّان في صورة وجوب الاجتماع عليهما</w:t>
            </w:r>
            <w:r>
              <w:rPr>
                <w:rStyle w:val="IndexLink"/>
                <w:rtl w:val="true"/>
              </w:rPr>
              <w:tab/>
            </w:r>
            <w:r>
              <w:rPr>
                <w:rStyle w:val="IndexLink"/>
              </w:rPr>
              <w:t>413</w:t>
            </w:r>
          </w:hyperlink>
        </w:p>
        <w:p>
          <w:pPr>
            <w:pStyle w:val="Contents4"/>
            <w:tabs>
              <w:tab w:val="clear" w:pos="8176"/>
              <w:tab w:val="right" w:pos="9026" w:leader="dot"/>
            </w:tabs>
            <w:rPr/>
          </w:pPr>
          <w:hyperlink w:anchor="__RefHeading___Toc13425335_1280447820">
            <w:r>
              <w:rPr>
                <w:webHidden/>
                <w:rStyle w:val="IndexLink"/>
                <w:rtl w:val="true"/>
              </w:rPr>
              <w:t>سابعها</w:t>
            </w:r>
            <w:r>
              <w:rPr>
                <w:rStyle w:val="IndexLink"/>
                <w:rtl w:val="true"/>
              </w:rPr>
              <w:t xml:space="preserve">: </w:t>
            </w:r>
            <w:r>
              <w:rPr>
                <w:rStyle w:val="IndexLink"/>
                <w:rtl w:val="true"/>
              </w:rPr>
              <w:t>حكم ما إذا عجز أحد الوصيين المفروض اجتماعهما</w:t>
            </w:r>
            <w:r>
              <w:rPr>
                <w:rStyle w:val="IndexLink"/>
                <w:rtl w:val="true"/>
              </w:rPr>
              <w:tab/>
            </w:r>
            <w:r>
              <w:rPr>
                <w:rStyle w:val="IndexLink"/>
              </w:rPr>
              <w:t>414</w:t>
            </w:r>
          </w:hyperlink>
        </w:p>
        <w:p>
          <w:pPr>
            <w:pStyle w:val="Contents4"/>
            <w:tabs>
              <w:tab w:val="clear" w:pos="8176"/>
              <w:tab w:val="right" w:pos="9026" w:leader="dot"/>
            </w:tabs>
            <w:rPr/>
          </w:pPr>
          <w:hyperlink w:anchor="__RefHeading___Toc13425337_1280447820">
            <w:r>
              <w:rPr>
                <w:webHidden/>
                <w:rStyle w:val="IndexLink"/>
                <w:rtl w:val="true"/>
              </w:rPr>
              <w:t xml:space="preserve">ثامنها </w:t>
            </w:r>
            <w:r>
              <w:rPr>
                <w:rStyle w:val="IndexLink"/>
                <w:rtl w:val="true"/>
              </w:rPr>
              <w:t xml:space="preserve">: </w:t>
            </w:r>
            <w:r>
              <w:rPr>
                <w:rStyle w:val="IndexLink"/>
                <w:rtl w:val="true"/>
              </w:rPr>
              <w:t>في أن للموصى إليه ردّ الوصيّة مادام الموصي حيّاً ويمكنه نصب وصي آخر</w:t>
            </w:r>
            <w:r>
              <w:rPr>
                <w:rStyle w:val="IndexLink"/>
                <w:rtl w:val="true"/>
              </w:rPr>
              <w:tab/>
            </w:r>
            <w:r>
              <w:rPr>
                <w:rStyle w:val="IndexLink"/>
              </w:rPr>
              <w:t>416</w:t>
            </w:r>
          </w:hyperlink>
        </w:p>
        <w:p>
          <w:pPr>
            <w:pStyle w:val="Contents4"/>
            <w:tabs>
              <w:tab w:val="clear" w:pos="8176"/>
              <w:tab w:val="right" w:pos="9026" w:leader="dot"/>
            </w:tabs>
            <w:rPr/>
          </w:pPr>
          <w:hyperlink w:anchor="__RefHeading___Toc13425339_1280447820">
            <w:r>
              <w:rPr>
                <w:webHidden/>
                <w:rStyle w:val="IndexLink"/>
                <w:rtl w:val="true"/>
              </w:rPr>
              <w:t>تاسعها</w:t>
            </w:r>
            <w:r>
              <w:rPr>
                <w:rStyle w:val="IndexLink"/>
                <w:rtl w:val="true"/>
              </w:rPr>
              <w:t xml:space="preserve">: </w:t>
            </w:r>
            <w:r>
              <w:rPr>
                <w:rStyle w:val="IndexLink"/>
                <w:rtl w:val="true"/>
              </w:rPr>
              <w:t>في أنّ الوصي أمين لا يضمن ما وقع في يده إلّا مع التعدّي أو التفريط</w:t>
            </w:r>
            <w:r>
              <w:rPr>
                <w:rStyle w:val="IndexLink"/>
                <w:rtl w:val="true"/>
              </w:rPr>
              <w:tab/>
            </w:r>
            <w:r>
              <w:rPr>
                <w:rStyle w:val="IndexLink"/>
              </w:rPr>
              <w:t>419</w:t>
            </w:r>
          </w:hyperlink>
        </w:p>
        <w:p>
          <w:pPr>
            <w:pStyle w:val="Contents4"/>
            <w:tabs>
              <w:tab w:val="clear" w:pos="8176"/>
              <w:tab w:val="right" w:pos="9026" w:leader="dot"/>
            </w:tabs>
            <w:rPr/>
          </w:pPr>
          <w:hyperlink w:anchor="__RefHeading___Toc13425341_1280447820">
            <w:r>
              <w:rPr>
                <w:webHidden/>
                <w:rStyle w:val="IndexLink"/>
                <w:rtl w:val="true"/>
              </w:rPr>
              <w:t>عاشرها</w:t>
            </w:r>
            <w:r>
              <w:rPr>
                <w:rStyle w:val="IndexLink"/>
                <w:rtl w:val="true"/>
              </w:rPr>
              <w:t xml:space="preserve">: </w:t>
            </w:r>
            <w:r>
              <w:rPr>
                <w:rStyle w:val="IndexLink"/>
                <w:rtl w:val="true"/>
              </w:rPr>
              <w:t>في انه يجوز للوصي استيفاء دينه ممّا في يده من مال الميت</w:t>
            </w:r>
            <w:r>
              <w:rPr>
                <w:rStyle w:val="IndexLink"/>
                <w:rtl w:val="true"/>
              </w:rPr>
              <w:tab/>
            </w:r>
            <w:r>
              <w:rPr>
                <w:rStyle w:val="IndexLink"/>
              </w:rPr>
              <w:t>420</w:t>
            </w:r>
          </w:hyperlink>
        </w:p>
        <w:p>
          <w:pPr>
            <w:pStyle w:val="Contents4"/>
            <w:tabs>
              <w:tab w:val="clear" w:pos="8176"/>
              <w:tab w:val="right" w:pos="9026" w:leader="dot"/>
            </w:tabs>
            <w:rPr/>
          </w:pPr>
          <w:hyperlink w:anchor="__RefHeading___Toc13425343_1280447820">
            <w:r>
              <w:rPr>
                <w:webHidden/>
                <w:rStyle w:val="IndexLink"/>
                <w:rtl w:val="true"/>
              </w:rPr>
              <w:t>حادي عشرها</w:t>
            </w:r>
            <w:r>
              <w:rPr>
                <w:rStyle w:val="IndexLink"/>
                <w:rtl w:val="true"/>
              </w:rPr>
              <w:t xml:space="preserve">: </w:t>
            </w:r>
            <w:r>
              <w:rPr>
                <w:rStyle w:val="IndexLink"/>
                <w:rtl w:val="true"/>
              </w:rPr>
              <w:t>في أنّه يجوز للوصي أن يقترض مال الطفل وإن لم تكن فيه مصلحة ما لم تكن فيه مفسدة</w:t>
            </w:r>
            <w:r>
              <w:rPr>
                <w:rStyle w:val="IndexLink"/>
                <w:rtl w:val="true"/>
              </w:rPr>
              <w:tab/>
            </w:r>
            <w:r>
              <w:rPr>
                <w:rStyle w:val="IndexLink"/>
              </w:rPr>
              <w:t>422</w:t>
            </w:r>
          </w:hyperlink>
        </w:p>
        <w:p>
          <w:pPr>
            <w:pStyle w:val="Contents4"/>
            <w:tabs>
              <w:tab w:val="clear" w:pos="8176"/>
              <w:tab w:val="right" w:pos="9026" w:leader="dot"/>
            </w:tabs>
            <w:rPr/>
          </w:pPr>
          <w:hyperlink w:anchor="__RefHeading___Toc13425345_1280447820">
            <w:r>
              <w:rPr>
                <w:webHidden/>
                <w:rStyle w:val="IndexLink"/>
                <w:rtl w:val="true"/>
              </w:rPr>
              <w:t>ثاني عشرها</w:t>
            </w:r>
            <w:r>
              <w:rPr>
                <w:rStyle w:val="IndexLink"/>
                <w:rtl w:val="true"/>
              </w:rPr>
              <w:t xml:space="preserve">: </w:t>
            </w:r>
            <w:r>
              <w:rPr>
                <w:rStyle w:val="IndexLink"/>
                <w:rtl w:val="true"/>
              </w:rPr>
              <w:t>في أنّه يجوز للوصي أن يقوم مال اليتيم لنفسه بثمن المثل أو أكثر ويشتريه بنفسه أو بوكيله</w:t>
            </w:r>
            <w:r>
              <w:rPr>
                <w:rStyle w:val="IndexLink"/>
                <w:rtl w:val="true"/>
              </w:rPr>
              <w:tab/>
            </w:r>
            <w:r>
              <w:rPr>
                <w:rStyle w:val="IndexLink"/>
              </w:rPr>
              <w:t>423</w:t>
            </w:r>
          </w:hyperlink>
        </w:p>
        <w:p>
          <w:pPr>
            <w:pStyle w:val="Contents4"/>
            <w:tabs>
              <w:tab w:val="clear" w:pos="8176"/>
              <w:tab w:val="right" w:pos="9026" w:leader="dot"/>
            </w:tabs>
            <w:rPr/>
          </w:pPr>
          <w:hyperlink w:anchor="__RefHeading___Toc13425347_1280447820">
            <w:r>
              <w:rPr>
                <w:webHidden/>
                <w:rStyle w:val="IndexLink"/>
                <w:rtl w:val="true"/>
              </w:rPr>
              <w:t>ثالث عشرها</w:t>
            </w:r>
            <w:r>
              <w:rPr>
                <w:rStyle w:val="IndexLink"/>
                <w:rtl w:val="true"/>
              </w:rPr>
              <w:t xml:space="preserve">: </w:t>
            </w:r>
            <w:r>
              <w:rPr>
                <w:rStyle w:val="IndexLink"/>
                <w:rtl w:val="true"/>
              </w:rPr>
              <w:t>وجوب اتباع ما أوصى به الموصي عموماً وخصوصاً وإطلاقاً وتقييد</w:t>
            </w:r>
            <w:r>
              <w:rPr>
                <w:rStyle w:val="IndexLink"/>
                <w:rtl w:val="true"/>
              </w:rPr>
              <w:tab/>
            </w:r>
            <w:r>
              <w:rPr>
                <w:rStyle w:val="IndexLink"/>
              </w:rPr>
              <w:t>424</w:t>
            </w:r>
          </w:hyperlink>
        </w:p>
        <w:p>
          <w:pPr>
            <w:pStyle w:val="Contents4"/>
            <w:tabs>
              <w:tab w:val="clear" w:pos="8176"/>
              <w:tab w:val="right" w:pos="9026" w:leader="dot"/>
            </w:tabs>
            <w:rPr/>
          </w:pPr>
          <w:hyperlink w:anchor="__RefHeading___Toc13425349_1280447820">
            <w:r>
              <w:rPr>
                <w:webHidden/>
                <w:rStyle w:val="IndexLink"/>
                <w:rtl w:val="true"/>
              </w:rPr>
              <w:t>رابع عشرها</w:t>
            </w:r>
            <w:r>
              <w:rPr>
                <w:rStyle w:val="IndexLink"/>
                <w:rtl w:val="true"/>
              </w:rPr>
              <w:t xml:space="preserve">: </w:t>
            </w:r>
            <w:r>
              <w:rPr>
                <w:rStyle w:val="IndexLink"/>
                <w:rtl w:val="true"/>
              </w:rPr>
              <w:t>فيما يتعلق بما لو عين الموصي للوصي على الأيتام أو على الثلث أجرة على عمله</w:t>
            </w:r>
            <w:r>
              <w:rPr>
                <w:rStyle w:val="IndexLink"/>
                <w:rtl w:val="true"/>
              </w:rPr>
              <w:tab/>
            </w:r>
            <w:r>
              <w:rPr>
                <w:rStyle w:val="IndexLink"/>
              </w:rPr>
              <w:t>426</w:t>
            </w:r>
          </w:hyperlink>
        </w:p>
        <w:p>
          <w:pPr>
            <w:pStyle w:val="Contents4"/>
            <w:tabs>
              <w:tab w:val="clear" w:pos="8176"/>
              <w:tab w:val="right" w:pos="9026" w:leader="dot"/>
            </w:tabs>
            <w:rPr/>
          </w:pPr>
          <w:hyperlink w:anchor="__RefHeading___Toc13425351_1280447820">
            <w:r>
              <w:rPr>
                <w:webHidden/>
                <w:rStyle w:val="IndexLink"/>
                <w:rtl w:val="true"/>
              </w:rPr>
              <w:t>خامس عشرها</w:t>
            </w:r>
            <w:r>
              <w:rPr>
                <w:rStyle w:val="IndexLink"/>
                <w:rtl w:val="true"/>
              </w:rPr>
              <w:t xml:space="preserve">: </w:t>
            </w:r>
            <w:r>
              <w:rPr>
                <w:rStyle w:val="IndexLink"/>
                <w:rtl w:val="true"/>
              </w:rPr>
              <w:t>فيما إذا أذن الموصي للوصي بالوصاية على مال الأيتام أو الثلث جاز له الوصاية عليهما</w:t>
            </w:r>
            <w:r>
              <w:rPr>
                <w:rStyle w:val="IndexLink"/>
                <w:rtl w:val="true"/>
              </w:rPr>
              <w:tab/>
            </w:r>
            <w:r>
              <w:rPr>
                <w:rStyle w:val="IndexLink"/>
              </w:rPr>
              <w:t>428</w:t>
            </w:r>
          </w:hyperlink>
        </w:p>
        <w:p>
          <w:pPr>
            <w:pStyle w:val="Contents4"/>
            <w:tabs>
              <w:tab w:val="clear" w:pos="8176"/>
              <w:tab w:val="right" w:pos="9026" w:leader="dot"/>
            </w:tabs>
            <w:rPr/>
          </w:pPr>
          <w:hyperlink w:anchor="__RefHeading___Toc13425353_1280447820">
            <w:r>
              <w:rPr>
                <w:webHidden/>
                <w:rStyle w:val="IndexLink"/>
                <w:rtl w:val="true"/>
              </w:rPr>
              <w:t>سادس عشرها</w:t>
            </w:r>
            <w:r>
              <w:rPr>
                <w:rStyle w:val="IndexLink"/>
                <w:rtl w:val="true"/>
              </w:rPr>
              <w:t xml:space="preserve">: </w:t>
            </w:r>
            <w:r>
              <w:rPr>
                <w:rStyle w:val="IndexLink"/>
                <w:rtl w:val="true"/>
              </w:rPr>
              <w:t>حكم ما لو مات ولا وصيّ له وقد أوصى بوصايا</w:t>
            </w:r>
            <w:r>
              <w:rPr>
                <w:rStyle w:val="IndexLink"/>
                <w:rtl w:val="true"/>
              </w:rPr>
              <w:tab/>
            </w:r>
            <w:r>
              <w:rPr>
                <w:rStyle w:val="IndexLink"/>
              </w:rPr>
              <w:t>429</w:t>
            </w:r>
          </w:hyperlink>
        </w:p>
        <w:p>
          <w:pPr>
            <w:pStyle w:val="Contents4"/>
            <w:tabs>
              <w:tab w:val="clear" w:pos="8176"/>
              <w:tab w:val="right" w:pos="9026" w:leader="dot"/>
            </w:tabs>
            <w:rPr/>
          </w:pPr>
          <w:hyperlink w:anchor="__RefHeading___Toc13425355_1280447820">
            <w:r>
              <w:rPr>
                <w:webHidden/>
                <w:rStyle w:val="IndexLink"/>
                <w:rtl w:val="true"/>
              </w:rPr>
              <w:t>سابع عشرها</w:t>
            </w:r>
            <w:r>
              <w:rPr>
                <w:rStyle w:val="IndexLink"/>
                <w:rtl w:val="true"/>
              </w:rPr>
              <w:t xml:space="preserve">: </w:t>
            </w:r>
            <w:r>
              <w:rPr>
                <w:rStyle w:val="IndexLink"/>
                <w:rtl w:val="true"/>
              </w:rPr>
              <w:t>في أنّه لا ولاية لوصي الأب على الأطفال مع وجود الجد ولا لوصي الجد مع وجود الأب</w:t>
            </w:r>
            <w:r>
              <w:rPr>
                <w:rStyle w:val="IndexLink"/>
                <w:rtl w:val="true"/>
              </w:rPr>
              <w:tab/>
            </w:r>
            <w:r>
              <w:rPr>
                <w:rStyle w:val="IndexLink"/>
              </w:rPr>
              <w:t>430</w:t>
            </w:r>
          </w:hyperlink>
        </w:p>
        <w:p>
          <w:pPr>
            <w:pStyle w:val="Contents4"/>
            <w:tabs>
              <w:tab w:val="clear" w:pos="8176"/>
              <w:tab w:val="right" w:pos="9026" w:leader="dot"/>
            </w:tabs>
            <w:rPr/>
          </w:pPr>
          <w:hyperlink w:anchor="__RefHeading___Toc13425357_1280447820">
            <w:r>
              <w:rPr>
                <w:webHidden/>
                <w:rStyle w:val="IndexLink"/>
                <w:rtl w:val="true"/>
              </w:rPr>
              <w:t>ثامن عشرها</w:t>
            </w:r>
            <w:r>
              <w:rPr>
                <w:rStyle w:val="IndexLink"/>
                <w:rtl w:val="true"/>
              </w:rPr>
              <w:t xml:space="preserve">: </w:t>
            </w:r>
            <w:r>
              <w:rPr>
                <w:rStyle w:val="IndexLink"/>
                <w:rtl w:val="true"/>
              </w:rPr>
              <w:t>هل يعتبر وجود شرائط الموصي من حين الوصيّة أو عند الموت أو عند الوصيّة أو</w:t>
            </w:r>
            <w:r>
              <w:rPr>
                <w:rStyle w:val="IndexLink"/>
                <w:rtl w:val="true"/>
              </w:rPr>
              <w:tab/>
            </w:r>
            <w:r>
              <w:rPr>
                <w:rStyle w:val="IndexLink"/>
              </w:rPr>
              <w:t>431</w:t>
            </w:r>
          </w:hyperlink>
        </w:p>
        <w:p>
          <w:pPr>
            <w:pStyle w:val="Contents4"/>
            <w:tabs>
              <w:tab w:val="clear" w:pos="8176"/>
              <w:tab w:val="right" w:pos="9026" w:leader="dot"/>
            </w:tabs>
            <w:rPr/>
          </w:pPr>
          <w:hyperlink w:anchor="__RefHeading___Toc13425359_1280447820">
            <w:r>
              <w:rPr>
                <w:webHidden/>
                <w:rStyle w:val="IndexLink"/>
                <w:rtl w:val="true"/>
              </w:rPr>
              <w:t>تاسع عشرها</w:t>
            </w:r>
            <w:r>
              <w:rPr>
                <w:rStyle w:val="IndexLink"/>
                <w:rtl w:val="true"/>
              </w:rPr>
              <w:t xml:space="preserve">: </w:t>
            </w:r>
            <w:r>
              <w:rPr>
                <w:rStyle w:val="IndexLink"/>
                <w:rtl w:val="true"/>
              </w:rPr>
              <w:t>في أُمور متفرقة</w:t>
            </w:r>
            <w:r>
              <w:rPr>
                <w:rStyle w:val="IndexLink"/>
                <w:rtl w:val="true"/>
              </w:rPr>
              <w:t>:</w:t>
              <w:tab/>
            </w:r>
            <w:r>
              <w:rPr>
                <w:rStyle w:val="IndexLink"/>
              </w:rPr>
              <w:t>431</w:t>
            </w:r>
          </w:hyperlink>
        </w:p>
        <w:p>
          <w:pPr>
            <w:pStyle w:val="Contents5"/>
            <w:tabs>
              <w:tab w:val="clear" w:pos="7892"/>
              <w:tab w:val="right" w:pos="9026" w:leader="dot"/>
            </w:tabs>
            <w:rPr/>
          </w:pPr>
          <w:hyperlink w:anchor="__RefHeading___Toc13425361_1280447820">
            <w:r>
              <w:rPr>
                <w:webHidden/>
                <w:rStyle w:val="IndexLink"/>
                <w:rtl w:val="true"/>
              </w:rPr>
              <w:t>أحدها</w:t>
            </w:r>
            <w:r>
              <w:rPr>
                <w:rStyle w:val="IndexLink"/>
                <w:rtl w:val="true"/>
              </w:rPr>
              <w:t xml:space="preserve">: </w:t>
            </w:r>
            <w:r>
              <w:rPr>
                <w:rStyle w:val="IndexLink"/>
                <w:rtl w:val="true"/>
              </w:rPr>
              <w:t>ثبوت الوصيّة بالمال بشهادة رجلين عدلين وبشهادة رجل ويمين و</w:t>
            </w:r>
            <w:r>
              <w:rPr>
                <w:rStyle w:val="IndexLink"/>
                <w:rtl w:val="true"/>
              </w:rPr>
              <w:tab/>
            </w:r>
            <w:r>
              <w:rPr>
                <w:rStyle w:val="IndexLink"/>
              </w:rPr>
              <w:t>431</w:t>
            </w:r>
          </w:hyperlink>
        </w:p>
        <w:p>
          <w:pPr>
            <w:pStyle w:val="Contents5"/>
            <w:tabs>
              <w:tab w:val="clear" w:pos="7892"/>
              <w:tab w:val="right" w:pos="9026" w:leader="dot"/>
            </w:tabs>
            <w:rPr/>
          </w:pPr>
          <w:hyperlink w:anchor="__RefHeading___Toc13425363_1280447820">
            <w:r>
              <w:rPr>
                <w:webHidden/>
                <w:rStyle w:val="IndexLink"/>
                <w:rtl w:val="true"/>
              </w:rPr>
              <w:t>ثانيها</w:t>
            </w:r>
            <w:r>
              <w:rPr>
                <w:rStyle w:val="IndexLink"/>
                <w:rtl w:val="true"/>
              </w:rPr>
              <w:t xml:space="preserve">: </w:t>
            </w:r>
            <w:r>
              <w:rPr>
                <w:rStyle w:val="IndexLink"/>
                <w:rtl w:val="true"/>
              </w:rPr>
              <w:t>عدم قبول شهادة الكافر ولاغير المؤمن من الفِرَق</w:t>
            </w:r>
            <w:r>
              <w:rPr>
                <w:rStyle w:val="IndexLink"/>
                <w:rtl w:val="true"/>
              </w:rPr>
              <w:tab/>
            </w:r>
            <w:r>
              <w:rPr>
                <w:rStyle w:val="IndexLink"/>
              </w:rPr>
              <w:t>432</w:t>
            </w:r>
          </w:hyperlink>
        </w:p>
        <w:p>
          <w:pPr>
            <w:pStyle w:val="Contents5"/>
            <w:tabs>
              <w:tab w:val="clear" w:pos="7892"/>
              <w:tab w:val="right" w:pos="9026" w:leader="dot"/>
            </w:tabs>
            <w:rPr/>
          </w:pPr>
          <w:hyperlink w:anchor="__RefHeading___Toc13425365_1280447820">
            <w:r>
              <w:rPr>
                <w:webHidden/>
                <w:rStyle w:val="IndexLink"/>
                <w:rtl w:val="true"/>
              </w:rPr>
              <w:t>ثالثها</w:t>
            </w:r>
            <w:r>
              <w:rPr>
                <w:rStyle w:val="IndexLink"/>
                <w:rtl w:val="true"/>
              </w:rPr>
              <w:t xml:space="preserve">: </w:t>
            </w:r>
            <w:r>
              <w:rPr>
                <w:rStyle w:val="IndexLink"/>
                <w:rtl w:val="true"/>
              </w:rPr>
              <w:t>فيما يتعلّق بما إذا أشهد الموصي عبدين له على أن حمل المملوكة له منه ثمّ ورثهما غير الحمل فأعتقا فشهدا للحمل بالنبوة للموصي</w:t>
            </w:r>
            <w:r>
              <w:rPr>
                <w:rStyle w:val="IndexLink"/>
                <w:rtl w:val="true"/>
              </w:rPr>
              <w:tab/>
            </w:r>
            <w:r>
              <w:rPr>
                <w:rStyle w:val="IndexLink"/>
              </w:rPr>
              <w:t>435</w:t>
            </w:r>
          </w:hyperlink>
        </w:p>
        <w:p>
          <w:pPr>
            <w:pStyle w:val="Contents5"/>
            <w:tabs>
              <w:tab w:val="clear" w:pos="7892"/>
              <w:tab w:val="right" w:pos="9026" w:leader="dot"/>
            </w:tabs>
            <w:rPr/>
          </w:pPr>
          <w:hyperlink w:anchor="__RefHeading___Toc13425367_1280447820">
            <w:r>
              <w:rPr>
                <w:webHidden/>
                <w:rStyle w:val="IndexLink"/>
                <w:rtl w:val="true"/>
              </w:rPr>
              <w:t>رابعها</w:t>
            </w:r>
            <w:r>
              <w:rPr>
                <w:rStyle w:val="IndexLink"/>
                <w:rtl w:val="true"/>
              </w:rPr>
              <w:t xml:space="preserve">: </w:t>
            </w:r>
            <w:r>
              <w:rPr>
                <w:rStyle w:val="IndexLink"/>
                <w:rtl w:val="true"/>
              </w:rPr>
              <w:t>عدم قبول شهادة الوصي فيما هو وصيّ فيه ولا ما يجر نفعاً أو يستفيد به ولاية</w:t>
            </w:r>
            <w:r>
              <w:rPr>
                <w:rStyle w:val="IndexLink"/>
                <w:rtl w:val="true"/>
              </w:rPr>
              <w:tab/>
            </w:r>
            <w:r>
              <w:rPr>
                <w:rStyle w:val="IndexLink"/>
              </w:rPr>
              <w:t>436</w:t>
            </w:r>
          </w:hyperlink>
        </w:p>
        <w:p>
          <w:pPr>
            <w:pStyle w:val="Contents5"/>
            <w:tabs>
              <w:tab w:val="clear" w:pos="7892"/>
              <w:tab w:val="right" w:pos="9026" w:leader="dot"/>
            </w:tabs>
            <w:rPr/>
          </w:pPr>
          <w:hyperlink w:anchor="__RefHeading___Toc13425369_1280447820">
            <w:r>
              <w:rPr>
                <w:webHidden/>
                <w:rStyle w:val="IndexLink"/>
                <w:rtl w:val="true"/>
              </w:rPr>
              <w:t>خامسها</w:t>
            </w:r>
            <w:r>
              <w:rPr>
                <w:rStyle w:val="IndexLink"/>
                <w:rtl w:val="true"/>
              </w:rPr>
              <w:t xml:space="preserve">: </w:t>
            </w:r>
            <w:r>
              <w:rPr>
                <w:rStyle w:val="IndexLink"/>
                <w:rtl w:val="true"/>
              </w:rPr>
              <w:t>فيما إذا أوصى بعتق رقبة مطلقاً أجزأ الصغير والكبير والأنثى والذكر والمؤمن وغيره</w:t>
            </w:r>
            <w:r>
              <w:rPr>
                <w:rStyle w:val="IndexLink"/>
                <w:rtl w:val="true"/>
              </w:rPr>
              <w:tab/>
            </w:r>
            <w:r>
              <w:rPr>
                <w:rStyle w:val="IndexLink"/>
              </w:rPr>
              <w:t>437</w:t>
            </w:r>
          </w:hyperlink>
        </w:p>
        <w:p>
          <w:pPr>
            <w:pStyle w:val="Contents5"/>
            <w:tabs>
              <w:tab w:val="clear" w:pos="7892"/>
              <w:tab w:val="right" w:pos="9026" w:leader="dot"/>
            </w:tabs>
            <w:rPr/>
          </w:pPr>
          <w:hyperlink w:anchor="__RefHeading___Toc13425371_1280447820">
            <w:r>
              <w:rPr>
                <w:webHidden/>
                <w:rStyle w:val="IndexLink"/>
                <w:rtl w:val="true"/>
              </w:rPr>
              <w:t>سادسها</w:t>
            </w:r>
            <w:r>
              <w:rPr>
                <w:rStyle w:val="IndexLink"/>
                <w:rtl w:val="true"/>
              </w:rPr>
              <w:t xml:space="preserve">: </w:t>
            </w:r>
            <w:r>
              <w:rPr>
                <w:rStyle w:val="IndexLink"/>
                <w:rtl w:val="true"/>
              </w:rPr>
              <w:t>فيما يتعلّق بما إذا أوصى بعتق رقبة بثمن معين</w:t>
            </w:r>
            <w:r>
              <w:rPr>
                <w:rStyle w:val="IndexLink"/>
                <w:rtl w:val="true"/>
              </w:rPr>
              <w:tab/>
            </w:r>
            <w:r>
              <w:rPr>
                <w:rStyle w:val="IndexLink"/>
              </w:rPr>
              <w:t>439</w:t>
            </w:r>
          </w:hyperlink>
        </w:p>
        <w:p>
          <w:pPr>
            <w:pStyle w:val="Contents5"/>
            <w:tabs>
              <w:tab w:val="clear" w:pos="7892"/>
              <w:tab w:val="right" w:pos="9026" w:leader="dot"/>
            </w:tabs>
            <w:rPr/>
          </w:pPr>
          <w:hyperlink w:anchor="__RefHeading___Toc13425373_1280447820">
            <w:r>
              <w:rPr>
                <w:webHidden/>
                <w:rStyle w:val="IndexLink"/>
                <w:rtl w:val="true"/>
              </w:rPr>
              <w:t>سابعها</w:t>
            </w:r>
            <w:r>
              <w:rPr>
                <w:rStyle w:val="IndexLink"/>
                <w:rtl w:val="true"/>
              </w:rPr>
              <w:t xml:space="preserve">: </w:t>
            </w:r>
            <w:r>
              <w:rPr>
                <w:rStyle w:val="IndexLink"/>
                <w:rtl w:val="true"/>
              </w:rPr>
              <w:t>حكم ما إذا أوصى بعتق عبده أو أعتقه قبل الوفاة وليس سواه</w:t>
            </w:r>
            <w:r>
              <w:rPr>
                <w:rStyle w:val="IndexLink"/>
                <w:rtl w:val="true"/>
              </w:rPr>
              <w:tab/>
            </w:r>
            <w:r>
              <w:rPr>
                <w:rStyle w:val="IndexLink"/>
              </w:rPr>
              <w:t>440</w:t>
            </w:r>
          </w:hyperlink>
        </w:p>
        <w:p>
          <w:pPr>
            <w:pStyle w:val="Contents5"/>
            <w:tabs>
              <w:tab w:val="clear" w:pos="7892"/>
              <w:tab w:val="right" w:pos="9026" w:leader="dot"/>
            </w:tabs>
            <w:rPr/>
          </w:pPr>
          <w:hyperlink w:anchor="__RefHeading___Toc13425375_1280447820">
            <w:r>
              <w:rPr>
                <w:webHidden/>
                <w:rStyle w:val="IndexLink"/>
                <w:rtl w:val="true"/>
              </w:rPr>
              <w:t>ثامنها</w:t>
            </w:r>
            <w:r>
              <w:rPr>
                <w:rStyle w:val="IndexLink"/>
                <w:rtl w:val="true"/>
              </w:rPr>
              <w:t xml:space="preserve">: </w:t>
            </w:r>
            <w:r>
              <w:rPr>
                <w:rStyle w:val="IndexLink"/>
                <w:rtl w:val="true"/>
              </w:rPr>
              <w:t>حكم ما إذا أوصى بلفظ مطلق صالح للقليل والكثير</w:t>
            </w:r>
            <w:r>
              <w:rPr>
                <w:rStyle w:val="IndexLink"/>
                <w:rtl w:val="true"/>
              </w:rPr>
              <w:tab/>
            </w:r>
            <w:r>
              <w:rPr>
                <w:rStyle w:val="IndexLink"/>
              </w:rPr>
              <w:t>441</w:t>
            </w:r>
          </w:hyperlink>
        </w:p>
        <w:p>
          <w:pPr>
            <w:pStyle w:val="Contents5"/>
            <w:tabs>
              <w:tab w:val="clear" w:pos="7892"/>
              <w:tab w:val="right" w:pos="9026" w:leader="dot"/>
            </w:tabs>
            <w:rPr/>
          </w:pPr>
          <w:hyperlink w:anchor="__RefHeading___Toc13425377_1280447820">
            <w:r>
              <w:rPr>
                <w:webHidden/>
                <w:rStyle w:val="IndexLink"/>
                <w:rtl w:val="true"/>
              </w:rPr>
              <w:t>تاسعها</w:t>
            </w:r>
            <w:r>
              <w:rPr>
                <w:rStyle w:val="IndexLink"/>
                <w:rtl w:val="true"/>
              </w:rPr>
              <w:t xml:space="preserve">: </w:t>
            </w:r>
            <w:r>
              <w:rPr>
                <w:rStyle w:val="IndexLink"/>
                <w:rtl w:val="true"/>
              </w:rPr>
              <w:t>صحّة الوصيّة بالمنافع دون الأعيان وبالأعيان دون المنافع وبالنماءات</w:t>
            </w:r>
            <w:r>
              <w:rPr>
                <w:rStyle w:val="IndexLink"/>
                <w:rtl w:val="true"/>
              </w:rPr>
              <w:tab/>
            </w:r>
            <w:r>
              <w:rPr>
                <w:rStyle w:val="IndexLink"/>
              </w:rPr>
              <w:t>442</w:t>
            </w:r>
          </w:hyperlink>
        </w:p>
        <w:p>
          <w:pPr>
            <w:pStyle w:val="Contents4"/>
            <w:tabs>
              <w:tab w:val="clear" w:pos="8176"/>
              <w:tab w:val="right" w:pos="9026" w:leader="dot"/>
            </w:tabs>
            <w:rPr/>
          </w:pPr>
          <w:hyperlink w:anchor="__RefHeading___Toc13425379_1280447820">
            <w:r>
              <w:rPr>
                <w:webHidden/>
                <w:rStyle w:val="IndexLink"/>
                <w:rtl w:val="true"/>
              </w:rPr>
              <w:t>العشرون</w:t>
            </w:r>
            <w:r>
              <w:rPr>
                <w:rStyle w:val="IndexLink"/>
                <w:rtl w:val="true"/>
              </w:rPr>
              <w:t xml:space="preserve">: </w:t>
            </w:r>
            <w:r>
              <w:rPr>
                <w:rStyle w:val="IndexLink"/>
                <w:rtl w:val="true"/>
              </w:rPr>
              <w:t>في منجزات المريض</w:t>
            </w:r>
            <w:r>
              <w:rPr>
                <w:rStyle w:val="IndexLink"/>
                <w:rtl w:val="true"/>
              </w:rPr>
              <w:tab/>
            </w:r>
            <w:r>
              <w:rPr>
                <w:rStyle w:val="IndexLink"/>
              </w:rPr>
              <w:t>444</w:t>
            </w:r>
          </w:hyperlink>
        </w:p>
        <w:p>
          <w:pPr>
            <w:pStyle w:val="Contents4"/>
            <w:tabs>
              <w:tab w:val="clear" w:pos="8176"/>
              <w:tab w:val="right" w:pos="9026" w:leader="dot"/>
            </w:tabs>
            <w:rPr/>
          </w:pPr>
          <w:hyperlink w:anchor="__RefHeading___Toc13425381_1280447820">
            <w:r>
              <w:rPr>
                <w:webHidden/>
                <w:rStyle w:val="IndexLink"/>
                <w:rtl w:val="true"/>
              </w:rPr>
              <w:t>الواحد والعشرون</w:t>
            </w:r>
            <w:r>
              <w:rPr>
                <w:rStyle w:val="IndexLink"/>
                <w:rtl w:val="true"/>
              </w:rPr>
              <w:t xml:space="preserve">: </w:t>
            </w:r>
            <w:r>
              <w:rPr>
                <w:rStyle w:val="IndexLink"/>
                <w:rtl w:val="true"/>
              </w:rPr>
              <w:t>في حكم إقرار المريض</w:t>
            </w:r>
            <w:r>
              <w:rPr>
                <w:rStyle w:val="IndexLink"/>
                <w:rtl w:val="true"/>
              </w:rPr>
              <w:tab/>
            </w:r>
            <w:r>
              <w:rPr>
                <w:rStyle w:val="IndexLink"/>
              </w:rPr>
              <w:t>447</w:t>
            </w:r>
          </w:hyperlink>
        </w:p>
        <w:p>
          <w:pPr>
            <w:pStyle w:val="Contents4"/>
            <w:tabs>
              <w:tab w:val="clear" w:pos="8176"/>
              <w:tab w:val="right" w:pos="9026" w:leader="dot"/>
            </w:tabs>
            <w:rPr/>
          </w:pPr>
          <w:hyperlink w:anchor="__RefHeading___Toc13425383_1280447820">
            <w:r>
              <w:rPr>
                <w:webHidden/>
                <w:rStyle w:val="IndexLink"/>
                <w:rtl w:val="true"/>
              </w:rPr>
              <w:t>الثاني والعشرون</w:t>
            </w:r>
            <w:r>
              <w:rPr>
                <w:rStyle w:val="IndexLink"/>
                <w:rtl w:val="true"/>
              </w:rPr>
              <w:t xml:space="preserve">: </w:t>
            </w:r>
            <w:r>
              <w:rPr>
                <w:rStyle w:val="IndexLink"/>
                <w:rtl w:val="true"/>
              </w:rPr>
              <w:t>في أنّ مَنْ لا وارث له هل له أن يوصي بجميع ماله إلى مَنْ شاء أو ليس له ذلك ؟</w:t>
            </w:r>
            <w:r>
              <w:rPr>
                <w:rStyle w:val="IndexLink"/>
                <w:rtl w:val="true"/>
              </w:rPr>
              <w:tab/>
            </w:r>
            <w:r>
              <w:rPr>
                <w:rStyle w:val="IndexLink"/>
              </w:rPr>
              <w:t>451</w:t>
            </w:r>
          </w:hyperlink>
        </w:p>
        <w:p>
          <w:pPr>
            <w:pStyle w:val="Contents4"/>
            <w:tabs>
              <w:tab w:val="clear" w:pos="8176"/>
              <w:tab w:val="right" w:pos="9026" w:leader="dot"/>
            </w:tabs>
            <w:rPr/>
          </w:pPr>
          <w:hyperlink w:anchor="__RefHeading___Toc13425385_1280447820">
            <w:r>
              <w:rPr>
                <w:webHidden/>
                <w:rStyle w:val="IndexLink"/>
                <w:rtl w:val="true"/>
              </w:rPr>
              <w:t>الثالث والعشرون</w:t>
            </w:r>
            <w:r>
              <w:rPr>
                <w:rStyle w:val="IndexLink"/>
                <w:rtl w:val="true"/>
              </w:rPr>
              <w:t xml:space="preserve">: </w:t>
            </w:r>
            <w:r>
              <w:rPr>
                <w:rStyle w:val="IndexLink"/>
                <w:rtl w:val="true"/>
              </w:rPr>
              <w:t>حكم ما إذا كان على الموصي دَيْنٌ فعزله الوصي وأعطى الورثة الباقي فتلف المال المقابل للدين قبل دفعه</w:t>
            </w:r>
            <w:r>
              <w:rPr>
                <w:rStyle w:val="IndexLink"/>
                <w:rtl w:val="true"/>
              </w:rPr>
              <w:tab/>
            </w:r>
            <w:r>
              <w:rPr>
                <w:rStyle w:val="IndexLink"/>
              </w:rPr>
              <w:t>452</w:t>
            </w:r>
          </w:hyperlink>
        </w:p>
        <w:p>
          <w:pPr>
            <w:pStyle w:val="Contents4"/>
            <w:tabs>
              <w:tab w:val="clear" w:pos="8176"/>
              <w:tab w:val="right" w:pos="9026" w:leader="dot"/>
            </w:tabs>
            <w:rPr/>
          </w:pPr>
          <w:hyperlink w:anchor="__RefHeading___Toc13425387_1280447820">
            <w:r>
              <w:rPr>
                <w:webHidden/>
                <w:rStyle w:val="IndexLink"/>
                <w:rtl w:val="true"/>
              </w:rPr>
              <w:t>الرابع والعشرون</w:t>
            </w:r>
            <w:r>
              <w:rPr>
                <w:rStyle w:val="IndexLink"/>
                <w:rtl w:val="true"/>
              </w:rPr>
              <w:t xml:space="preserve">: </w:t>
            </w:r>
            <w:r>
              <w:rPr>
                <w:rStyle w:val="IndexLink"/>
                <w:rtl w:val="true"/>
              </w:rPr>
              <w:t>حكم ما إذا انتقل إلى المريض من ينعتق عليه</w:t>
            </w:r>
            <w:r>
              <w:rPr>
                <w:rStyle w:val="IndexLink"/>
                <w:rtl w:val="true"/>
              </w:rPr>
              <w:tab/>
            </w:r>
            <w:r>
              <w:rPr>
                <w:rStyle w:val="IndexLink"/>
              </w:rPr>
              <w:t>453</w:t>
            </w:r>
          </w:hyperlink>
        </w:p>
        <w:p>
          <w:pPr>
            <w:pStyle w:val="Contents4"/>
            <w:tabs>
              <w:tab w:val="clear" w:pos="8176"/>
              <w:tab w:val="right" w:pos="9026" w:leader="dot"/>
            </w:tabs>
            <w:rPr/>
          </w:pPr>
          <w:hyperlink w:anchor="__RefHeading___Toc13425389_1280447820">
            <w:r>
              <w:rPr>
                <w:webHidden/>
                <w:rStyle w:val="IndexLink"/>
                <w:rtl w:val="true"/>
              </w:rPr>
              <w:t>الخامس والعشرون</w:t>
            </w:r>
            <w:r>
              <w:rPr>
                <w:rStyle w:val="IndexLink"/>
                <w:rtl w:val="true"/>
              </w:rPr>
              <w:t xml:space="preserve">: </w:t>
            </w:r>
            <w:r>
              <w:rPr>
                <w:rStyle w:val="IndexLink"/>
                <w:rtl w:val="true"/>
              </w:rPr>
              <w:t>في أن خروج المنجز من الثلث خلاف القواعد ويقتصر فيه على مورد اليقين</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18_273871"/>
      <w:bookmarkStart w:id="1" w:name="pg19218_273871"/>
      <w:bookmarkEnd w:id="1"/>
    </w:p>
    <w:p>
      <w:pPr>
        <w:pStyle w:val="Heading2"/>
        <w:numPr>
          <w:ilvl w:val="1"/>
          <w:numId w:val="1"/>
        </w:numPr>
        <w:rPr/>
      </w:pPr>
      <w:bookmarkStart w:id="2" w:name="pg19218_273871"/>
      <w:bookmarkStart w:id="3" w:name="__RefHeading___Toc1342476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982166951534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Amiri" w:hAnsi="Amiri" w:eastAsia="Amiri" w:cs="Amiri"/>
          <w:color w:val="111111"/>
          <w:sz w:val="28"/>
          <w:sz w:val="28"/>
          <w:szCs w:val="28"/>
          <w:rtl w:val="true"/>
          <w:lang w:bidi="ar-SA"/>
        </w:rPr>
        <w:t>المدخل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حسن بن جعفر،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والمؤلّف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 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p>
    <w:p>
      <w:pPr>
        <w:pStyle w:val="BookText"/>
        <w:rPr/>
      </w:pPr>
      <w:r>
        <w:rPr>
          <w:rFonts w:ascii="Amiri" w:hAnsi="Amiri" w:eastAsia="Amiri" w:cs="Amiri"/>
          <w:color w:val="111111"/>
          <w:sz w:val="28"/>
          <w:sz w:val="28"/>
          <w:szCs w:val="28"/>
          <w:rtl w:val="true"/>
          <w:lang w:bidi="ar-SA"/>
        </w:rPr>
        <w:t xml:space="preserve">ملاحظات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الموضوع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تصنیف مكتبة الكونجرس</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982166951534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Amiri" w:hAnsi="Amiri" w:eastAsia="Amiri" w:cs="Amiri"/>
          <w:color w:val="111111"/>
          <w:sz w:val="28"/>
          <w:sz w:val="28"/>
          <w:szCs w:val="28"/>
          <w:rtl w:val="true"/>
          <w:lang w:bidi="ar-SA"/>
        </w:rPr>
        <w:t>المدخل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جعفر،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2476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كتاب الوديعة، العارية، الإجارة، الوكالة الوقف الهبة الصدقة والوصيّة</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982166951534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Amiri" w:hAnsi="Amiri" w:eastAsia="Amiri" w:cs="Amiri"/>
          <w:color w:val="111111"/>
          <w:sz w:val="28"/>
          <w:sz w:val="28"/>
          <w:szCs w:val="28"/>
          <w:rtl w:val="true"/>
          <w:lang w:bidi="ar-SA"/>
        </w:rPr>
        <w:t>المدخل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جعفر،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والمؤلّف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 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p>
    <w:p>
      <w:pPr>
        <w:pStyle w:val="BookText"/>
        <w:rPr/>
      </w:pPr>
      <w:r>
        <w:rPr>
          <w:rFonts w:ascii="Amiri" w:hAnsi="Amiri" w:eastAsia="Amiri" w:cs="Amiri"/>
          <w:color w:val="111111"/>
          <w:sz w:val="28"/>
          <w:sz w:val="28"/>
          <w:szCs w:val="28"/>
          <w:rtl w:val="true"/>
          <w:lang w:bidi="ar-SA"/>
        </w:rPr>
        <w:t xml:space="preserve">ملاحظات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IRNazanin" w:hAnsi="IRNazanin" w:eastAsia="IRNazanin"/>
          <w:color w:val="111111"/>
          <w:sz w:val="28"/>
          <w:sz w:val="28"/>
          <w:szCs w:val="28"/>
          <w:rtl w:val="true"/>
          <w:lang w:bidi="fa-IR"/>
        </w:rPr>
        <w:t>المحتويات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الوديعة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r>
        <w:rPr>
          <w:rFonts w:eastAsia="Amiri" w:cs="Amiri" w:ascii="Amiri" w:hAnsi="Amiri"/>
          <w:color w:val="111111"/>
          <w:sz w:val="28"/>
          <w:szCs w:val="28"/>
          <w:rtl w:val="true"/>
          <w:lang w:bidi="ar-SA"/>
        </w:rPr>
        <w:t xml:space="preserve"> </w:t>
      </w:r>
      <w:bookmarkStart w:id="7" w:name="pg19218_273875"/>
    </w:p>
    <w:p>
      <w:pPr>
        <w:pStyle w:val="Heading2"/>
        <w:numPr>
          <w:ilvl w:val="1"/>
          <w:numId w:val="1"/>
        </w:numPr>
        <w:rPr/>
      </w:pPr>
      <w:bookmarkStart w:id="8" w:name="__RefHeading___Toc13424769_1280447820"/>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كتاب الوديعة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تعريف الوديعة عرفاً وشرعاً ومبدأ اشتقاقها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وهنا أمور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 الوديعة عقد لا إذن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على المستودع إذا قبض الوديعة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ضمان الودعيّ لو دفع الوديعة لغير المودع ملجاً أو كرهاً أو 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الوديعة بالفسخ من المودع والمستودع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المرجع في حفظ الوديعة العرف والعادة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على الودعيّ لو أودع المودع عنده دابّة وقبلها المستودع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المودع للوديعة حرزاً وجب على المستودع وضعها في حرزها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تضمن الوديعة بالتعدّي والتفريط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الوديعة من المجنون والصبي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 الوديعة على المالك أو وكيله إن كان حاضراً وإن كان غائباً انتظره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 الوديعة إلى المالك عند المطالبة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اتباع نهى المالك لو نهى صريحاً عن جعل الوديعة في مكان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تصرف المستودع في الوديعة فضولي موقوف على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على المستودع لو ظهرت عليه أمارات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كانت الوديعة غصباً وكان المودع مقهوراً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أراد المستودع السفر جاز له ولا يلزمه الامتناع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أودع الوديعة عند غيره من دون إذن المالك ضمنها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قبض المستودع الوديعة ابتداءً بقصد الخيانة أو قصدها في الأثناء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التفريط سبب في الضمان ولو لم تتلف الوديعة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أمره المالك بدفع الوديعة إلى الوكيل وجب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جحد الودعيّ الوديعة من غير عذر بعد طلب المالك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مزج الوديعة بماله أو بمال المالك أو بمال ثالث مزجاً لا يتميّز أو يعسر تمييزه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أجرى على الوديعة عقود معاوضةٍ أو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التصرّف بالوديعة من غير إذن صاحبها ولو بالفحوى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تصرّف المستودع بالوديعة حتّى ضمن تعلّق به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ممّا يتعلّق بالدعاوي وفيه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اختلفا في أصل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الودعيّ الردّ إمّا على المالك أو على وكيله أو إلى مَنْ أذن له المالك بالردّ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 المالك مع من في يده المال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أو 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اختلفا في قدر قيمة الوديعة بعد تلفها إذا كانت مضمونة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اختلفا في أصل الوديعة أو في قدرها أو في اشتراط أمر زائد فيها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مات المودع سُلّمت الوديعة إلى وارثه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مات الودعيّ وعلمت الوديعة أو لم 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أنكر الوديعة ثمّ أقربها ثمّ ادّعى تلفها بعد الإنكار أو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كانت عنده وديعة فادّعاها اثنان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كتاب العارية</w:t>
      </w:r>
    </w:p>
    <w:p>
      <w:pPr>
        <w:pStyle w:val="BookText"/>
        <w:rPr/>
      </w:pPr>
      <w:r>
        <w:rPr>
          <w:rFonts w:ascii="Amiri" w:hAnsi="Amiri" w:eastAsia="Amiri" w:cs="Amiri"/>
          <w:color w:val="111111"/>
          <w:sz w:val="28"/>
          <w:sz w:val="28"/>
          <w:szCs w:val="28"/>
          <w:rtl w:val="true"/>
          <w:lang w:bidi="ar-SA"/>
        </w:rPr>
        <w:t>تعريف العارية ومبدأ اشتقاقها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هنا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العارية من العقود لابد فيها من إيجاب و 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تصحّ إعارته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ثالثها في أنّ من شأن العارية الجواز وقد تلزم في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كانت للعين المستعارة منفعة واحدة أو منافع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البلوغ والعقل والرشد وعدم الحجر في المعير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استعار المغصوب عالماً بالغصب ضمن العين والمنفعة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العارية عدم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بيان موارد خارجة عن أصل عدم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أنّه لا يجوز للمستعير أن يعير غيره من غير إذن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يلزم المستعير مدّة معلومة ردّ العارية إلى أهلها بعد المدّة إذا شرط المالك عليه 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التعدّي والتفريط لا يخرج العارية عن كونها 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العارية أن تتعلق بالأعيان القائمة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أنكر العارية أو ادّعى ردّها أو تلفها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اختلفا في اشتراط الضمان العين في العارية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شرط المالك ضمان العين مع تلف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ألقت الريح حباً أو نوى أو غيرهما في دار الغير فصار زرعاً أو نخلاً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استعار أرضاً للزرع أو الغرس أو البناء فزرع وغرس وبنى فتلف ما صنعه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كتاب الإجارة</w:t>
      </w:r>
    </w:p>
    <w:p>
      <w:pPr>
        <w:pStyle w:val="BookText"/>
        <w:rPr/>
      </w:pPr>
      <w:r>
        <w:rPr>
          <w:rFonts w:ascii="Amiri" w:hAnsi="Amiri" w:eastAsia="Amiri" w:cs="Amiri"/>
          <w:color w:val="111111"/>
          <w:sz w:val="28"/>
          <w:sz w:val="28"/>
          <w:szCs w:val="28"/>
          <w:rtl w:val="true"/>
          <w:lang w:bidi="ar-SA"/>
        </w:rPr>
        <w:t>تعريف الإجارة لغةً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والكلام يقع فيها في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الإجارة تمليك المنفعة بعوض معلوم مع بقاء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الإجارة من العقود اللازمة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العين المستأجرة أمانة بيد المستأجر إذا تسلّمها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ما تصحّ إعارته تصحّ إجارته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خيار المجلس والحيوان والتأخير لا يسري إلى 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يُملك الأجرة والمنفعة بنفس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عوض الإجارة كونه مملوكاً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توقف استيفاء المنفعة على قبض العين وتوقف العمل على قبض العين المعمول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عوض الإجارة المعلومية بالنوع والوصف أو المشاهدة أو التقدير بالكيل والوزن والعدّ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الجزم في عقد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موضع يفسد عقد الإجارة فيه تضمن المنفعة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بالأجير الخاص والأجير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قدرت المنفعة بالعمل المخصوص أو بالمدّة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تعيّنت المدّة فبذل المؤجر العين فيها لزمت 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ما يتوقف عليه استيفاء المنفعة من المستأجر وكان من متعلقات العمل أو العين المؤجرة فهو على المؤجر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تلف المنفعة قبل استيفائها بمنزلة تلف المبيع قبل قبضه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امتناع المنفعة عقلاً أو عادةً أو شرعاً كتلف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معلوميّة العين المستأجرة بالمشاهدة أو الوصف وكذا معلومية المستوفي للمنفعة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تعدّى المستأجر في العين المستأجرة أو فرّط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يلزم المستأجر ذكر موضع التسليم للعين المستأجرة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استئجار كلّ ماله منفعة مقصودة عقلائية مع بقاء 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استأجر دابّة أو أجيراً لحمل شيء معين فزاده عند الحمل من دون علم المؤجر أو الاستئذان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الإجارة كون المنفعة المقصود عليها محلّلةً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عقد الإجارة القدرة على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طرأ على العين المستأجرة ما يقضي ببطلان الانتفاع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صاحب الحمّام لا يكون ضامناً لما يسلّمه إليه المغتسل من الثياب وشبهها إلّا مع التعدّي أو التفريط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العين المقبوضة من يد المستأجر بيد المؤجر 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تقبل عملاً بإجارة أو غيرها جاز أن يقبله غيره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يلزم المستأجر نفقة الدابّة إلّا إذا اشترطت عليه مع تعيّنها قدراً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أجر العبد نفسه من دون إذن مولاه أو أجره المولى أو آجر نفسه بإذن مولاه وتعدى أو فرّط في العين المقبوضة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بجواز إجارة العبد ثمّ 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إيجار الوليّ للصبي أو المجنون أو السفيه أو إيجاره ما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أمر غيره بعمل له أجرة عادة وكان العامل ممّن يأخذ الأجرة على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القول في التنازع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وفيه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اختلفا في أصل الاستئجار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اختلفا في ردّ العين المستأجرة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اختلفا في قدر الشيء المستأجر عيناً أو عملاً واتفقا على قدر الأُجرة والزمان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اختلفا في التلف وعدمه أو التفريط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 المالك والخياط في قطع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اختلفا في صحّة عقد الإجارة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المستأجر إباق العبد أو مرض الدابّة أو انهدام المسكن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القول في مسائل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الإستئجار على ما لا يمكن تملّكه من المنافع ولا حصول السلطان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الاستئجار للزرع وحصاده ودياسه ونقله وسقيه وحفظه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استئجار الأرض للبناء والغرس والزرع مع مشاهدة الأرض أو وصفها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الاستئجار لحيازة المباحات عن المستأجر وتقديره بالمدة وبالعمل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استئجار الشخص لرعي الماشية في المباح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استئجار الأرض للغرس والبناء فيها مع تعيين المدّة الرافعة للجهل وتعيين المبني والمغروس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استأجر أرضاً للزرع وعيّن مدّة يعتاد حصاده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ثامنها حكم ما لو استأجر الأرض للزرع ولم يكن لها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كتاب الوكالة</w:t>
      </w:r>
    </w:p>
    <w:p>
      <w:pPr>
        <w:pStyle w:val="BookText"/>
        <w:rPr/>
      </w:pPr>
      <w:r>
        <w:rPr>
          <w:rFonts w:ascii="Amiri" w:hAnsi="Amiri" w:eastAsia="Amiri" w:cs="Amiri"/>
          <w:color w:val="111111"/>
          <w:sz w:val="28"/>
          <w:sz w:val="28"/>
          <w:szCs w:val="28"/>
          <w:rtl w:val="true"/>
          <w:lang w:bidi="ar-SA"/>
        </w:rPr>
        <w:t>تعريف الوكالة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هنا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التعيين في عقد الوكالة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الوكالة مطلقاً ومقيدةً بوصف أو وقت أو حال أو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عُلّقت الوكالة على شرط أو اشتملت على شرط 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ردّ الوكيل بعد الإيجاب أو بعد الإيجاب والقبول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الإيجاب بالإشارة المفهمة ولو لغير الأخرس وكذا صحّة القبول بالفعل الدال على الرضى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انعزال الوكيل بعزل الموكّل له قبل القبول وبعده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الوكالة بموت الوكيل أو الموكّل وبجنون أحدهما وبالإغماء عليه وبسفه الموكّل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باع الوكيل بثمن خاص فأنكر الموكّل قدره أو عينه أو جنسه أو وصفه أو زمانه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موارد تصحّ الوكالة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الموكّل مكلّفاً بالغاً، عاقلاً، جائز التصرّف فيما يوكل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البلوغ والعقل في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الوكالة وفيه 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اتباع إذن الموكّل والانتهاء بنهيه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الوكالة في العقد 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للوكالة مقتضيات لفظية وحالية ينصرف إليها الإطلاق وتكون مقيدة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خالف الوكيل مقتضى الوكالة إطلاقاً أو تعيّناً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الوكيل أمين لا يضمن إلّا مع التعدّي أو التفريط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يلزم الوكيل تسليم ما في يده إلى الموكّل مع المطالبة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تعدّى الوكيل على ما في يده أو فرّط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توكيل اثنين لواحد وتوكيل مَنْ يشتري لنفسه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الوكالة بشاهدين عدلين وبالشياع المفيد للقطع وبإقرار الموكّل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إطلاق الوكالة بلزوم الإشهاد على الوكيل في وفاء الدين أو دفع عين مضمونة على الموكّل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اختلفا في الوكالة ولا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عقد على امرأة بادعائه الوكالة عن 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إطلاق الوكالة في البيع بتسليم المبيع لو كان بيد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شخص الوكالة عن غائب في قبض عين قبض عين ماله أو استيفاء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طالب الموكّل الوكيل بردّ المال فأنكره أو أقرّ به وامتنع من إيصاله ثمّ ادّعى بعد ذلك تلف المال قبل الإنكار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اشترى الوكيل شيئاً فأنكر الموكّل الوكالة فحلف على نفيها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 الموكّل والوكيل بعد الشراء أو البيع في مبلغهما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ثامن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طالب الوكيل من عليه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المطالبة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تقبل شهادة الوكيل على موكله ولموكله فيما لا ولاية له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وكل شخصاً على قبض دينه فأخبره بقبضه وصدقه المديون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وكله في شراء عين فاشتراها فظهرت مستحقةً للغير بعد تلفها في يد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كتاب الوقف</w:t>
      </w:r>
    </w:p>
    <w:p>
      <w:pPr>
        <w:pStyle w:val="BookText"/>
        <w:rPr/>
      </w:pPr>
      <w:r>
        <w:rPr>
          <w:rFonts w:ascii="Amiri" w:hAnsi="Amiri" w:eastAsia="Amiri" w:cs="Amiri"/>
          <w:color w:val="111111"/>
          <w:sz w:val="28"/>
          <w:sz w:val="28"/>
          <w:szCs w:val="28"/>
          <w:rtl w:val="true"/>
          <w:lang w:bidi="ar-SA"/>
        </w:rPr>
        <w:t>تعريف الوقف لغة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الوقف من العبادات ومن العقود اللازمة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يكفي في الوقف الفعل في إيجاب أو 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يشترط في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القربة في صحّة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الدوام في صيغة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وهنا أحكام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تحديد الوقف بنفس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كون الموقوف عليه غير مبني على الدوام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الثالث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العين ممّا ينتفع بها مع بقائها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التنجيز في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صحّة الوقف القبض للموقوف من الموقوف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الولي مقام المولّى عليه في قبول الوقف وقبضه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الوقف على جهة عامة كان القبض عنهم موكولاً للحاكم بنفسه أو بوكيله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الوقف إخراجه عن نفسه وتخليتها عنه ملكاً وانتفاعاً وعوداً إليه وقت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هنا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وقف الإنسان على نفسه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الوقف فيما لو وقف الإنسان على نفسه أو أشرك مع نفسه غيره في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وقف على نفسه ثمّ على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وقف واقف على جهة من الجهات وقفاً 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الوقف فيما إذا شرط الواقف قضاء ديونه منه أو إدرار مؤونته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وقف الواقف وشرط عود الوقف إليه عند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صحّ اشتراط العود إليه فلابد من الاقتصار فيه على مورد النصّ والفتوى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وقف على أولاده الأصاغر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وقف الواقف على أشخاص على الإطلاق وقبضهم لم يصحّ إدخال غيرهم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شرائط الموقوف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يصحّ وقف المشاع كما يصحّ وقف المقسوم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وقف من بلغ عشراً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للواقف أن يطلق الوقف بحسب النظارة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ذكر أُمور متعلّقة بالناظر للوقف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الوقف العام والخاص وما يتعلّق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وكل في الوقف مطلقاً أو وكل على الإطلاق أو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الوقف بالبيّنة وبإخبار العدل وصاحب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الوقف عامه وخاصه ينتقل عن الواقف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دعوى الوقف بشاهد ويمين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عتق العبد الموقوف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العبد بين اثنين فوقف أحدهما نصفه وعتق الآخر فإنّه لا يسري العتق 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عمارة الوقف تخرج من غلته ونمائه مقدّماً على حقّ الموقوف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جنى العبد الموقوف عمداً فعليه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متعلقة في الموقوف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الموقوف عليه ذكره بنفسه أو بما ينوب عنه من جهةٍ أو مصرف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وقف على ما لا ينقطع عادة فاتفق انقطاعه ولم يكن الواقف عالماً بانقطاعه ولا قصده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يجوز للموقوف عليه وطء الأمة الموقوفة إذا كان له شركاء في طبقته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يجوز للموقوف عليه إيجار الوقف ولكن ينفسخ العقد بموت المؤجر 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يجوز للمسلم أو المؤمن الوقف على الكنائس والبيع لمصلحتهما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الوقف من الكافر والمخالف على المؤمن وعلى مَنْ كان مثلهما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الوقف من المسلم على الكافر أو المخالف وحكم الوقف عليهما لغير جهة الكفر أو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وقف الواقف على ذي وصف بلفظ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وقف واقف على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وقف واقف على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إذا وقف على أولاده أو بنيه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وقف على جيرانه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إذا وقف على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وقف على مواليه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وقف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خاتمة في بيان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اضمحل الموقوف باستيلاء الماء أو الخراب الذي لا يرجى معه العود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الوقف المبني على الدوام ولا نقله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صرف آلات وقف في وقف آخر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اندرس شرط الواقف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قسمة الوقف عن الطلق في المشاع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بحث في السكنى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السكنى وبيان ما يشترط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الهبة والصدقة</w:t>
      </w:r>
    </w:p>
    <w:p>
      <w:pPr>
        <w:pStyle w:val="BookText"/>
        <w:rPr/>
      </w:pPr>
      <w:r>
        <w:rPr>
          <w:rFonts w:ascii="Amiri" w:hAnsi="Amiri" w:eastAsia="Amiri" w:cs="Amiri"/>
          <w:color w:val="111111"/>
          <w:sz w:val="28"/>
          <w:sz w:val="28"/>
          <w:szCs w:val="28"/>
          <w:rtl w:val="true"/>
          <w:lang w:bidi="ar-SA"/>
        </w:rPr>
        <w:t>تعريف الصدقة والهبة والعطيّة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وهنا مقامان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 بالمعنى الخاص والعام وبيان ما يتعلّق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هبة المنفعة ولا الحق ولا الكلّي إذا لم يتشخّص بفردٍ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القبض شرط في صحّة الهبة أو لزومها؟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إذن الواهب في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الهبة بعد الحكم بصحّتها هو الجواز إلّا فيما دلّ الدليل على لزومه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الموارد الخارجة عن أصل جواز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والكلام هنا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تلفت العين الموهوبة بعد قبضها لم يجز الرجوع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الهبة فيما لو تقرّب في هبته عند صدور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الهبة فيما لو عاوض عن هبته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الهبة فيما لو وهب الوالدان لأولادهما أو 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الهبة فيما لو وهب أحد الزوجين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الهبة بالتصرف من حيث إنّه تصرّف في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كتاب الوصيّة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الوصيّة والحثّ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الوصيّة بالمعنى الخاص إيقاع لا 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مات الموصى له قبل القبول وقبل الردّ قام وارثه في القبول مقامه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تتوقف الوصيّة على القبول من الموصى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الوصيّة في 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الوصيّة عقد جائز حال حياة الموصي ولازم بعد الموت والقبول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العقل والبلوغ في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الوصيّة فيما لو جرح الموصي نفسه عمداً بما فيه هلاكها عالماً بترتب الهلاك فأوصى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الموصى له وفيه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يشترط في الوصيّة وجود الموصى له ولا حياته ولا دوام تمليكه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الوصيّة للقريب والبعيد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الوصيّة للحمل إذا وقع حياً وبطلانها مع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الوصيّة لأهل الذمّة ولو من أهل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الوصيّة للمبعض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أعتق المريض عبداً عند موته وليس له سواه وعليه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تحقق شرائط الموصى له حين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مقتضى الوصيّة التسوية بين الموصى له في قسمة الموصى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بالقرابة فيما لو أوصى لقرابته أو لأقاربه أو لذوي قرابته أو لأرحامه أو لذوي رحمه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 يدخل في الوصيّة فيما لو أوصى لأقارب أقاربه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مات الموصى له انتقل حكم الوصيّة إلى ورثته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الوصيّة بما لا يتموّل وبما لا يقدر على تسليمه على تقدير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إذا أجاز الوارث الوصيّة بمازاد على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بما رسمه الموصي ممّا يتعلق بأمواله من المصالح الدنيوية أو الأخروية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الوصيّة بالمضاربة بثلثه دائماً أو في مدّة معيّنة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أوصى بواجب مالي أو بدني من خمس أو 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أوصى بعتق مماليكه بعد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أوصى لواحد بمعين ثمّ أوصى به 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أوصى بنصف ماله لشخص وأجاز الوارث فادعى بعد ذلك أنّه ظنّ قلّة المال فأجاز فتبيّن كثرته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أوصى لشخص بمشاع أو بمعين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أوصى بثلث عبده فخرج ثلثاه مستحقاً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أوصى بمشترك معنوي أو 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الوصيّة أن يتّبع قصد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الوصيّة فيما لو أوصى بإخراج الولد من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الوصاية ومشروعيتها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وفيها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العقل والبلوغ والرشد في 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الوصيّة إلى المملوك لنفسه أو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الوصاية للصبي بحيث يتصرف حال صباه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وصاية الكافر من المسلم على مسلم وكذا وصاية الكافر من الكافر على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الوصاية لما فوق الواحد دفعة ومترتباً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تشاح الوصيّان في صورة وجوب الاجتماع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عجز أحد الوصيين المفروض اجتماعهما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للموصى إليه ردّ الوصيّة مادام الموصي حيّاً ويمكنه نصب وصي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الوصي أمين لا يضمن ما وقع في يده إلّا مع التعدّي أو التفريط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يجوز للوصي استيفاء دينه ممّا في يده من مال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يجوز للوصي أن يقترض مال الطفل وإن لم تكن فيه مصلحة ما لم تكن فيه 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يجوز للوصي أن يقوم مال اليتيم لنفسه بثمن المثل أو أكثر ويشتريه بنفسه أو بوكيله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اتباع ما أوصى به الموصي عموماً وخصوصاً وإطلاقاً وتقييد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عين الموصي للوصي على الأيتام أو على الثلث أجرة على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أذن الموصي للوصي بالوصاية على مال الأيتام أو الثلث جاز له الوصاية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مات ولا وصيّ له وقد أوصى بوصايا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ولاية لوصي الأب على الأطفال مع وجود الجد ولا لوصي الجد مع وجود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وجود شرائط الموصي من حين الوصيّة أو عند الموت أو عند الوصيّة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الوصيّة بالمال بشهادة رجلين عدلين وبشهادة رجل ويمين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الكافر ولاغير المؤمن من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إذا أشهد الموصي عبدين له على أن حمل المملوكة له منه ثمّ ورثهما غير الحمل فأعتقا فشهدا للحمل بالنبوة للموصي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الوصي فيما هو وصيّ فيه ولا ما يجر نفعاً أو يستفيد به 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أوصى بعتق رقبة مطلقاً أجزأ الصغير والكبير والأنثى والذكر والمؤمن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إذا أوصى بعتق رقبة بثمن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أوصى بعتق عبده أو أعتقه قبل الوفاة وليس سواه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أوصى بلفظ مطلق صالح للقليل والكثير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الوصيّة بالمنافع دون الأعيان وبالأعيان دون المنافع وبالنماءات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منجزات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إقرار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لا وارث له هل له أن يوصي بجميع ماله إلى مَنْ شاء أو ليس له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كان على الموصي دَيْنٌ فعزله الوصي وأعطى الورثة الباقي فتلف المال المقابل للدين قبل دفعه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انتقل إلى المريض من ينعتق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خروج المنجز من الثلث خلاف القواعد ويقتصر فيه على مورد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الوديعة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218_273895"/>
      <w:bookmarkStart w:id="11" w:name="pg19218_273895"/>
      <w:bookmarkEnd w:id="11"/>
    </w:p>
    <w:p>
      <w:pPr>
        <w:pStyle w:val="Heading2"/>
        <w:numPr>
          <w:ilvl w:val="1"/>
          <w:numId w:val="1"/>
        </w:numPr>
        <w:rPr/>
      </w:pPr>
      <w:bookmarkStart w:id="12" w:name="pg19218_273895"/>
      <w:bookmarkStart w:id="13" w:name="__RefHeading___Toc13424771_1280447820"/>
      <w:bookmarkStart w:id="14" w:name="_Toc4"/>
      <w:bookmarkEnd w:id="12"/>
      <w:bookmarkEnd w:id="13"/>
      <w:r>
        <w:rPr>
          <w:rtl w:val="true"/>
        </w:rPr>
        <w:t>كتاب الوديعة</w:t>
      </w:r>
      <w:bookmarkEnd w:id="14"/>
    </w:p>
    <w:p>
      <w:pPr>
        <w:pStyle w:val="Heading3"/>
        <w:numPr>
          <w:ilvl w:val="2"/>
          <w:numId w:val="1"/>
        </w:numPr>
        <w:rPr/>
      </w:pPr>
      <w:bookmarkStart w:id="15" w:name="__RefHeading___Toc13424773_1280447820"/>
      <w:bookmarkStart w:id="16" w:name="_Toc5"/>
      <w:bookmarkEnd w:id="15"/>
      <w:r>
        <w:rPr>
          <w:rtl w:val="true"/>
        </w:rPr>
        <w:t>تعريف الوديعة عرفاً وشرعاً ومبدأ اشتقاقها</w:t>
      </w:r>
      <w:bookmarkEnd w:id="16"/>
    </w:p>
    <w:p>
      <w:pPr>
        <w:pStyle w:val="BookText"/>
        <w:rPr/>
      </w:pPr>
      <w:r>
        <w:rPr>
          <w:rFonts w:ascii="Amiri" w:hAnsi="Amiri" w:eastAsia="Amiri" w:cs="Amiri"/>
          <w:color w:val="111111"/>
          <w:sz w:val="28"/>
          <w:sz w:val="28"/>
          <w:szCs w:val="28"/>
          <w:rtl w:val="true"/>
          <w:lang w:bidi="ar-SA"/>
        </w:rPr>
        <w:t xml:space="preserve">وهي فعيلة بمعنى مفعولة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وسكن،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أو من الدعة، وهي الحفظة والراحة،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الرجل فهو وديع وداع؛ لأنّها في دعة عند المودع لا تتغير ولا تتبدل ولا تستعمل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والوديعة في العرف العام هو المال المستودع عند الغير ليحفظه، وأودعته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دفعت إليه الوديعة، وأودعته كذا إذا دفعها إليك فقبلتها، وهو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الاستنابة في حفظ العين من المالك، أو ممّن يقوم مقامه أصالةً، بمعنى كون المقصد الأصلي فيها ذلك، فخرجت العين المستأجرة بيد المستأجر، والعارية بيد المستعير والعين الموكّل على بيعها أو نقلها وغير ذلك، والمال المضارب عليه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عقد قولي أو فعلي أو مركب منهما ثمرته الاستنابة في الحفظ أصالة، وليست من باب الإذن المجرّدة التي لا تفتقر إلى إيجاب وقبول، بل هي من العقود الجائزة بالإجماع، وقد تلزم إذا وقعت شرطاً في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إيجابها القول بأيّ لفظ كان، والفعل الدال على ذلك، وكذا يكفي في قبولها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في الفعل بين كونه معاطاةً أو غيرها، إلّا أنّ الفرق أن الدفع والقبض لو حصل بين المودع والمستودع التزم بالحفظ إلى أن يردّ المال إلى أهله، ولو لم يحصل لم يلزم عليه الحفظ سيما لو كان المال باقياً في بيت مالكه، سواء كانت الوديعة بلفظ أو بفعل دالّ عليها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الوديعة في موضع غير موضع المالك وغير موضع الودعي، ففي تحقق الاستيداع بمجرد القول ولزوم الحفظ إشكال</w:t>
      </w:r>
      <w:r>
        <w:rPr>
          <w:rFonts w:eastAsia="Amiri" w:cs="Amiri" w:ascii="Amiri" w:hAnsi="Amiri"/>
          <w:color w:val="111111"/>
          <w:sz w:val="28"/>
          <w:szCs w:val="28"/>
          <w:rtl w:val="true"/>
          <w:lang w:bidi="ar-SA"/>
        </w:rPr>
        <w:t xml:space="preserve">. </w:t>
      </w:r>
      <w:bookmarkStart w:id="17" w:name="pg19218_273896"/>
    </w:p>
    <w:p>
      <w:pPr>
        <w:pStyle w:val="BookText"/>
        <w:rPr/>
      </w:pPr>
      <w:bookmarkEnd w:id="17"/>
      <w:r>
        <w:rPr>
          <w:rFonts w:ascii="Amiri" w:hAnsi="Amiri" w:eastAsia="Amiri" w:cs="Amiri"/>
          <w:color w:val="111111"/>
          <w:sz w:val="28"/>
          <w:sz w:val="28"/>
          <w:szCs w:val="28"/>
          <w:rtl w:val="true"/>
          <w:lang w:bidi="ar-SA"/>
        </w:rPr>
        <w:t xml:space="preserve">ومشروعية الوديعة ثابتة كتاباً </w:t>
      </w:r>
      <w:r>
        <w:rPr>
          <w:rStyle w:val="FootnoteAnchor"/>
          <w:rtl w:val="true"/>
        </w:rPr>
        <w:footnoteReference w:id="2"/>
      </w:r>
      <w:r>
        <w:rPr>
          <w:rFonts w:ascii="Amiri" w:hAnsi="Amiri" w:eastAsia="Amiri" w:cs="Amiri"/>
          <w:color w:val="111111"/>
          <w:sz w:val="28"/>
          <w:sz w:val="28"/>
          <w:szCs w:val="28"/>
          <w:rtl w:val="true"/>
          <w:lang w:bidi="ar-SA"/>
        </w:rPr>
        <w:t xml:space="preserve">، وسنّةٌ </w:t>
      </w:r>
      <w:r>
        <w:rPr>
          <w:rStyle w:val="FootnoteAnchor"/>
          <w:rtl w:val="true"/>
        </w:rPr>
        <w:footnoteReference w:id="3"/>
      </w:r>
      <w:r>
        <w:rPr>
          <w:rFonts w:ascii="Amiri" w:hAnsi="Amiri" w:eastAsia="Amiri" w:cs="Amiri"/>
          <w:color w:val="111111"/>
          <w:sz w:val="28"/>
          <w:sz w:val="28"/>
          <w:szCs w:val="28"/>
          <w:rtl w:val="true"/>
          <w:lang w:bidi="ar-SA"/>
        </w:rPr>
        <w:t xml:space="preserve">وإجماعاً محصّلاً ومنقولاً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واجبة كفاية للمضطرّ للاستيداع على كافّة المؤمنين؛ لأنّها من المصالح العامّة و ضروريات النظام، فإن انحصر الاستيداع فيه كان واجباً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وجوبه الكفائي والعيني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ومستحبة عند عدم الاضطرار؛ لما فيها من قضاء حاجة المؤمن، وإدخال السرور عليه، والمعاونة على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ومحرّمة على الودعيّ إذا كان الودعيّ عاجزاً عن الحفظ غاراً للمستودع، أو كان عليه في قبول الوديعة ضرر على نفسه أو على ماله أو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مكروهةً إذا كانت مشتملة على شبهةٍ محرّمة، أو كانت لكافر لا يتعلّق بحفظ ماله جهة 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مباحةً إذا خلت عن رجحان في الفعل ورجحان في الترك بحيث لم تشتمل على نيّة التقرّب، أو لم يمكن اشتمالها عليها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3424775_1280447820"/>
      <w:bookmarkStart w:id="19" w:name="_Toc6"/>
      <w:bookmarkEnd w:id="18"/>
      <w:r>
        <w:rPr>
          <w:rtl w:val="true"/>
        </w:rPr>
        <w:t>وهنا أُمور</w:t>
      </w:r>
      <w:r>
        <w:rPr>
          <w:rtl w:val="true"/>
        </w:rPr>
        <w:t>:</w:t>
      </w:r>
      <w:bookmarkEnd w:id="19"/>
    </w:p>
    <w:p>
      <w:pPr>
        <w:pStyle w:val="Heading4"/>
        <w:numPr>
          <w:ilvl w:val="3"/>
          <w:numId w:val="1"/>
        </w:numPr>
        <w:rPr/>
      </w:pPr>
      <w:bookmarkStart w:id="20" w:name="__RefHeading___Toc13424777_1280447820"/>
      <w:bookmarkStart w:id="21" w:name="_Toc7"/>
      <w:bookmarkEnd w:id="20"/>
      <w:r>
        <w:rPr>
          <w:rtl w:val="true"/>
        </w:rPr>
        <w:t>أحدها</w:t>
      </w:r>
      <w:r>
        <w:rPr>
          <w:rtl w:val="true"/>
        </w:rPr>
        <w:t xml:space="preserve">: </w:t>
      </w:r>
      <w:r>
        <w:rPr>
          <w:rtl w:val="true"/>
        </w:rPr>
        <w:t>فى أنّ الوديعة عقد لا إذن</w:t>
      </w:r>
      <w:bookmarkEnd w:id="2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عقد لا إذن، فلو قال شخص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في قبض مالي وحفظه، كان بحكم الوديعة، لا وديعة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وعقدها قولي، وفعليّ، ومركّب منهما، والفعلي دفع وقبض أو غيرهما، وكلّ الصور جائزة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يفتقر في القولي إلى عربية، أو صراحة، أو فعلية، أو ماضويّة، أو ترتيب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اشتراط عدم الفصل الطويل بين الإيجاب والقبول إشكال، كما أن العقد القولي المجرّد عن القبض، أو الفعلي المجرّد عنه من إشارةٍ أو كتابة لا يخلو الحكم من إجراء حكم الوديعة عليهما لو كان المال في يد غير المالك أو مطروحاً من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طرح شخص مالاً عند آخر بقربه أو ببيته أو عليه، فإن لم يفهمه بكونه وديعةً لم تكن وديعة قطعاً، ومجرّد الطرح لا يقضي بذلك، ولكن إن لم يقبل المطروح عنده المال لم يجب عليه حفظه، وإن قبله قولاً أو فعلاً وقد قبضه جرى عليه حكم الوديعة من وجوب الحفظ والضمان؛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وإن لم يُسمَّ وديعةً، وإن قبله ولم يقبضه، كما إذا كان مطروحاً بقربه ولم ينقله أو يمسكه، فلا يُسمّى وديعة، ولا يجري عليه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المال الموضوع في البيت أو تحت اليد إذا قبله صاحب البيت أو الموضوع تحت يده بمنزلة القبض الجديد، فيجري عليه أحكام الضمان وأحكام القبض، فإذا قبله لفظاً أو فعلاً والحال ذلك التزم بحفظه، وضمنه بدون ذلك، وإن فهمه بكونه وديعةً، فإن قبضها أو كانت بحكم المقبوض كانت وديعة وجرى عليه أحكامها، وإن قبلها من دون قبض فإن كانت بيد المالك لم تجر عليها أحكام الوديعة، وإن لم تكن في يده ففي جريان حكم الوديعة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طرح المالك الوديعة عنده ولم يقبل فغاب المالك، فهل يلتزم بالحفظ؛ لأنّه من باب المعاونة على البرّ وإعانة المحتاج، أو لا يلتزم؛ للأصل، ولتعريض المالك ماله للتلف؟ وجهان، أوجههما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غاب المستودع بعد قبض الوديعة وقبولها والمالك حاضر، لم يكن رداً ما لم ينضمّ إلى الذهاب قرائن تدلّ على إرادة الردّ، وحينئذٍ فيضمن الودعيّ لو تلفت الوديعة بعد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أكره المودع على الإيداع لم تكن وديعةً، وكانت أمانة شرعيّة يجب إيصالها إلى أهلها فوراً؛ لعموم وجوب ردّ الأمانة </w:t>
      </w:r>
      <w:r>
        <w:rPr>
          <w:rStyle w:val="FootnoteAnchor"/>
          <w:rtl w:val="true"/>
        </w:rPr>
        <w:footnoteReference w:id="6"/>
      </w:r>
      <w:r>
        <w:rPr>
          <w:rFonts w:ascii="IRNazanin" w:hAnsi="IRNazanin" w:eastAsia="IRNazanin"/>
          <w:color w:val="111111"/>
          <w:sz w:val="28"/>
          <w:sz w:val="28"/>
          <w:szCs w:val="28"/>
          <w:rtl w:val="true"/>
          <w:lang w:bidi="fa-IR"/>
        </w:rPr>
        <w:t>الظاهر في الفورية، ولا يُقبل قوله في الرد، بخلاف الوديعة فإنّه لا يجب ردّها إلّا مع مطالبة المالك أو مَنْ هو بحكمه، وکأنّه موضع 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أكره على قبض الوديعة، لم تكن وديعة، ولا تجري عليها أحكامها أيضاً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زال الإكراه، فإن لم يضع يده عليها فلا كلام، وإن وضع يده اختياراً، فإن كان بنيّة الاستيداع جرى عليها أحكام الوديعة؛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2" w:name="pg19218_273898"/>
    </w:p>
    <w:p>
      <w:pPr>
        <w:pStyle w:val="BookText"/>
        <w:rPr/>
      </w:pPr>
      <w:bookmarkEnd w:id="22"/>
      <w:r>
        <w:rPr>
          <w:rFonts w:ascii="Amiri" w:hAnsi="Amiri" w:eastAsia="Amiri" w:cs="Amiri"/>
          <w:color w:val="111111"/>
          <w:sz w:val="28"/>
          <w:sz w:val="28"/>
          <w:szCs w:val="28"/>
          <w:rtl w:val="true"/>
          <w:lang w:bidi="ar-SA"/>
        </w:rPr>
        <w:t>وهل تكون وديعةً شرعيّة؛ لحصول القبض الاختياري بعد استيداع المالك، ولا يضرّ الفصل بينهما، أو تكون أمانةٌ شرعيّة ؟ وجهان، ولا يبعد الأوّل، فحينئذٍ يجري عليها حكم الأمانات الشرعيّة من وجوب الردّ فوراً من دون مطالبة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وضعه لا بنيّة الاستيداع بل بنيّة الغصب أو بلا نية، كان ضامناً ابتداء، وكانت أمانةٌ شرعيّة يجب إيصالها إلى أهلها فوراً، ولا يُقبل قوله في الردّ</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3424779_1280447820"/>
      <w:bookmarkStart w:id="24" w:name="_Toc8"/>
      <w:bookmarkEnd w:id="23"/>
      <w:r>
        <w:rPr>
          <w:rtl w:val="true"/>
        </w:rPr>
        <w:t>ثانيها</w:t>
      </w:r>
      <w:r>
        <w:rPr>
          <w:rtl w:val="true"/>
        </w:rPr>
        <w:t xml:space="preserve">: </w:t>
      </w:r>
      <w:r>
        <w:rPr>
          <w:rtl w:val="true"/>
        </w:rPr>
        <w:t>فيما يجب على المستودع إذا قبض الوديعة</w:t>
      </w:r>
      <w:bookmarkEnd w:id="24"/>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المستودع الوديعة وجب عليه الحفظ؛ لوجوب الردّ والتأدية كتاباً </w:t>
      </w:r>
      <w:r>
        <w:rPr>
          <w:rStyle w:val="FootnoteAnchor"/>
          <w:rtl w:val="true"/>
        </w:rPr>
        <w:footnoteReference w:id="8"/>
      </w:r>
      <w:r>
        <w:rPr>
          <w:rFonts w:ascii="Amiri" w:hAnsi="Amiri" w:eastAsia="Amiri" w:cs="Amiri"/>
          <w:color w:val="111111"/>
          <w:sz w:val="28"/>
          <w:sz w:val="28"/>
          <w:szCs w:val="28"/>
          <w:rtl w:val="true"/>
          <w:lang w:bidi="ar-SA"/>
        </w:rPr>
        <w:t xml:space="preserve">وسنّةٌ </w:t>
      </w:r>
      <w:r>
        <w:rPr>
          <w:rStyle w:val="FootnoteAnchor"/>
          <w:rtl w:val="true"/>
        </w:rPr>
        <w:footnoteReference w:id="9"/>
      </w:r>
      <w:r>
        <w:rPr>
          <w:rFonts w:ascii="Amiri" w:hAnsi="Amiri" w:eastAsia="Amiri" w:cs="Amiri"/>
          <w:color w:val="111111"/>
          <w:sz w:val="28"/>
          <w:sz w:val="28"/>
          <w:szCs w:val="28"/>
          <w:rtl w:val="true"/>
          <w:lang w:bidi="ar-SA"/>
        </w:rPr>
        <w:t>، ولا يتم إلّا بوجوب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بل وجوب الحفظ دلّ عليه الإجماع، وظاهر أخبار الضمان مع عدم الحفظ </w:t>
      </w:r>
      <w:r>
        <w:rPr>
          <w:rStyle w:val="FootnoteAnchor"/>
          <w:rtl w:val="true"/>
        </w:rPr>
        <w:footnoteReference w:id="10"/>
      </w:r>
      <w:r>
        <w:rPr>
          <w:rFonts w:ascii="Amiri" w:hAnsi="Amiri" w:eastAsia="Amiri" w:cs="Amiri"/>
          <w:color w:val="111111"/>
          <w:sz w:val="28"/>
          <w:sz w:val="28"/>
          <w:szCs w:val="28"/>
          <w:rtl w:val="true"/>
          <w:lang w:bidi="ar-SA"/>
        </w:rPr>
        <w:t>،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الحفظ مشروط ببقاء الوديعة، وإلا فله فسخها وردّ الوديعة فيبرأ من وجوب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المستودع الوديعة ما لم يفرّط فيها أو يتعدى؛ للإجماع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الوديعة والبضاعة مؤتمنان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من وديعةٍ ولم تكن مضمونةٌ فلا تلزم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استودع رجلاً ألف درهم فضاعت فاختلفا في أنّها وديعة أو قرض؟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لازم له، إلّا أن يقيم بيّنةً أنّها كانت وديعةً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يستودع المال فيهلك أو يسرق أعلى صاحبه ضمان؟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غرم بعد أن يكون أميناً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استأجر أجيراً فأقعده على متاعه فشرق،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25" w:name="pg19218_273899"/>
    </w:p>
    <w:p>
      <w:pPr>
        <w:pStyle w:val="Heading4"/>
        <w:numPr>
          <w:ilvl w:val="3"/>
          <w:numId w:val="1"/>
        </w:numPr>
        <w:rPr/>
      </w:pPr>
      <w:bookmarkStart w:id="26" w:name="__RefHeading___Toc13424781_1280447820"/>
      <w:bookmarkStart w:id="27" w:name="_Toc9"/>
      <w:bookmarkEnd w:id="25"/>
      <w:bookmarkEnd w:id="26"/>
      <w:r>
        <w:rPr>
          <w:rtl w:val="true"/>
        </w:rPr>
        <w:t>ثالثها</w:t>
      </w:r>
      <w:r>
        <w:rPr>
          <w:rtl w:val="true"/>
        </w:rPr>
        <w:t xml:space="preserve">: </w:t>
      </w:r>
      <w:r>
        <w:rPr>
          <w:rtl w:val="true"/>
        </w:rPr>
        <w:t>في عدم ضمان الودعيّ لو دفع الوديعة لغير المودع ملجاً أو كرهاً أو تقية</w:t>
      </w:r>
      <w:bookmarkEnd w:id="2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الودعيّ الوديعة لغير المودع ملجاً أو كرهاً أو تقيّه على نفس أو مالٍ يضر بحاله سواء أكثر من الوديعة أو أقلّ، وسواء دفعها بيده أو أخذها الظالم بنفسه، لم يضمن الودعي؛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أمكنه الدفع بما لا يضر بحاله من غيبة أو ادّخار للوديعة أو إنكار، لزمه، ولا يلزمه تحمل الضرر الذي لا يليق بحاله من جرح أو شتم أو سب أو 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أمكنه الدفع بدفع بعض الوديعة دون بعض لزم؛ لوجوب حفظ الكلّ عليه، ولا يُترك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أهمل والحال ذلك ضمن القدر الزائد الذي يمكن حفظه؛ لأن الباقي مأخوذ على التقديرين، مع احتمال ضمان الجميع؛ لتفريطه في حفظه له في الجملة، والمفرط ضامن وإن تلفت بغير 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أمكنه الدفع بمالٍ آخر للمودع عنده أقل من الوديعة، ففي لزومه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أمكنه الدفع بمالٍ منه بنيّة الرجوع على المودع، ففي لزومه وجواز الرجوع؛ لأنّه محسن وما على المحسنين من سبيل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أخبر الظالم بالوديعة ابتداءً،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أخبر السارق بمكانها أو بها إذا ترتب على ذلك علمه بمكانها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سأله الظالم عنها فأقرّ بها أو بمكانها خوفاً من الكذب؛ لأنّ الكذب جائز وتركه تفريط،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يُبغض الصدق في الإفساد كما يُحبّ الكذب في الإصلاح</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المودع يرجع على الظالم بالوديعة لو قبضها بيده، أو دخلت في خزانته في وجه قوي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رجوع المودع على المستودع لو دفعها بيده إلى الظالم قهراً، ويرجع هو على الظالم؛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نظر؛ لأنّ دفعها بالإذن الشرعيّة، والأصل فيها عدم ثبوت الضمان وإن لم تنافه وكلاهما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الظالم الوديعة فتوقف دفعه على اليمين الكاذبة بأنّها ليست عنده، لزم عليه الحلف الكاذب لتخليص الوديعة، ويضمن مع تركه، أو مع الإقرار بها؛ لارتفاع قبح الكذب واليمين الكاذبة حينئذٍ، كما يظهر من الأخبار 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من شيءٍ أو حلفتم عليه من يمين في تقية فأنتم منه في سعة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احلف باللّه تعالى كاذباً ونج أخاك من القتل</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يمر بالعشّار فيطلب منه أن يحلف له باللّه ويخلي سبيله،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فاحلف لهم فإنّه أحلى من التمر والزبد</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رابع مثله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تصدّقت عليه أمه بدارٍ فادعى شراءها ودفع الثمن ليأخذها، فسأل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الأم،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احلف وخُذ ما جعلت لك</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مهما أمكن الحالف أن يورّي بيمينه وجب تخلّصاً من الكذب بحسب النية وإن تساويا بحسب الظاهر، ولأنّه أقلّ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يحلف وضميره على غير ما حلف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مثله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يمكنه التورية، لزمه قصد اللفظ فقط دون نيّة عقد اليمين</w:t>
      </w:r>
      <w:r>
        <w:rPr>
          <w:rFonts w:eastAsia="Amiri" w:cs="Amiri" w:ascii="Amiri" w:hAnsi="Amiri"/>
          <w:color w:val="111111"/>
          <w:sz w:val="28"/>
          <w:szCs w:val="28"/>
          <w:rtl w:val="true"/>
          <w:lang w:bidi="ar-SA"/>
        </w:rPr>
        <w:t xml:space="preserve">. </w:t>
      </w:r>
      <w:bookmarkStart w:id="28" w:name="pg19218_273901"/>
    </w:p>
    <w:p>
      <w:pPr>
        <w:pStyle w:val="Heading4"/>
        <w:numPr>
          <w:ilvl w:val="3"/>
          <w:numId w:val="1"/>
        </w:numPr>
        <w:rPr/>
      </w:pPr>
      <w:bookmarkStart w:id="29" w:name="__RefHeading___Toc13424783_1280447820"/>
      <w:bookmarkStart w:id="30" w:name="_Toc10"/>
      <w:bookmarkEnd w:id="28"/>
      <w:bookmarkEnd w:id="29"/>
      <w:r>
        <w:rPr>
          <w:rtl w:val="true"/>
        </w:rPr>
        <w:t>رابعها</w:t>
      </w:r>
      <w:r>
        <w:rPr>
          <w:rtl w:val="true"/>
        </w:rPr>
        <w:t xml:space="preserve">: </w:t>
      </w:r>
      <w:r>
        <w:rPr>
          <w:rtl w:val="true"/>
        </w:rPr>
        <w:t>بطلان الوديعة بالفسخ من المودع والمستودع</w:t>
      </w:r>
      <w:bookmarkEnd w:id="3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 تبطل بالفسخ من المودع والمستودع، سواء كانت إذناً أو عقداً جائزاً؛ لأن العقد الجائز للمتعاقدين فسخه متى شاءا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يجري بعد الفسخ عليها حكم الوديعة المالكية أو الأمانة الشرعيّة؟ وجهان، أقواهما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عقد الوديعة فاسداً؛ لفساد صيغته، فالأظهر إجراء حكم الوديعة المالكية عليه؛ تبعاً لبقاء الإذن المطلقة في القبض والحفظ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الفساد لاشتراط شرط فاسد کاشتراط الضمان فلا يبعد أنّها تعود أمانةً 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طرأ على المودع أو المستودع موت أو جنون أو سفه، انفسخ عقد الوديعة، وبقيت أمانة شرعيّة يجب ردّها فوراً وإن لم يطالب بها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قوله في الردّكما يُقبل قول المستودع في الوديعة المالكية؛ للأصل، ولأنّه لم يقبض من يد المالك لمصلحته ولم يستأمنه المالك فيها، فحكمها كحكم مال اللقطة ومجهول المالك ومال المضاربة والعارية والإجارة في عدم قبول قول المؤتمن في الردّ، وحكم ما لو أطارت الريح ثوباً في بيته ولم يعلم صاحبه، أو اشترى صندوقاً فوجد فيه متاعاً لصاحب الصندوق، أو أخذ من يد الصبي أو المجنون مالاً ببيع أو إجارة أو عارية أو وديعة، أو نزع المغصوب من غاصبه لصاحبه حشبة، أو وجد بيد من ولي عليه مالاً من سرقةٍ أو لعب بالجوز والقمار، إلّا أن من هذه ما يكون مضموناً على القابض ومنه ما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الميّت إذا كان المودع لزم على المستودع السؤال عن الوارث ودفع الوديعة إليه أو إلى وكيله أو وليه، فإن كان غائباً أو لم يتمكن من الوصول إليه دفع الوديعة إلى الحاكم الشرعي أو إلى عدول المسلمين إن لم يجد من نفسه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سأل ولم يعثر على وارث دفعها إلى الحاكم الشرعي ليتطلب الوارث، فإن لم يجد كان هو الوارث لمن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 وارثاً واحداً ولم يعلم غيره، جاز دفع المال إليه؛ لأصالة عدم وارث آخر، وجاز أن يمنع عنه قدر ما يحتمله أنّه لغيره؛ لأصالة عدم استحقاقه جميع الإرث</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لا ضمان عليه لو منع؛ لاحتمال وارث آخر، ولا ضمان عليه لو دفع؛ لأصالة عدمه، ولثبوت كون الموجود وارثاً والأصل عدم مانع آخر له عن الإرث</w:t>
      </w:r>
      <w:r>
        <w:rPr>
          <w:rFonts w:eastAsia="Amiri" w:cs="Amiri" w:ascii="Amiri" w:hAnsi="Amiri"/>
          <w:color w:val="111111"/>
          <w:sz w:val="28"/>
          <w:szCs w:val="28"/>
          <w:rtl w:val="true"/>
          <w:lang w:bidi="ar-SA"/>
        </w:rPr>
        <w:t xml:space="preserve">. </w:t>
      </w:r>
      <w:bookmarkStart w:id="31" w:name="pg19218_273902"/>
    </w:p>
    <w:p>
      <w:pPr>
        <w:pStyle w:val="BookText"/>
        <w:rPr/>
      </w:pPr>
      <w:bookmarkEnd w:id="31"/>
      <w:r>
        <w:rPr>
          <w:rFonts w:ascii="Amiri" w:hAnsi="Amiri" w:eastAsia="Amiri" w:cs="Amiri"/>
          <w:color w:val="111111"/>
          <w:sz w:val="28"/>
          <w:sz w:val="28"/>
          <w:szCs w:val="28"/>
          <w:rtl w:val="true"/>
          <w:lang w:bidi="ar-SA"/>
        </w:rPr>
        <w:t>ويحتمل ضمانه مع الدفع لواحدٍ ؛ لأنّ الإذن الإلهية لا تنافي الضمان، وإن كان الأصل فيها عدمه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3424785_1280447820"/>
      <w:bookmarkStart w:id="33" w:name="_Toc11"/>
      <w:bookmarkEnd w:id="32"/>
      <w:r>
        <w:rPr>
          <w:rtl w:val="true"/>
        </w:rPr>
        <w:t>خامسها</w:t>
      </w:r>
      <w:r>
        <w:rPr>
          <w:rtl w:val="true"/>
        </w:rPr>
        <w:t xml:space="preserve">: </w:t>
      </w:r>
      <w:r>
        <w:rPr>
          <w:rtl w:val="true"/>
        </w:rPr>
        <w:t>في أنّ المرجع في حفظ الوديعة العرف والعادة</w:t>
      </w:r>
      <w:bookmarkEnd w:id="3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الحكم بوجوب الحفظ على الودعي، فالمرجع فيه إلى العرف والعادة؛ حيث لم يكن له حد شرعي، فيجب حفظ الدراهم والدنانير في خزانة أو صندوق مقفولين، ومثلهما ما يكون بحكمهما عرفاً وعادةً من الثياب والأواني والجواهر، ويجب حفظ الطعام في البيت، وكذا كثير من الفرش والأواني، ويجب حفظ الدابّة في المكان المعتاد لها، والشاة مراحها، وكذا البقر والإبل، ويجب حفظ الجارية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خالف من الأعلى إلى الأدنى ضمن ولو عكس لم يضمن، إلّا إذا كان محلّ خطر، كما إذا وضع الشاة في مكانٍ مقفول فاحتصرت فماتت مع احتمال الضمان مطلقاً؛ لأنّ مخالفة العادة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لزوم حفظ كلّ في محلّه المعتاد للحفظ فيه بين كون الودعيّ مالكاً له وحاصلاً عنده، وبين ما لم يكن فيجب عليه تحصيله، وبين ما كان المودع عالماً بكونه عنده أو لم يكن، إلّا إذا فهم من حال المودع أنّه أذن في وضعه في غير الحرز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وضع الوديعة في المكان المشترك بينه وبين غيره ولو كان أميناً ما لم يأذن له المودع، فلو وضع الوديعة في صندوق مشترك أو بيتٍ كذلك بحيث يدخل فيه غيره، ضمن، وهذا ظاهر جملة من الأصحاب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 يخلو من ضعف، بل الحق أنّ الاشتراك إن كان بين الودعيّ وبين أجنبي أو بين مجهول الحال عنده، ضمن ولو كان بين عياله أو أولاده أو إخوانه أو جواريه الذين يأمن منهم عادةً ويضع أمواله بأيديهم غالباً، فإنّه لا ضمان؛ لجريان العادة بحفظ الودائع على ذلك النحو، والاحتياط غير خفيٍّ</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3424787_1280447820"/>
      <w:bookmarkStart w:id="35" w:name="_Toc12"/>
      <w:bookmarkEnd w:id="34"/>
      <w:r>
        <w:rPr>
          <w:rtl w:val="true"/>
        </w:rPr>
        <w:t>سادسها</w:t>
      </w:r>
      <w:r>
        <w:rPr>
          <w:rtl w:val="true"/>
        </w:rPr>
        <w:t xml:space="preserve">: </w:t>
      </w:r>
      <w:r>
        <w:rPr>
          <w:rtl w:val="true"/>
        </w:rPr>
        <w:t>فيما يجب على الودعيّ لو أودع المودع عنده دابّة وقبلها المستودع</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أودع عنده دابّة وقبلها المستودع، وجب على الودعيّ الإنفاق عليها، كما يجب عليه حفظها وحراستها من العوارض ومن المؤذى من الحيوان، صغيراً كان أو كبيراً، ولا يجب عليه المباشرة بنفسه بل بما تقضي به العادة منه أو من وكيله أو من عبيده أو أزواجه </w:t>
      </w:r>
    </w:p>
    <w:p>
      <w:pPr>
        <w:pStyle w:val="BookText"/>
        <w:rPr/>
      </w:pPr>
      <w:r>
        <w:rPr>
          <w:rFonts w:ascii="Amiri" w:hAnsi="Amiri" w:eastAsia="Amiri" w:cs="Amiri"/>
          <w:color w:val="111111"/>
          <w:sz w:val="28"/>
          <w:sz w:val="28"/>
          <w:szCs w:val="28"/>
          <w:rtl w:val="true"/>
          <w:lang w:bidi="ar-SA"/>
        </w:rPr>
        <w:t>بشرط الائتمان، وكونه ممّن لا يباشر بنفسه عادة، ولا يثبت له أُجرة المثل؛ لظهور التبرع في عمل الودعيّ إلّا مع الشرط، أو جريان العادة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النفقة من مال المالك، فإن لم يدفع المالك النفقة وأمره بالإنفاق عليه، وجب عليه أيضاً بذل المال للنفقة ورجع بها إلى المالك؛ لظهور الأمر بالرجوع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المودع فلم يأمره بالإنفاق ولا ببذل المال ولم ينهه عنهما، لزمه أيضاً الإنفاق وبذل المال، ولكن إن كان المالك موجوداً توصل إلى إذنه أو إذن وكيله، ويرجع عليه بعد ذلك، وإلا رجع إلى الحاكم، فإن أنفق منه أو من بيت المال فلا كلام، وإلا أذن للمستودع بالإنفاق بنيّة الرجوع، فإن أنفق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وللحاكم أن يأذن للمستودع بالاستدانة والرجوع على المالك، وله أن يأذن له ببيع بعض الوديعة أو قبولها بالإنفاق عليها وحفظ باقيها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أنفق المستودع من دون رجوع إلى الحاكم، جاز، ولا ضمان عليه، بل لا يبعد أن له أن ينفق بنيّة الرجوع ويرجع مع الإشهاد من غير حاجة إلى الرجوع إلى الحاكم؛ لأنّه محسن، وما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الإيداع مع الإطلاق بمنزلة الإذن الضمنية في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يوجد الحاكم أنفق بنيّة الرجوع ورجع على المودع، والأحوط الرجوع إلى عدول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قول المستودع في نيّة الرجوع؛ عملاً بالظاهر، ولأنّه أبصر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انضمام اليمين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قدر النفقة أو طول زمانها، فالقول قول المودع؛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النفقة الدواء المحتاج إليه في الحفظ، والظرف المحتاج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الحيوان غيره، كسقي الشجر والزرع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نهي المالك عن الإنفاق بعد قبول الوديعة، وجب على المستودع الإنفاق إن كان حيواناً، وإن لم يكن حيواناً فلا وجوب، ولا ضمان عليه بعدم الإنفاق على أي تقدير؛ لإذن المالك له في إتلاف ماله كما يأمره بقتل حيوانه، ولكن لو أنفق مع الوجوب فإن كان بإذن الحاكم ونيّة الرجوع رجع، وإن لم يكن بإذن الحاكم ففي رجوعه مع نيّة الرجوع إشكال</w:t>
      </w:r>
      <w:r>
        <w:rPr>
          <w:rFonts w:eastAsia="Amiri" w:cs="Amiri" w:ascii="Amiri" w:hAnsi="Amiri"/>
          <w:color w:val="111111"/>
          <w:sz w:val="28"/>
          <w:szCs w:val="28"/>
          <w:rtl w:val="true"/>
          <w:lang w:bidi="ar-SA"/>
        </w:rPr>
        <w:t xml:space="preserve">. </w:t>
      </w:r>
      <w:bookmarkStart w:id="36" w:name="pg19218_273904"/>
    </w:p>
    <w:p>
      <w:pPr>
        <w:pStyle w:val="BookText"/>
        <w:rPr/>
      </w:pPr>
      <w:bookmarkEnd w:id="36"/>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إنفاقه بعد نهي المالك من دون رجوع إلى الحاكم تعدٍّ مقتض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حينئذٍ الرجوع إلى الحاكم لينفق هو، أو يبيع بعضاً من الوديعة لحفظ باقيها، أو يأمر المستودع بالاستدانة أو بالإنفاق بنيّة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يوجد الحاكم لزمه الإنفاق، وكان نهي المالك لا عبرة به، وجاز له الرجوع بعد نيته</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3424789_1280447820"/>
      <w:bookmarkStart w:id="38" w:name="_Toc13"/>
      <w:bookmarkEnd w:id="37"/>
      <w:r>
        <w:rPr>
          <w:rtl w:val="true"/>
        </w:rPr>
        <w:t>سابعها</w:t>
      </w:r>
      <w:r>
        <w:rPr>
          <w:rtl w:val="true"/>
        </w:rPr>
        <w:t xml:space="preserve">: </w:t>
      </w:r>
      <w:r>
        <w:rPr>
          <w:rtl w:val="true"/>
        </w:rPr>
        <w:t>لو عين المودع للوديعة حرزاً وجب على المستودع وضعها في حرزها</w:t>
      </w:r>
      <w:bookmarkEnd w:id="38"/>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المودع للوديعة حرزاً على جهة تعيين الجنسية أو النوعية أو الشخصية، لزم المستودع ذلك، ولا يجوز له وضعه في غيره أو نقله منه بعد وضعه فيه، سواء في ذلك الأدنى والمساوي في الحفظ، بل والأعلى إذا لم يفهم أنّ القصد في التعيين هو نفس الحفظ، فيكون الأعلى داخلاً بمفهوم الأولوية، ومثله المساوي في دخوله بمفهوم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يظهر من المودع أن المقصود هو نفس الحفظ سواء ظهر خلافه أو شكّ في قصده، فالحكم فيه بعدم جواز التغيير والنقل مطلقاً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الإيداع يقضي بأن المقصود هو نفس الحفظ لا غيره، وحينئذٍ فيتّجه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بين الأعلى فيجوز، وبين المساوي فلا يجوز؛ للفرق بين مفهوم المساواة والأولوية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الظاهر من الإيداع هو إرادة نفس الحفظ لصدق التعدّي عرفاً مع مخالفة المالك فيما نص عليه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3424791_1280447820"/>
      <w:bookmarkStart w:id="40" w:name="_Toc14"/>
      <w:bookmarkEnd w:id="39"/>
      <w:r>
        <w:rPr>
          <w:rtl w:val="true"/>
        </w:rPr>
        <w:t>ثامنها</w:t>
      </w:r>
      <w:r>
        <w:rPr>
          <w:rtl w:val="true"/>
        </w:rPr>
        <w:t xml:space="preserve">: </w:t>
      </w:r>
      <w:r>
        <w:rPr>
          <w:rtl w:val="true"/>
        </w:rPr>
        <w:t>في أنّه تضمن الوديعة بالتعدّي والتفريط</w:t>
      </w:r>
      <w:bookmarkEnd w:id="40"/>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الوديعة بالتعدّي والتفريط؛ للإجماع بقسميه </w:t>
      </w:r>
      <w:r>
        <w:rPr>
          <w:rStyle w:val="FootnoteAnchor"/>
          <w:rtl w:val="true"/>
        </w:rPr>
        <w:footnoteReference w:id="29"/>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وضع عند رجل وديعةً فوضعها في منزل جاره فضاعت هل يجب عليه إذا خالف أمره وأخرجها عن ملكه؟ فوقع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لها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ومرجع التعدّي والتفريط إلى العرف ومرجع التعدّي إلى فعل ما لا يجوز فعله في الأمانة مع عدم إذن المالك به، ومرجع التفريط إلى ترك ما لا يجوز تركه مع عدم إذن المالك 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الثوب، وركوب الدابّة، وإنكار الوديعة مع مطالبة المالك أو مطلقاً على </w:t>
      </w:r>
      <w:bookmarkStart w:id="41" w:name="pg19218_273905"/>
    </w:p>
    <w:p>
      <w:pPr>
        <w:pStyle w:val="BookText"/>
        <w:rPr/>
      </w:pPr>
      <w:bookmarkEnd w:id="41"/>
      <w:r>
        <w:rPr>
          <w:rFonts w:ascii="Amiri" w:hAnsi="Amiri" w:eastAsia="Amiri" w:cs="Amiri"/>
          <w:color w:val="111111"/>
          <w:sz w:val="28"/>
          <w:sz w:val="28"/>
          <w:szCs w:val="28"/>
          <w:rtl w:val="true"/>
          <w:lang w:bidi="ar-SA"/>
        </w:rPr>
        <w:t>قول، أو نقلها إلى مكان آخر، أو السفر بها، أو فتح قفلها، أو فتح الكيس المختوم، أو تناول شيءٍ منه، أو النسخ على الكتاب مع فتحه والتصرف فيه، وأما النسخ عليه مفتوحاً، أو النقش على الوديعة من بعد فالظاهر أنّه ليس من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الوديعة مع غيرها، سواء كان ممّا يتميّز أم لا، وليس منه جعل الودائع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فالضابط ما يُعدّ به خائناً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نفقة الدابّة، وترك التحفظ عليها، وترك جعلها في الحرز، وترك نشر الثوب وطيّه ولبسه في مقام لزوم لبسه، وترك نقلها، أو السفر بها مع لزومهما، إلى غير ذلك، وقد حكي الإجماع على الضمان في كثير ممّا ذكرنا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به غيره؛ للمساواة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المنقول عن الصدوق في الرهن الذي هو بحكم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بترك نشر الثوب وطيه ولو احتاج إليه </w:t>
      </w:r>
      <w:r>
        <w:rPr>
          <w:rStyle w:val="FootnoteAnchor"/>
          <w:rtl w:val="true"/>
        </w:rPr>
        <w:footnoteReference w:id="32"/>
      </w:r>
      <w:r>
        <w:rPr>
          <w:rFonts w:ascii="Amiri" w:hAnsi="Amiri" w:eastAsia="Amiri" w:cs="Amiri"/>
          <w:color w:val="111111"/>
          <w:sz w:val="28"/>
          <w:sz w:val="28"/>
          <w:szCs w:val="28"/>
          <w:rtl w:val="true"/>
          <w:lang w:bidi="ar-SA"/>
        </w:rPr>
        <w:t>، كما يظهر من جملةٍ من الأخبار ذلك،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رهن عنده ثياباً تركها مطوية لم يتعدّها ولم ينشرها حتّى هلكت،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نحو واحد يكون حقه عليه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نحوه غيره </w:t>
      </w:r>
      <w:r>
        <w:rPr>
          <w:rStyle w:val="FootnoteAnchor"/>
          <w:rtl w:val="true"/>
        </w:rPr>
        <w:footnoteReference w:id="34"/>
      </w:r>
      <w:r>
        <w:rPr>
          <w:rFonts w:ascii="Amiri" w:hAnsi="Amiri" w:eastAsia="Amiri" w:cs="Amiri"/>
          <w:color w:val="111111"/>
          <w:sz w:val="28"/>
          <w:sz w:val="28"/>
          <w:szCs w:val="28"/>
          <w:rtl w:val="true"/>
          <w:lang w:bidi="ar-SA"/>
        </w:rPr>
        <w:t xml:space="preserve">، وكذا في المنقول عن المقنع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قصور عن الدلالة على نفى الضمان وغايته أنّه دال على بقاء الدين، ولا ملازمة بينه وبين عدم الضمان إلّا على القول بوقوع التهاتر القهري بين الدينين، وهو محلّ كلام</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3424793_1280447820"/>
      <w:bookmarkStart w:id="43" w:name="_Toc15"/>
      <w:bookmarkEnd w:id="42"/>
      <w:r>
        <w:rPr>
          <w:rtl w:val="true"/>
        </w:rPr>
        <w:t>تاسعها</w:t>
      </w:r>
      <w:r>
        <w:rPr>
          <w:rtl w:val="true"/>
        </w:rPr>
        <w:t xml:space="preserve">: </w:t>
      </w:r>
      <w:r>
        <w:rPr>
          <w:rtl w:val="true"/>
        </w:rPr>
        <w:t>عدم صحّة الوديعة من المجنون والصبي</w:t>
      </w:r>
      <w:bookmarkEnd w:id="43"/>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الوديعة من المجنون والصبي، وفي صحتها من السفيه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أودع الصبي أو المجنون مالاً، ضمنه القابض، ولا يبرأ برده عليهما، بل لا بدّ من ردّه فوراً على الوليّ أو الوصي أو الحاكم الشرعي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خيف من التلف على ما في يد الطفل أو المجنون فقبضهما القابض حسبةٌ لم يضمن، </w:t>
      </w:r>
      <w:bookmarkStart w:id="44" w:name="pg19218_273906"/>
    </w:p>
    <w:p>
      <w:pPr>
        <w:pStyle w:val="BookText"/>
        <w:rPr/>
      </w:pPr>
      <w:bookmarkEnd w:id="44"/>
      <w:r>
        <w:rPr>
          <w:rFonts w:ascii="Amiri" w:hAnsi="Amiri" w:eastAsia="Amiri" w:cs="Amiri"/>
          <w:color w:val="111111"/>
          <w:sz w:val="28"/>
          <w:sz w:val="28"/>
          <w:szCs w:val="28"/>
          <w:rtl w:val="true"/>
          <w:lang w:bidi="ar-SA"/>
        </w:rPr>
        <w:t>إلا مع التعدّي أو التفريط أو تأخير الردّ إلى وليهما فوراً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أودع الكامل طفلاً أو مجنوناً غير مميزين لم يضمنا، سواء كان جاهلاً بهما أو عالماً، وسواء أتلفا بتعد أو تفريط أو بغيرهما، وسواء تلف المال لنفسه أو أتلفاه، كلّ ذلك للأصل، ولأن الأصل في الضمان مترتبة على وجوب الحفظ ولا وجوب عليهما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أودع مميزاً، احتمل ضمانه مطلقاً ؛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وهو من خطاب الوضع، فلا يختص بالمكلّفين خاصّة، واحتمل عدمه مطلقاً؛ لانصراف الخطاب إلى المكلّفين؛ لأنّ الغالب تبعية الخطاب الوضعي للخطاب الشرعي، واحتمل التفصيل بين ما إذا تعدّى أو فرّط فإنّه يضمن، وبين ما لم يتعدّ أو يفرّط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مباشرة الإتلاف فيضمن وبين عدمه فلا؛ تمسكاً بعموم ما دلّ على ضمان مَنْ أتلف مال غيره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3424795_1280447820"/>
      <w:bookmarkStart w:id="46" w:name="_Toc16"/>
      <w:bookmarkEnd w:id="45"/>
      <w:r>
        <w:rPr>
          <w:rtl w:val="true"/>
        </w:rPr>
        <w:t>عاشرها</w:t>
      </w:r>
      <w:r>
        <w:rPr>
          <w:rtl w:val="true"/>
        </w:rPr>
        <w:t xml:space="preserve">: </w:t>
      </w:r>
      <w:r>
        <w:rPr>
          <w:rtl w:val="true"/>
        </w:rPr>
        <w:t>وجوب ردّ الوديعة على المالك أو وكيله إن كان حاضراً وإن كان غائباً انتظره</w:t>
      </w:r>
      <w:bookmarkEnd w:id="46"/>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الوديعة على المالك أو وكيله إن كان حاضراً، وإن كان غائباً انتظره، ولا يجوز له أن يدفعها إلى غيره ولو إلى الحاكم، إلّا لضرورة كالخوف عليها أو التقية أو إرادة السفر المضطر إليه فيجوز دفعها إلى الحاكم، وإلا فإلى عدول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جواز دفعها إلى الحاكم إذا لم يكن المالك حاضراً مطلقاً، سواء اضطر إلى الدفع أم لم يضطرّ إليه؛ لعموم ولاية الحاكم على مال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ضعيف؛ لمخالفته لظاهر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الحاكم القبول عند الردّ إليه؛ لأنّه مُعدّ للمصالح العامّة وولي على ما لا وليّ له، أو لا يجب؛ للأصل؟ وجهان، والأحوط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الحكم في كلّ أمانة، وفي الدَّيْن عند غيبة الغريم وإرادة صاحبه الوفاء، وفي المغصوب عند إرادة إرجاعه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3424797_1280447820"/>
      <w:bookmarkStart w:id="48" w:name="_Toc17"/>
      <w:bookmarkEnd w:id="47"/>
      <w:r>
        <w:rPr>
          <w:rtl w:val="true"/>
        </w:rPr>
        <w:t>حادي عشرها</w:t>
      </w:r>
      <w:r>
        <w:rPr>
          <w:rtl w:val="true"/>
        </w:rPr>
        <w:t xml:space="preserve">: </w:t>
      </w:r>
      <w:r>
        <w:rPr>
          <w:rtl w:val="true"/>
        </w:rPr>
        <w:t>وجوب ردّ الوديعة إلى المالك عند المطالبة</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 الوديعة إلى المالك عند المطالبة بمعنى رفع يده عنها والتخلية بينه وبينها؛ للإجماع والآية </w:t>
      </w:r>
      <w:r>
        <w:rPr>
          <w:rStyle w:val="FootnoteAnchor"/>
          <w:rtl w:val="true"/>
        </w:rPr>
        <w:footnoteReference w:id="37"/>
      </w:r>
      <w:r>
        <w:rPr>
          <w:rFonts w:ascii="Amiri" w:hAnsi="Amiri" w:eastAsia="Amiri" w:cs="Amiri"/>
          <w:color w:val="111111"/>
          <w:sz w:val="28"/>
          <w:sz w:val="28"/>
          <w:szCs w:val="28"/>
          <w:rtl w:val="true"/>
          <w:lang w:bidi="ar-SA"/>
        </w:rPr>
        <w:t>والأخبار،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استودع آخر وهو خارجي شيطان </w:t>
      </w:r>
    </w:p>
    <w:p>
      <w:pPr>
        <w:pStyle w:val="BookText"/>
        <w:rPr/>
      </w:pPr>
      <w:r>
        <w:rPr>
          <w:rFonts w:ascii="Amiri" w:hAnsi="Amiri" w:eastAsia="Amiri" w:cs="Amiri"/>
          <w:color w:val="111111"/>
          <w:sz w:val="28"/>
          <w:sz w:val="28"/>
          <w:szCs w:val="28"/>
          <w:rtl w:val="true"/>
          <w:lang w:bidi="ar-SA"/>
        </w:rPr>
        <w:t>ولم أدع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 فإنّه ائتمنه عليه بأمانة اللّه تعالى</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وفي آخر دالّ على لزوم ردّ الوديعة ولو إلى قاتل ولد الأنبياء </w:t>
      </w:r>
      <w:r>
        <w:rPr>
          <w:rStyle w:val="FootnoteAnchor"/>
          <w:rtl w:val="true"/>
        </w:rPr>
        <w:footnoteReference w:id="39"/>
      </w:r>
      <w:r>
        <w:rPr>
          <w:rFonts w:ascii="Amiri" w:hAnsi="Amiri" w:eastAsia="Amiri" w:cs="Amiri"/>
          <w:color w:val="111111"/>
          <w:sz w:val="28"/>
          <w:sz w:val="28"/>
          <w:szCs w:val="28"/>
          <w:rtl w:val="true"/>
          <w:lang w:bidi="ar-SA"/>
        </w:rPr>
        <w:t xml:space="preserve">، وفي ثالث ولو كان سيف 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منها أنّه لا يتفاوت في وجوب الردّ بين كون المال لمسلم أو كافر حربي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كون مال الحربي فيئاً للمسلم؛ للزوم تخصيص ذلك بالوديعة، أو الحكم بكونه للمسلم، ومع ذلك فيجب رده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بعضهم ردّ وديعة الحربي إلى سلطان المسلمين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الأصحاب لزوم الردّ فوراً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وناقشهم بعض المتأخرين؛ لعدم دلالة الأمر على الفور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وذلك لأن المقتضي للفور ليس مجرّد الأمر بل هو حرمة وضع اليد على مال الغير في جميع الأزمان، خرج زمن الفور،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بالفور الفور العرفي، فلا يجب على المستودع الركض والسرعة في المشي على غير النحو المعتاد، ولا يجب عليه قطع الفريضة، أو ترك ما يضر بحاله تركه عادة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قطع النافلة، ولا قطع الحمّام، ولا قطع الأكل والشرب، ولا المسير في المطر،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تفسد العبادة الموسّعة عند فعلها بوقت المطالبة؟ يبنى على أنّ الأمر بالشيء هل يقتضي النهي عن ضدّه الخاص، أم لا؟</w:t>
      </w:r>
    </w:p>
    <w:p>
      <w:pPr>
        <w:pStyle w:val="BookText"/>
        <w:rPr/>
      </w:pPr>
      <w:r>
        <w:rPr>
          <w:rFonts w:ascii="Amiri" w:hAnsi="Amiri" w:eastAsia="Amiri" w:cs="Amiri"/>
          <w:color w:val="111111"/>
          <w:sz w:val="28"/>
          <w:sz w:val="28"/>
          <w:szCs w:val="28"/>
          <w:rtl w:val="true"/>
          <w:lang w:bidi="ar-SA"/>
        </w:rPr>
        <w:t>وقد يقال على القول بالاقتضاء بعدم فساد العبادة؛ للسيرة الدالّة على عدم الفساد، وللزوم العسر والحرج لو قلنا بالفساد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الإشهاد على المودع في ردّ الوديعة عذر عن الفورية مطلقاً، أو ليس بعذر مطلقاً، أو التفصيل بين ما يكون أخذها بالإشهاد فيكون التأخير إليه عذراً، وبين ما لم يكن فلا يكون عذراً؟ </w:t>
      </w:r>
      <w:bookmarkStart w:id="49" w:name="pg19218_273908"/>
    </w:p>
    <w:p>
      <w:pPr>
        <w:pStyle w:val="BookText"/>
        <w:rPr/>
      </w:pPr>
      <w:bookmarkEnd w:id="49"/>
      <w:r>
        <w:rPr>
          <w:rFonts w:ascii="Amiri" w:hAnsi="Amiri" w:eastAsia="Amiri" w:cs="Amiri"/>
          <w:color w:val="111111"/>
          <w:sz w:val="28"/>
          <w:sz w:val="28"/>
          <w:szCs w:val="28"/>
          <w:rtl w:val="true"/>
          <w:lang w:bidi="ar-SA"/>
        </w:rPr>
        <w:t>والأوجه أنّه في الوديعة ليس بعذر؛ لتصديق قول الودعيّ في الردّ دون غيره،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الإشهاد لدفع ضرر اليمين ولو صادقاً، ومثل الإشهاد علم الناس بها</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3424799_1280447820"/>
      <w:bookmarkStart w:id="51" w:name="_Toc18"/>
      <w:bookmarkEnd w:id="50"/>
      <w:r>
        <w:rPr>
          <w:rtl w:val="true"/>
        </w:rPr>
        <w:t>ثاني عشرها</w:t>
      </w:r>
      <w:r>
        <w:rPr>
          <w:rtl w:val="true"/>
        </w:rPr>
        <w:t xml:space="preserve">: </w:t>
      </w:r>
      <w:r>
        <w:rPr>
          <w:rtl w:val="true"/>
        </w:rPr>
        <w:t>لزوم اتباع نهى المالك لو نهى صريحاً عن جعل الوديعة في مكان معين</w:t>
      </w:r>
      <w:bookmarkEnd w:id="51"/>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نهي المالك صريحاً عن جعل الوديعة في مكان معين، لزم اتّباعه، وضمن المستودع بمخالفته، سواء كان مساوياً أو أحرز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النهي الصريح والنهي الضمني التابع للأمر بوضعها في مكانٍ معين، حيث احتملنا أن نقلها إلى المساوي أو إلى الأحرز لا يوجب ضماناً، بل ربما ادعي الإجماع على أن نقلها إلى الأحرز جائز وغير موجبِ للضمان </w:t>
      </w:r>
      <w:r>
        <w:rPr>
          <w:rStyle w:val="FootnoteAnchor"/>
          <w:rtl w:val="true"/>
        </w:rPr>
        <w:footnoteReference w:id="44"/>
      </w:r>
      <w:r>
        <w:rPr>
          <w:rFonts w:ascii="Amiri" w:hAnsi="Amiri" w:eastAsia="Amiri" w:cs="Amiri"/>
          <w:color w:val="111111"/>
          <w:sz w:val="28"/>
          <w:sz w:val="28"/>
          <w:szCs w:val="28"/>
          <w:rtl w:val="true"/>
          <w:lang w:bidi="ar-SA"/>
        </w:rPr>
        <w:t>، وإن كان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لم يخف على الوديعة من التلف خوفاً ناشئاً عن علم أو ظن متاخم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حتّى مع الشكّ؛ لصدق الخوف معه عرفاً، فإن خاف جاز النقل، بل وجب على ما يظهر من جملة من الأصحاب ولو مع النهي الصريح، ولا ضمان، حيث فهم من نهيه أن المقصود منه الحفظ، أو لم يُفهم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نهاه عن النقل مع التصريح بأنّه ولو مع الخوف، فهل يجوز النقل؛ لبطلان نهيه؛ لأنّه بمنزلة السفه ومؤد إلى إضاعة المال المنهى عنها فيلغو، أو يجب؛ لوجوب حفظ المال المحترم كما يظهر من جملة من الأصحاب، أو لا يجوز؛ لأنّه تصرّف بمال الغير مع نهيه عنه؟ والأقوى الأوّل، وهو ظاهر الفقهاء، وعليه فلا ضمان لو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ينقل فتلف، فالظاهر أنّه لا ضمان كذلك؛ لسقوط احترام المال بإسقاط صاحبه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احتاج النقل إلى أُجرة، لزم دفعها على المستودع حين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يرجع بها على المودع مع نيّة الرجوع مطلقاً، أو لا يرجع مطلقاً، أو يرجع مع عدم النهي عن النقل لا معه؟ وجوه، أقواها الأخير؛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محسناً وما على المحسنين من سبيل فموهون بنهي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غير صورة النهي يكون محسناً، وتحمّل الأجرة عليه ضرر منفي، فله الرجوع حينئذٍ</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مع النقل كونه إلى الأحرز أو المساوي، أو يجوز ولو إلى الأدنى؟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الاقتصار في التصرّف بمال الغير على المقطوع به، ولأنّه بمنزلة الوكيل في اتباع </w:t>
      </w:r>
      <w:bookmarkStart w:id="52" w:name="pg19218_273910"/>
    </w:p>
    <w:p>
      <w:pPr>
        <w:pStyle w:val="BookText"/>
        <w:rPr/>
      </w:pPr>
      <w:bookmarkEnd w:id="52"/>
      <w:r>
        <w:rPr>
          <w:rFonts w:ascii="Amiri" w:hAnsi="Amiri" w:eastAsia="Amiri" w:cs="Amiri"/>
          <w:color w:val="111111"/>
          <w:sz w:val="28"/>
          <w:sz w:val="28"/>
          <w:szCs w:val="28"/>
          <w:rtl w:val="true"/>
          <w:lang w:bidi="ar-SA"/>
        </w:rPr>
        <w:t>الأصلح، ومن الأصل، واستواء الأمكنة في الحرز، كما إذا قبل الوديعة ابتداء فإنّه لا يجب عليه تحرّي الأحرز فالأحرز، وهذا الأخير أقوى</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3424801_1280447820"/>
      <w:bookmarkStart w:id="54" w:name="_Toc19"/>
      <w:bookmarkEnd w:id="53"/>
      <w:r>
        <w:rPr>
          <w:rtl w:val="true"/>
        </w:rPr>
        <w:t>ثالث عشرها</w:t>
      </w:r>
      <w:r>
        <w:rPr>
          <w:rtl w:val="true"/>
        </w:rPr>
        <w:t xml:space="preserve">: </w:t>
      </w:r>
      <w:r>
        <w:rPr>
          <w:rtl w:val="true"/>
        </w:rPr>
        <w:t>في أن تصرف المستودع في الوديعة فضولي موقوف على الإجازة</w:t>
      </w:r>
      <w:bookmarkEnd w:id="54"/>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المستودع في الوديعة ببيع أو شراء، كان التصرّف فضولياً موقوفاً على الإجازة، فإن لم يُجز المالك وقع التصرّف باطلاً، وإن أجاز صحّ، ولو كان هناك ربح كان الربح للمالك، وعلى أي تقدير فالمستودع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ابن محبوب في سنده المنقول الإجماع على تصحيح ما يصحّ عنه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استودع رجلاً مالاً فجحده فحلف عليه، ثمّ جاءه بعد ذلك بالمال،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فخُذه، وهذه أربعة آلاف ربحها في مالك فهي لك مع مالك واجعلني في حلّ، وأخذتُ منه المال وأبيتُ أن آخذ الربح منه، وأتيت حتّى أستطلع رأيك،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نصف الربح وأعطه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رجل تائب واللّه يحبّ التوّابين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صحّة عقود الودعيّ قهراً، وانتقال الربح للمودع كذلك، والأمر بإعطائه النصف عوضاً عن عمله للاستحباب؛ لمكان توبته، كما هو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مخالف للقواعد القاضية بعدم نفوذ عقد الفضولي إلّا مع الإجازة، وحينئذٍ فحمله على وقوع الإجازة من المالك كما هو الغالب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الأخذ بظاهره تعبداً في صورة عدم إمكان استرداد عين الوديعة، كما هو الظاهر من مورد الخبر؛ لمكان الضرر على المودع بعدم استرداد عين ماله وبحبس المال عنه تلك المدّة، كما يشير إليه ما جاء في التجارة بمال اليتيم بغير وجه شرعي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الربح لليتيم</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فإن كون الربح له غير موقوف على إجازة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وتنزيله على الإجازة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نزله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نهج القوانين العادية بل من الأمور الخفية، وربما عاد إلى ما ذكرناه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إمكان استرداد العين فالأخذ به بعيد جداً؛ اقتصاراً في مخالفة القواعد على القدر الممكن</w:t>
      </w:r>
      <w:r>
        <w:rPr>
          <w:rFonts w:eastAsia="Amiri" w:cs="Amiri" w:ascii="Amiri" w:hAnsi="Amiri"/>
          <w:color w:val="111111"/>
          <w:sz w:val="28"/>
          <w:szCs w:val="28"/>
          <w:rtl w:val="true"/>
          <w:lang w:bidi="ar-SA"/>
        </w:rPr>
        <w:t xml:space="preserve">. </w:t>
      </w:r>
      <w:bookmarkStart w:id="55" w:name="pg19218_273911"/>
    </w:p>
    <w:p>
      <w:pPr>
        <w:pStyle w:val="BookText"/>
        <w:rPr/>
      </w:pPr>
      <w:bookmarkEnd w:id="55"/>
      <w:r>
        <w:rPr>
          <w:rFonts w:ascii="Amiri" w:hAnsi="Amiri" w:eastAsia="Amiri" w:cs="Amiri"/>
          <w:color w:val="111111"/>
          <w:sz w:val="28"/>
          <w:sz w:val="28"/>
          <w:szCs w:val="28"/>
          <w:rtl w:val="true"/>
          <w:lang w:bidi="ar-SA"/>
        </w:rPr>
        <w:t>وقد يظهر من إطلاق الخبر أيضاً عدم الفرق في استحقاق المالك الربح بين أن يأذن للودعي في التجارة بشرط الضمان، وبين أن لا يأذن، وهو في الثاني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ابن الجنيد في الأوّل، فجعل الربح الودعيّ </w:t>
      </w:r>
      <w:r>
        <w:rPr>
          <w:rStyle w:val="FootnoteAnchor"/>
          <w:rtl w:val="true"/>
        </w:rPr>
        <w:footnoteReference w:id="49"/>
      </w:r>
      <w:r>
        <w:rPr>
          <w:rFonts w:ascii="Amiri" w:hAnsi="Amiri" w:eastAsia="Amiri" w:cs="Amiri"/>
          <w:color w:val="111111"/>
          <w:sz w:val="28"/>
          <w:sz w:val="28"/>
          <w:szCs w:val="28"/>
          <w:rtl w:val="true"/>
          <w:lang w:bidi="ar-SA"/>
        </w:rPr>
        <w:t xml:space="preserve">، ونفى عنه البأس في المختلف؛ لانقلاب الوديعة قرضاً عنده </w:t>
      </w:r>
      <w:r>
        <w:rPr>
          <w:rStyle w:val="FootnoteAnchor"/>
          <w:rtl w:val="true"/>
        </w:rPr>
        <w:footnoteReference w:id="50"/>
      </w:r>
      <w:r>
        <w:rPr>
          <w:rFonts w:ascii="Amiri" w:hAnsi="Amiri" w:eastAsia="Amiri" w:cs="Amiri"/>
          <w:color w:val="111111"/>
          <w:sz w:val="28"/>
          <w:sz w:val="28"/>
          <w:szCs w:val="28"/>
          <w:rtl w:val="true"/>
          <w:lang w:bidi="ar-SA"/>
        </w:rPr>
        <w:t xml:space="preserve">، وربّما شهدت به الأخبار الواردة في المضاربة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بعيد أيضاً؛ لمخالفته القواعد من جهةٍ أخرى، وهي تبعية الربح لرأس المال، وما ورد في المضاربة لو قلنا به فللدليل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لو أخذنا بظاهر الخبر المتقدّم فالظاهر عدم التفاوت بين كون الشراء بنفس العين وبين كونه بالذمّة، سواء اشترى بذمة المالك أو بالذمّة مطلقاً إذا دفع عنهما من نفس العين، بل لو اشترى بذمته فدفع عنها من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معاملة الخائن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مشمولاً لإطلاق الخبر المتقدّم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مشكل جداً؛ لاقتضاء القاعدة كون الربح للودعي، وكون الدفع فضولاً عما في الذمّة، فلا يؤثّر فساداً</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3424803_1280447820"/>
      <w:bookmarkStart w:id="57" w:name="_Toc20"/>
      <w:bookmarkEnd w:id="56"/>
      <w:r>
        <w:rPr>
          <w:rtl w:val="true"/>
        </w:rPr>
        <w:t>رابع عشرها</w:t>
      </w:r>
      <w:r>
        <w:rPr>
          <w:rtl w:val="true"/>
        </w:rPr>
        <w:t xml:space="preserve">: </w:t>
      </w:r>
      <w:r>
        <w:rPr>
          <w:rtl w:val="true"/>
        </w:rPr>
        <w:t>فيما يجب على المستودع لو ظهرت عليه أمارات الموت</w:t>
      </w:r>
      <w:bookmarkEnd w:id="57"/>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ظهرت على المستودع أمارات الموت لزمه ردّ الوديعة إلى المالك، أو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تعذره وتعذر الردّ إلى وكيله، أو إيداعها عند ثقة، أو الإشهاد عليها على نحو الشهادة المقبولة أو الإيصاء بردّها الثقة مأمون، وإلا كان مفرّطاً ضامناً، حتّى لو تبين كذب أمارات الموت كان ذلك من التفريط الموجب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تظهر له أمارات الموت فمات فجأةً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الإشهاد شهادة العدل الواحد لجواز ثبوت الحق بشهادته مع اليمين ويمين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بوجوب الترتيب بين تلك الأفراد المتقدّمة فالرد ثمّ الإشهاد ثمّ الإيصاء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أنّه أحوط، إلّا أن الإيداع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الثقة قد يساوي الإيصاء والإشهاد، وقد يتقدّم الإشهاد عليه</w:t>
      </w:r>
      <w:r>
        <w:rPr>
          <w:rFonts w:eastAsia="Amiri" w:cs="Amiri" w:ascii="Amiri" w:hAnsi="Amiri"/>
          <w:color w:val="111111"/>
          <w:sz w:val="28"/>
          <w:szCs w:val="28"/>
          <w:rtl w:val="true"/>
          <w:lang w:bidi="ar-SA"/>
        </w:rPr>
        <w:t xml:space="preserve">. </w:t>
      </w:r>
      <w:bookmarkStart w:id="58" w:name="pg19218_273912"/>
    </w:p>
    <w:p>
      <w:pPr>
        <w:pStyle w:val="BookText"/>
        <w:rPr/>
      </w:pPr>
      <w:bookmarkEnd w:id="58"/>
      <w:r>
        <w:rPr>
          <w:rFonts w:ascii="Amiri" w:hAnsi="Amiri" w:eastAsia="Amiri" w:cs="Amiri"/>
          <w:color w:val="111111"/>
          <w:sz w:val="28"/>
          <w:sz w:val="28"/>
          <w:szCs w:val="28"/>
          <w:rtl w:val="true"/>
          <w:lang w:bidi="ar-SA"/>
        </w:rPr>
        <w:t>ولو لم يوص ولم يشهد فأنكر الورثة الوديعة كان القول قولهم، وللمودع عليهم اليمين على نفي العلم بها لا على البت كما هي القاعدة في الحلف على نفي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الوارث بالوديعة وأنكر كونها في جملة التركة الموجودة، كان القول قوله مع يمينه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ادّعى المودع على الوارث تفريط المستودع بها ولو بترك الردّ أو الإشهاد أو الوصيّة، كان القول قول الوارث مع يمينه؛ لأصالة براءة ذمة الموروث من الضمان</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3424805_1280447820"/>
      <w:bookmarkStart w:id="60" w:name="_Toc21"/>
      <w:bookmarkEnd w:id="59"/>
      <w:r>
        <w:rPr>
          <w:rtl w:val="true"/>
        </w:rPr>
        <w:t>خامس عشرها</w:t>
      </w:r>
      <w:r>
        <w:rPr>
          <w:rtl w:val="true"/>
        </w:rPr>
        <w:t xml:space="preserve">: </w:t>
      </w:r>
      <w:r>
        <w:rPr>
          <w:rtl w:val="true"/>
        </w:rPr>
        <w:t>فيما يتعلّق بما لو كانت الوديعة غصباً وكان المودع مقهوراً</w:t>
      </w:r>
      <w:bookmarkEnd w:id="60"/>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الوديعة غصباً، فإن كان المودع مقهوراً فلا ضمان عليه، والضمان على الدافع، إلّا أن يزول عنه القهر ولم يردها إلى مالكها فيضمن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مقهوراً، فإن كان جاهلاً فتلفت عنده جاز رجوع المالك عليه وعلى الدافع، فإن رجع عليه رجع هو على الدافع لغروره، وإقدامه على عدم الضمان، والمغرور يرجع على مَنْ غرّه، وإن رجع على الدافع فلا رجوع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بالغصب في الأثناء، وجب عليه إرجاع الوديعة إلى صاحبها إن تمكن وعلم به، فإن لم يتمكن سقط عنه الضمان، وإن لم يعلم بصاحبها كان حكمها حكم اللقطة يعرّف بها حولاً، ومن بعد ذلك يتصدق عن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w:t>
      </w:r>
      <w:r>
        <w:rPr>
          <w:rStyle w:val="FootnoteAnchor"/>
          <w:rtl w:val="true"/>
        </w:rPr>
        <w:footnoteReference w:id="53"/>
      </w:r>
      <w:r>
        <w:rPr>
          <w:rFonts w:ascii="Amiri" w:hAnsi="Amiri" w:eastAsia="Amiri" w:cs="Amiri"/>
          <w:color w:val="111111"/>
          <w:sz w:val="28"/>
          <w:sz w:val="28"/>
          <w:szCs w:val="28"/>
          <w:rtl w:val="true"/>
          <w:lang w:bidi="ar-SA"/>
        </w:rPr>
        <w:t xml:space="preserve">ذلك للمشهور، ودلّ عليه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بفتوى المشهور نقلاً بل تحصيلاً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المسلمين أودعه رجل من اللصوص دراهم أو متاعاً واللصّ مسلم هل يردّه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يردّه، فإن أمكنه أن يردّه على صاحبه فعل، وإلا كان في يده بمنزلة اللقطة يصيبها، فيعرفها حولاً، فإن أصاب صاحبها ردّها عليه، وإلا تصدق بها، فإن جاء بعد ذلك خيّره بين الأجر والغرم، فإن اختار الأجر فله وإن اختار الغرم غرم له وكان الأجر له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جعلها بمنزلة اللقطة أنّها إذا كانت أقل من درهم لا يجب التعريف بها سيما وإنّ موردها الدراهم والمتاع، والغالب أنّهما أكثر من درهم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والاحتياط يخالف ذلك؛ لإطلاق الفتوى بوجوب التعريف</w:t>
      </w:r>
      <w:r>
        <w:rPr>
          <w:rFonts w:eastAsia="Amiri" w:cs="Amiri" w:ascii="Amiri" w:hAnsi="Amiri"/>
          <w:color w:val="111111"/>
          <w:sz w:val="28"/>
          <w:szCs w:val="28"/>
          <w:rtl w:val="true"/>
          <w:lang w:bidi="ar-SA"/>
        </w:rPr>
        <w:t xml:space="preserve">. </w:t>
      </w:r>
      <w:bookmarkStart w:id="61" w:name="pg19218_273913"/>
    </w:p>
    <w:p>
      <w:pPr>
        <w:pStyle w:val="BookText"/>
        <w:rPr/>
      </w:pPr>
      <w:bookmarkEnd w:id="61"/>
      <w:r>
        <w:rPr>
          <w:rFonts w:ascii="Amiri" w:hAnsi="Amiri" w:eastAsia="Amiri" w:cs="Amiri"/>
          <w:color w:val="111111"/>
          <w:sz w:val="28"/>
          <w:sz w:val="28"/>
          <w:szCs w:val="28"/>
          <w:rtl w:val="true"/>
          <w:lang w:bidi="ar-SA"/>
        </w:rPr>
        <w:t>وكذا ظاهر ذلك أنّه يجوز بعد التعريف بها سنةً أن ينوي بها التملك مع الغرم، وأن يُبقيها أمانة، وأن يدفعها إلى الحاكم كما هو الشأن في اللقطة على ما هو التحقيق، إلّا أن ذيل الرواية ممّا يؤذن بلزوم التصدّق عليه فيكون كالمخصص؛ لعموم المنزلة، والاحتياط أيضاً قاض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الوديعة إذا لم يُعرف أربابها أخرج منها الخمس لفقراء السادة، والباقي لفقراء المؤمنين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لأبي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حملها إلى الإمام، فإن تعذر ذلك لزم حفظها والوصيّة بها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لابن إدريس ذلك أيضاً </w:t>
      </w:r>
      <w:r>
        <w:rPr>
          <w:rStyle w:val="FootnoteAnchor"/>
          <w:rtl w:val="true"/>
        </w:rPr>
        <w:footnoteReference w:id="57"/>
      </w:r>
      <w:r>
        <w:rPr>
          <w:rFonts w:ascii="Amiri" w:hAnsi="Amiri" w:eastAsia="Amiri" w:cs="Amiri"/>
          <w:color w:val="111111"/>
          <w:sz w:val="28"/>
          <w:sz w:val="28"/>
          <w:szCs w:val="28"/>
          <w:rtl w:val="true"/>
          <w:lang w:bidi="ar-SA"/>
        </w:rPr>
        <w:t xml:space="preserve">، وجَعَله جملة من المحقّقين </w:t>
      </w:r>
      <w:r>
        <w:rPr>
          <w:rStyle w:val="FootnoteAnchor"/>
          <w:rtl w:val="true"/>
        </w:rPr>
        <w:footnoteReference w:id="58"/>
      </w:r>
      <w:r>
        <w:rPr>
          <w:rFonts w:ascii="IRNazanin" w:hAnsi="IRNazanin" w:eastAsia="IRNazanin"/>
          <w:color w:val="111111"/>
          <w:sz w:val="28"/>
          <w:sz w:val="28"/>
          <w:szCs w:val="28"/>
          <w:rtl w:val="true"/>
          <w:lang w:bidi="fa-IR"/>
        </w:rPr>
        <w:t>، أنّه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الصدقة بها والتعريف وبين إبقائها أمانة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 قبل التعريف وبعده، وهو قريب إلى الأخبار الواردة في مجهول المالك، والأخذ بالاحتياط في هذه الموارد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مزج الغاصب الوديعة بماله وأودع الجميع، فإن أمكن الودعيّ تمييز كلّ منهما ردّ كلا منهما على صاحبه وإن لم يمكنه ردّ الجميع على الغاصب؛ لأن منعه منه يقضي بمنعه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لزوم الجميع على المغصوب منه، وعليه ردّ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الرجوع إلى الحاكم لتميّز المغصوب من غيره، فإن لم يمكن الرجوع تولّى ذلك عدول المسلمين، فإن لم يمكن تولّى ذلك 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الغاصب الوديعة من المستودع ليردّها إلى المالك لم يجز 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يعرف المستودع المالك، بحث عنه، ولا يجوز أن يردها إلى الغاصب وإن عرفه</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3424807_1280447820"/>
      <w:bookmarkStart w:id="63" w:name="_Toc22"/>
      <w:bookmarkEnd w:id="62"/>
      <w:r>
        <w:rPr>
          <w:rtl w:val="true"/>
        </w:rPr>
        <w:t>سادس عشرها</w:t>
      </w:r>
      <w:r>
        <w:rPr>
          <w:rtl w:val="true"/>
        </w:rPr>
        <w:t xml:space="preserve">: </w:t>
      </w:r>
      <w:r>
        <w:rPr>
          <w:rtl w:val="true"/>
        </w:rPr>
        <w:t>فيما لو أراد المستودع السفر جاز له ولا يلزمه الامتناع</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المستودع السفر بعيداً أو قريباً، شرعيّاً أو عرفياً، جاز له، كما هو ظاهر الفقهاء، ولا يلزمه الامتناع للأصل، ولما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أراد الهجرة سلّم </w:t>
      </w:r>
    </w:p>
    <w:p>
      <w:pPr>
        <w:pStyle w:val="BookText"/>
        <w:rPr/>
      </w:pPr>
      <w:r>
        <w:rPr>
          <w:rFonts w:ascii="Amiri" w:hAnsi="Amiri" w:eastAsia="Amiri" w:cs="Amiri"/>
          <w:color w:val="111111"/>
          <w:sz w:val="28"/>
          <w:sz w:val="28"/>
          <w:szCs w:val="28"/>
          <w:rtl w:val="true"/>
          <w:lang w:bidi="ar-SA"/>
        </w:rPr>
        <w:t xml:space="preserve">الودائع لأُم أيمن وأمر عليّاً بردّها </w:t>
      </w:r>
      <w:r>
        <w:rPr>
          <w:rStyle w:val="FootnoteAnchor"/>
          <w:rtl w:val="true"/>
        </w:rPr>
        <w:footnoteReference w:id="60"/>
      </w:r>
      <w:r>
        <w:rPr>
          <w:rFonts w:ascii="Amiri" w:hAnsi="Amiri" w:eastAsia="Amiri" w:cs="Amiri"/>
          <w:color w:val="111111"/>
          <w:sz w:val="28"/>
          <w:sz w:val="28"/>
          <w:szCs w:val="28"/>
          <w:rtl w:val="true"/>
          <w:lang w:bidi="ar-SA"/>
        </w:rPr>
        <w:t>، والظاهر بل المقطوع به أن أهل الودائع لم يأذنوا له بالسفر ولا بالإيداع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السفر أيضاً التردّد في محال البلد وحدودها، فلا يجب على الودعيّ المقام عند الوديعة ونظارتها ما لم يخش عليها عادة في ذهابه عنها الذهاب؛ للأصل، ولقضاء السيرة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فالواجب معاملة الوديعة معاملة صاحب المال الحريص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للمستودع اصطحابها معه في السفر من غير عذر؛ لأن السفر بها تعد وتغرير، سواء كان الطريق مأموناً أو مخوفاً، بل يجب عليه ردّها إلى المالك أو وكيله، فإن لم يمكن فإلى الحاكم؛ لأنّه الوليّ العام في مثل هذا المقام، فإن لم يمكن أودعها عند من يوثق به مع الإشهاد مهما أمكن للاحتياط عليها، وفي الخبر المتقدّم </w:t>
      </w:r>
      <w:r>
        <w:rPr>
          <w:rStyle w:val="FootnoteAnchor"/>
          <w:rtl w:val="true"/>
        </w:rPr>
        <w:footnoteReference w:id="61"/>
      </w:r>
      <w:r>
        <w:rPr>
          <w:rFonts w:ascii="Amiri" w:hAnsi="Amiri" w:eastAsia="Amiri" w:cs="Amiri"/>
          <w:color w:val="111111"/>
          <w:sz w:val="28"/>
          <w:sz w:val="28"/>
          <w:szCs w:val="28"/>
          <w:rtl w:val="true"/>
          <w:lang w:bidi="ar-SA"/>
        </w:rPr>
        <w:t>ما يدلّ على جواز الإيداع، فإن لم يمكن ذلك دفنها في بلده وأوصى بذلك مَنْ يأمنه ويثق به، ولا يجوز دفنها سراً؛ لتأديته إلى تلفها واضمحلالها عند موته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خاف عليها من الإبقاء في البلد من حرقٍ أو نهبٍ أو غرق وأمن عليها في السفر، لزمه اصطحابها معه في السفر؛ لوجوب حفظها عليه ولا يتمّ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خطر السفر أقل من خطر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تساوى الخطران، رجّح خطر الحضر؛ لأن السفر في نفسه مظنة الخطر زيادة على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يمكنه السفر بها، أو كان عليها خطر في السفر ولم يمكنه في الحضر تسليمها إلى المالك أو مَنْ بحكمه، ولا إلى الحاكم ولا إيداعها من المأمون، حرم عليه السفر، ووجب عليه البقاء لحفظها؛ لوجوب ما لا يتم الواجب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ثبوت الضمان عليه لو سافر بها من غير ضرورة إلى السفر ولم يكن في إبقائها خطر عليها ولكن لم يجد مَنْ يُبقيها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استودع الوديعة مسافراً، كان حالها حاله إلى أن يرجع من سفره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حكمه في سفر آخر وجهان، أحوطهما عدم السفر بها</w:t>
      </w:r>
      <w:r>
        <w:rPr>
          <w:rFonts w:eastAsia="Amiri" w:cs="Amiri" w:ascii="Amiri" w:hAnsi="Amiri"/>
          <w:color w:val="111111"/>
          <w:sz w:val="28"/>
          <w:szCs w:val="28"/>
          <w:rtl w:val="true"/>
          <w:lang w:bidi="ar-SA"/>
        </w:rPr>
        <w:t xml:space="preserve">. </w:t>
      </w:r>
      <w:bookmarkStart w:id="64" w:name="pg19218_273915"/>
    </w:p>
    <w:p>
      <w:pPr>
        <w:pStyle w:val="BookText"/>
        <w:rPr/>
      </w:pPr>
      <w:bookmarkEnd w:id="64"/>
      <w:r>
        <w:rPr>
          <w:rFonts w:ascii="Amiri" w:hAnsi="Amiri" w:eastAsia="Amiri" w:cs="Amiri"/>
          <w:color w:val="111111"/>
          <w:sz w:val="28"/>
          <w:sz w:val="28"/>
          <w:szCs w:val="28"/>
          <w:rtl w:val="true"/>
          <w:lang w:bidi="ar-SA"/>
        </w:rPr>
        <w:t>هذا كلّه مع الإطلاق، وأما مع الإذن فحكمها تبعية الإذن، فلو أذن له باصطحابه السفر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يجوز السفر بالوديعة اختياراً، كذلك لا يجوز التردّد بها في الطرق والأسواق إذا كانت ممّا يوضع في مكانٍ خاص، إمّا لو كانت ممّا بني على النقل والانتقال أو ممّا يوضع في الجيب ونحوه جاز</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3424809_1280447820"/>
      <w:bookmarkStart w:id="66" w:name="_Toc23"/>
      <w:bookmarkEnd w:id="65"/>
      <w:r>
        <w:rPr>
          <w:rtl w:val="true"/>
        </w:rPr>
        <w:t>سابع عشرها</w:t>
      </w:r>
      <w:r>
        <w:rPr>
          <w:rtl w:val="true"/>
        </w:rPr>
        <w:t xml:space="preserve">: </w:t>
      </w:r>
      <w:r>
        <w:rPr>
          <w:rtl w:val="true"/>
        </w:rPr>
        <w:t>فيما لو أودع الوديعة عند غيره من دون إذن المالك ضمنها</w:t>
      </w:r>
      <w:bookmarkEnd w:id="66"/>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أودع الوديعة عند غيره من دون إذن المالك، ضمن من غير خلاف، سواء في ذلك البعيد والقريب والزوجة وغيرها، إلّا إذا أراد السفر ولم يمكن إيصالها إلى المالك أو وكيله أو إلى الحاكم، أو دعته للإيداع ضرورة، كالخوف عليها من نهب أو حرق، أو كان الرجل ممّن تجري عادته بعدم تولّي مفتاح الصندوق أو الغرفة، أو عدم اختصاصه بمكانٍ خاص عن عياله بحيث لا يدخل عليه أحد منهم وكان المودع عالماً بذلك، أو يكون المستودع قد أعلمه بذلك، جاز حينئذٍ الإيداع عند الغير والمشاركة معه فيها، وتسليط غيره عليها على ذلك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 حفظ الوديعة إلّا بلبس الثوب أو النوم على الفراش أو الركوب على الدابّة، لزم ذلك، ويتولاه المستودع، ولا أُجرة عليه للمودع لو فعل ذلك، ولو لم يفعل ضمن</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3424811_1280447820"/>
      <w:bookmarkStart w:id="68" w:name="_Toc24"/>
      <w:bookmarkEnd w:id="67"/>
      <w:r>
        <w:rPr>
          <w:rtl w:val="true"/>
        </w:rPr>
        <w:t>ثامن عشرها</w:t>
      </w:r>
      <w:r>
        <w:rPr>
          <w:rtl w:val="true"/>
        </w:rPr>
        <w:t xml:space="preserve">: </w:t>
      </w:r>
      <w:r>
        <w:rPr>
          <w:rtl w:val="true"/>
        </w:rPr>
        <w:t>حكم ما لو قبض المستودع الوديعة ابتداءً بقصد الخيانة أو قصدها في الأثناء</w:t>
      </w:r>
      <w:bookmarkEnd w:id="68"/>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المستودع الوديعة ابتداءً بقصد الخيانة، أو قصد الخيانة في الأثناء، احتمل القول بلزوم الضمان مطلقاً؛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مع الشكّ في الخروج عنه؛ للشكّ في صدق الوديعة الشرعيّة ابتداءً أو استدامة مع قصد الخيانة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العدم؛ لصدق الوديعة عرفاً عليها، ومنع تسميته خائناً بمجرد النية، ومنع لزوم الضمان للخيانة مطلقاً إذا لم يصدق عليها اسم التعدّي والتفريط</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3424813_1280447820"/>
      <w:bookmarkStart w:id="70" w:name="_Toc25"/>
      <w:bookmarkEnd w:id="69"/>
      <w:r>
        <w:rPr>
          <w:rtl w:val="true"/>
        </w:rPr>
        <w:t>تاسع عشرها</w:t>
      </w:r>
      <w:r>
        <w:rPr>
          <w:rtl w:val="true"/>
        </w:rPr>
        <w:t xml:space="preserve">: </w:t>
      </w:r>
      <w:r>
        <w:rPr>
          <w:rtl w:val="true"/>
        </w:rPr>
        <w:t>في أنّ التفريط سبب في الضمان ولو لم تتلف الوديعة به</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 سبب في الضمان ولو لم تتلف الوديعة به، فعلى ذلك لو ترك سقي الدابّة وعلفها على النحو المعتاد ضمن الدابّة، سواء ماتت بترك السقي أو غيره، وسواء ماتت في زمان يموت مثلها عادة بترك السقي فيه أو في أقل منه</w:t>
      </w:r>
      <w:r>
        <w:rPr>
          <w:rFonts w:eastAsia="Amiri" w:cs="Amiri" w:ascii="Amiri" w:hAnsi="Amiri"/>
          <w:color w:val="111111"/>
          <w:sz w:val="28"/>
          <w:szCs w:val="28"/>
          <w:rtl w:val="true"/>
          <w:lang w:bidi="ar-SA"/>
        </w:rPr>
        <w:t xml:space="preserve">. </w:t>
      </w:r>
      <w:bookmarkStart w:id="71" w:name="pg19218_273916"/>
    </w:p>
    <w:p>
      <w:pPr>
        <w:pStyle w:val="BookText"/>
        <w:rPr/>
      </w:pPr>
      <w:bookmarkEnd w:id="71"/>
      <w:r>
        <w:rPr>
          <w:rFonts w:ascii="Amiri" w:hAnsi="Amiri" w:eastAsia="Amiri" w:cs="Amiri"/>
          <w:color w:val="111111"/>
          <w:sz w:val="28"/>
          <w:sz w:val="28"/>
          <w:szCs w:val="28"/>
          <w:rtl w:val="true"/>
          <w:lang w:bidi="ar-SA"/>
        </w:rPr>
        <w:t>ويظهر من بعضهم اشتراط الضمان بأن تموت بنفس الترك في زمان يموت مثلها فيه بتركه، حتّى أنّها لو ماتت قبل المدّة التي يموت مثلها فيها بالترك لم يضمن، ولو لم تمت مع مضيّ تلك المدّة ضمن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نظرٍ وتأمل</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3424815_1280447820"/>
      <w:bookmarkStart w:id="73" w:name="_Toc26"/>
      <w:bookmarkEnd w:id="72"/>
      <w:r>
        <w:rPr>
          <w:rtl w:val="true"/>
        </w:rPr>
        <w:t>العشرون</w:t>
      </w:r>
      <w:r>
        <w:rPr>
          <w:rtl w:val="true"/>
        </w:rPr>
        <w:t xml:space="preserve">: </w:t>
      </w:r>
      <w:r>
        <w:rPr>
          <w:rtl w:val="true"/>
        </w:rPr>
        <w:t>فيما لو أمره المالك بدفع الوديعة إلى الوكيل وجب ذلك</w:t>
      </w:r>
      <w:bookmarkEnd w:id="73"/>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أمره المالك بدفع الوديعة إلى الوكيل،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التأخير إلى الإشهاد؟ يبنى على أن الودعيّ يُصدق قوله في الردّ إلى الوكيل كما يُصدق قوله في الردّ إليه، أو أن المأمور بالدفع إلى شخص يُصدَّق قوله بالدفع إليه؛ لأنّه وكيل على الردّ والوكيل أمين والأمين مُصدَّق على ما اؤتمن عليه، أو لا يُصدق أحدهما ؟ فعلى الأخير يجوز له ذلك؛ مخافة 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 يد الوكيل يد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حلف الوكيل على عدم وصولها إليه، صُدِّق، ولم يغرم للمالك بمجرد يمين الودعيّ على الإيصال إليه، وإنّما فائدة يمين الودعيّ رفع الضمان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للودعي التأخير للإشهاد وإن صُدِّق قوله بالدفع إلى الوكيل، وذلك لرفع مؤونة اليمين عنه ولو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المودع للمستودع بالإيداع، فهل له أن يودع بلا إشهاد؟ وهل يُصدق قوله بالإيداع؟ الظاهر ذلك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أمر الوديعة مبني على الإخفاء بخلاف الدين وشبهه؛ ولأنّ قول الودعيّ مقبول في الردّ فلا حاجة للإشهاد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وكيل في التصرّف بهذا النوع الخاص، والوكيل يُقبل قوله فيما 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أمره بدفع الوديعة لوكيله، ففي لزوم الإشهاد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الإشهاد تفريط؛ لاحتمال إنكار الوكيل ما دفع إليه فيحلف على عدمه، ويحلف الودعيّ على إيصاله إلى المالك فلم يبق للمالك حقّ على أحدٍ منهما فيعود عليه الضرر، ومن أن أمر الودائع مبني على الإخفاء أخذاً ودفعاً، فلا يلزمه الإشهاد ما لم ينصّ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الأخير؛ استناداً للسيرة</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3424817_1280447820"/>
      <w:bookmarkStart w:id="75" w:name="_Toc27"/>
      <w:bookmarkEnd w:id="74"/>
      <w:r>
        <w:rPr>
          <w:rtl w:val="true"/>
        </w:rPr>
        <w:t>الحادي والعشرون</w:t>
      </w:r>
      <w:r>
        <w:rPr>
          <w:rtl w:val="true"/>
        </w:rPr>
        <w:t xml:space="preserve">: </w:t>
      </w:r>
      <w:r>
        <w:rPr>
          <w:rtl w:val="true"/>
        </w:rPr>
        <w:t>حكم ما لو جحد الودعيّ الوديعة من غير عذر بعد طلب المالك لها</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جحد الودعيّ الوديعة من غير عذر كتقية أو نسيان أو خوف عليها </w:t>
      </w:r>
      <w:bookmarkStart w:id="76" w:name="pg19218_273917"/>
    </w:p>
    <w:p>
      <w:pPr>
        <w:pStyle w:val="BookText"/>
        <w:rPr/>
      </w:pPr>
      <w:bookmarkEnd w:id="76"/>
      <w:r>
        <w:rPr>
          <w:rFonts w:ascii="Amiri" w:hAnsi="Amiri" w:eastAsia="Amiri" w:cs="Amiri"/>
          <w:color w:val="111111"/>
          <w:sz w:val="28"/>
          <w:sz w:val="28"/>
          <w:szCs w:val="28"/>
          <w:rtl w:val="true"/>
          <w:lang w:bidi="ar-SA"/>
        </w:rPr>
        <w:t>من ظالم أو سارق وكان ذلك بعد طلب المالك لها، ضمنها لو أقرّ بها بعد ذلك أو قامت عليه البيّنة؛ لأنّ الجحود خيانة، فتكون يده عليها حالة الجحوديد خيانة، لا يد أمانة متلقاة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ذلك فتوى الأصحاب، وأصالة الضمان مع الشكّ في شمول إطلاق أدلّة عدم ضمان الأمانة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أن الجحود لعذر فأنكر المالك، كان القول قول المالك؛ لأصالة عدم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كلّ تعد أو تفريط صدر من الودعيّ فادعى أنّه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المالك طالباً لها بل كان سائلاً عنها، ففي الضمان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إنكاره خيانة، فلا تكون يده عن رضى المالك، فليست يد أمانة، ونفي الملزوم بإنكاره نفي للازمه، وهو كونها متلقاة عن يد المالك وإذنه، ومن أنّ الجواب بالنفي لازم أعم، فلعله عازم على التأدية وكان الإنكار لمجرد الكذب أو التحكم، فلا تكون يده بغير رضى المالك، ولا يبعد الأخير</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3424819_1280447820"/>
      <w:bookmarkStart w:id="78" w:name="_Toc28"/>
      <w:bookmarkEnd w:id="77"/>
      <w:r>
        <w:rPr>
          <w:rtl w:val="true"/>
        </w:rPr>
        <w:t>الثاني والعشرون</w:t>
      </w:r>
      <w:r>
        <w:rPr>
          <w:rtl w:val="true"/>
        </w:rPr>
        <w:t xml:space="preserve">: </w:t>
      </w:r>
      <w:r>
        <w:rPr>
          <w:rtl w:val="true"/>
        </w:rPr>
        <w:t>حكم ما لو مزج الوديعة بماله أو بمال المالك أو بمال ثالث مزجاً لا يتميّز أو يعسر تمييزه</w:t>
      </w:r>
      <w:bookmarkEnd w:id="78"/>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مزج الوديعة بماله أو بمال المالك أو بمال ثالث مزجاً لا يتميّز أو يعسر تمييزه،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من دراهم المالك درهماً ثمّ أعاده بعينه، ضمنه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امتزج بغيره ولو أعاد غيره، فإن امتزج في الباقي ضمنه وغيره، وإن لم يمتزج ضمنه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الدراهم منثورةً، فلو كانت في صندوق أو كيس أو صرّةٍ ففتحها وأخذ منها درهماً، ضمن الجميع دون نفس المأخوذ؛ لصدق التعدّي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ضمان الظرف مع المظروف وجهان، ولا يبعد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الظرف قد شدّه أو قفله المودع، أو صدر الشدّ أو القفل بأمره، وإلا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فتح الكيس غير مريدٍ أخذ شيءٍ منه، ضمن أيضاً؛ لتعديه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فتحه فدار فيه كيساً آخر، أمكن تمييزه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شقه أو بقره من أسفله، ضمن الظرف، والأظهر ضمان المظروف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أودع عنده شيئاً واحداً عرفاً فتصرف ببعضه، ضمن الجميع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أشياء لم يضمن سوى ما تصرّف فيه وإن كانت الوديعة مرّةً واحدة، فالمثليات المجتمعة شيء واحد، والقيميات أشياء متعددة، وفي الدراهم إشكال</w:t>
      </w:r>
      <w:r>
        <w:rPr>
          <w:rFonts w:eastAsia="Amiri" w:cs="Amiri" w:ascii="Amiri" w:hAnsi="Amiri"/>
          <w:color w:val="111111"/>
          <w:sz w:val="28"/>
          <w:szCs w:val="28"/>
          <w:rtl w:val="true"/>
          <w:lang w:bidi="ar-SA"/>
        </w:rPr>
        <w:t xml:space="preserve">. </w:t>
      </w:r>
      <w:bookmarkStart w:id="79" w:name="pg19218_273918"/>
    </w:p>
    <w:p>
      <w:pPr>
        <w:pStyle w:val="Heading4"/>
        <w:numPr>
          <w:ilvl w:val="3"/>
          <w:numId w:val="1"/>
        </w:numPr>
        <w:rPr/>
      </w:pPr>
      <w:bookmarkStart w:id="80" w:name="__RefHeading___Toc13424821_1280447820"/>
      <w:bookmarkStart w:id="81" w:name="_Toc29"/>
      <w:bookmarkEnd w:id="79"/>
      <w:bookmarkEnd w:id="80"/>
      <w:r>
        <w:rPr>
          <w:rtl w:val="true"/>
        </w:rPr>
        <w:t xml:space="preserve">الثالث والعشرون </w:t>
      </w:r>
      <w:r>
        <w:rPr>
          <w:rtl w:val="true"/>
        </w:rPr>
        <w:t xml:space="preserve">: </w:t>
      </w:r>
      <w:r>
        <w:rPr>
          <w:rtl w:val="true"/>
        </w:rPr>
        <w:t>حكم ما لو أجرى على الوديعة عقود معاوضةٍ أو غيرها</w:t>
      </w:r>
      <w:bookmarkEnd w:id="81"/>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أجرى على الوديعة عقود معاوضة من بيع وإجارة أو صلح أو هبة، أو غيرها من وقف وسكنى وصدقةٍ وعتق، ففي الضمان وعدمه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مجرد اللفظ الخالي عن دفع ليس من التعدّي عرفاً، ومن أنّه مع قصده النقل والانتقال متعد عرفاً؛ لزيادته على مجرّد نيّة الخيانة بانضمام النواقل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المالك للودعي بحمل الأخف فحملها الأنقل، ضمن الدابّة، وضمن الأجرة إن تغاير الجنس، كما إذا أذن له بقطن فحمّلها حديداً، ولو كان لزيادة الوزن ضمن تفاوت أُجرة الزيادة دون المأذون فيه مع احتمال ضمان جميع أجرة الحمل، وضمن جميع قيمة الدابّة لو تلفت به لا نسبة قيمتها إلى قدر المأذون به وقدر الزيادة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3424823_1280447820"/>
      <w:bookmarkStart w:id="83" w:name="_Toc30"/>
      <w:bookmarkEnd w:id="82"/>
      <w:r>
        <w:rPr>
          <w:rtl w:val="true"/>
        </w:rPr>
        <w:t>الرابع والعشرون</w:t>
      </w:r>
      <w:r>
        <w:rPr>
          <w:rtl w:val="true"/>
        </w:rPr>
        <w:t xml:space="preserve">: </w:t>
      </w:r>
      <w:r>
        <w:rPr>
          <w:rtl w:val="true"/>
        </w:rPr>
        <w:t>عدم جواز التصرّف بالوديعة من غير إذن صاحبها ولو بالفحوى</w:t>
      </w:r>
      <w:bookmarkEnd w:id="83"/>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بالوديعة من غير إذن صاحبها ولو بالفحوى لقبح التصرّف بمال الغير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63"/>
      </w:r>
      <w:r>
        <w:rPr>
          <w:rFonts w:ascii="Amiri" w:hAnsi="Amiri" w:eastAsia="Amiri" w:cs="Amiri"/>
          <w:color w:val="111111"/>
          <w:sz w:val="28"/>
          <w:sz w:val="28"/>
          <w:szCs w:val="28"/>
          <w:rtl w:val="true"/>
          <w:lang w:bidi="ar-SA"/>
        </w:rPr>
        <w:t xml:space="preserve">وسنّة </w:t>
      </w:r>
      <w:r>
        <w:rPr>
          <w:rStyle w:val="FootnoteAnchor"/>
          <w:rtl w:val="true"/>
        </w:rPr>
        <w:footnoteReference w:id="64"/>
      </w:r>
      <w:r>
        <w:rPr>
          <w:rFonts w:ascii="Amiri" w:hAnsi="Amiri" w:eastAsia="Amiri" w:cs="Amiri"/>
          <w:color w:val="111111"/>
          <w:sz w:val="28"/>
          <w:sz w:val="28"/>
          <w:szCs w:val="28"/>
          <w:rtl w:val="true"/>
          <w:lang w:bidi="ar-SA"/>
        </w:rPr>
        <w:t>وإجماعاً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كخبر قرب الإسناد وجامع البزنطي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يؤذن بجواز التصرّف مع نيّة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محمولان على حصول الإذن بالفحوى كما يفعله اليوم كثير من الناس</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3424825_1280447820"/>
      <w:bookmarkStart w:id="85" w:name="_Toc31"/>
      <w:bookmarkEnd w:id="84"/>
      <w:r>
        <w:rPr>
          <w:rtl w:val="true"/>
        </w:rPr>
        <w:t>الخامس والعشرون</w:t>
      </w:r>
      <w:r>
        <w:rPr>
          <w:rtl w:val="true"/>
        </w:rPr>
        <w:t xml:space="preserve">: </w:t>
      </w:r>
      <w:r>
        <w:rPr>
          <w:rtl w:val="true"/>
        </w:rPr>
        <w:t>فيما لو تصرّف المستودع بالوديعة حتّى ضمن تعلّق به الضمان</w:t>
      </w:r>
      <w:bookmarkEnd w:id="85"/>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المستودع بالوديعة حتّى ضمن تعلق به الضمان ولا يبرأ بمجرد إرجاعها إلى الحرز، أو ترك التصرّف بها بعد ذلك، أو تدارك التفريط الذي صدر منه، بل يبرأ إمّا بإرجاعها إلى المالك وإيداعها عنده جديداً، أو أذن المالك له بقبضها للوديعة بعد الإذن، أو إسقاط الضمان عنه؛ لأنّه حقّه فله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البراءة من الضمان بالإسقاط؛ لأنّه إسقاط ما لم يجب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مضموناً ثابت بالفعل، وكذا فيما 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أودعتكها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نائب عنّي في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استأمنتك عليها ولم يأذن له في قبضها جديداً؛ لاستصحاب الضمان، وعدم منافاته للاستيداع في الاستدامة، كما لو أودعه مغصوباً وهو في يده، فإنّه ضامن له، </w:t>
      </w:r>
      <w:bookmarkStart w:id="86" w:name="pg19218_273919"/>
    </w:p>
    <w:p>
      <w:pPr>
        <w:pStyle w:val="BookText"/>
        <w:rPr/>
      </w:pPr>
      <w:bookmarkEnd w:id="86"/>
      <w:r>
        <w:rPr>
          <w:rFonts w:ascii="Amiri" w:hAnsi="Amiri" w:eastAsia="Amiri" w:cs="Amiri"/>
          <w:color w:val="111111"/>
          <w:sz w:val="28"/>
          <w:sz w:val="28"/>
          <w:szCs w:val="28"/>
          <w:rtl w:val="true"/>
          <w:lang w:bidi="ar-SA"/>
        </w:rPr>
        <w:t>ولا يزول ضمانه بمجرد صدور عقد الوديعة من المالك والإشكال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والتفريط لا يُخرجان الأمانة المالكية عن كونها مالكية، ولا يُخرجان الوديعة عن حكم الوديعة سوى حكم الضمان؛ من حيث إنّ الوديعة من دونهما غير مضمونة، ومعهما مضمونة، فعلى ذلك لو تعلّق الضمان بالودعي من حيثية التعدّي والتفريط فلا يزول إلّا بإسقاطه؛ بناءً على جواز إسقاط مثل هذا الحق، أو بالإيداع جديداً، ولا يزول بمجرد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أودعتك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شبههما؛ لأنّه لم يُفد فائدةً أُخرى سوى تأكيد الاستيداع المتقدّم، وهو مجامع للضمان فلا يرتفع بما دلّ عليه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3424827_1280447820"/>
      <w:bookmarkStart w:id="88" w:name="_Toc32"/>
      <w:bookmarkEnd w:id="87"/>
      <w:r>
        <w:rPr>
          <w:rtl w:val="true"/>
        </w:rPr>
        <w:t>السادس والعشرون</w:t>
      </w:r>
      <w:r>
        <w:rPr>
          <w:rtl w:val="true"/>
        </w:rPr>
        <w:t xml:space="preserve">: </w:t>
      </w:r>
      <w:r>
        <w:rPr>
          <w:rtl w:val="true"/>
        </w:rPr>
        <w:t xml:space="preserve">في جملة ممّا يتعلّق بالدعاوي وفيه أمور </w:t>
      </w:r>
      <w:r>
        <w:rPr>
          <w:rtl w:val="true"/>
        </w:rPr>
        <w:t>:</w:t>
      </w:r>
      <w:bookmarkEnd w:id="88"/>
    </w:p>
    <w:p>
      <w:pPr>
        <w:pStyle w:val="Heading5"/>
        <w:numPr>
          <w:ilvl w:val="4"/>
          <w:numId w:val="1"/>
        </w:numPr>
        <w:rPr/>
      </w:pPr>
      <w:bookmarkStart w:id="89" w:name="__RefHeading___Toc13424829_1280447820"/>
      <w:bookmarkStart w:id="90" w:name="_Toc33"/>
      <w:bookmarkEnd w:id="89"/>
      <w:r>
        <w:rPr>
          <w:rtl w:val="true"/>
        </w:rPr>
        <w:t>أحدها</w:t>
      </w:r>
      <w:r>
        <w:rPr>
          <w:rtl w:val="true"/>
        </w:rPr>
        <w:t xml:space="preserve">: </w:t>
      </w:r>
      <w:r>
        <w:rPr>
          <w:rtl w:val="true"/>
        </w:rPr>
        <w:t>لو اختلفا في أصل الوديعة، كان القول قول منكرها؛ للأصل</w:t>
      </w:r>
      <w:r>
        <w:rPr>
          <w:rtl w:val="true"/>
        </w:rPr>
        <w:t>.</w:t>
      </w:r>
      <w:bookmarkEnd w:id="90"/>
    </w:p>
    <w:p>
      <w:pPr>
        <w:pStyle w:val="BookText"/>
        <w:rPr/>
      </w:pPr>
      <w:r>
        <w:rPr>
          <w:rFonts w:ascii="Amiri" w:hAnsi="Amiri" w:eastAsia="Amiri" w:cs="Amiri"/>
          <w:color w:val="111111"/>
          <w:sz w:val="28"/>
          <w:sz w:val="28"/>
          <w:szCs w:val="28"/>
          <w:rtl w:val="true"/>
          <w:lang w:bidi="ar-SA"/>
        </w:rPr>
        <w:t xml:space="preserve">ولو اتّفقا على صدورها واختلفا في التلف وعدمه، كان القول قول الودعيّ في حصول التلف؛ لأنّه أمين فى الحفظ وقول الأمين مسموع فيما اؤتمن عليه؛ وللإجماع المنقول على ذلك </w:t>
      </w:r>
      <w:r>
        <w:rPr>
          <w:rStyle w:val="FootnoteAnchor"/>
          <w:rtl w:val="true"/>
        </w:rPr>
        <w:footnoteReference w:id="66"/>
      </w:r>
      <w:r>
        <w:rPr>
          <w:rFonts w:ascii="Amiri" w:hAnsi="Amiri" w:eastAsia="Amiri" w:cs="Amiri"/>
          <w:color w:val="111111"/>
          <w:sz w:val="28"/>
          <w:sz w:val="28"/>
          <w:szCs w:val="28"/>
          <w:rtl w:val="true"/>
          <w:lang w:bidi="ar-SA"/>
        </w:rPr>
        <w:t>وللزوم الضرر والضرار على الودعيّ بطلب البيّنة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دعوى التلف مطلقاً، وبين دعواه مستنداً إلى سبب خاص، ولا فرق في السبب بين كونه ظاهراً أو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يظهر منه الفرق بين السبب الظاهر والخفي؛ حيث إنّه لم يقبله من دون بيِّنةٍ في الأوّل، وقبله مطلقاً في الثاني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أن قبول قوله مفتقر إلى اليمين؛ اقتصاراً في سماع قول المدّعي على المورد اليقين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بسماع قوله من دون يمين </w:t>
      </w:r>
      <w:r>
        <w:rPr>
          <w:rStyle w:val="FootnoteAnchor"/>
          <w:rtl w:val="true"/>
        </w:rPr>
        <w:footnoteReference w:id="68"/>
      </w:r>
      <w:r>
        <w:rPr>
          <w:rFonts w:ascii="Amiri" w:hAnsi="Amiri" w:eastAsia="Amiri" w:cs="Amiri"/>
          <w:color w:val="111111"/>
          <w:sz w:val="28"/>
          <w:sz w:val="28"/>
          <w:szCs w:val="28"/>
          <w:rtl w:val="true"/>
          <w:lang w:bidi="ar-SA"/>
        </w:rPr>
        <w:t xml:space="preserve">استناداً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المودع إذا كان غير ثقةٍ هل يُقبل قوله؟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يمين عليه</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وإلى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يخنك الأمين ولكنّك ائتمنت الخائن</w:t>
      </w:r>
      <w:r>
        <w:rPr>
          <w:rFonts w:eastAsia="Amiri" w:cs="Amiri" w:ascii="Amiri" w:hAnsi="Amiri"/>
          <w:color w:val="111111"/>
          <w:sz w:val="28"/>
          <w:szCs w:val="28"/>
          <w:rtl w:val="true"/>
          <w:lang w:bidi="ar-SA"/>
        </w:rPr>
        <w:t xml:space="preserve">» </w:t>
      </w:r>
      <w:r>
        <w:rPr>
          <w:rStyle w:val="FootnoteAnchor"/>
          <w:rtl w:val="true"/>
        </w:rPr>
        <w:footnoteReference w:id="70"/>
      </w:r>
      <w:bookmarkStart w:id="91" w:name="pg19218_273920"/>
    </w:p>
    <w:p>
      <w:pPr>
        <w:pStyle w:val="BookText"/>
        <w:rPr/>
      </w:pPr>
      <w:bookmarkEnd w:id="91"/>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تتهم من ائتمنته ولا تأمن الخائن</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تأمن مَنْ خانك، ولا تتهم من ائتمنت</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إلى غير ذلك ممّا دلّ على النهي عن اتّهام الأمين، وهو يلازم تصديقه من دون إحلاف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لعدم معارضته الإجماع المنقول المنجبر بفتوى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بالفرق بين كونه متهماً وغير مأمون فلا يُقبل قوله إلّا مع اليمين، وبين كونه ثقةً مأموناً فيلزم تصديق قوله من دون يمين،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الأخبار دلالة عليه</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3424831_1280447820"/>
      <w:bookmarkStart w:id="93" w:name="_Toc34"/>
      <w:bookmarkEnd w:id="92"/>
      <w:r>
        <w:rPr>
          <w:rtl w:val="true"/>
        </w:rPr>
        <w:t>ثانيها</w:t>
      </w:r>
      <w:r>
        <w:rPr>
          <w:rtl w:val="true"/>
        </w:rPr>
        <w:t xml:space="preserve">: </w:t>
      </w:r>
      <w:r>
        <w:rPr>
          <w:rtl w:val="true"/>
        </w:rPr>
        <w:t>حكم ما لو ادّعى الودعيّ الردّ إمّا على المالك أو على وكيله أو إلى مَنْ أذن له المالك بالردّ إليه</w:t>
      </w:r>
      <w:bookmarkEnd w:id="9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الودعى الرد، فإن كان على المالك صُدِّق قوله بيمينه على الأظهر الأشهر؛ لأنّه قابض لمصلحة المالك فلا يكلّف البيّنة، وكذا لو كان الردّ على الوكيل؛ لأنّ يد الوكيل يد الموكّل، وكذا لو كان على غيرهما وكان مأموراً بالدفع إليه؛ لأنّه حينئذٍ وكيل في الدفع فيُصدق قوله فيه، ولا يُصدق قوله في الردّ على الوارث؛ للأصل، ولأنّه لم يدفع المال إلى الودعيّ وإن انتقل إليه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الودعيّ الردّ إلى مَنْ أذن له المالك بالردّ إليه فأنكر المالك الإذن، كان القول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حلف المالك نظر، فإن أقرّ المدفوع إليه بالقبض والعين باقية رُدّت إلى المالك، فإن تعذر ارتجاعها منه لغيبة أو نحوها تخيّر المالك بين الرجوع إليه والصبر، وبين الرجوع على الودعيّ لمكان الحيلولة، فإن رجع على الودعيّ فأخذ منه البدل رجع الودعيّ على المدفوع إليه وأخذ منه عين الوديعة عوضاً عما دفعه، أو ردّها على المالك وأخذ البدل الذي دفعه إليه إن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العين تالفة، فإن رجع على الودعيّ لم يرجع على المدفوع إليه؛ لاعترافه بظلم المالك له، وكذا لو رجع على المدفوع إليه؛ لاعتراف الودعيّ بظلمه فلا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أنكر القبض فالقول قوله بيمينه، فإذا حلف اختص الغرم بالمستودع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أقرّ المالك بالإذن، فإن دفعها مع الإشهاد لزم تصديقه؛ لأنّه وكيل حينئذٍ في الدفع وقد أخبر به، وإن دفعها بدونه احتمل عدم لزوم الضمان عليه؛ لأنّ الإذن بدفع الوديعة لا يقضي بلزوم </w:t>
      </w:r>
      <w:bookmarkStart w:id="94" w:name="pg19218_273921"/>
    </w:p>
    <w:p>
      <w:pPr>
        <w:pStyle w:val="BookText"/>
        <w:rPr/>
      </w:pPr>
      <w:bookmarkEnd w:id="94"/>
      <w:r>
        <w:rPr>
          <w:rFonts w:ascii="Amiri" w:hAnsi="Amiri" w:eastAsia="Amiri" w:cs="Amiri"/>
          <w:color w:val="111111"/>
          <w:sz w:val="28"/>
          <w:sz w:val="28"/>
          <w:szCs w:val="28"/>
          <w:rtl w:val="true"/>
          <w:lang w:bidi="ar-SA"/>
        </w:rPr>
        <w:t>الإشهاد كما يقضى به بقضاء الدين، واحتمل لزومه؛ لأنّ الدفع بدون إشهادٍ تفريط، كقضاء الدَّين من دونه، واعتراف المالك بوصول الوديعة إلى المأذون لا ينافي الضمان من جهة عدم الإشهاد</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3424833_1280447820"/>
      <w:bookmarkStart w:id="96" w:name="_Toc35"/>
      <w:bookmarkEnd w:id="95"/>
      <w:r>
        <w:rPr>
          <w:rtl w:val="true"/>
        </w:rPr>
        <w:t>ثالثها</w:t>
      </w:r>
      <w:r>
        <w:rPr>
          <w:rtl w:val="true"/>
        </w:rPr>
        <w:t xml:space="preserve">: </w:t>
      </w:r>
      <w:r>
        <w:rPr>
          <w:rtl w:val="true"/>
        </w:rPr>
        <w:t>حكم ما لو اختلف المالك مع من في يده المال فقال المالك</w:t>
      </w:r>
      <w:r>
        <w:rPr>
          <w:rtl w:val="true"/>
        </w:rPr>
        <w:t xml:space="preserve">: </w:t>
      </w:r>
      <w:r>
        <w:rPr>
          <w:rtl w:val="true"/>
        </w:rPr>
        <w:t>وديعة وقال الآخر</w:t>
      </w:r>
      <w:r>
        <w:rPr>
          <w:rtl w:val="true"/>
        </w:rPr>
        <w:t xml:space="preserve">: </w:t>
      </w:r>
      <w:r>
        <w:rPr>
          <w:rtl w:val="true"/>
        </w:rPr>
        <w:t>رهن أو قرض</w:t>
      </w:r>
      <w:bookmarkEnd w:id="96"/>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المالك مع مَنْ في يده المال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فالقول 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وديعة،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قرض كي يجوز له دفع مثلها أو قيمتها دون عينها، كان القول 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بعد تلفها من غير تفريط،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قرض، كان القول قول المالك مع يمينه؛ لعموم دليل ضمان ما أخذت اليد </w:t>
      </w:r>
      <w:r>
        <w:rPr>
          <w:rStyle w:val="FootnoteAnchor"/>
          <w:rtl w:val="true"/>
        </w:rPr>
        <w:footnoteReference w:id="73"/>
      </w:r>
      <w:r>
        <w:rPr>
          <w:rFonts w:ascii="Amiri" w:hAnsi="Amiri" w:eastAsia="Amiri" w:cs="Amiri"/>
          <w:color w:val="111111"/>
          <w:sz w:val="28"/>
          <w:sz w:val="28"/>
          <w:szCs w:val="28"/>
          <w:rtl w:val="true"/>
          <w:lang w:bidi="ar-SA"/>
        </w:rPr>
        <w:t>، وخصوص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استودع رجلاً ألف در هم فضاعت فقال الرجل كانت عندي وديعة وقال الآخر إنّما كانت عليك قرضاً؟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لازم له إلّا أن يقيم البيّنة أنّها كانت وديعة</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ونحوه غيره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بن إدريس هنا تفصيل </w:t>
      </w:r>
      <w:r>
        <w:rPr>
          <w:rStyle w:val="FootnoteAnchor"/>
          <w:rtl w:val="true"/>
        </w:rPr>
        <w:footnoteReference w:id="76"/>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3424835_1280447820"/>
      <w:bookmarkStart w:id="98" w:name="_Toc36"/>
      <w:bookmarkEnd w:id="97"/>
      <w:r>
        <w:rPr>
          <w:rtl w:val="true"/>
        </w:rPr>
        <w:t>رابعها</w:t>
      </w:r>
      <w:r>
        <w:rPr>
          <w:rtl w:val="true"/>
        </w:rPr>
        <w:t xml:space="preserve">: </w:t>
      </w:r>
      <w:r>
        <w:rPr>
          <w:rtl w:val="true"/>
        </w:rPr>
        <w:t>حكم ما لو اختلفا في قدر قيمة الوديعة بعد تلفها إذا كانت مضمونة</w:t>
      </w:r>
      <w:bookmarkEnd w:id="98"/>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قدر قيمة الوديعة بعد تلفها إذا كانت مضمونة، فالقول قول الودعي؛ للأصل، لا لكونه أميناً كي يقال بارتفاع أمانته بالخيانة في التعدّي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قول المودّع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أنّ فيه رواية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والرواية لم تثبت</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3424837_1280447820"/>
      <w:bookmarkStart w:id="100" w:name="_Toc37"/>
      <w:bookmarkEnd w:id="99"/>
      <w:r>
        <w:rPr>
          <w:rtl w:val="true"/>
        </w:rPr>
        <w:t>خامسها</w:t>
      </w:r>
      <w:r>
        <w:rPr>
          <w:rtl w:val="true"/>
        </w:rPr>
        <w:t xml:space="preserve">: </w:t>
      </w:r>
      <w:r>
        <w:rPr>
          <w:rtl w:val="true"/>
        </w:rPr>
        <w:t>حكم ما لو اختلفا في أصل الوديعة أو في قدرها أو في اشتراط أمر زائد فيها أو</w:t>
      </w:r>
      <w:bookmarkEnd w:id="100"/>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أصل الوديعة أو في قدرها أو في اشتراط أمر زائد فيها أو في التعدّي أو التفريط فيها أو في مخالفة أمر المالك فيها، كان القول قول الودعيّ في ذلك كله</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3424839_1280447820"/>
      <w:bookmarkStart w:id="102" w:name="_Toc38"/>
      <w:bookmarkEnd w:id="101"/>
      <w:r>
        <w:rPr>
          <w:rtl w:val="true"/>
        </w:rPr>
        <w:t>سادسها</w:t>
      </w:r>
      <w:r>
        <w:rPr>
          <w:rtl w:val="true"/>
        </w:rPr>
        <w:t xml:space="preserve">: </w:t>
      </w:r>
      <w:r>
        <w:rPr>
          <w:rtl w:val="true"/>
        </w:rPr>
        <w:t>فيما إذا مات المودع سُلّمت الوديعة إلى وارثه</w:t>
      </w:r>
      <w:bookmarkEnd w:id="10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المودع سُلّمت الوديعة إلى المعلوم أنّه وارث أو مَنْ قامت عليه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تأخيرها لاحتمال وجود وارث آخر وجهان، تقدّم الكلام عليهما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03" w:name="pg19218_273922"/>
    </w:p>
    <w:p>
      <w:pPr>
        <w:pStyle w:val="BookText"/>
        <w:rPr/>
      </w:pPr>
      <w:bookmarkEnd w:id="103"/>
      <w:r>
        <w:rPr>
          <w:rFonts w:ascii="Amiri" w:hAnsi="Amiri" w:eastAsia="Amiri" w:cs="Amiri"/>
          <w:color w:val="111111"/>
          <w:sz w:val="28"/>
          <w:sz w:val="28"/>
          <w:szCs w:val="28"/>
          <w:rtl w:val="true"/>
          <w:lang w:bidi="ar-SA"/>
        </w:rPr>
        <w:t>ويقوى جواز التأخير فيما لو ادّعى شخص أنّه وارث بقدر إثبات دعواه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دفعها فوراً وإن لم يطالب الوارث، سواء علم أو لم يعلم؛ لأنّها تعود أمانةً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الوارث متعدّداً سلّمها إلى الجميع أو وكيلهم أو وصيّهم، ولو سلّمها لواحد ضمن حصة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الحاضر أحدهم وأراد حصّته، لم يجز للودعي القسمة، بل لا بدّ من الرجوع إلى الحاكم في القسمة ودفع حقّه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الودعيّ من الرجوع إلى الحاكم، ضمن حصة المطالب، ولا يلزم الودعيّ مؤونة الردّ، بل عليه الإعلام فوراً والتخلية والدفع</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3424841_1280447820"/>
      <w:bookmarkStart w:id="105" w:name="_Toc39"/>
      <w:bookmarkEnd w:id="104"/>
      <w:r>
        <w:rPr>
          <w:rtl w:val="true"/>
        </w:rPr>
        <w:t>سابعها</w:t>
      </w:r>
      <w:r>
        <w:rPr>
          <w:rtl w:val="true"/>
        </w:rPr>
        <w:t xml:space="preserve">: </w:t>
      </w:r>
      <w:r>
        <w:rPr>
          <w:rtl w:val="true"/>
        </w:rPr>
        <w:t>حكم ما مات الودعيّ وعلمت الوديعة أو لم تُعلم</w:t>
      </w:r>
      <w:bookmarkEnd w:id="105"/>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الودعيّ فإن عُلمت الوديعة بعينها فلا كلام، وإن لم تعلم بعينها، فإن علمت أنّها في جملة أعيان التركة الموجودة كان المودع شريكاً للوارث في القدر المعلوم ما قامت عليه البيّنة، وإن لم يُعلم وجودها في أعيان التركة، فإن علم تفريط الودعيّ فيها بترك الوصيّة أو شبهها كانت ديناً في ذمته، وحكمها كحكم سائر ديون الميت، وإن لم يُعلم التفريط بها فالأظهر عدم لزوم إخراجها من التركة؛ لأصالة عدم كونها في جملة أعيان التركة كي يُحكم بشركة المودع للوارث، وأصالة عدم التعدّي والتفريط عليها بها كي يُحكم بضمان الودعيّ، فتُعامل معاملة الدين، وأصالة بقائها في الوجود الخارجي أو تحت يد المودع أو في بيته لا تقضي بكونها في جملة أمواله، إلّا إذا عُلم كونها في جملة أمواله قبل الموت أو قبله وبعده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w:t>
      </w:r>
      <w:r>
        <w:rPr>
          <w:rStyle w:val="FootnoteAnchor"/>
          <w:rtl w:val="true"/>
        </w:rPr>
        <w:footnoteReference w:id="80"/>
      </w:r>
      <w:r>
        <w:rPr>
          <w:rFonts w:ascii="Amiri" w:hAnsi="Amiri" w:eastAsia="Amiri" w:cs="Amiri"/>
          <w:color w:val="111111"/>
          <w:sz w:val="28"/>
          <w:sz w:val="28"/>
          <w:szCs w:val="28"/>
          <w:rtl w:val="true"/>
          <w:lang w:bidi="ar-SA"/>
        </w:rPr>
        <w:t>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 إذا اعترف بالوديعة وجهلت عينها فإنّها تُخرج من أصل تركته، ولو كانت له غرماء وضاقت التركة حاصهم المودع؛ لأنّ اعترافه بالوديعة زمن حياته أوجب ثبوت يده عليها والتزامه بها إلى أن يردّها إلى مالكها، فإذا لم تعلم كان ضامناً لها؛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ولأنّه بترك تعيينها ضامن لها لتفريطه بها؛ ولأصالة بقائها في يده إلى الموت وبعده تكون في جملة التركة، فإذا تعذر الوصول إلى عينها وجب البدل، فتكون بمنزلة الدين فيحاص صاحبها الغرماء</w:t>
      </w:r>
      <w:r>
        <w:rPr>
          <w:rFonts w:eastAsia="Amiri" w:cs="Amiri" w:ascii="Amiri" w:hAnsi="Amiri"/>
          <w:color w:val="111111"/>
          <w:sz w:val="28"/>
          <w:szCs w:val="28"/>
          <w:rtl w:val="true"/>
          <w:lang w:bidi="ar-SA"/>
        </w:rPr>
        <w:t xml:space="preserve">. </w:t>
      </w:r>
      <w:bookmarkStart w:id="106" w:name="pg19218_273923"/>
    </w:p>
    <w:p>
      <w:pPr>
        <w:pStyle w:val="BookText"/>
        <w:rPr/>
      </w:pPr>
      <w:bookmarkEnd w:id="106"/>
      <w:r>
        <w:rPr>
          <w:rFonts w:ascii="Amiri" w:hAnsi="Amiri" w:eastAsia="Amiri" w:cs="Amiri"/>
          <w:color w:val="111111"/>
          <w:sz w:val="28"/>
          <w:sz w:val="28"/>
          <w:szCs w:val="28"/>
          <w:rtl w:val="true"/>
          <w:lang w:bidi="ar-SA"/>
        </w:rPr>
        <w:t xml:space="preserve">وفي هذا الكلام ضعف يظهر ممّا تقدمه، وقد تقدّم نظير ذلك غير مرّةٍ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3424843_1280447820"/>
      <w:bookmarkStart w:id="108" w:name="_Toc40"/>
      <w:bookmarkEnd w:id="107"/>
      <w:r>
        <w:rPr>
          <w:rtl w:val="true"/>
        </w:rPr>
        <w:t>ثامنها</w:t>
      </w:r>
      <w:r>
        <w:rPr>
          <w:rtl w:val="true"/>
        </w:rPr>
        <w:t xml:space="preserve">: </w:t>
      </w:r>
      <w:r>
        <w:rPr>
          <w:rtl w:val="true"/>
        </w:rPr>
        <w:t>حكم ما لو أنكر الوديعة ثمّ أقربها ثمّ ادّعى تلفها بعد الإنكار أو قبله</w:t>
      </w:r>
      <w:bookmarkEnd w:id="108"/>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الوديعة ثمّ أقرّ بها ابتداءً أو قامت عليه البيّنة فصدقها ثمّ ادّعى بعد الإقرار والتصديق تلفها مطلقاً أو تلفها بعد الإنكار،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تلفها قبل الإنكار،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دعواه ولا تُقبل بيّنته؛ لتكذيبه إياها، ولا يتوجّه بها عليه يمين، ولا على المدعى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دعواه ويُقبل يمينه؛ لاحتمال استناد الإنكار لسهو أو نسيان أو غفلة أو نحو ذلك</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تُسمع دعواه، ولا تُقبل بينته، ولا يتوجه عليه يمين، ولكن يتوّجه بها يمين على المودع لو طلب إحلافه على نفى العلم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أظهر لإنكاره تأويلاً ممكناً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ليس لك عندي وديعة يلزمني ردّها أو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سمعت دعواه وبيّنته، وإلا فلا تُسمع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الإنكار لأصل الإيداع، لم تُقبل دعواه ولا بينته، وإن كان الإنكار لشغل ذمته أو لعدم وجود الوديعة الآن عنده أو لعدم لزوم شيءٍ عليه أو نحو ذلك، سمعت دعواه وقُبلت بينته </w:t>
      </w:r>
      <w:r>
        <w:rPr>
          <w:rStyle w:val="FootnoteAnchor"/>
          <w:rtl w:val="true"/>
        </w:rPr>
        <w:footnoteReference w:id="87"/>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من محل الخلاف في المسألة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القبول والسماع إن أظهر تأويلاً ممكناً لعدم ثبوت التعدّي عليه الموجب للضمان، ولأنّ تكذيب بيّنته إنّما يثبت بالمحقق لا بالموهوم</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3424845_1280447820"/>
      <w:bookmarkStart w:id="110" w:name="_Toc41"/>
      <w:bookmarkEnd w:id="109"/>
      <w:r>
        <w:rPr>
          <w:rtl w:val="true"/>
        </w:rPr>
        <w:t xml:space="preserve">تاسعها </w:t>
      </w:r>
      <w:r>
        <w:rPr>
          <w:rtl w:val="true"/>
        </w:rPr>
        <w:t xml:space="preserve">: </w:t>
      </w:r>
      <w:r>
        <w:rPr>
          <w:rtl w:val="true"/>
        </w:rPr>
        <w:t>حكم ما لو كانت عنده وديعة فادّعاها اثنان</w:t>
      </w:r>
      <w:bookmarkEnd w:id="11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عنده وديعة فادعاها اثنان فإما أن يقرّ الودعيّ بكونها لأحدهما خاصّة، أو يقر بكونها لهما، أو يكذبهما، أو لا يدري لمن هي منهما مع علمه بأنّها لأحدهما، أو لا يدري بأنّها لهما أو لغيرهما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أقرّ بها لأحدهما، وجب عليه تسليمها إليه، ولزمه الحلف للآخر، فإن حلف سقطت دعوى الآخر عنه، وللآخر تحليف المقرّ له على عدم كونها له، فإن حلف استقر ملكه عليها، وإن نكل أو ردّ اليمين فحلف الآخر عادت إليه، وإن نكل الودعيّ عن اليمين لمن لم يقرّ له وقضينا بالنكول، أو رُدّت اليمين على من لم يقرّ له فحلف على أنّها له، غرم الودعيّ المثل أو القيمة؛ لحيلولته بينها وبينه بإقراره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كون اليمين المردودة بمنزلة إقرار المنكر أو بمنزلة بينة المدعي؛ لأنّها لو كانت بمنزلة البيّنة فهي بمنزلتها في حقّ المتداعيين لا مطلقاً، فلا تنتزع الوديعة من المقر له حينئذٍ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أقرّ بها لهما فقد كذب دعوى كلّ منهما للجميع وصدقه في البعض، وحينئذٍ فتقسّم بينهما ويبقى النزاع بينهما بالنصف، فإن حلفا معاً أو نكلا قسم بينهما أيضاً، وإن حلف أحدهما خاصّة قضي له بها ولا خصومة للناكل مع الودعي، ولكلِّ منهما الدعوى مع الودعيّ في النصف الآخر، فإن حلف سلم من الغرم، وإن ردّ اليمين أو نكل غرم للحالف النصف كما تقدّم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كذبهما معاً كان لهما إحلافه، فإن نكل عن اليمين رُدّت إليهما وصارا في الدعوى سواء؛ لخروج يدكلّ منهما، فإن حلفا أو نكلا قسمت بينهما نصفين، وإن اختص أحدهما باليمين اختص هو بالوديعة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لأ يكما، فإن وافقاه على عدم التعيين فلا خصومة، وإلا كان لهما عليه اليمين على نفي العلم بأنّه لأحدهما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عليه يمين واحدة؛ لأنّها دعوى واحدة فيكتفى فيها بيمين واحدة، أو عليه يمينان، لكلّ واحدٍ منهما يمين؛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وجهان، والأقوى الأخير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حلف سقطت الدعوى عنه، وإن نكل وحلفا على علمه أُغرم القيمة وجعلت مع العين في أيديهما؛ لمكان الحيلولة، وتراضيا على ما يأخذاه واصطلحا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وقعت المنازعة بينهما بعد يمينه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يقرع بينهما، فمن خرجت له القرعة حلف وسلّمت إليه الوديعة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يقف إلى أن يصطلحا أو تقوم بيّنة أنّها لأحدهما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بينهما نصفين بعد تحالفهما </w:t>
      </w:r>
      <w:r>
        <w:rPr>
          <w:rStyle w:val="FootnoteAnchor"/>
          <w:rtl w:val="true"/>
        </w:rPr>
        <w:footnoteReference w:id="92"/>
      </w:r>
      <w:r>
        <w:rPr>
          <w:rFonts w:ascii="Amiri" w:hAnsi="Amiri" w:eastAsia="Amiri" w:cs="Amiri"/>
          <w:color w:val="111111"/>
          <w:sz w:val="28"/>
          <w:sz w:val="28"/>
          <w:szCs w:val="28"/>
          <w:rtl w:val="true"/>
          <w:lang w:bidi="ar-SA"/>
        </w:rPr>
        <w:t>، وهو الأظهر؛ للزوم الضرر في الإيقاف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فالأظهر انتزاع الوديعة من يده؛ لانحصار الحق فيهما، ومطالبتهما بها، مع احتمال الرجوع للحاكم واحتمال إبقائها في يده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لكما أم لغير كما كان لهما عليه اليمين على نفي العلم بأنّها لهما، أو نفي العلم بأنّها لكلّ واحدٍ منهما، فإذا حلف بقيت في يده؛ لأنّها وديعة عنده إلى أن تقوم البيّنة، وليس لأحدهما تحليف الآخر؛ لأنّه لم يثبت لواحدٍ منهما فيها يد استحقاق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نكل عن اليمين، ففي تسليمها إليهما مع حلفهما على الاستحقاق وغرامته لهما القيمة لو حلفا على علمه؛ لانحصار الحق فيهما ظاهراً ولا منازع لهما الآن، أو إبقائها في يده؛ لعدم حصر ذي اليد الحق فيهما إشكال، ولا يبعد الأوّل</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العارية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9218_273928"/>
      <w:bookmarkStart w:id="112" w:name="pg19218_273928"/>
      <w:bookmarkEnd w:id="112"/>
    </w:p>
    <w:p>
      <w:pPr>
        <w:pStyle w:val="Heading2"/>
        <w:numPr>
          <w:ilvl w:val="1"/>
          <w:numId w:val="1"/>
        </w:numPr>
        <w:rPr/>
      </w:pPr>
      <w:bookmarkStart w:id="113" w:name="pg19218_273928"/>
      <w:bookmarkStart w:id="114" w:name="__RefHeading___Toc13424847_1280447820"/>
      <w:bookmarkStart w:id="115" w:name="_Toc42"/>
      <w:bookmarkEnd w:id="113"/>
      <w:bookmarkEnd w:id="114"/>
      <w:r>
        <w:rPr>
          <w:rtl w:val="true"/>
        </w:rPr>
        <w:t>كتاب العارية</w:t>
      </w:r>
      <w:bookmarkEnd w:id="115"/>
    </w:p>
    <w:p>
      <w:pPr>
        <w:pStyle w:val="Heading3"/>
        <w:numPr>
          <w:ilvl w:val="2"/>
          <w:numId w:val="1"/>
        </w:numPr>
        <w:rPr/>
      </w:pPr>
      <w:bookmarkStart w:id="116" w:name="__RefHeading___Toc13424849_1280447820"/>
      <w:bookmarkStart w:id="117" w:name="_Toc43"/>
      <w:bookmarkEnd w:id="116"/>
      <w:r>
        <w:rPr>
          <w:rtl w:val="true"/>
        </w:rPr>
        <w:t>تعريف العارية ومبدأ اشتقاقها</w:t>
      </w:r>
      <w:bookmarkEnd w:id="117"/>
    </w:p>
    <w:p>
      <w:pPr>
        <w:pStyle w:val="BookText"/>
        <w:rPr/>
      </w:pPr>
      <w:r>
        <w:rPr>
          <w:rFonts w:ascii="Amiri" w:hAnsi="Amiri" w:eastAsia="Amiri" w:cs="Amiri"/>
          <w:color w:val="111111"/>
          <w:sz w:val="28"/>
          <w:sz w:val="28"/>
          <w:szCs w:val="28"/>
          <w:rtl w:val="true"/>
          <w:lang w:bidi="ar-SA"/>
        </w:rPr>
        <w:t xml:space="preserve">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وقد تخفّف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العار؛ لأنّ طلبها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العارة، وهي مصدر ثان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أعرته إعارة وعارة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يعير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وذهب، فکأنّها لتردّدها من يد إلى أُخرى تجيء وتذهب، ومنه العيّار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التعاور والاعتوار، وهو التداول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عن صاحبه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أهل اللغة </w:t>
      </w:r>
      <w:r>
        <w:rPr>
          <w:rStyle w:val="FootnoteAnchor"/>
          <w:rtl w:val="true"/>
        </w:rPr>
        <w:footnoteReference w:id="97"/>
      </w:r>
      <w:r>
        <w:rPr>
          <w:rFonts w:ascii="Amiri" w:hAnsi="Amiri" w:eastAsia="Amiri" w:cs="Amiri"/>
          <w:color w:val="111111"/>
          <w:sz w:val="28"/>
          <w:sz w:val="28"/>
          <w:szCs w:val="28"/>
          <w:rtl w:val="true"/>
          <w:lang w:bidi="ar-SA"/>
        </w:rPr>
        <w:t xml:space="preserve">أنّ العارية هنا مأخوذة من الفعل الواوي، والعارية من العار من الفعل اليائي، وكذا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جاء وذهب من اليائي أيضاً، فلا يصحّ اشتقاق العارية المقصودة هنا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وتُطلق العارية عرفاً على نفس العين المستعارة، وتُطلق شرعاً على نفس إباحة المنفعة على جهة التبرع، وقد تُطلق على العقد الدال عليها، وهو المعروف على ألسنة المتشرعة؛ حيث إنّهم يذكرونها في العقود</w:t>
      </w:r>
      <w:r>
        <w:rPr>
          <w:rFonts w:eastAsia="Amiri" w:cs="Amiri" w:ascii="Amiri" w:hAnsi="Amiri"/>
          <w:color w:val="111111"/>
          <w:sz w:val="28"/>
          <w:szCs w:val="28"/>
          <w:rtl w:val="true"/>
          <w:lang w:bidi="ar-SA"/>
        </w:rPr>
        <w:t xml:space="preserve">. </w:t>
      </w:r>
      <w:bookmarkStart w:id="118" w:name="pg19218_273929"/>
    </w:p>
    <w:p>
      <w:pPr>
        <w:pStyle w:val="BookText"/>
        <w:rPr/>
      </w:pPr>
      <w:bookmarkEnd w:id="118"/>
      <w:r>
        <w:rPr>
          <w:rFonts w:ascii="Amiri" w:hAnsi="Amiri" w:eastAsia="Amiri" w:cs="Amiri"/>
          <w:color w:val="111111"/>
          <w:sz w:val="28"/>
          <w:sz w:val="28"/>
          <w:szCs w:val="28"/>
          <w:rtl w:val="true"/>
          <w:lang w:bidi="ar-SA"/>
        </w:rPr>
        <w:t>وهي ثابتة كتاباً، كما ورد في تفسير الماعون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أنّه متاع البيت يعيره </w:t>
      </w:r>
      <w:r>
        <w:rPr>
          <w:rStyle w:val="FootnoteAnchor"/>
          <w:rtl w:val="true"/>
        </w:rPr>
        <w:footnoteReference w:id="99"/>
      </w:r>
      <w:r>
        <w:rPr>
          <w:rFonts w:ascii="Amiri" w:hAnsi="Amiri" w:eastAsia="Amiri" w:cs="Amiri"/>
          <w:color w:val="111111"/>
          <w:sz w:val="28"/>
          <w:sz w:val="28"/>
          <w:szCs w:val="28"/>
          <w:rtl w:val="true"/>
          <w:lang w:bidi="ar-SA"/>
        </w:rPr>
        <w:t xml:space="preserve">، وسنة كما ورد في الأخبار المتكثرة الحثّ عليها </w:t>
      </w:r>
      <w:r>
        <w:rPr>
          <w:rStyle w:val="FootnoteAnchor"/>
          <w:rtl w:val="true"/>
        </w:rPr>
        <w:footnoteReference w:id="100"/>
      </w:r>
      <w:r>
        <w:rPr>
          <w:rFonts w:ascii="Amiri" w:hAnsi="Amiri" w:eastAsia="Amiri" w:cs="Amiri"/>
          <w:color w:val="111111"/>
          <w:sz w:val="28"/>
          <w:sz w:val="28"/>
          <w:szCs w:val="28"/>
          <w:rtl w:val="true"/>
          <w:lang w:bidi="ar-SA"/>
        </w:rPr>
        <w:t xml:space="preserve">، وما ورد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Style w:val="FootnoteAnchor"/>
          <w:rtl w:val="true"/>
        </w:rPr>
        <w:footnoteReference w:id="101"/>
      </w:r>
      <w:r>
        <w:rPr>
          <w:rFonts w:ascii="Amiri" w:hAnsi="Amiri" w:eastAsia="Amiri" w:cs="Amiri"/>
          <w:color w:val="111111"/>
          <w:sz w:val="28"/>
          <w:sz w:val="28"/>
          <w:szCs w:val="28"/>
          <w:rtl w:val="true"/>
          <w:lang w:bidi="ar-SA"/>
        </w:rPr>
        <w:t xml:space="preserve">، وإجماعاً محصلاً ومنقولاً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العقود الجائزة إجماعاً في غير ما دلّ عليه الدليل ولو وقع الشكّ في لزومها أو جوازها في بعض المواضع فهل الأصل لزوم العقد إلى أن يثبت أنّها عارية جائزة وأنّها مشمولة لما دلّ على جواز العارية، أو الأصل جوازها؛ لأنّ كلّ عارية جائزة، كما يُفهم من مادتها ويفهم من ظاهر الفقهاء حتّى كاد أن يكون إجماعاً بل الإجماع منقول على ذلك</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يُفهم من أخبار العارية أنّها مبنيّة على الجواز؟ وجهان، والأخير أقوى وأظهر</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3424851_1280447820"/>
      <w:bookmarkStart w:id="120" w:name="_Toc44"/>
      <w:bookmarkEnd w:id="119"/>
      <w:r>
        <w:rPr>
          <w:rtl w:val="true"/>
        </w:rPr>
        <w:t>وهنا أمور</w:t>
      </w:r>
      <w:r>
        <w:rPr>
          <w:rtl w:val="true"/>
        </w:rPr>
        <w:t>:</w:t>
      </w:r>
      <w:bookmarkEnd w:id="120"/>
    </w:p>
    <w:p>
      <w:pPr>
        <w:pStyle w:val="Heading4"/>
        <w:numPr>
          <w:ilvl w:val="3"/>
          <w:numId w:val="1"/>
        </w:numPr>
        <w:rPr/>
      </w:pPr>
      <w:bookmarkStart w:id="121" w:name="__RefHeading___Toc13424853_1280447820"/>
      <w:bookmarkStart w:id="122" w:name="_Toc45"/>
      <w:bookmarkEnd w:id="121"/>
      <w:r>
        <w:rPr>
          <w:rtl w:val="true"/>
        </w:rPr>
        <w:t>أحدها</w:t>
      </w:r>
      <w:r>
        <w:rPr>
          <w:rtl w:val="true"/>
        </w:rPr>
        <w:t xml:space="preserve">: </w:t>
      </w:r>
      <w:r>
        <w:rPr>
          <w:rtl w:val="true"/>
        </w:rPr>
        <w:t>في أنّ العارية من العقود لابد فيها من إيجاب و قبول</w:t>
      </w:r>
      <w:bookmarkEnd w:id="12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من العقود كما يظهر من عدّهم لها منها، فلا بدّ فيها من إيجاب وقبول فلا يكفي مجرّد الإيجاب الدال على الإباحة؛ تنزيلاً لها منزلة الإيقاع أو الإباحة أو الإذن وإن أثمرت الإباحة والإذن ثمرتها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تظهر الثمرة في الردّ؛ فإنّ العارية لو ردّ إيجابها لم يجز للمستعير التصرّف إلّا بإعارة جديدة، بخلاف الإذن والإباحة، وفي العموم والخصوص؛ فإنّ الإذن والإباحة قد يتعلقان بالعام دون العارية فإنّها لا تتعلّق إلّا بالخاص،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 هذا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الضمان وعدمه في مقام تكون العارية مضمونةً، وفي حصول الإباحة والإذن بقرائن الأحوال وبالقطع بالرضى دون العارية، فإنّها لا تقع بالقطع بالرضى، على أن المتصرف فيه بالقطع برضى صاحبه مضمون على المتصرف دون العارية</w:t>
      </w:r>
      <w:r>
        <w:rPr>
          <w:rFonts w:eastAsia="Amiri" w:cs="Amiri" w:ascii="Amiri" w:hAnsi="Amiri"/>
          <w:color w:val="111111"/>
          <w:sz w:val="28"/>
          <w:szCs w:val="28"/>
          <w:rtl w:val="true"/>
          <w:lang w:bidi="ar-SA"/>
        </w:rPr>
        <w:t xml:space="preserve">. </w:t>
      </w:r>
      <w:bookmarkStart w:id="123" w:name="pg19218_273930"/>
    </w:p>
    <w:p>
      <w:pPr>
        <w:pStyle w:val="BookText"/>
        <w:rPr/>
      </w:pPr>
      <w:bookmarkEnd w:id="123"/>
      <w:r>
        <w:rPr>
          <w:rFonts w:ascii="Amiri" w:hAnsi="Amiri" w:eastAsia="Amiri" w:cs="Amiri"/>
          <w:color w:val="111111"/>
          <w:sz w:val="28"/>
          <w:sz w:val="28"/>
          <w:szCs w:val="28"/>
          <w:rtl w:val="true"/>
          <w:lang w:bidi="ar-SA"/>
        </w:rPr>
        <w:t>نعم، يكفي فيها كلّ لفظ مفهم لمعناها عربي أو غيره، مترتب أم لا، ملحون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الاتصال بينه وبين القبول وجه يقضي به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تفتقر إلى صيغة خاصّة فعلية أو اسمية، دالة بالوضع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فيها الإيجاب والقبول الفعليان المشتملان على الدفع والقبض الدالان على العارية، كما إذا رأى عرياناً فكساه ثوباً، أو مضطجعاً فناوله مخدّة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يكفي الإيجاب القولي مع القبول الفعلي على ذلك النحو،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الإيجاب والقبول الفعليّان الخارجان عن الدفع والقبض، كالإشارة المفهمة للعارية، والقبول المفهم لقبولها في تحقق العارية؛ لحصول المقصود منهما، وكونها من العقود الجائزة، أو لا يكفي؛ للأصل وإن أفادت إباحة التصرّف ؟ وجهان، ولا يبعد عدم الاكتفاء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اللفظ في الإيجاب وعدم كفاية الفعل مطلقاً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بالنسبة إلى الدفع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بكفاية الفعل في القبول وإن لم يكن قبضاً إذا ترتب على إيجاب لفظي؛ لشدّة التسامح في القبول كما يظهر من جملة من الفقهاء،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الأخرس وشبهه، وأمّا هُما فلا شكّ في الاجتزاء بإشارتهما، كما تقدّم في جميع العقود لازمها وجائزها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العارية مطلقاً ودائمةً وموقتة، وتصحّ مشروطة ومطلقة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الشرط فيها التسلّط عند لزومها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مواضع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الخيار، وجواز الإجبار عليه ما دام المستعير عازماً على الاستعارة، وربما يكون التصرّف عليه حراماً ما دام عازماً على عدم القيام بالشرط</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3424855_1280447820"/>
      <w:bookmarkStart w:id="125" w:name="_Toc46"/>
      <w:bookmarkEnd w:id="124"/>
      <w:r>
        <w:rPr>
          <w:rtl w:val="true"/>
        </w:rPr>
        <w:t>ثانيها</w:t>
      </w:r>
      <w:r>
        <w:rPr>
          <w:rtl w:val="true"/>
        </w:rPr>
        <w:t xml:space="preserve">: </w:t>
      </w:r>
      <w:r>
        <w:rPr>
          <w:rtl w:val="true"/>
        </w:rPr>
        <w:t>فيما تصحّ إعارته</w:t>
      </w:r>
      <w:bookmarkEnd w:id="12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العارية إباحة المنفعة، فلا تصحّ إعارة ما يحرم الانتفاع به، ولو أعار محرَّماً لم تكن إعارة مباحة وإن صدق عليها اسم العارية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يشترط كون العين ممّا يصحّ ملكها ومما تتموّل عرفاً، فلو لم تكن كذلك لم تكن عارية صحيحة وإن ساغ بها الانتفاع</w:t>
      </w:r>
      <w:r>
        <w:rPr>
          <w:rFonts w:eastAsia="Amiri" w:cs="Amiri" w:ascii="Amiri" w:hAnsi="Amiri"/>
          <w:color w:val="111111"/>
          <w:sz w:val="28"/>
          <w:szCs w:val="28"/>
          <w:rtl w:val="true"/>
          <w:lang w:bidi="ar-SA"/>
        </w:rPr>
        <w:t xml:space="preserve">. </w:t>
      </w:r>
      <w:bookmarkStart w:id="126" w:name="pg19218_273931"/>
    </w:p>
    <w:p>
      <w:pPr>
        <w:pStyle w:val="BookText"/>
        <w:rPr/>
      </w:pPr>
      <w:bookmarkEnd w:id="126"/>
      <w:r>
        <w:rPr>
          <w:rFonts w:ascii="Amiri" w:hAnsi="Amiri" w:eastAsia="Amiri" w:cs="Amiri"/>
          <w:color w:val="111111"/>
          <w:sz w:val="28"/>
          <w:sz w:val="28"/>
          <w:szCs w:val="28"/>
          <w:rtl w:val="true"/>
          <w:lang w:bidi="ar-SA"/>
        </w:rPr>
        <w:t>ويشترط فيها أن تكون منجزةً،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أعرتُك هذا إن جاء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إعارة شرعيّة، وأن تكون معيّنةً،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أعرتُك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إعارة حقيقية، وأن تكون عيناً، فلا تصحّ إعارة الكلّي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أعرتُك عبداً موصوفاً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الإعارة تفارق الإذن في كونها عقداً بخلاف الإذن، فيصح التعليق في الإذن دونها، وتفارق السكني والعمرى والرقبى والحبس والوصيّة بالمنفعة، من حيث عدم إفادتها الملك للمنفعة أصلاً، بل غايتها إباحة المنفعة أو ملك الانتفاع، بخلاف السكني وما بعدها فإنّها تفيد ملكاً للمنفعة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النقض على حد العارية بما ذكرناه، وأشكل عليه الحال، فالتزم مرةً بدخولها في العارية وإن كانت لازمةً؛ لجواز لزوم العارية، ومرّةً بإضافة قيد الجواز إلى حدّ العارية فتخرج عنها؛ للزومها، فأشكل عليه السكني المطلقة الجائزة، فالتزم بدخولها في العارية، وأشكل عليه العارية اللازمة، فالتزم بخروجها وإدخالها بقيد آخر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3424857_1280447820"/>
      <w:bookmarkStart w:id="128" w:name="_Toc47"/>
      <w:bookmarkEnd w:id="127"/>
      <w:r>
        <w:rPr>
          <w:rtl w:val="true"/>
        </w:rPr>
        <w:t>ثالثها في أنّ من شأن العارية الجواز وقد تلزم في مواضع</w:t>
      </w:r>
      <w:bookmarkEnd w:id="12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 العارية الجواز، وقد يعرض لهذا اللزوم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أو من إجماع، أو من معارضة دليل قاض باللزوم يقوى على دليل جواز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للزوم العارية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المستعارة للدفن، فإنّها تلزم بعد الدفن الشرعي؛ لحرمة النبش وهتك حرمة الميّت إلّا إذا صار رميماً وخرج عن اسم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بذلك كلّ ما استعير للميت من كفن أو كافور أو جريدة أو نحوها بعد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الرجوع قبل الدفن قبل الوضع في القبر وبعده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رجع المعير قبل الدفن لم تلزمه غرامة الحفر؛ لإقدام المستعير على العارية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غرامة الحفر على الولي إن أمكنه الدفن في غير هذه المعارة، ومن مال الميّت إن لم يمكنه؛ لعدم تفريطه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وأطلق بعضهم </w:t>
      </w:r>
      <w:r>
        <w:rPr>
          <w:rStyle w:val="FootnoteAnchor"/>
          <w:rtl w:val="true"/>
        </w:rPr>
        <w:footnoteReference w:id="107"/>
      </w:r>
      <w:r>
        <w:rPr>
          <w:rFonts w:ascii="Amiri" w:hAnsi="Amiri" w:eastAsia="Amiri" w:cs="Amiri"/>
          <w:color w:val="111111"/>
          <w:sz w:val="28"/>
          <w:sz w:val="28"/>
          <w:szCs w:val="28"/>
          <w:rtl w:val="true"/>
          <w:lang w:bidi="ar-SA"/>
        </w:rPr>
        <w:t>لزوم الغرامة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على ولي الميّت طمّ الحفر؛ لإذن المعير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العارية على جوازها ولكن لا يلزم المستعير الدفع، ولا يجوز للمعير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فيما لو أُخرج الميّت من قبره فإنّها يجب ردّها فوراً لو أبطلنا العارية بالفسخ، ولا يجب إلّا مع المطالبة لو لم نبطلها بالفسخ وقلنا بلزومها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ترتب على المستعير ضرر كلّي بالمال أو النفس، كاستعارة لوحة لرقع سفينة في البحر ولا يمكن إبدالها ولا إخراجها عن الماء، فإنّهم صرّحوا بلزوم العارية هنالك، وظاهر إطلاقهم أنّها كذلك ولو ترتب على المعير ضرر بالإبقاء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هنا بجواز الفسخ، إلّا أن المستعير عليه بذل القيمة أو المثل، ولا يجب عليه ردّ العين؛ لمكان الضرر، فعلى ذلك لو ارتفع الضرر لزم ردّها فوراً وأخذ القيمة أو المثل المبذولين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بجواز الفسخ وعدم وجوب المبادرة للتسليم؛ لمكان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لزوم الردّ فوراً وعدمه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ثبوت المثل أو القيمة له،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أعار حائطاً لوضع خشبة المستعير عليه وكان طرفها الآخر مبنيّاً في ملك المستعير، فإنّه لا يجوز الرجوع فيها؛ لدخول الضرر على المستعير وإن دفع الأرش؛ للزوم قلع جذوعه عن ملكه جبراً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بجواز الفسخ وثبوت المثل أو القيمة، أو جوازه والامتناع عن التسليم معجّلاً؛ لإذن الشارع في ذلك، أو جوازه مع دفع المعير الأرش كما اختاره جماعة </w:t>
      </w:r>
      <w:r>
        <w:rPr>
          <w:rStyle w:val="FootnoteAnchor"/>
          <w:rtl w:val="true"/>
        </w:rPr>
        <w:footnoteReference w:id="108"/>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يعيره الأرض للزرع فيزرع فإنّه ليس له الرجوع؛ لأن له في العرف أمداً ينتهي إليه، وقد أقدم على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له ذلك مع دفع الأرش</w:t>
      </w:r>
      <w:r>
        <w:rPr>
          <w:rFonts w:eastAsia="Amiri" w:cs="Amiri" w:ascii="Amiri" w:hAnsi="Amiri"/>
          <w:color w:val="111111"/>
          <w:sz w:val="28"/>
          <w:szCs w:val="28"/>
          <w:rtl w:val="true"/>
          <w:lang w:bidi="ar-SA"/>
        </w:rPr>
        <w:t xml:space="preserve">. </w:t>
      </w:r>
      <w:bookmarkStart w:id="129" w:name="pg19218_273933"/>
    </w:p>
    <w:p>
      <w:pPr>
        <w:pStyle w:val="BookText"/>
        <w:rPr/>
      </w:pPr>
      <w:bookmarkEnd w:id="129"/>
      <w:r>
        <w:rPr>
          <w:rFonts w:ascii="Amiri" w:hAnsi="Amiri" w:eastAsia="Amiri" w:cs="Amiri"/>
          <w:color w:val="111111"/>
          <w:sz w:val="28"/>
          <w:sz w:val="28"/>
          <w:szCs w:val="28"/>
          <w:rtl w:val="true"/>
          <w:lang w:bidi="ar-SA"/>
        </w:rPr>
        <w:t>ومنها ما لو استعار أرضاً ليغرس فيها إلى وقت معين أو يبني كذلك، فإنّه لا يجوز الرجوع في تلك المدّة؛ لإقدام المعير على ذلك، ولزوم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أيضاً أن له ذلك مع دفع الأرش؛ جمعاً بين الحقين، ولما دلّ على جواز العارية، وتسليط الإنسان على ملكه، ولاشتراك حديث نفي الضرر والضرار </w:t>
      </w:r>
      <w:r>
        <w:rPr>
          <w:rStyle w:val="FootnoteAnchor"/>
          <w:rtl w:val="true"/>
        </w:rPr>
        <w:footnoteReference w:id="109"/>
      </w:r>
      <w:r>
        <w:rPr>
          <w:rFonts w:ascii="Amiri" w:hAnsi="Amiri" w:eastAsia="Amiri" w:cs="Amiri"/>
          <w:color w:val="111111"/>
          <w:sz w:val="28"/>
          <w:sz w:val="28"/>
          <w:szCs w:val="28"/>
          <w:rtl w:val="true"/>
          <w:lang w:bidi="ar-SA"/>
        </w:rPr>
        <w:t xml:space="preserve">بين المعير والمستعير، فيبقى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خالياً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جاز الفسخ فليس للمعير الإزالة من دون إذن المستعير؛ لاستلزامه التصرّف في ماله من دون إذنه، وكذا ليس له الإزالة قبل دفع الأرش؛ لاحتمال الضرر بتعذر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يلحق بهذا البحث ما لو أعاره ثوباً ليصلّي فيه أو ليتستر به عن الناظر فأراده منه حال الجلوس بين الناظرين أو حال الصلاة، أو أعاره ما يخلّ باعتباره بين الناس، أو أعاره دابّة وهو في طريق الحج، أو أعاره سيفاً وقت القتال، أو أعاره قدراً وفيه طعامه،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كثير من هذه الأمثلة بجواز الرجوع من دون شيء؛ لإقدام المستعير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في الكلّ بذهاب الإذن المالكية وبقاء الإذن الشرعيّة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3424859_1280447820"/>
      <w:bookmarkStart w:id="131" w:name="_Toc48"/>
      <w:bookmarkEnd w:id="130"/>
      <w:r>
        <w:rPr>
          <w:rtl w:val="true"/>
        </w:rPr>
        <w:t>رابعها</w:t>
      </w:r>
      <w:r>
        <w:rPr>
          <w:rtl w:val="true"/>
        </w:rPr>
        <w:t xml:space="preserve">: </w:t>
      </w:r>
      <w:r>
        <w:rPr>
          <w:rtl w:val="true"/>
        </w:rPr>
        <w:t>حكم ما لو كانت للعين المستعارة منفعة واحدة أو منافع متعدّدة</w:t>
      </w:r>
      <w:bookmarkEnd w:id="131"/>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للعين المستعارة منفعة واحدة انصرفت إليها، وإن كانت لها منفعة ظاهرة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لها منافع عديدة، فإن صرّح المعير بالعموم جاز التصرّف، وإن صرّح بالخصوص اقتصر عليه، ولا يجوز للمستعير التعدّي إلّا إذا قامت قرينة على جوازه، كالإذن بالأثقل والأضر، فإنّه يُفهم منه الإذن بالأخف والأقل ضرراً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وقع الشكّ في تحصيل الأولوية لم يجز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أطلق احتمل تنزيله منزلة العموم، واحتمل لزوم البيان وإلا حرم التصرف، واحتمل لزوم الأخذ بالأخفّ؛ لأنّه المتيقن، واحتمل التخيير في واحدة أي واحدة، ولا يجوز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الأمور أوسطها</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3424861_1280447820"/>
      <w:bookmarkStart w:id="133" w:name="_Toc49"/>
      <w:bookmarkEnd w:id="132"/>
      <w:r>
        <w:rPr>
          <w:rtl w:val="true"/>
        </w:rPr>
        <w:t>خامسها</w:t>
      </w:r>
      <w:r>
        <w:rPr>
          <w:rtl w:val="true"/>
        </w:rPr>
        <w:t xml:space="preserve">: </w:t>
      </w:r>
      <w:r>
        <w:rPr>
          <w:rtl w:val="true"/>
        </w:rPr>
        <w:t>اشتراط البلوغ والعقل والرشد وعدم الحجر في المعير</w:t>
      </w:r>
      <w:bookmarkEnd w:id="13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المعير البلوغ والعقل والرشد وعدم الحجر، ويجوز للسفيه الإعارة </w:t>
      </w:r>
      <w:bookmarkStart w:id="134" w:name="pg19218_273934"/>
    </w:p>
    <w:p>
      <w:pPr>
        <w:pStyle w:val="BookText"/>
        <w:rPr/>
      </w:pPr>
      <w:bookmarkEnd w:id="134"/>
      <w:r>
        <w:rPr>
          <w:rFonts w:ascii="Amiri" w:hAnsi="Amiri" w:eastAsia="Amiri" w:cs="Amiri"/>
          <w:color w:val="111111"/>
          <w:sz w:val="28"/>
          <w:sz w:val="28"/>
          <w:szCs w:val="28"/>
          <w:rtl w:val="true"/>
          <w:lang w:bidi="ar-SA"/>
        </w:rPr>
        <w:t>مع إذن الوليّ، ولا يجوز لغيره الإعارة ولو مع إذنه ؛ لعدم صحّة عقدهما، سواء كان العقد جائزاً أو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يفيد الإذن جواز التصرّف لا كونها عارية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صحّة عاريتهما مع إذن الوليّ؛ لأنّها بمنزلة الإذن، بخلاف العقود اللازمة فتصح من الصبي بإذن الولي </w:t>
      </w:r>
      <w:r>
        <w:rPr>
          <w:rStyle w:val="FootnoteAnchor"/>
          <w:rtl w:val="true"/>
        </w:rPr>
        <w:footnoteReference w:id="111"/>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للولي إعارة ما لهما مع المصلحة، كإعارة البساط للاستعمال خوفاً عليه من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المعير كونه مالكاً للعين أو المنفعة، فلا تصحّ إعارة ما لم يكن كذلك، إلّا الفضولي مع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المستعير أيضاً البلوغ والعقل، فلا تصحّ استعارة المجنون والطفل استعارة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أعارهما أحد، كان ماله غير مضمون عليهما؛ لتسليطهما عليه، سواء كان المعير عالماً أو جاهلاً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قول الصبي في الإخبار عن إذن الولي لا في ماله ولا في مال الولي، إلّا مع قرائن الأحوال الدالّة على صدقه، أو نقل الإجماع على قبول قوله فيه، كالإذن في دخول الدار وقبول الهدية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3424863_1280447820"/>
      <w:bookmarkStart w:id="136" w:name="_Toc50"/>
      <w:bookmarkEnd w:id="135"/>
      <w:r>
        <w:rPr>
          <w:rtl w:val="true"/>
        </w:rPr>
        <w:t>سادسها</w:t>
      </w:r>
      <w:r>
        <w:rPr>
          <w:rtl w:val="true"/>
        </w:rPr>
        <w:t xml:space="preserve">: </w:t>
      </w:r>
      <w:r>
        <w:rPr>
          <w:rtl w:val="true"/>
        </w:rPr>
        <w:t>فيما لو استعار المغصوب عالماً بالغصب ضمن العين والمنفعة</w:t>
      </w:r>
      <w:bookmarkEnd w:id="136"/>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استعار المغصوب عالماً بالغصب ضمن العين والمنفعة، وكان للمالك الخيار في الرجوع إلى أيهما شاء مع تلف العين بيد المستعير، فإن رجع على المستعير وكان جاهلاً بالغصب وكانت الإعارة غير مضمونة رجع على المعير؛ لغروره من قبله؛ لإقدامه على عدم الضمان عند العارية، وما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أبطل الرجوع على المستعير أصلاً ؛ لضعف أصلاً </w:t>
      </w:r>
      <w:r>
        <w:rPr>
          <w:rStyle w:val="FootnoteAnchor"/>
          <w:rtl w:val="true"/>
        </w:rPr>
        <w:footnoteReference w:id="112"/>
      </w:r>
      <w:r>
        <w:rPr>
          <w:rFonts w:ascii="Amiri" w:hAnsi="Amiri" w:eastAsia="Amiri" w:cs="Amiri"/>
          <w:color w:val="111111"/>
          <w:sz w:val="28"/>
          <w:sz w:val="28"/>
          <w:szCs w:val="28"/>
          <w:rtl w:val="true"/>
          <w:lang w:bidi="ar-SA"/>
        </w:rPr>
        <w:t>؛ لضعف يده عن الضمان لمكان غروره، والسبب الغار أقوى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لمخالفته عموم دليل الضمان </w:t>
      </w:r>
      <w:r>
        <w:rPr>
          <w:rStyle w:val="FootnoteAnchor"/>
          <w:rtl w:val="true"/>
        </w:rPr>
        <w:footnoteReference w:id="113"/>
      </w:r>
      <w:r>
        <w:rPr>
          <w:rFonts w:ascii="Amiri" w:hAnsi="Amiri" w:eastAsia="Amiri" w:cs="Amiri"/>
          <w:color w:val="111111"/>
          <w:sz w:val="28"/>
          <w:sz w:val="28"/>
          <w:szCs w:val="28"/>
          <w:rtl w:val="true"/>
          <w:lang w:bidi="ar-SA"/>
        </w:rPr>
        <w:t xml:space="preserve">وظواهر فتاوى الأصحاب القاضية بضمان </w:t>
      </w:r>
      <w:bookmarkStart w:id="137" w:name="pg19218_273935"/>
    </w:p>
    <w:p>
      <w:pPr>
        <w:pStyle w:val="BookText"/>
        <w:rPr/>
      </w:pPr>
      <w:bookmarkEnd w:id="137"/>
      <w:r>
        <w:rPr>
          <w:rFonts w:ascii="Amiri" w:hAnsi="Amiri" w:eastAsia="Amiri" w:cs="Amiri"/>
          <w:color w:val="111111"/>
          <w:sz w:val="28"/>
          <w:sz w:val="28"/>
          <w:szCs w:val="28"/>
          <w:rtl w:val="true"/>
          <w:lang w:bidi="ar-SA"/>
        </w:rPr>
        <w:t>الأيدي المترتّبة على المغصوب والموثّق والمرسل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استعيرت عارية بغير إذن صاحبها فهلكت فالمستعير ضامن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عالماً بالغصب، فلا رجوع له على المعير؛ لعلمه واستقرار التلف في يده، سواء في ذلك العين والمنفعة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يرجع مع الجهل إذا كانت العين مضمونة عليه؛ لإقدامه على الضمان، وكلّ 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المنفعة فيرجع بها على المعير؛ لعدم ضمانها عليه بصحيح العقد فلا تضمن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جوز الرجوع مطلقاً وخص الضمان بصورة عقد العارية الصحيح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لمخالفته القاعدة المسلمة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المالك على المعير رجع على المستعير بمثل العين أو قيمتها إذا كانت العارية مضمونةً، سواء كان المستعير جاهلاً أو عالماً، ولا يرجع مع جهله عليه بالمنفعة؛ لإقدامه على عدم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العارية مضمونة رجع عليه مع علمه بالعين والمنفعة؛ لاستقرار التلف في يده فتستقر الغرامة عليه</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3424865_1280447820"/>
      <w:bookmarkStart w:id="139" w:name="_Toc51"/>
      <w:bookmarkEnd w:id="138"/>
      <w:r>
        <w:rPr>
          <w:rtl w:val="true"/>
        </w:rPr>
        <w:t>سابعها</w:t>
      </w:r>
      <w:r>
        <w:rPr>
          <w:rtl w:val="true"/>
        </w:rPr>
        <w:t xml:space="preserve">: </w:t>
      </w:r>
      <w:r>
        <w:rPr>
          <w:rtl w:val="true"/>
        </w:rPr>
        <w:t>في أنّ الأصل في العارية عدم الضمان</w:t>
      </w:r>
      <w:bookmarkEnd w:id="139"/>
    </w:p>
    <w:p>
      <w:pPr>
        <w:pStyle w:val="Heading5"/>
        <w:numPr>
          <w:ilvl w:val="4"/>
          <w:numId w:val="1"/>
        </w:numPr>
        <w:rPr/>
      </w:pPr>
      <w:bookmarkStart w:id="140" w:name="__RefHeading___Toc13424867_1280447820"/>
      <w:bookmarkStart w:id="141" w:name="_Toc52"/>
      <w:bookmarkEnd w:id="140"/>
      <w:r>
        <w:rPr>
          <w:rtl w:val="true"/>
        </w:rPr>
        <w:t>إشارة</w:t>
      </w:r>
      <w:r>
        <w:rPr>
          <w:rtl w:val="true"/>
        </w:rPr>
        <w:t>:</w:t>
      </w:r>
      <w:bookmarkEnd w:id="141"/>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العارية عدم الضمان؛ لأنّها أمانة ومن شأنها أن لا تكون مضمونةً إلّا مع التعدّي أو التفريط، ومع ذلك فالإجماع منقول على عدم الضمان </w:t>
      </w:r>
      <w:r>
        <w:rPr>
          <w:rStyle w:val="FootnoteAnchor"/>
          <w:rtl w:val="true"/>
        </w:rPr>
        <w:footnoteReference w:id="116"/>
      </w:r>
      <w:r>
        <w:rPr>
          <w:rFonts w:ascii="Amiri" w:hAnsi="Amiri" w:eastAsia="Amiri" w:cs="Amiri"/>
          <w:color w:val="111111"/>
          <w:sz w:val="28"/>
          <w:sz w:val="28"/>
          <w:szCs w:val="28"/>
          <w:rtl w:val="true"/>
          <w:lang w:bidi="ar-SA"/>
        </w:rPr>
        <w:t>فيما عدا بعض الصور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المتكثّرة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كالخبر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مستعير عارية ضمان، وصاحب العارية والوديعة مؤتمن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العارية يستعيرها الإنسان فتهلك أو تُسرق؟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أميناً فلا غرم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42" w:name="pg19218_273936"/>
    </w:p>
    <w:p>
      <w:pPr>
        <w:pStyle w:val="BookText"/>
        <w:rPr/>
      </w:pPr>
      <w:bookmarkEnd w:id="142"/>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غرم على مستعير عارية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أعار جاريةٌ فهلكت من عنده أن لا يغرمها المعار</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3424869_1280447820"/>
      <w:bookmarkStart w:id="144" w:name="_Toc53"/>
      <w:bookmarkEnd w:id="143"/>
      <w:r>
        <w:rPr>
          <w:rtl w:val="true"/>
        </w:rPr>
        <w:t>بيان موارد خارجة عن أصل عدم الضمان</w:t>
      </w:r>
      <w:bookmarkEnd w:id="144"/>
    </w:p>
    <w:p>
      <w:pPr>
        <w:pStyle w:val="BookText"/>
        <w:rPr/>
      </w:pPr>
      <w:r>
        <w:rPr>
          <w:rFonts w:ascii="Amiri" w:hAnsi="Amiri" w:eastAsia="Amiri" w:cs="Amiri"/>
          <w:color w:val="111111"/>
          <w:sz w:val="28"/>
          <w:sz w:val="28"/>
          <w:szCs w:val="28"/>
          <w:rtl w:val="true"/>
          <w:lang w:bidi="ar-SA"/>
        </w:rPr>
        <w:t>ويخرج عن هذا الأصل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أو التفريط، فإنّهما سبب في الضمان، سواء تلفت بسببهما أو بسبب غيرهما، ولا يزول الضمان إلّا باستعارتها وقبضها جديداً، أو بإسقاط الضمان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اشترط المعير ضمانها حال العقد أو بعده أو في أثنائها، كما يشعر به ظواهر الفتاوى والنصوص؛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 خصوص الأخبار </w:t>
      </w:r>
      <w:r>
        <w:rPr>
          <w:rStyle w:val="FootnoteAnchor"/>
          <w:rtl w:val="true"/>
        </w:rPr>
        <w:footnoteReference w:id="122"/>
      </w:r>
      <w:r>
        <w:rPr>
          <w:rFonts w:ascii="Amiri" w:hAnsi="Amiri" w:eastAsia="Amiri" w:cs="Amiri"/>
          <w:color w:val="111111"/>
          <w:sz w:val="28"/>
          <w:sz w:val="28"/>
          <w:szCs w:val="28"/>
          <w:rtl w:val="true"/>
          <w:lang w:bidi="ar-SA"/>
        </w:rPr>
        <w:t>الخاصّة الدالّة على أنّه ليس على صاحب العارية ضمان إلّا أن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اختصاص صحّة الاشتراط حال العقد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إسقاط الاشتراط بعد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للرهن، فإنّها مضمونة على المستعير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عارية الدراهم والدنانير؛ 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 العارية إلّا أن يكون قد اشترط فيها ضماناً، إلّا الدنانير</w:t>
      </w:r>
    </w:p>
    <w:p>
      <w:pPr>
        <w:pStyle w:val="BookText"/>
        <w:rPr/>
      </w:pPr>
      <w:r>
        <w:rPr>
          <w:rFonts w:ascii="Amiri" w:hAnsi="Amiri" w:eastAsia="Amiri" w:cs="Amiri"/>
          <w:color w:val="111111"/>
          <w:sz w:val="28"/>
          <w:sz w:val="28"/>
          <w:szCs w:val="28"/>
          <w:rtl w:val="true"/>
          <w:lang w:bidi="ar-SA"/>
        </w:rPr>
        <w:t>فإنّها مضمونة وإن لم يشترط فيها الضمان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العارية ضمان إلّا أن يشترط صاحبها، إلّا الدراهم فإنّها مضمونة اشترط صاحبها أو لم يشترط</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ترتب الضمان مطلقاً، سواء استعيرت للإتلاف والصرف أو لغيره، بل الاستعارة للإتلاف لا تدخل تحت الاستعارة الشرعيّة ولا ينصرف إليها الإطلاق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اشترط المستعير سقوط الضمان حال العقد سقط، وكذا لو أسقطه بعده على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عارية الذهب والفضة مطلقاً على الأقوى، سواء كانت مسكوكة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للأخبار القاضية بضمان عارية الذهب والفضة مطلقاً، كقوله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 ليس على مستعيرها ضمان إلّا ما كان من ذهب أو فضة فإنّهما مضمونان اشترطا أو لم يشترطا</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والفضة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استعرته فتوى فلا يلزمك تواه إلّا الذهب والفضة فإنّهما يلزمان إلّا أن يشترط عليه أنّه متى توى لا يلزمك تواه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w:t>
      </w:r>
      <w:r>
        <w:rPr>
          <w:rStyle w:val="FootnoteAnchor"/>
          <w:rtl w:val="true"/>
        </w:rPr>
        <w:footnoteReference w:id="127"/>
      </w:r>
      <w:r>
        <w:rPr>
          <w:rFonts w:ascii="Amiri" w:hAnsi="Amiri" w:eastAsia="Amiri" w:cs="Amiri"/>
          <w:color w:val="111111"/>
          <w:sz w:val="28"/>
          <w:sz w:val="28"/>
          <w:szCs w:val="28"/>
          <w:rtl w:val="true"/>
          <w:lang w:bidi="ar-SA"/>
        </w:rPr>
        <w:t xml:space="preserve">إلى اختصاص الضمان بعارية الدراهم والدنانير فقط دون مطلق الذهب والفضة؛ تقييداً لأخبارهما بالأخبار الحاصرة للضمان بالدراهم والدنانير؛ لقوتها على تلك الأخبار باعتضادها بالأصل، وعموم الأخبار النافية للضمان عن العارية مطلقاً، والنافية للضمان عن المؤتمن مطلقاً </w:t>
      </w:r>
      <w:r>
        <w:rPr>
          <w:rStyle w:val="FootnoteAnchor"/>
          <w:rtl w:val="true"/>
        </w:rPr>
        <w:footnoteReference w:id="128"/>
      </w:r>
      <w:r>
        <w:rPr>
          <w:rFonts w:ascii="Amiri" w:hAnsi="Amiri" w:eastAsia="Amiri" w:cs="Amiri"/>
          <w:color w:val="111111"/>
          <w:sz w:val="28"/>
          <w:sz w:val="28"/>
          <w:szCs w:val="28"/>
          <w:rtl w:val="true"/>
          <w:lang w:bidi="ar-SA"/>
        </w:rPr>
        <w:t xml:space="preserve">، حتّى لو كان التعارض بينهما تعارض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الترجيح لتقييد أخبار الذهب والفضة بالأخبار الحاصرة للضمان بالدراهم والدنانير؛ لقوتها سنداً واعتضاداً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بين المستثنى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الدنانير والدراهم، 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ضمان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المستثنى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الذهب والفضة مضمونان إلّا أن يكونا غير الدراهم والدنانير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خصصنا الأوّل بالثاني كان الحاصل لا ضمان في غير الدراهم والدنانير إلّا أن يكون ذهباً أو فضة وإن عكسنا كان الحاصل كلّ من الذهب والفضة مضمونان إلّا أن يكونا غير الدراهم والدنانير فحصول الضمان في الدراهم والدنانير ثابت على كلّ حالٍ فيخص بهما عموم الحكم بعدم الضمان فيما عداهما من مطلق الذهب والفضة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نظر؛ لأنا إن جعلنا بين الدليلين تعارض العموم المطلق وارتكبنا التقييد </w:t>
      </w:r>
    </w:p>
    <w:p>
      <w:pPr>
        <w:pStyle w:val="BookText"/>
        <w:rPr/>
      </w:pPr>
      <w:r>
        <w:rPr>
          <w:rFonts w:ascii="Amiri" w:hAnsi="Amiri" w:eastAsia="Amiri" w:cs="Amiri"/>
          <w:color w:val="111111"/>
          <w:sz w:val="28"/>
          <w:sz w:val="28"/>
          <w:szCs w:val="28"/>
          <w:rtl w:val="true"/>
          <w:lang w:bidi="ar-SA"/>
        </w:rPr>
        <w:t>فيهما لزم منه الخروج عن الظاهر؛ لأنّ استعارة الدراهم والدنانير نادر الوجود بل لا يكاد يوجد، فلا تحمل عليها الأخبار، واستعارتها للإتلاف لا يُطلق عليها اسم العارية عرفاً، بل هي بالقرض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جعلنا التعارض بينهما تعارض العموم من وجه، أدى إلى نوع تكلّف أولاً، وإلى ترجيح أحد العامين على الآخر من دون مرجّح ثانياً؛ لأنّه كما يقوى الحكم بعدم الضمان بعموم ما دلّ على عدمه في الأمانة والعارية يقوى الحكم به بما دلّ على تحققه بمجرد استيلاء اليد على مال الغير، وبما قدمنا من ندرة وجود استعارة الدراهم والدنانير المسكوكين،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عارية الحيوان، فقد نُسب لابن الجنيد الحكم بضمانها </w:t>
      </w:r>
      <w:r>
        <w:rPr>
          <w:rStyle w:val="FootnoteAnchor"/>
          <w:rtl w:val="true"/>
        </w:rPr>
        <w:footnoteReference w:id="130"/>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ولرواية وهب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استعار عبداً مملوكاً لقوم فعيب فهو ضامن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ضمانها؛ استناداً للأصل، وعموم الأخبار النافية للضمان عن الأمانة مطلقاً وعن خصوص العارية </w:t>
      </w:r>
      <w:r>
        <w:rPr>
          <w:rStyle w:val="FootnoteAnchor"/>
          <w:rtl w:val="true"/>
        </w:rPr>
        <w:footnoteReference w:id="133"/>
      </w:r>
      <w:r>
        <w:rPr>
          <w:rFonts w:ascii="Amiri" w:hAnsi="Amiri" w:eastAsia="Amiri" w:cs="Amiri"/>
          <w:color w:val="111111"/>
          <w:sz w:val="28"/>
          <w:sz w:val="28"/>
          <w:szCs w:val="28"/>
          <w:rtl w:val="true"/>
          <w:lang w:bidi="ar-SA"/>
        </w:rPr>
        <w:t>، وكذا إطلاقات كلمات فقهائنا بحيث كاد أن يُعدّ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التالفة بنفس الاستعمال الذي أخذت العارية لأجله، فقد ذهب بعضهم </w:t>
      </w:r>
      <w:r>
        <w:rPr>
          <w:rStyle w:val="FootnoteAnchor"/>
          <w:rtl w:val="true"/>
        </w:rPr>
        <w:footnoteReference w:id="134"/>
      </w:r>
      <w:r>
        <w:rPr>
          <w:rFonts w:ascii="IRNazanin" w:hAnsi="IRNazanin" w:eastAsia="IRNazanin"/>
          <w:color w:val="111111"/>
          <w:sz w:val="28"/>
          <w:sz w:val="28"/>
          <w:szCs w:val="28"/>
          <w:rtl w:val="true"/>
          <w:lang w:bidi="fa-IR"/>
        </w:rPr>
        <w:t>إلى ضمانها؛ لعدم تناول الإذن للاستعمال المتلف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ضعيف أيضاً مخالف لإطلاق الفتاوى والروايات إلّا إذا شهد العرف بعدم دخول الاستعمال المتلف تحت الإذن، فإنّه إذا تعمد ذلك الاستعمال ضمن، إمّا لو استعمل غير قاصد للإتلاف ولا متعد في الاستعمال من الطريق المتعارف فاتفق التلف لم يكن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المغصوبة قبل استعارتها، فإنّها مضمونة إذا لم يجدد المستعير قبضاً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التي لم يملكها المعير، فإنّها مضمونة على المعير والمستعير؛ لأنّ مال الغير مضمون على قابضه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الفاسدة لاشتمالها على شرط فاسد أو مثله فإنّه قد يحتمل ضمانها؛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45" w:name="pg19218_273939"/>
    </w:p>
    <w:p>
      <w:pPr>
        <w:pStyle w:val="BookText"/>
        <w:rPr/>
      </w:pPr>
      <w:bookmarkEnd w:id="145"/>
      <w:r>
        <w:rPr>
          <w:rFonts w:ascii="Amiri" w:hAnsi="Amiri" w:eastAsia="Amiri" w:cs="Amiri"/>
          <w:color w:val="111111"/>
          <w:sz w:val="28"/>
          <w:sz w:val="28"/>
          <w:szCs w:val="28"/>
          <w:rtl w:val="true"/>
          <w:lang w:bidi="ar-SA"/>
        </w:rPr>
        <w:t xml:space="preserve">والأقوى والأشهر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لأنّ 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المُحرم للصيد من مُحلَّ أو مُحرم في الحل أو الحرم، فقد قيل بوجوب إرساله وغرامة قيمته للمالك، أو إرجاعه إلى المالك لو كان المالك محلاً وضمانه عند تلفه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يناقش في ذلك؛ لعدم الدليل عليه، سواء قلنا بفساد تلك العارية؛ لمكان النهي عنها، أو قلنا بصحّتها؛ لأنّ النهي لا يقضي بفساد المنهي عنه؛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يضمن بصحيحه لا يُضمن بفاسده</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3424871_1280447820"/>
      <w:bookmarkStart w:id="147" w:name="_Toc54"/>
      <w:bookmarkEnd w:id="146"/>
      <w:r>
        <w:rPr>
          <w:rtl w:val="true"/>
        </w:rPr>
        <w:t>ثامنها</w:t>
      </w:r>
      <w:r>
        <w:rPr>
          <w:rtl w:val="true"/>
        </w:rPr>
        <w:t xml:space="preserve">: </w:t>
      </w:r>
      <w:r>
        <w:rPr>
          <w:rtl w:val="true"/>
        </w:rPr>
        <w:t>فى أنّه لا يجوز للمستعير أن يعير غيره من غير إذن</w:t>
      </w:r>
      <w:bookmarkEnd w:id="147"/>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للمستعير أن يعير غيره من غير إذن؛ اقتصاراً في مال الغير على المقطوع به، وقياس الإعارة على الإجارة قياس مع الفارق؛ لأن في الإجارة تمليك منفعة وللمالك التصرّف بماله كيف شاء، والإعارة إباحة للمنفعة وليس لمن أبيح له شيء أن يبيحه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المالك له الرجوع على مَنْ شاء، فإن رجع على المعير فليس له الرجوع على المستعير مع جهله،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ولا بمنفعة إذا لم تكن العارية مضمونة عليه، فإذا كانت مضمونة عليه رجع عليه بالعين دون المنفعة وله الرجوع عليه مع علمه بالعين والمنفعة؛ لاستقرار التلف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على المستعير رجع المستعير على المعير بالعين والمنفعة مع جهله وعدم كون العين مضمونةً، ومع علمه فلا رجوع له مطلقاً، ومع ضمان العين لا رجوع له بالعين؛ لإقدامه على ضمانها دون المنفعة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3424873_1280447820"/>
      <w:bookmarkStart w:id="149" w:name="_Toc55"/>
      <w:bookmarkEnd w:id="148"/>
      <w:r>
        <w:rPr>
          <w:rtl w:val="true"/>
        </w:rPr>
        <w:t>تاسعها</w:t>
      </w:r>
      <w:r>
        <w:rPr>
          <w:rtl w:val="true"/>
        </w:rPr>
        <w:t xml:space="preserve">: </w:t>
      </w:r>
      <w:r>
        <w:rPr>
          <w:rtl w:val="true"/>
        </w:rPr>
        <w:t>في أنّه يلزم المستعير مدّة معلومة ردّ العارية إلى أهلها بعد المدّة إذا شرط المالك عليه ردّها</w:t>
      </w:r>
      <w:bookmarkEnd w:id="149"/>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المستعير مدّة معلومة أن يردّ العارية إلى أهلها بعد المدّة إذا شرط المالك عليه ردّها، وإن لم يشترط وجب عليه عند المطالبة قطعاً، ومؤونة الردّ على المستعير، وإن لم يطالب ففي وجوب ردّها فوراً؛ لقضاء العرف بذلك، أو لا يجب وتبقى أمانة إلى حين المطالبة ؟ وجهان، ولا يبعد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للإعارة مدّة، فلا شكّ في عدم وجوب الردّ قبل المطالبة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يبرأ المستعير إلّا بردّها إلى المالك أو وكيله، ولا يكفي ردها إلى بيته أو خانه أو إلى الحرز المعد له، إلّا مع إذن المالك أو قضاء العرف بذلك</w:t>
      </w:r>
      <w:r>
        <w:rPr>
          <w:rFonts w:eastAsia="Amiri" w:cs="Amiri" w:ascii="Amiri" w:hAnsi="Amiri"/>
          <w:color w:val="111111"/>
          <w:sz w:val="28"/>
          <w:szCs w:val="28"/>
          <w:rtl w:val="true"/>
          <w:lang w:bidi="ar-SA"/>
        </w:rPr>
        <w:t xml:space="preserve">. </w:t>
      </w:r>
      <w:bookmarkStart w:id="150" w:name="pg19218_273940"/>
    </w:p>
    <w:p>
      <w:pPr>
        <w:pStyle w:val="BookText"/>
        <w:rPr/>
      </w:pPr>
      <w:bookmarkEnd w:id="150"/>
      <w:r>
        <w:rPr>
          <w:rFonts w:ascii="Amiri" w:hAnsi="Amiri" w:eastAsia="Amiri" w:cs="Amiri"/>
          <w:color w:val="111111"/>
          <w:sz w:val="28"/>
          <w:sz w:val="28"/>
          <w:szCs w:val="28"/>
          <w:rtl w:val="true"/>
          <w:lang w:bidi="ar-SA"/>
        </w:rPr>
        <w:t xml:space="preserve">ولا يُصدق قول المستعير في الردّ مطلقاً، ويُصدَّق قوله في التلف؛ لأنّه أمين فيسمع قوله فيما اؤتمن عليه، وللأخبار الدالّة على ذلك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الافتقار إلى اليمين، وفاقاً للمشهور، واقتصاراً على مورد اليقين في سماع قول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اكتفى بمجرد قوله </w:t>
      </w:r>
      <w:r>
        <w:rPr>
          <w:rStyle w:val="FootnoteAnchor"/>
          <w:rtl w:val="true"/>
        </w:rPr>
        <w:footnoteReference w:id="138"/>
      </w:r>
      <w:r>
        <w:rPr>
          <w:rFonts w:ascii="Amiri" w:hAnsi="Amiri" w:eastAsia="Amiri" w:cs="Amiri"/>
          <w:color w:val="111111"/>
          <w:sz w:val="28"/>
          <w:sz w:val="28"/>
          <w:szCs w:val="28"/>
          <w:rtl w:val="true"/>
          <w:lang w:bidi="ar-SA"/>
        </w:rPr>
        <w:t xml:space="preserve">استناداً لظواهر الأخبار القاضية بسماع قول الأمين وتصديقه </w:t>
      </w:r>
      <w:r>
        <w:rPr>
          <w:rStyle w:val="FootnoteAnchor"/>
          <w:rtl w:val="true"/>
        </w:rPr>
        <w:footnoteReference w:id="139"/>
      </w:r>
      <w:r>
        <w:rPr>
          <w:rFonts w:ascii="Amiri" w:hAnsi="Amiri" w:eastAsia="Amiri" w:cs="Amiri"/>
          <w:color w:val="111111"/>
          <w:sz w:val="28"/>
          <w:sz w:val="28"/>
          <w:szCs w:val="28"/>
          <w:rtl w:val="true"/>
          <w:lang w:bidi="ar-SA"/>
        </w:rPr>
        <w:t xml:space="preserve">، وخلافاً لمن اكتفى بقول العدل المأمون دون المتّهم وغير المأمون </w:t>
      </w:r>
      <w:r>
        <w:rPr>
          <w:rStyle w:val="FootnoteAnchor"/>
          <w:rtl w:val="true"/>
        </w:rPr>
        <w:footnoteReference w:id="140"/>
      </w:r>
      <w:r>
        <w:rPr>
          <w:rFonts w:ascii="Amiri" w:hAnsi="Amiri" w:eastAsia="Amiri" w:cs="Amiri"/>
          <w:color w:val="111111"/>
          <w:sz w:val="28"/>
          <w:sz w:val="28"/>
          <w:szCs w:val="28"/>
          <w:rtl w:val="true"/>
          <w:lang w:bidi="ar-SA"/>
        </w:rPr>
        <w:t>، وهما ضعيفان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3424875_1280447820"/>
      <w:bookmarkStart w:id="152" w:name="_Toc56"/>
      <w:bookmarkEnd w:id="151"/>
      <w:r>
        <w:rPr>
          <w:rtl w:val="true"/>
        </w:rPr>
        <w:t>عاشرها</w:t>
      </w:r>
      <w:r>
        <w:rPr>
          <w:rtl w:val="true"/>
        </w:rPr>
        <w:t xml:space="preserve">: </w:t>
      </w:r>
      <w:r>
        <w:rPr>
          <w:rtl w:val="true"/>
        </w:rPr>
        <w:t>في أنّ التعدّي والتفريط لا يخرج العارية عن كونها عارية</w:t>
      </w:r>
      <w:bookmarkEnd w:id="152"/>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والتفريط لا يخرج العارية عن كونها عاريةً، ولا يضمن المستعير منفعتها إلّا إذا أدى التعدّي إلى تصرّف زائد على القدر المأذون، كما إذا استعار دابّة لركوبه إلى مكان خاص فتجاوزه إلى غيره، أو قطع غيره، ولا شك أنّه يضمن قيمة المنفعة مع قطع غير المأذون، إمّا مع التجاوز على المأذون بحيث يدخل المأذون في ضمنه ففي ضمان ما زاد على المأذون ذهاباً وإياباً فقط، أو ضمان الكلّ؛ لتعديه به، أو ضمان ما زاد في الذهاب مع الإياب فقط، أو دوران الضمان مدار النية ابتداء، فإن نوى التعدّي ابتداء ضمن الجميع، وإلا ضمن مقدار ما تجاوزه، وجوه واحتمالات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لو أذن له في الركوب فأردف غيره، أو أذن له في حمل قدرٍ خاص فحملها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الحكم باختصاص ضمان قدر أجرة ما تعدّى فيه فقط ذهاباً وإياباً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 تعدى فيه مخالفاً للجنس، ضمن جميع الأجرة وإنكان المأذون له أُجرة أيضاً، ولا يجوز استثناء قدر أُجرة الضعيف من أُجرة القوي وبذل الزائد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 بالفرق بين التعدّي مع الإطلاق فيضمن التفاوت، وبين التعدّي مع النهي فيضمن الجميع</w:t>
      </w:r>
      <w:r>
        <w:rPr>
          <w:rFonts w:eastAsia="Amiri" w:cs="Amiri" w:ascii="Amiri" w:hAnsi="Amiri"/>
          <w:color w:val="111111"/>
          <w:sz w:val="28"/>
          <w:szCs w:val="28"/>
          <w:rtl w:val="true"/>
          <w:lang w:bidi="ar-SA"/>
        </w:rPr>
        <w:t xml:space="preserve">. </w:t>
      </w:r>
      <w:bookmarkStart w:id="153" w:name="pg19218_273941"/>
    </w:p>
    <w:p>
      <w:pPr>
        <w:pStyle w:val="Heading4"/>
        <w:numPr>
          <w:ilvl w:val="3"/>
          <w:numId w:val="1"/>
        </w:numPr>
        <w:rPr/>
      </w:pPr>
      <w:bookmarkStart w:id="154" w:name="__RefHeading___Toc13424877_1280447820"/>
      <w:bookmarkStart w:id="155" w:name="_Toc57"/>
      <w:bookmarkEnd w:id="153"/>
      <w:bookmarkEnd w:id="154"/>
      <w:r>
        <w:rPr>
          <w:rtl w:val="true"/>
        </w:rPr>
        <w:t>حادي عشرها</w:t>
      </w:r>
      <w:r>
        <w:rPr>
          <w:rtl w:val="true"/>
        </w:rPr>
        <w:t xml:space="preserve">: </w:t>
      </w:r>
      <w:r>
        <w:rPr>
          <w:rtl w:val="true"/>
        </w:rPr>
        <w:t>في أنّ الأصل في العارية أن تتعلق بالأعيان القائمة</w:t>
      </w:r>
      <w:bookmarkEnd w:id="155"/>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العارية أن تتعلّق بالأعيان القائمة بأن ينتفع بها مع بقاء عينها، سواء كانت ممّا تضمحل بالاستعمال سريعاً كالثياب ونحوها، أو ببطؤ كأواني الصفر والحديد والصخر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الانتفاع به بإتلافه كالطعام والشمع والدهن فإنّه لا تصحّ إعارته ولو فرضنا وقوع إباحته بلفظ العارية، بل يكون إباحة عبّر عنها بلفظ العارية، وقد تشهد القرائن في كثير من ذلك على إرادة القرض، كإعارة الدراهم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الأصل في المنافع المستوفاة في العارية أن لا تكون أعياناً؛ لأن المفهوم منها عرفاً والمتيقن من مشروعيتها هو استيفاء المنفعة المجرّدة عن إتلاف عين بحيث يكون إتلافها هو المقصود أوّلاً وبالذات، فلا تصحّ إعارة الحمّام لإتلاف مائه، ولا إعارة الشجر لإتلاف</w:t>
      </w:r>
    </w:p>
    <w:p>
      <w:pPr>
        <w:pStyle w:val="BookText"/>
        <w:rPr/>
      </w:pPr>
      <w:r>
        <w:rPr>
          <w:rFonts w:ascii="Amiri" w:hAnsi="Amiri" w:eastAsia="Amiri" w:cs="Amiri"/>
          <w:color w:val="111111"/>
          <w:sz w:val="28"/>
          <w:sz w:val="28"/>
          <w:szCs w:val="28"/>
          <w:rtl w:val="true"/>
          <w:lang w:bidi="ar-SA"/>
        </w:rPr>
        <w:t>ثمره، ولا إعارة الحيوان لإتلاف لبنه وصوفه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نقل الإجماع على جواز المِنْحَة </w:t>
      </w:r>
      <w:r>
        <w:rPr>
          <w:rStyle w:val="FootnoteAnchor"/>
          <w:rtl w:val="true"/>
        </w:rPr>
        <w:footnoteReference w:id="141"/>
      </w:r>
      <w:r>
        <w:rPr>
          <w:rFonts w:ascii="Amiri" w:hAnsi="Amiri" w:eastAsia="Amiri" w:cs="Amiri"/>
          <w:color w:val="111111"/>
          <w:sz w:val="28"/>
          <w:sz w:val="28"/>
          <w:szCs w:val="28"/>
          <w:rtl w:val="true"/>
          <w:lang w:bidi="ar-SA"/>
        </w:rPr>
        <w:t xml:space="preserve">، وهي إعارة الشاة للحلب، وربما أضاف إليه بعضهم الصوف </w:t>
      </w:r>
      <w:r>
        <w:rPr>
          <w:rStyle w:val="FootnoteAnchor"/>
          <w:rtl w:val="true"/>
        </w:rPr>
        <w:footnoteReference w:id="142"/>
      </w:r>
      <w:r>
        <w:rPr>
          <w:rFonts w:ascii="Amiri" w:hAnsi="Amiri" w:eastAsia="Amiri" w:cs="Amiri"/>
          <w:color w:val="111111"/>
          <w:sz w:val="28"/>
          <w:sz w:val="28"/>
          <w:szCs w:val="28"/>
          <w:rtl w:val="true"/>
          <w:lang w:bidi="ar-SA"/>
        </w:rPr>
        <w:t xml:space="preserve">، وربما أضاف بعضهم إلى الشاة باقي الحيوانات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علّل ذلك بمسيس الحاجة، واستدعاء ضرورة النظام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ما عدا مورد الإجماع بحث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صدر مثل ذلك لكان إباحةٌ من الدافع لا إعارة شرعيّة،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قصد الإباحة مقيدةً بالوجه الخاص من قصد العارية حرم التصرّف؛ لأنّ ما قصد لم يقع وما وقع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الإعارة الإجارة في عدم الجواز فيما عدا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الأخبار جواز دفع الشاة إلى الراعي القائم بحفظها ليكون له صوفها ولبنها ويعطى درهماً عن كلّ شاة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الأخبار جواز دفع الشاة بضريبة معلومة من دراهم أو سمن </w:t>
      </w:r>
      <w:r>
        <w:rPr>
          <w:rStyle w:val="FootnoteAnchor"/>
          <w:rtl w:val="true"/>
        </w:rPr>
        <w:footnoteReference w:id="145"/>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السمن فلا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حوالب</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56" w:name="pg19218_273942"/>
    </w:p>
    <w:p>
      <w:pPr>
        <w:pStyle w:val="BookText"/>
        <w:rPr/>
      </w:pPr>
      <w:bookmarkEnd w:id="156"/>
      <w:r>
        <w:rPr>
          <w:rFonts w:ascii="Amiri" w:hAnsi="Amiri" w:eastAsia="Amiri" w:cs="Amiri"/>
          <w:color w:val="111111"/>
          <w:sz w:val="28"/>
          <w:sz w:val="28"/>
          <w:szCs w:val="28"/>
          <w:rtl w:val="true"/>
          <w:lang w:bidi="ar-SA"/>
        </w:rPr>
        <w:t>وهي إمّا محمولة على جواز هذه المعاملة في خصوص الغنم لرعاتها؛ للدليل، أو منزلة على قصد الإباحة ما بينهما لا قصد المعاوضة واللزوم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كلام الأصحاب</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3424879_1280447820"/>
      <w:bookmarkStart w:id="158" w:name="_Toc58"/>
      <w:bookmarkEnd w:id="157"/>
      <w:r>
        <w:rPr>
          <w:rtl w:val="true"/>
        </w:rPr>
        <w:t>ثاني عشرها</w:t>
      </w:r>
      <w:r>
        <w:rPr>
          <w:rtl w:val="true"/>
        </w:rPr>
        <w:t xml:space="preserve">: </w:t>
      </w:r>
      <w:r>
        <w:rPr>
          <w:rtl w:val="true"/>
        </w:rPr>
        <w:t>حكم ما لو أنكر العارية أو ادّعى ردّها أو تلفها</w:t>
      </w:r>
      <w:bookmarkEnd w:id="158"/>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العارية، كان القول قوله بيمينه، فإن أثبت عليه المعير كان ضامناً لها، ولا تسمع دعواه التلف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تلفت قبل الإنكار لم يُسمع، إلّا أن يظهر للإنكار معنى مسموعاً لا ينافيه ظاهر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المستعير التلف كان القول قوله بيمينه، وكذا لو أنكر التفريط أو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الرد، لم يُسمع قوله؛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بسماع قوله؛ لأنّه أمين فيُصدَّق قوله في الردّ، كما يُصدق في التلف </w:t>
      </w:r>
      <w:r>
        <w:rPr>
          <w:rStyle w:val="FootnoteAnchor"/>
          <w:rtl w:val="true"/>
        </w:rPr>
        <w:footnoteReference w:id="147"/>
      </w:r>
      <w:r>
        <w:rPr>
          <w:rFonts w:ascii="Amiri" w:hAnsi="Amiri" w:eastAsia="Amiri" w:cs="Amiri"/>
          <w:color w:val="111111"/>
          <w:sz w:val="28"/>
          <w:sz w:val="28"/>
          <w:szCs w:val="28"/>
          <w:rtl w:val="true"/>
          <w:lang w:bidi="ar-SA"/>
        </w:rPr>
        <w:t xml:space="preserve">للنهي عن اتهام الأمين وتكذيبه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جعله المالك وكيلاً في الردّ فأخبر به صُدّق؛ لأنّ الوكيل مصدق فيما 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القيمة بعد ثبوت التعدّي أو التفريط، كان القول قول المستعير؛ للأصل، ولعموم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المعير </w:t>
      </w:r>
      <w:r>
        <w:rPr>
          <w:rStyle w:val="FootnoteAnchor"/>
          <w:rtl w:val="true"/>
        </w:rPr>
        <w:footnoteReference w:id="150"/>
      </w:r>
      <w:r>
        <w:rPr>
          <w:rFonts w:ascii="Amiri" w:hAnsi="Amiri" w:eastAsia="Amiri" w:cs="Amiri"/>
          <w:color w:val="111111"/>
          <w:sz w:val="28"/>
          <w:sz w:val="28"/>
          <w:szCs w:val="28"/>
          <w:rtl w:val="true"/>
          <w:lang w:bidi="ar-SA"/>
        </w:rPr>
        <w:t>لخروج المستعير عن الأمانة بخيانته فلا يُسمع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سماعه من جهة الأصل، لا من جهة كونه أميناً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عندك غصب، 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إعارة، فالقول قول المالك؛ لأصالة عدم الإذن، سواء ادّعى المستعير إعارةً مضمونة أم لا، فيضمن للمالك العين والمنفعة، ويضمن أعلى القيم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الغاصب يضمن كذلك، ولا يضمن القيمة وقت التلف حتّى لو كانت العارية مضمونة كما ذهب إليه بعضهم </w:t>
      </w:r>
      <w:r>
        <w:rPr>
          <w:rStyle w:val="FootnoteAnchor"/>
          <w:rtl w:val="true"/>
        </w:rPr>
        <w:footnoteReference w:id="151"/>
      </w:r>
      <w:r>
        <w:rPr>
          <w:rFonts w:ascii="Amiri" w:hAnsi="Amiri" w:eastAsia="Amiri" w:cs="Amiri"/>
          <w:color w:val="111111"/>
          <w:sz w:val="28"/>
          <w:sz w:val="28"/>
          <w:szCs w:val="28"/>
          <w:rtl w:val="true"/>
          <w:lang w:bidi="ar-SA"/>
        </w:rPr>
        <w:t>استناداً للأصل، وذلك لأنّ أصالة عدم الإذن حاكمة على أصالة البراءة من 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بعض إلى أن القول قول المستعير في الإعارة؛ لأصالة براءة ذمته من ضمان العين والمنفعة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لأن المنفعة تابعة للعين في الملك، فمن ادّعى إباحتها فعليه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اختلفا في الغصب والإعارة وكانت العين مضمونة غرّم مدّعي الإعارة قيمتها يوم التلف لا أعلى القيم وإن قلنا بضمانه للغاصب </w:t>
      </w:r>
      <w:r>
        <w:rPr>
          <w:rStyle w:val="FootnoteAnchor"/>
          <w:rtl w:val="true"/>
        </w:rPr>
        <w:footnoteReference w:id="153"/>
      </w:r>
      <w:r>
        <w:rPr>
          <w:rFonts w:ascii="Amiri" w:hAnsi="Amiri" w:eastAsia="Amiri" w:cs="Amiri"/>
          <w:color w:val="111111"/>
          <w:sz w:val="28"/>
          <w:sz w:val="28"/>
          <w:szCs w:val="28"/>
          <w:rtl w:val="true"/>
          <w:lang w:bidi="ar-SA"/>
        </w:rPr>
        <w:t>لبطلان قول كلّ منهما، فيبقى ضمان المال حين التلف متحقّقاً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جداً؛ لأن انتفاء دعوى العارية لا يقضي بثبوت وصف الغصب، وغاية ما في الباب أن كلاً منهما مدع فلا يُسمع قوله، ويبقى المال مضموناً على المستعير مثلاً أو قيمة وقت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المالك الإعارة المضمونة وادّعى الآخر الإجارة، كان القول قول المالك؛ لأصالة عدم الإجارة وعدم العارية، فيبقى أصالة ضمان ما دخل تحت اليد من مال الغير سالماً عن المعارض، ويجب على المقرّ بالإجارة دفع الأجرة ويحرم قبضها على المالك، فإن لم يقبضها كان مالاً لا يدعيه أحد، وفي كونه مجهول المالك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قول مَنْ هي في يده في دعوى الإجارة </w:t>
      </w:r>
      <w:r>
        <w:rPr>
          <w:rStyle w:val="FootnoteAnchor"/>
          <w:rtl w:val="true"/>
        </w:rPr>
        <w:footnoteReference w:id="154"/>
      </w:r>
      <w:r>
        <w:rPr>
          <w:rFonts w:ascii="Amiri" w:hAnsi="Amiri" w:eastAsia="Amiri" w:cs="Amiri"/>
          <w:color w:val="111111"/>
          <w:sz w:val="28"/>
          <w:sz w:val="28"/>
          <w:szCs w:val="28"/>
          <w:rtl w:val="true"/>
          <w:lang w:bidi="ar-SA"/>
        </w:rPr>
        <w:t>لأصالة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المالك إجارة العين والآخر الإعارة، فإن كان قبل مضي مدّة يستحق المالك بها أجرة كانا متداعيين وللمالك اليمين على مدّعي الإعارة في نفي الإجارة، فإذا حلف رجع المال إلى مالكه؛ لانتفاء الإعارة بنفيه من غير حاجة إلى يمين، وإن حلف المالك اليمين المردودة لو رُدّت عليه تثبت له الأجرة المسماة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مضت مدّة يستحق بها المالك أجرةً كانا متداعيين، وتنتفي دعوى كلّ منهما بيمين الآخر، وتكون العين بيد القابض غير مضمونة؛ لاعتراف المالك له بعدم ضمانها، والمنافع مضمونة عليه بأجرة المثل لا بالمسمّى؛ لعدم ثبوته إلّا إذا كان المسمّى أقلّ، فلا يستحق سواه؛ لاعترافه بعدم استحقاقه الأكثر؛ مع احتمال ثبوت أجرة المثل مطلقاً؛ لانتفاء المسمّى </w:t>
      </w:r>
      <w:bookmarkStart w:id="159" w:name="pg19218_273944"/>
    </w:p>
    <w:p>
      <w:pPr>
        <w:pStyle w:val="BookText"/>
        <w:rPr/>
      </w:pPr>
      <w:bookmarkEnd w:id="159"/>
      <w:r>
        <w:rPr>
          <w:rFonts w:ascii="Amiri" w:hAnsi="Amiri" w:eastAsia="Amiri" w:cs="Amiri"/>
          <w:color w:val="111111"/>
          <w:sz w:val="28"/>
          <w:sz w:val="28"/>
          <w:szCs w:val="28"/>
          <w:rtl w:val="true"/>
          <w:lang w:bidi="ar-SA"/>
        </w:rPr>
        <w:t>بانتفاء أصل الإجارة، فتبقى المنافع مضمونةٌ عليه؛ لأنّ المنافع الكائنة تحت اليد مضمونة عليه؛ لأن المنافع كالأعيان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يحتمل ها هنا بعد وقوع التحالف استخراج الحق بالقرعة؛ لأنّها لكلّ أمر مشكل، كما احتملها الشيخ في كتاب المزارعة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إلى أن القول قول مدعي الإجارة </w:t>
      </w:r>
      <w:r>
        <w:rPr>
          <w:rStyle w:val="FootnoteAnchor"/>
          <w:rtl w:val="true"/>
        </w:rPr>
        <w:footnoteReference w:id="156"/>
      </w:r>
      <w:r>
        <w:rPr>
          <w:rFonts w:ascii="Amiri" w:hAnsi="Amiri" w:eastAsia="Amiri" w:cs="Amiri"/>
          <w:color w:val="111111"/>
          <w:sz w:val="28"/>
          <w:sz w:val="28"/>
          <w:szCs w:val="28"/>
          <w:rtl w:val="true"/>
          <w:lang w:bidi="ar-SA"/>
        </w:rPr>
        <w:t>الأصالة براءته من أُجرة المثل أو أقل الأمرين، ولأنّه ذو يد متصرّفة بعين المال والمالك يدّعي عليه العوض على ما تصرّف فيه وأصل البراءة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مسمّى الإجارة أزيد من أُجرة المثل، احتاج مدعي الإجارة إلى بينة، أو يمين مردودة لإثبات الأزيد، ولا يكتفى بيمين المالك على نفي الإعارة قطعاً</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3424881_1280447820"/>
      <w:bookmarkStart w:id="161" w:name="_Toc59"/>
      <w:bookmarkEnd w:id="160"/>
      <w:r>
        <w:rPr>
          <w:rtl w:val="true"/>
        </w:rPr>
        <w:t>ثالث عشرها</w:t>
      </w:r>
      <w:r>
        <w:rPr>
          <w:rtl w:val="true"/>
        </w:rPr>
        <w:t xml:space="preserve">: </w:t>
      </w:r>
      <w:r>
        <w:rPr>
          <w:rtl w:val="true"/>
        </w:rPr>
        <w:t>حكم ما لو اختلفا في اشتراط الضمان العين في العارية وعدمه</w:t>
      </w:r>
      <w:bookmarkEnd w:id="161"/>
    </w:p>
    <w:p>
      <w:pPr>
        <w:pStyle w:val="BookText"/>
        <w:rPr/>
      </w:pPr>
      <w:r>
        <w:rPr>
          <w:rFonts w:ascii="Amiri" w:hAnsi="Amiri" w:eastAsia="Amiri" w:cs="Amiri"/>
          <w:color w:val="111111"/>
          <w:sz w:val="28"/>
          <w:sz w:val="28"/>
          <w:szCs w:val="28"/>
          <w:rtl w:val="true"/>
          <w:lang w:bidi="ar-SA"/>
        </w:rPr>
        <w:t xml:space="preserve">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اشتراط الضمان في العارية وعدمه، فالقول قول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 في أنّها عارية مضمونة، أم لا، فالقول قول المالك؛ لأصالة ضمان ما تحت اليد من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القول قول المستعير؛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اختلفا في نفس العارية أنّها العين الخاصّة المضمونة، أو العين الأخرى الغير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ها هنا التحالف فيعود الضمان للمستعير؛ لأصالة ضمان ما وقع تحت اليد من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العين المستعارة ولم تكن مضمونةً تحالفا، وبقي ما بيد المستعير مالاً لا يدعيه أحد، ولا يبعد رجوعه إلى حكم مجهول المالك</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3424883_1280447820"/>
      <w:bookmarkStart w:id="163" w:name="_Toc60"/>
      <w:bookmarkEnd w:id="162"/>
      <w:r>
        <w:rPr>
          <w:rtl w:val="true"/>
        </w:rPr>
        <w:t>رابع عشرها</w:t>
      </w:r>
      <w:r>
        <w:rPr>
          <w:rtl w:val="true"/>
        </w:rPr>
        <w:t xml:space="preserve">: </w:t>
      </w:r>
      <w:r>
        <w:rPr>
          <w:rtl w:val="true"/>
        </w:rPr>
        <w:t>حكم ما لو شرط المالك ضمان العين مع تلف الكل</w:t>
      </w:r>
      <w:bookmarkEnd w:id="1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المالك ضمان العين مع تلف الكلّ، ضمنها عند تلف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ضمان تلفها كلاً أو بعضاً ضمنها كذلك</w:t>
      </w:r>
      <w:r>
        <w:rPr>
          <w:rFonts w:eastAsia="Amiri" w:cs="Amiri" w:ascii="Amiri" w:hAnsi="Amiri"/>
          <w:color w:val="111111"/>
          <w:sz w:val="28"/>
          <w:szCs w:val="28"/>
          <w:rtl w:val="true"/>
          <w:lang w:bidi="ar-SA"/>
        </w:rPr>
        <w:t xml:space="preserve">. </w:t>
      </w:r>
      <w:bookmarkStart w:id="164" w:name="pg19218_273945"/>
    </w:p>
    <w:p>
      <w:pPr>
        <w:pStyle w:val="BookText"/>
        <w:rPr/>
      </w:pPr>
      <w:bookmarkEnd w:id="164"/>
      <w:r>
        <w:rPr>
          <w:rFonts w:ascii="Amiri" w:hAnsi="Amiri" w:eastAsia="Amiri" w:cs="Amiri"/>
          <w:color w:val="111111"/>
          <w:sz w:val="28"/>
          <w:sz w:val="28"/>
          <w:szCs w:val="28"/>
          <w:rtl w:val="true"/>
          <w:lang w:bidi="ar-SA"/>
        </w:rPr>
        <w:t>ولو أطلق فالظاهر أنّه يضمن الأجزاء كما يضمن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فهل يدخل النقص الناشئ عن الاستعمال أو التلف الناشئ عنه في اشتراط الضمان، أو لا يدخل واحد منهما فيه، أو يدخل التلف الناشئ عنه دون النقصان؟ وجوه، 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ضمان نقص الأجزاء وضمان تلك العين في الشرط، فعلى ذلك لو نقصت أجزاؤها قبل التلف إلى أن تلفت ضمن نقص الأجزاء من يوم القبض إلى يوم التلف، وضمن قيمتها يوم التلف، والإذن في النقص بالاستعمال أو التلف لو فهم الإذن به لا ينافي الضمان؛ لأنّ تسويغ الاستعمال يجامع اشتراط الضمان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النقص في القيم لنقصان العين جزءاً أو وصفاً، ولو كان لنقصان السوق لم يضمنها المستعير مطلقاً؛ لعدم دخولها تحت اشتراط الضمان قطعاً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3424885_1280447820"/>
      <w:bookmarkStart w:id="166" w:name="_Toc61"/>
      <w:bookmarkEnd w:id="165"/>
      <w:r>
        <w:rPr>
          <w:rtl w:val="true"/>
        </w:rPr>
        <w:t>خامس عشرها</w:t>
      </w:r>
      <w:r>
        <w:rPr>
          <w:rtl w:val="true"/>
        </w:rPr>
        <w:t xml:space="preserve">: </w:t>
      </w:r>
      <w:r>
        <w:rPr>
          <w:rtl w:val="true"/>
        </w:rPr>
        <w:t>حكم ما لو ألقت الريح حباً أو نوى أو غيرهما في دار الغير فصار زرعاً أو نخلاً</w:t>
      </w:r>
      <w:bookmarkEnd w:id="166"/>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ألقت الريح حباً أو نوى أو غيرهما في دار الغير فصار زرعاً أو نخلاً، كان لمالك الأرض قلعه من غير أرش لمالك الحبّ والنوى؛ لأنّهما لم يوضعا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لمالك الأرض قلعهما قهراً؛ لأن مالكهما غير معتد بوضعهما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ولمالك الحبّ والنوى قلعهما أيضاً، ولا يُجبر على 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يضمن أرش نقصان الأرض، ويجب عليه طمّ الحفر ؟ وجهان، ولا يبعد لزوم ذلك عليه؛ لأنّه شيء حدث بفعله لتفريغ ماله عن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صاحب البذر وشبهه بعد مطالبة المالك له بالقلع دفع الأجرة لبقائهما في الأرض مدّة يستحق عليها أجرة في العادة، ولا يجب قبل المطالبة؛ لعدم كون الزرع بفعله ولا بسببه فلا يضمن أجرة المثل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أعرض المالك عن الزرع، خرج عن ملكه وجاز لصاحب الأرض تملكه حينئذٍ وقلعه، ولا يُجبر صاحب الأرض على قلعه ولا يستحق عليه أُجرة لمدة بقائه؛ لخروجه عن ملكه قبل المطالبة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اشتبه مالك البذر أو النوى في محصورين وجب التخلّص بالصلح أو القرعة، فمن يستقر له المال يطالب بقلعه</w:t>
      </w:r>
      <w:r>
        <w:rPr>
          <w:rFonts w:eastAsia="Amiri" w:cs="Amiri" w:ascii="Amiri" w:hAnsi="Amiri"/>
          <w:color w:val="111111"/>
          <w:sz w:val="28"/>
          <w:szCs w:val="28"/>
          <w:rtl w:val="true"/>
          <w:lang w:bidi="ar-SA"/>
        </w:rPr>
        <w:t xml:space="preserve">. </w:t>
      </w:r>
      <w:bookmarkStart w:id="167" w:name="pg19218_273946"/>
    </w:p>
    <w:p>
      <w:pPr>
        <w:pStyle w:val="BookText"/>
        <w:rPr/>
      </w:pPr>
      <w:bookmarkEnd w:id="167"/>
      <w:r>
        <w:rPr>
          <w:rFonts w:ascii="Amiri" w:hAnsi="Amiri" w:eastAsia="Amiri" w:cs="Amiri"/>
          <w:color w:val="111111"/>
          <w:sz w:val="28"/>
          <w:sz w:val="28"/>
          <w:szCs w:val="28"/>
          <w:rtl w:val="true"/>
          <w:lang w:bidi="ar-SA"/>
        </w:rPr>
        <w:t>وإن اشتبه في غير محصورين، احتمل إجراء حكم اللقطة عليه ابتداء، واحتمل إجراء حكم مجهول المالك عليه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ابتداء أقل من الدرهم ولم ينو به التملك فلما صار زرعاً زاد، كان إجراء حكم مجهول المالك عليه أظهر من إجرائه في الابتداء</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3424887_1280447820"/>
      <w:bookmarkStart w:id="169" w:name="_Toc62"/>
      <w:bookmarkEnd w:id="168"/>
      <w:r>
        <w:rPr>
          <w:rtl w:val="true"/>
        </w:rPr>
        <w:t>خاتمة</w:t>
      </w:r>
      <w:r>
        <w:rPr>
          <w:rtl w:val="true"/>
        </w:rPr>
        <w:t xml:space="preserve">: </w:t>
      </w:r>
      <w:r>
        <w:rPr>
          <w:rtl w:val="true"/>
        </w:rPr>
        <w:t>حكم ما لو استعار أرضاً للزرع أو الغرس أو البناء فزرع وغرس وبنى فتلف ما صنعه</w:t>
      </w:r>
      <w:bookmarkEnd w:id="169"/>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استعار أرضاً للزرع أو الغرس أو البناء فزرع وغرس وبنى فتلف ما صنعه، فهل له أن يعيد غيره أم لا؟ وجهان وجواز الإعادة أقرب ما لم يفهم عرفاً انتهاء العارية بانتهاء ذلك الزرع في تلك السنة، أو بقلعه فيها، أو بنقض ذلك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فلصاحب الزرع قلعه متى أراد؛ لأنّه موضوع على ذلك، ولا يجب عليه الانتظار إلى أوان الزرع وإن عاد على صاحب الأرض ضرر بالقلع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على صاحب الزرع دفع أرش الأرض لو نقصت بالقلع وطم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يجوز لصاحب الزرع قلعه فكذا يجوز لصاحب الأرض؛ لإقدام الزارع على أرض مستعارة يجوز الرجوع بها متى شاء، ولا يلزم على صاحب الأرض إبقاء الزرع إلى أوان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على صاحب الأرض بذل الأرش، وهو تفاوت ما بين كونه ثابتاً إلى أوان حصاده ومقلوعاً، ويقوم مقلوعاً مجاناً لا مقلوعاً بالأرش؛ لأنّ التقدير كذلك، وإلا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يقوم ثابتاً مجاناً؛ لاقتضاء ابتداء العارية كذلك، أو بأجرة؛ لاستحقاق المالك لها عند فسخ العارية؟ وجهان، والأخير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المعير قيمة الزرع أو الغرس أو البناء، لم تجب إجابته، كما لو بذل المستعير قيمة الأرض أو الأُجرة؛ لأنّ 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ولصاحب الغرس والبناء بيع ماله على مَنْ شاء، والمنع من ذلك لعدم استقرار الملك ضعيف، وغايته تسلّط المشتري مع الجهل على الخيار، وكذا لصاحب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لهما أن يبيعا مجتمعين، فيوزّع الثمن عليهما فيقسّط على الأرض مشغولةً به على وجه الإعارة مستحق للقلع بالأرش، أو الإبقاء بالأجرة، أو النقل بالقيمة مع التراضي، وعلى ما فيها مستحقاً للقلع بالأرش إلى آخر الوجوه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لصاحب الأرض الدخول فيها والاستظلال بشجر المستعير أي وقت شاء، ويجوز لصاحب الزرع وشبهه الدخول لمصلحة الزرع ونحوه، ولا يجوز له الدخول مجاناً ولا للتنزه</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الإجارة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9218_273950"/>
      <w:bookmarkStart w:id="171" w:name="pg19218_273950"/>
      <w:bookmarkEnd w:id="171"/>
    </w:p>
    <w:p>
      <w:pPr>
        <w:pStyle w:val="Heading2"/>
        <w:numPr>
          <w:ilvl w:val="1"/>
          <w:numId w:val="1"/>
        </w:numPr>
        <w:rPr/>
      </w:pPr>
      <w:bookmarkStart w:id="172" w:name="pg19218_273950"/>
      <w:bookmarkStart w:id="173" w:name="__RefHeading___Toc13424889_1280447820"/>
      <w:bookmarkStart w:id="174" w:name="_Toc63"/>
      <w:bookmarkEnd w:id="172"/>
      <w:bookmarkEnd w:id="173"/>
      <w:r>
        <w:rPr>
          <w:rtl w:val="true"/>
        </w:rPr>
        <w:t>كتاب الإجارة</w:t>
      </w:r>
      <w:bookmarkEnd w:id="174"/>
    </w:p>
    <w:p>
      <w:pPr>
        <w:pStyle w:val="Heading3"/>
        <w:numPr>
          <w:ilvl w:val="2"/>
          <w:numId w:val="1"/>
        </w:numPr>
        <w:rPr/>
      </w:pPr>
      <w:bookmarkStart w:id="175" w:name="__RefHeading___Toc13424891_1280447820"/>
      <w:bookmarkStart w:id="176" w:name="_Toc64"/>
      <w:bookmarkEnd w:id="175"/>
      <w:r>
        <w:rPr>
          <w:rtl w:val="true"/>
        </w:rPr>
        <w:t>تعريف الإجارة لغةً وشرعاً</w:t>
      </w:r>
      <w:bookmarkEnd w:id="176"/>
    </w:p>
    <w:p>
      <w:pPr>
        <w:pStyle w:val="BookText"/>
        <w:rPr/>
      </w:pPr>
      <w:r>
        <w:rPr>
          <w:rFonts w:ascii="Amiri" w:hAnsi="Amiri" w:eastAsia="Amiri" w:cs="Amiri"/>
          <w:color w:val="111111"/>
          <w:sz w:val="28"/>
          <w:sz w:val="28"/>
          <w:szCs w:val="28"/>
          <w:rtl w:val="true"/>
          <w:lang w:bidi="ar-SA"/>
        </w:rPr>
        <w:t>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كراء الأجير، كالأُجرة، لا مصدر أجر؛ لأن مصدره الإيجار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ونُقلت شرعاً لماهية جديدة دلّ على ثبوتها الكتاب </w:t>
      </w:r>
      <w:r>
        <w:rPr>
          <w:rStyle w:val="FootnoteAnchor"/>
          <w:rtl w:val="true"/>
        </w:rPr>
        <w:footnoteReference w:id="158"/>
      </w:r>
      <w:r>
        <w:rPr>
          <w:rFonts w:ascii="Amiri" w:hAnsi="Amiri" w:eastAsia="Amiri" w:cs="Amiri"/>
          <w:color w:val="111111"/>
          <w:sz w:val="28"/>
          <w:sz w:val="28"/>
          <w:szCs w:val="28"/>
          <w:rtl w:val="true"/>
          <w:lang w:bidi="ar-SA"/>
        </w:rPr>
        <w:t xml:space="preserve">والسنّة </w:t>
      </w:r>
      <w:r>
        <w:rPr>
          <w:rStyle w:val="FootnoteAnchor"/>
          <w:rtl w:val="true"/>
        </w:rPr>
        <w:footnoteReference w:id="159"/>
      </w:r>
      <w:r>
        <w:rPr>
          <w:rFonts w:ascii="Amiri" w:hAnsi="Amiri" w:eastAsia="Amiri" w:cs="Amiri"/>
          <w:color w:val="111111"/>
          <w:sz w:val="28"/>
          <w:sz w:val="28"/>
          <w:szCs w:val="28"/>
          <w:rtl w:val="true"/>
          <w:lang w:bidi="ar-SA"/>
        </w:rPr>
        <w:t>والإجماع، إلّا أنّه ليس في إطلاقات الكتاب ما يشمل المشكوك بجواز استئجاره وعدمه، وكذا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يُستشعر من بعض الأخبار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كراهة إيجار الشخص نفسه؛ لأنّه حظر عليه رزقه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محمولة على الأجير الخاص بجميع منافعه؛ جمعاً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إيجار المعصوم نفسه الزكية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وضع الإجارة لنقل المنافع، كما أنّ البيع أصل وضعه لنقل الأعيان، والمنفعة تابعة لها اتباعاً عقديّاً أو حكماً شرعياً بعد ملك المنتقل إليه العين؛ لأنّ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تبعية العين في الإجارة لملك المنفعة وجواز إتلافها في الاستئجار للرضاع والحمام والبئر ونحوها، فإنّها محتملة للتبعية العقدية، ولكونها من الأحكام الشرعيّة وسيجيء بيان ذلك </w:t>
      </w:r>
      <w:r>
        <w:rPr>
          <w:rStyle w:val="FootnoteAnchor"/>
          <w:rtl w:val="true"/>
        </w:rPr>
        <w:footnoteReference w:id="162"/>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bookmarkStart w:id="177" w:name="pg19218_273951"/>
    </w:p>
    <w:p>
      <w:pPr>
        <w:pStyle w:val="Heading3"/>
        <w:numPr>
          <w:ilvl w:val="2"/>
          <w:numId w:val="1"/>
        </w:numPr>
        <w:rPr/>
      </w:pPr>
      <w:bookmarkStart w:id="178" w:name="__RefHeading___Toc13424893_1280447820"/>
      <w:bookmarkStart w:id="179" w:name="_Toc65"/>
      <w:bookmarkEnd w:id="177"/>
      <w:bookmarkEnd w:id="178"/>
      <w:r>
        <w:rPr>
          <w:rtl w:val="true"/>
        </w:rPr>
        <w:t>والكلام يقع فيها في أُمور</w:t>
      </w:r>
      <w:r>
        <w:rPr>
          <w:rtl w:val="true"/>
        </w:rPr>
        <w:t>:</w:t>
      </w:r>
      <w:bookmarkEnd w:id="179"/>
    </w:p>
    <w:p>
      <w:pPr>
        <w:pStyle w:val="Heading4"/>
        <w:numPr>
          <w:ilvl w:val="3"/>
          <w:numId w:val="1"/>
        </w:numPr>
        <w:rPr/>
      </w:pPr>
      <w:bookmarkStart w:id="180" w:name="__RefHeading___Toc13424895_1280447820"/>
      <w:bookmarkStart w:id="181" w:name="_Toc66"/>
      <w:bookmarkEnd w:id="180"/>
      <w:r>
        <w:rPr>
          <w:rtl w:val="true"/>
        </w:rPr>
        <w:t>أحدها</w:t>
      </w:r>
      <w:r>
        <w:rPr>
          <w:rtl w:val="true"/>
        </w:rPr>
        <w:t xml:space="preserve">: </w:t>
      </w:r>
      <w:r>
        <w:rPr>
          <w:rtl w:val="true"/>
        </w:rPr>
        <w:t>في أنّ الإجارة تمليك المنفعة بعوض معلوم مع بقاء العين</w:t>
      </w:r>
      <w:bookmarkEnd w:id="18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تمليك المنفعة بعوض معلوم مع بقاء العين، أو العقد 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بحسب العرف الأوّل، وبحسب كلام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يراد بالصفة في الإيجاب سوى الأوّل؛ لعدم إمكان إرادة العقد من لفظ العقد الإنشائي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وعدم إمكان الاشتقاق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بالاشتراك اللفظي بينهما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بالصلح على المنفعة، أو هبتها بعوض معلوم، وبما لو جعلت المنفعة ثمناً في البيع، وبالوصيّة بالمنفعة بالعوض المعلوم، وبما وقعت صداقاً، وبتمليك المنافع تبعاً في البيع وشبهه، وبما وقع التمليك فيه للأعيان، كماء الحمام والبئر واللبن في الرضاع، وبما أدى تمليك منفعته إلى إتلافه كتمليك الزيت للوقود وشبهه، وبتمليك البضع في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بأن المراد من العوض المعلوم هو ما يشترط العلم به، وما من شأنه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بتمليك المنافع تمليكها أصالة وابتداءً في عقدها، فخرجت المنفعة اللاحقة للعين تبعاً، والواقعة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بتمليك المنفعة أن يكون القصد إليها ابتداء، ولا يضرّ استلزامها لتلف بعض الأعيان تبعاً عقديّاً أو حكماً شرعياً، بل كلّ عين لا بدّ من نقصانها بالاستعمال ولكن من غير القصد إليه، وأما ما يؤدّي الانتفاع به إلى إتلافه أصالة فلا نسلّم جواز تعلّق الإجارة به، إلّا إذا قام عليه الدليل كالاستئجار للرضاع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أن الاستئجار على المص، والحليب من التوابع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تمليك البضع، فلا نسلّم أنّه تمليك حقيقي فيخرج بقيد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الحدّ للمنفعة المعلومة والمجهولة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بالتزامه والتزام شمول الحد للصحيح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تمليك المنفعة غير معقول ؛ لأنّها حالة العدم لا تتعلق بها صفة الوجود وهي الملك للزوم المحال، وتأخر الملك إلى وجودها فيتعلّق بها بعد ذلك منافٍ لوضع العقود من مقارنة أثر الملك لها، وحمل العقد فيها على تمليك أن يملك المنفعة لا على ملكها نفسها بعيد عرفاً وشرعاً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بمنع كون المنفعة معدومة، بل هي متحققة مع العين، فماضيها ومستقبلها </w:t>
      </w:r>
      <w:bookmarkStart w:id="182" w:name="pg19218_273952"/>
    </w:p>
    <w:p>
      <w:pPr>
        <w:pStyle w:val="BookText"/>
        <w:rPr/>
      </w:pPr>
      <w:bookmarkEnd w:id="182"/>
      <w:r>
        <w:rPr>
          <w:rFonts w:ascii="Amiri" w:hAnsi="Amiri" w:eastAsia="Amiri" w:cs="Amiri"/>
          <w:color w:val="111111"/>
          <w:sz w:val="28"/>
          <w:sz w:val="28"/>
          <w:szCs w:val="28"/>
          <w:rtl w:val="true"/>
          <w:lang w:bidi="ar-SA"/>
        </w:rPr>
        <w:t>واحد، فمنفعة الدار والحمّام أمر قائم به بالفعل ما دام موجوداً وإن كان استيفاؤه يتجدّد آناً فآناً، أو يقال إنّه أمر جاء به الدليل وليس لنا إلى ردّه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المنافع نفس النماء، فلا يدخل في عقد الإجارة؛ لأنّ تعلق الإجارة بنفس المنفعة القائمة بالعين والنماء ليس من تلك المنافع، فلا يملك للمستأجر بوجه</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3424897_1280447820"/>
      <w:bookmarkStart w:id="184" w:name="_Toc67"/>
      <w:bookmarkEnd w:id="183"/>
      <w:r>
        <w:rPr>
          <w:rtl w:val="true"/>
        </w:rPr>
        <w:t>ثانيها</w:t>
      </w:r>
      <w:r>
        <w:rPr>
          <w:rtl w:val="true"/>
        </w:rPr>
        <w:t xml:space="preserve">: </w:t>
      </w:r>
      <w:r>
        <w:rPr>
          <w:rtl w:val="true"/>
        </w:rPr>
        <w:t>في أنّ الإجارة من العقود اللازمة</w:t>
      </w:r>
      <w:bookmarkEnd w:id="184"/>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من العقود اللازمة؛ للأصل، والإجماع بقسميه </w:t>
      </w:r>
      <w:r>
        <w:rPr>
          <w:rStyle w:val="FootnoteAnchor"/>
          <w:rtl w:val="true"/>
        </w:rPr>
        <w:footnoteReference w:id="163"/>
      </w:r>
      <w:r>
        <w:rPr>
          <w:rFonts w:ascii="Amiri" w:hAnsi="Amiri" w:eastAsia="Amiri" w:cs="Amiri"/>
          <w:color w:val="111111"/>
          <w:sz w:val="28"/>
          <w:sz w:val="28"/>
          <w:szCs w:val="28"/>
          <w:rtl w:val="true"/>
          <w:lang w:bidi="ar-SA"/>
        </w:rPr>
        <w:t xml:space="preserve">على الظاهر؛ ولأنّ المشكوك في لزومه وجوازه فالاستصحاب والقاعدة الشرعيّة المأخوذة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يقضيان بلزومه؛ وللأخبار الدالّة على لزومها </w:t>
      </w:r>
      <w:r>
        <w:rPr>
          <w:rStyle w:val="FootnoteAnchor"/>
          <w:rtl w:val="true"/>
        </w:rPr>
        <w:footnoteReference w:id="165"/>
      </w:r>
      <w:r>
        <w:rPr>
          <w:rFonts w:ascii="Amiri" w:hAnsi="Amiri" w:eastAsia="Amiri" w:cs="Amiri"/>
          <w:color w:val="111111"/>
          <w:sz w:val="28"/>
          <w:sz w:val="28"/>
          <w:szCs w:val="28"/>
          <w:rtl w:val="true"/>
          <w:lang w:bidi="ar-SA"/>
        </w:rPr>
        <w:t>خصوصاً، المعتضدة بفتوى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بدّ لها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غيره إلّا في المعاطاة على الأظهر، أو إشارة الأخرس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بمادته، مشتق من الإجارة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الكرى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مشتق من الأعم القريب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مشترك لفظي أو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أعرتك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الصراحة، فيقتصر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كونه على هيئة الماضي، وأن يكون غير ملحون ببنيته؛ اقتصاراً على المتيقّن، وكذا كلّ مجاز ما لم يكن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كونه غير ملحون بإعرابه، أو كونه عربياً، وكونه مرتباً إيجابه على قبوله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حكم بمنع تقديم القبول على الإيجاب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إشكال </w:t>
      </w:r>
      <w:r>
        <w:rPr>
          <w:rStyle w:val="FootnoteAnchor"/>
          <w:rtl w:val="true"/>
        </w:rPr>
        <w:footnoteReference w:id="166"/>
      </w:r>
      <w:r>
        <w:rPr>
          <w:rFonts w:ascii="Amiri" w:hAnsi="Amiri" w:eastAsia="Amiri" w:cs="Amiri"/>
          <w:color w:val="111111"/>
          <w:sz w:val="28"/>
          <w:sz w:val="28"/>
          <w:szCs w:val="28"/>
          <w:rtl w:val="true"/>
          <w:lang w:bidi="ar-SA"/>
        </w:rPr>
        <w:t>لعدم استقلالها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تلزم معاطاتها بالتصرف بالعين المستأجرة، أو لا تلزم؛ لأن المنفعة المقصودة بالمعاوضة ممّا تتجدّد فلا يتحقق التصرّف بها؟ وجهان، ولا يبعد الأوّل، كما لا يبعد في الاستئجار على الأعمال عدم اللزوم باستيفاء بعض العمل، بل تبقى على الجواز ما لم يتصرّف المؤجر بالأجرة، أو يجيء اللزوم من باب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ينفسخ عقدها بالبيع وشبهه للعين المستأجرة؛ للأصل، والإجماع، والأخبار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البيع الإجارة ولا السكنى</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الآخر فيمن استأجر ضيعة فباع المؤجر تلك الضيعة بحضرة المستأجر ولم ينكر البيع ومات المشتري وله ورثة هل يرجع ذلك الشيء في ميراث الميّت أو يثبت في يد المستأجر؟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في يد المستأجر حتّى تنقضي إجارته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بيع العين المستأجرة إمّا أن يكون المشتري عالماً بالاستئجار ومدته، فلا إشكال بصحّة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عالماً به جاهلاً بمدته، فيمكن القول بفساد البيع؛ لمكان الجهالة، إلّا أن الصحّة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جاهلاً بالاستئجار، تسلّط على الخيار بين الفسخ وبين الإمضاء مجاناً، كما هو ظاهر الأصحاب؛ لأصالة عدم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هذا الخيار ليس بخيار عيب ولا تبعيض صفقة، بل هو لخيار فوات الوصف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خيار مستقل؛ لمكان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تبطل الإجارة بالموت؛ للأصل، والأخبار الخاصّة الدالّة على لزوم الإجارة بقول مطلق</w:t>
      </w:r>
      <w:r>
        <w:rPr>
          <w:rStyle w:val="FootnoteAnchor"/>
          <w:rtl w:val="true"/>
        </w:rPr>
        <w:footnoteReference w:id="169"/>
      </w:r>
      <w:r>
        <w:rPr>
          <w:rFonts w:ascii="Amiri" w:hAnsi="Amiri" w:eastAsia="Amiri" w:cs="Amiri"/>
          <w:color w:val="111111"/>
          <w:sz w:val="28"/>
          <w:sz w:val="28"/>
          <w:szCs w:val="28"/>
          <w:rtl w:val="true"/>
          <w:lang w:bidi="ar-SA"/>
        </w:rPr>
        <w:t>، ولفتوى المشهور، وللسيرة الدالّة على ذلك في وجه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لمن أبطلها بالموت مطلقاً </w:t>
      </w:r>
      <w:r>
        <w:rPr>
          <w:rStyle w:val="FootnoteAnchor"/>
          <w:rtl w:val="true"/>
        </w:rPr>
        <w:footnoteReference w:id="170"/>
      </w:r>
      <w:r>
        <w:rPr>
          <w:rFonts w:ascii="IRNazanin" w:hAnsi="IRNazanin" w:eastAsia="IRNazanin"/>
          <w:color w:val="111111"/>
          <w:sz w:val="28"/>
          <w:sz w:val="28"/>
          <w:szCs w:val="28"/>
          <w:rtl w:val="true"/>
          <w:lang w:bidi="fa-IR"/>
        </w:rPr>
        <w:t xml:space="preserve">، ولمن أبطلها بموت المستأجر دون الموجر </w:t>
      </w:r>
      <w:r>
        <w:rPr>
          <w:rStyle w:val="FootnoteAnchor"/>
          <w:rtl w:val="true"/>
        </w:rPr>
        <w:footnoteReference w:id="171"/>
      </w:r>
      <w:r>
        <w:rPr>
          <w:rFonts w:ascii="IRNazanin" w:hAnsi="IRNazanin" w:eastAsia="IRNazanin"/>
          <w:color w:val="111111"/>
          <w:sz w:val="28"/>
          <w:sz w:val="28"/>
          <w:szCs w:val="28"/>
          <w:rtl w:val="true"/>
          <w:lang w:bidi="fa-IR"/>
        </w:rPr>
        <w:t xml:space="preserve">، ونقل على الأوّل الإجماع مطلقاً </w:t>
      </w:r>
      <w:r>
        <w:rPr>
          <w:rStyle w:val="FootnoteAnchor"/>
          <w:rtl w:val="true"/>
        </w:rPr>
        <w:footnoteReference w:id="172"/>
      </w:r>
      <w:r>
        <w:rPr>
          <w:rFonts w:ascii="Amiri" w:hAnsi="Amiri" w:eastAsia="Amiri" w:cs="Amiri"/>
          <w:color w:val="111111"/>
          <w:sz w:val="28"/>
          <w:sz w:val="28"/>
          <w:szCs w:val="28"/>
          <w:rtl w:val="true"/>
          <w:lang w:bidi="ar-SA"/>
        </w:rPr>
        <w:t xml:space="preserve">، وكذا على الثاني بخصوصه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85" w:name="pg19218_273954"/>
    </w:p>
    <w:p>
      <w:pPr>
        <w:pStyle w:val="BookText"/>
        <w:rPr/>
      </w:pPr>
      <w:bookmarkEnd w:id="185"/>
      <w:r>
        <w:rPr>
          <w:rFonts w:ascii="Amiri" w:hAnsi="Amiri" w:eastAsia="Amiri" w:cs="Amiri"/>
          <w:color w:val="111111"/>
          <w:sz w:val="28"/>
          <w:sz w:val="28"/>
          <w:szCs w:val="28"/>
          <w:rtl w:val="true"/>
          <w:lang w:bidi="ar-SA"/>
        </w:rPr>
        <w:t>ونُسب لجملة من المتقدّمين الحكم بكل منهما</w:t>
      </w:r>
      <w:r>
        <w:rPr>
          <w:rStyle w:val="FootnoteAnchor"/>
          <w:rtl w:val="true"/>
        </w:rPr>
        <w:footnoteReference w:id="174"/>
      </w:r>
      <w:r>
        <w:rPr>
          <w:rFonts w:ascii="Amiri" w:hAnsi="Amiri" w:eastAsia="Amiri" w:cs="Amiri"/>
          <w:color w:val="111111"/>
          <w:sz w:val="28"/>
          <w:sz w:val="28"/>
          <w:szCs w:val="28"/>
          <w:rtl w:val="true"/>
          <w:lang w:bidi="ar-SA"/>
        </w:rPr>
        <w:t>، وعلل الحكم بذلك بعلل ضعيفة واهية لا محصل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فالقولان ضعيفان؛ لضعف الإجماع المنقول مع فتوى المشهور بخلافه، فلا يعارض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بعض أصحابنا المتأخرين </w:t>
      </w:r>
      <w:r>
        <w:rPr>
          <w:rStyle w:val="FootnoteAnchor"/>
          <w:rtl w:val="true"/>
        </w:rPr>
        <w:footnoteReference w:id="175"/>
      </w:r>
      <w:r>
        <w:rPr>
          <w:rFonts w:ascii="Amiri" w:hAnsi="Amiri" w:eastAsia="Amiri" w:cs="Amiri"/>
          <w:color w:val="111111"/>
          <w:sz w:val="28"/>
          <w:sz w:val="28"/>
          <w:szCs w:val="28"/>
          <w:rtl w:val="true"/>
          <w:lang w:bidi="ar-SA"/>
        </w:rPr>
        <w:t>لعدم انفساخها بالموت إلى روايتين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أنّهما لا دلالة لهما على المطلوب بوجه من الوجوه، بل 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المستأجر المشروط عليه المباشرة، فإنّ الإجارة تنفسخ بموته، وكذا المؤجر لو كانت المنفعة موصى له بها ما دام حيّاً، أو كانت العين موقوفةً عليه وعلى البطون اللاحقة، فإنّها تنفسخ بموته؛ لتعلّق حقّ البطون اللاحقة بها، ولتلقيهم من الواقف لا منه، ولأنّه لا يملك المنفعة المتجدّدة بعد الموت حين العقد كما يملكها في سائر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آجر ناظر الوقف الوقف لمصلحة البطون مضت الإجارة عليهم؛ لأنّه بمنزلة الولي عليهم فلا تنفسخ بوجه، ولو تبين خلاف المصلحة للبطون اللاحقة ففي انفساخ الإجارة وجه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3424899_1280447820"/>
      <w:bookmarkStart w:id="187" w:name="_Toc68"/>
      <w:bookmarkEnd w:id="186"/>
      <w:r>
        <w:rPr>
          <w:rtl w:val="true"/>
        </w:rPr>
        <w:t>ثالثها</w:t>
      </w:r>
      <w:r>
        <w:rPr>
          <w:rtl w:val="true"/>
        </w:rPr>
        <w:t xml:space="preserve">: </w:t>
      </w:r>
      <w:r>
        <w:rPr>
          <w:rtl w:val="true"/>
        </w:rPr>
        <w:t>في أنّ العين المستأجرة أمانة بيد المستأجر إذا تسلّمها بإذنه</w:t>
      </w:r>
      <w:bookmarkEnd w:id="18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المستأجرة أمانة بيد المستأجر إذا تسلّمها بإذنه لا تضمن من دون تعد أو تفريط، سواء تلفت في مدّة الإجارة أو بعدها، وسواء تلفت في زمان ردّها إليه أو قبله، وسواء ردّها فوراً أم متراخياً، أو لم يردّها أصلاً بعد أن خلّى بينها وبين صاحبها؛ لعدم وجوب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كلّه إطلاق الإجماعات المنقولة</w:t>
      </w:r>
      <w:r>
        <w:rPr>
          <w:rStyle w:val="FootnoteAnchor"/>
          <w:rtl w:val="true"/>
        </w:rPr>
        <w:footnoteReference w:id="177"/>
      </w:r>
      <w:r>
        <w:rPr>
          <w:rFonts w:ascii="Amiri" w:hAnsi="Amiri" w:eastAsia="Amiri" w:cs="Amiri"/>
          <w:color w:val="111111"/>
          <w:sz w:val="28"/>
          <w:sz w:val="28"/>
          <w:szCs w:val="28"/>
          <w:rtl w:val="true"/>
          <w:lang w:bidi="ar-SA"/>
        </w:rPr>
        <w:t>المعتضدة بالشهرة المحصّلة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وللصحيح فيمن استأجر دابّة فأعطاها غيره فنفقت،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اشترط أن لا يركبها غيره فهو ضامن لها، وإن لم يسم شيئاً فلا شيء عليه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ولرواية البغل حيث أوجب على المتعدّي عليه إذا أصابه كسر أو دبر أو عقر قيمة ما بين الصحّة والعيب يوم يردّه عليه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عطب الحمار فهو ضامن</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جاز الشرط فهو ضامن، وإن دخل وادياً لم يوثقها فهو ضامن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وللنصوص النافية للضمان في العارية المعللة بكونها أمانة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وللنصوص الواردة بعدم ضمان الأجير لما يتلف في يده إذا كان أميناً، والواردة في عدم ضمان الأجير إذا هلك بيد المستأجر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ولأصالة عدم الضمان وانصراف أدلّته إلى غير الأمانة أو إليها مع التعدّي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ضعف مَنْ ذهب إلى ضمان العين المستأجرة بعد مدّة الإجارة إذا لم يردّها فوراً </w:t>
      </w:r>
      <w:r>
        <w:rPr>
          <w:rStyle w:val="FootnoteAnchor"/>
          <w:rtl w:val="true"/>
        </w:rPr>
        <w:footnoteReference w:id="184"/>
      </w:r>
      <w:r>
        <w:rPr>
          <w:rFonts w:ascii="Amiri" w:hAnsi="Amiri" w:eastAsia="Amiri" w:cs="Amiri"/>
          <w:color w:val="111111"/>
          <w:sz w:val="28"/>
          <w:sz w:val="28"/>
          <w:szCs w:val="28"/>
          <w:rtl w:val="true"/>
          <w:lang w:bidi="ar-SA"/>
        </w:rPr>
        <w:t>، بناءً منه على وجوب ردّها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ردّها فوراً، ومنع صيرورتها بعد المدّة أمانة شرعيّة؛ لاستصحاب عدم الضمان المتحقّق أولاً، ولأنّها مأخوذة بإذن المالك من غير اشتراط للردّ منه، فالإذن قاض ببقائها إلى أن يطالب بها، فإذا طالب بها وجب على المستأجر التخلية؛ لأنّه هو المتيقّن، ولا يجب عليه الردّ ولا مؤونته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في عقد الإجارة الضمان، فالأقوى فساد الشرط؛ لمنافاته لمقتضى العقد فيفسد العقد بفساده، كما هو الأقوى أيضاً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تضمن العين حينئذٍ بالعقد الفاسد؛ لعموم دليل الضمان </w:t>
      </w:r>
      <w:r>
        <w:rPr>
          <w:rStyle w:val="FootnoteAnchor"/>
          <w:rtl w:val="true"/>
        </w:rPr>
        <w:footnoteReference w:id="185"/>
      </w:r>
      <w:r>
        <w:rPr>
          <w:rFonts w:ascii="Amiri" w:hAnsi="Amiri" w:eastAsia="Amiri" w:cs="Amiri"/>
          <w:color w:val="111111"/>
          <w:sz w:val="28"/>
          <w:sz w:val="28"/>
          <w:szCs w:val="28"/>
          <w:rtl w:val="true"/>
          <w:lang w:bidi="ar-SA"/>
        </w:rPr>
        <w:t xml:space="preserve">، أو لا تضمن؛ لأنّ ما لا يُضمن بصحيحه لا يُضمن بفاسده وجهان، والأخير بناء على 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للمعقود عليه نفسه كالمنفعة، ولوازمه كالعين لا يخلو من إشكال</w:t>
      </w:r>
      <w:r>
        <w:rPr>
          <w:rFonts w:eastAsia="Amiri" w:cs="Amiri" w:ascii="Amiri" w:hAnsi="Amiri"/>
          <w:color w:val="111111"/>
          <w:sz w:val="28"/>
          <w:szCs w:val="28"/>
          <w:rtl w:val="true"/>
          <w:lang w:bidi="ar-SA"/>
        </w:rPr>
        <w:t xml:space="preserve">. </w:t>
      </w:r>
      <w:bookmarkStart w:id="188" w:name="pg19218_273956"/>
    </w:p>
    <w:p>
      <w:pPr>
        <w:pStyle w:val="BookText"/>
        <w:rPr/>
      </w:pPr>
      <w:bookmarkEnd w:id="188"/>
      <w:r>
        <w:rPr>
          <w:rFonts w:ascii="Amiri" w:hAnsi="Amiri" w:eastAsia="Amiri" w:cs="Amiri"/>
          <w:color w:val="111111"/>
          <w:sz w:val="28"/>
          <w:sz w:val="28"/>
          <w:szCs w:val="28"/>
          <w:rtl w:val="true"/>
          <w:lang w:bidi="ar-SA"/>
        </w:rPr>
        <w:t>ويحتمل الضمان ها هنا بالخصوص دون غيره من العقد الفاسد؛ للإقدام على الضمان بالشرط،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الشرط</w:t>
      </w:r>
      <w:r>
        <w:rPr>
          <w:rStyle w:val="FootnoteAnchor"/>
          <w:rtl w:val="true"/>
        </w:rPr>
        <w:footnoteReference w:id="186"/>
      </w:r>
      <w:r>
        <w:rPr>
          <w:rFonts w:ascii="Amiri" w:hAnsi="Amiri" w:eastAsia="Amiri" w:cs="Amiri"/>
          <w:color w:val="111111"/>
          <w:sz w:val="28"/>
          <w:sz w:val="28"/>
          <w:szCs w:val="28"/>
          <w:rtl w:val="true"/>
          <w:lang w:bidi="ar-SA"/>
        </w:rPr>
        <w:t xml:space="preserve">؛ لعموم دليل الشروط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استأجر سفينة للطعام وشرط إن نقص الطعام فعليه،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 لصاحب الطعام الزيادة وعليه النقصان إن كان شرط عليه ذلك</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ضعف، والعموم موهون بفتوى المشهور على خلافه، فالأقوى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تلف العين بفعل المستأجر ضمن؛ لعموم دليل الضمان </w:t>
      </w:r>
      <w:r>
        <w:rPr>
          <w:rStyle w:val="FootnoteAnchor"/>
          <w:rtl w:val="true"/>
        </w:rPr>
        <w:footnoteReference w:id="190"/>
      </w:r>
      <w:r>
        <w:rPr>
          <w:rFonts w:ascii="Amiri" w:hAnsi="Amiri" w:eastAsia="Amiri" w:cs="Amiri"/>
          <w:color w:val="111111"/>
          <w:sz w:val="28"/>
          <w:sz w:val="28"/>
          <w:szCs w:val="28"/>
          <w:rtl w:val="true"/>
          <w:lang w:bidi="ar-SA"/>
        </w:rPr>
        <w:t>، وللقاعدة القاضية بتضمين مباشر الإتلاف وإن لم يكن متعدّياً أو مفرّطاً</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3424901_1280447820"/>
      <w:bookmarkStart w:id="190" w:name="_Toc69"/>
      <w:bookmarkEnd w:id="189"/>
      <w:r>
        <w:rPr>
          <w:rtl w:val="true"/>
        </w:rPr>
        <w:t>رابعها</w:t>
      </w:r>
      <w:r>
        <w:rPr>
          <w:rtl w:val="true"/>
        </w:rPr>
        <w:t xml:space="preserve">: </w:t>
      </w:r>
      <w:r>
        <w:rPr>
          <w:rtl w:val="true"/>
        </w:rPr>
        <w:t>في أنّ كلّ ما تصحّ إعارته تصحّ إجارته</w:t>
      </w:r>
      <w:bookmarkEnd w:id="19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تصحّ إعارته من الأعيان المنتفع بها مع بقاء عينها تصحّ إجارته؛ لعموم الأدلّة</w:t>
      </w:r>
      <w:r>
        <w:rPr>
          <w:rStyle w:val="FootnoteAnchor"/>
          <w:rtl w:val="true"/>
        </w:rPr>
        <w:footnoteReference w:id="191"/>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الإجارة عرفاً ولغةً بمعنى العارية؛ لأنّ في كلّ منهما تسليطاً للمدفوع إليه على المنفعة، إلّا أنّهما يفترقان بالعوض واللزوم وعدمهما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والمنحة وإن صحت إعارتها ولا تصحّ إجارتها إلّا أنّها ليست بحسب أصل وضعها الشرعي، بل للدليل الدال على ذلك، فإلحاق الإجارة به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الإجارة استيفاء المنفعة مع بقاء العين، فلو كان الاستئجار لتلف العين ابتداء أو للنماء الحاصل من الأعيان بطلت الإجارة؛ لاختصاص أدلتها باستيفاء المنافع المجرّدة عن تلف الأعيان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يلزمها تلف الأعيان بمرور الزمان وكثرة الاستعمال، ولكنه غير مقصود بالذات</w:t>
      </w:r>
      <w:r>
        <w:rPr>
          <w:rFonts w:eastAsia="Amiri" w:cs="Amiri" w:ascii="Amiri" w:hAnsi="Amiri"/>
          <w:color w:val="111111"/>
          <w:sz w:val="28"/>
          <w:szCs w:val="28"/>
          <w:rtl w:val="true"/>
          <w:lang w:bidi="ar-SA"/>
        </w:rPr>
        <w:t xml:space="preserve">. </w:t>
      </w:r>
      <w:bookmarkStart w:id="191" w:name="pg19218_273957"/>
    </w:p>
    <w:p>
      <w:pPr>
        <w:pStyle w:val="BookText"/>
        <w:rPr/>
      </w:pPr>
      <w:bookmarkEnd w:id="191"/>
      <w:r>
        <w:rPr>
          <w:rFonts w:ascii="Amiri" w:hAnsi="Amiri" w:eastAsia="Amiri" w:cs="Amiri"/>
          <w:color w:val="111111"/>
          <w:sz w:val="28"/>
          <w:sz w:val="28"/>
          <w:szCs w:val="28"/>
          <w:rtl w:val="true"/>
          <w:lang w:bidi="ar-SA"/>
        </w:rPr>
        <w:t xml:space="preserve">وأما استئجار الحمام والبئر لإتلاف مائهما أو لملكه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كالاستئجار للرضاع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الدليل، أو أن الملك والإتلاف يجيء تبعاً، وسيجيء الكلام </w:t>
      </w:r>
      <w:r>
        <w:rPr>
          <w:rStyle w:val="FootnoteAnchor"/>
          <w:rtl w:val="true"/>
        </w:rPr>
        <w:footnoteReference w:id="193"/>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كلّ ما تصحّ إجارته بحسب أصل وضعه شرعاً تصحّ إعارته؛ لجواز استئجار الحر وعدم جواز إعارته، كما أنّه ليس كلّ ما لا تصحّ إعارته لا تصحّ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لا تصحّ إجارته لا تصحّ إعارته؛ لأنّه لو صحت إعارته لصحت إجارته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3424903_1280447820"/>
      <w:bookmarkStart w:id="193" w:name="_Toc70"/>
      <w:bookmarkEnd w:id="192"/>
      <w:r>
        <w:rPr>
          <w:rtl w:val="true"/>
        </w:rPr>
        <w:t>خامسها</w:t>
      </w:r>
      <w:r>
        <w:rPr>
          <w:rtl w:val="true"/>
        </w:rPr>
        <w:t xml:space="preserve">: </w:t>
      </w:r>
      <w:r>
        <w:rPr>
          <w:rtl w:val="true"/>
        </w:rPr>
        <w:t>في أنّ خيار المجلس والحيوان والتأخير لا يسري إلى الإجارة</w:t>
      </w:r>
      <w:bookmarkEnd w:id="19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خيار جاء به في البيع الدليل الخاص كالمجلس والحيوان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يسري إلى الإجارة، وكلّ ما جاء به الدليل العام كنفي الضرر </w:t>
      </w:r>
      <w:r>
        <w:rPr>
          <w:rStyle w:val="FootnoteAnchor"/>
          <w:rtl w:val="true"/>
        </w:rPr>
        <w:footnoteReference w:id="19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كخيار الشرط، وخيار فواته، وخيار فوات الوصف، وخيار فوات الرؤية، وخيار العيب، وخيار التدليس وخيار الغبن وخيار الشركة، وخيار التفليس وشبهها فإنّه يسري إلى الإجارة، ويقع البحث في سقوطه بالإسقاط أو بالتصرف مع العلم أو الجهل، كما يقع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المؤجر في الأجرة عيباً حصل قبل العقد أو بعده قبل القبض، كان له الخيار إذا كانت معيّنةً بين الفسخ وبين الإمضاء مجاناً أو مع الأرش، وله الخيار إذا كانت كلية بين الإمضاء مجاناً وبين الإبدال، وفي جواز فسخ أصل العقد وجه بعيد، كما أنّ في جواز الإمضاء مع الأرش وجهاً، إلّا أنّه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يتعذر البدل، فلو تعذر كان له فسخ أصل العقد، وله الإمضاء مع الأرش</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الأصل مبتن على أنّ الأجرة قبل القبض مضمونة على المستأجر كلّاً وبعضاً ووصفاً كضمان المبيع على البائع، وأنّ الأرش لا اختصاص له بالبيع، بل هو سار لجميع العيوب الحادثة في سائر المعاوضات، والظاهر أنّه كذلك سيما في باب الإجارة الملحقة بالبيع؛ لظاهر الاتفاق على ذلك، والمناقشة من بعض المتأخرين </w:t>
      </w:r>
      <w:r>
        <w:rPr>
          <w:rStyle w:val="FootnoteAnchor"/>
          <w:rtl w:val="true"/>
        </w:rPr>
        <w:footnoteReference w:id="196"/>
      </w:r>
      <w:r>
        <w:rPr>
          <w:rFonts w:ascii="Amiri" w:hAnsi="Amiri" w:eastAsia="Amiri" w:cs="Amiri"/>
          <w:color w:val="111111"/>
          <w:sz w:val="28"/>
          <w:sz w:val="28"/>
          <w:szCs w:val="28"/>
          <w:rtl w:val="true"/>
          <w:lang w:bidi="ar-SA"/>
        </w:rPr>
        <w:t>في ذلك غير مسموعة</w:t>
      </w:r>
      <w:r>
        <w:rPr>
          <w:rFonts w:eastAsia="Amiri" w:cs="Amiri" w:ascii="Amiri" w:hAnsi="Amiri"/>
          <w:color w:val="111111"/>
          <w:sz w:val="28"/>
          <w:szCs w:val="28"/>
          <w:rtl w:val="true"/>
          <w:lang w:bidi="ar-SA"/>
        </w:rPr>
        <w:t xml:space="preserve">. </w:t>
      </w:r>
      <w:bookmarkStart w:id="194" w:name="pg19218_273958"/>
    </w:p>
    <w:p>
      <w:pPr>
        <w:pStyle w:val="Heading4"/>
        <w:numPr>
          <w:ilvl w:val="3"/>
          <w:numId w:val="1"/>
        </w:numPr>
        <w:rPr/>
      </w:pPr>
      <w:bookmarkStart w:id="195" w:name="__RefHeading___Toc13424905_1280447820"/>
      <w:bookmarkStart w:id="196" w:name="_Toc71"/>
      <w:bookmarkEnd w:id="194"/>
      <w:bookmarkEnd w:id="195"/>
      <w:r>
        <w:rPr>
          <w:rtl w:val="true"/>
        </w:rPr>
        <w:t>سادسها</w:t>
      </w:r>
      <w:r>
        <w:rPr>
          <w:rtl w:val="true"/>
        </w:rPr>
        <w:t xml:space="preserve">: </w:t>
      </w:r>
      <w:r>
        <w:rPr>
          <w:rtl w:val="true"/>
        </w:rPr>
        <w:t>في أنّه يُملك الأجرة والمنفعة بنفس العقد</w:t>
      </w:r>
      <w:bookmarkEnd w:id="196"/>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كلّ من الأجرة والمنفعة بنفس العقد؛ لأنّه السبب المملك، وتأخّر المسبّب عن سببه العقلي أو الشرعي خلاف الضوابط والقواعد العقلية والشرعيّة، إلّا فيما جاء به الدليل، وعلى ذلك فالحكم بتأخّر ملك المنفعة، أو المنفعة والأجرة معاً في باب الإجارة إلى حين الاستيفاء لأنّه قبله معدوم لا يتعلّق به الملك، غلط واضح؛ لأن المنفعة من الأمور الموجودة القائمة بالعين وإن تأخر استيفاؤها والانتفاع بها؛ لأنّ الانتفاع بالشيء غير منفعته، وحينئذٍ فلم يتعلّق الملك بالمعدوم كي يفتقر إلى القول بتأخّر الملك نفسه، أو القول بحصول الملك وتأخر تعلّقه؛ لأنّ القول بكلِّ منهما مخالف لظاهر الإجماع والنصوص، بل ربما نافاه العقل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يجب على كلّ من المتعاقدين أن يسلّم الآخر ملكه، ويحرم عليه الامتناع؛ لأنّه ظلم وعدوان، فلو امتنعا معاً جبرهما الحاكم، ولو لم يمتنعا ولكن اختلفا بالتقديم والتأخير تسالما دفعةً، أو تراضيا على القرعة، سيما في مقام لا يمكن فيه وقوع التسالم منهما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ابتدأ أحدهما بالامتناع جاز امتناع الآخر لامتناعه إلى أن يجبر الحاكم الممتنع الأوّل فيتسالمان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تقضي به قواعد المعاوضة، إلّا أنّ ظاهرهم في باب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يظهر من بعض نقل الإجماع عليه، وادّعى بعضهم أنّ للإجارة خصوصيّة؛ لمكان الضرر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تقديم تسليم المنفعة والعمل، وعدم جواز الامتناع عن تسليمهما حتّى لو امتنع المستأجر عن تقديم تسليم الأجرة، وأنّه لا يلزم المستأجر دفع الأجرة قبل أن يتسلّم المنفعة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أن تسليم المنفعة بتسليم العين، وتسليم العمل بإتمامه إن لم يكن في عين يملكها المستأجر، وإن كان في عين يملكها المستأجر فهل تسليمه بإتمامه فيه مطلقاً، أو بإتمامه وتسليم العين إلى صاحبها، أو بإتمامه فقط إن كان العمل في بيت المستأجر وفي ملكه وبإتمامه وتسليم العين إن كان العمل في بيت المؤجر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ذكروه مسلَّم في العمل؛ لأنّ الأُجرة وقعت على مجموع العمل، ولا يكون تسلّمه إلّا بإتمامه لكي يتحقق التسالم فيه دفعةً، وللزوم الضرر بتسليم الأجرة عند ابتداء </w:t>
      </w:r>
      <w:bookmarkStart w:id="197" w:name="pg19218_273959"/>
    </w:p>
    <w:p>
      <w:pPr>
        <w:pStyle w:val="BookText"/>
        <w:rPr/>
      </w:pPr>
      <w:bookmarkEnd w:id="197"/>
      <w:r>
        <w:rPr>
          <w:rFonts w:ascii="Amiri" w:hAnsi="Amiri" w:eastAsia="Amiri" w:cs="Amiri"/>
          <w:color w:val="111111"/>
          <w:sz w:val="28"/>
          <w:sz w:val="28"/>
          <w:szCs w:val="28"/>
          <w:rtl w:val="true"/>
          <w:lang w:bidi="ar-SA"/>
        </w:rPr>
        <w:t xml:space="preserve">العمل لخوف الموت والفوت، وتسليم جزء جزء غير مقدور ولا يخلو من الحرج، ولشمول الإجماع المنقول المتقدّم </w:t>
      </w:r>
      <w:r>
        <w:rPr>
          <w:rStyle w:val="FootnoteAnchor"/>
          <w:rtl w:val="true"/>
        </w:rPr>
        <w:footnoteReference w:id="198"/>
      </w:r>
      <w:r>
        <w:rPr>
          <w:rFonts w:ascii="Amiri" w:hAnsi="Amiri" w:eastAsia="Amiri" w:cs="Amiri"/>
          <w:color w:val="111111"/>
          <w:sz w:val="28"/>
          <w:sz w:val="28"/>
          <w:szCs w:val="28"/>
          <w:rtl w:val="true"/>
          <w:lang w:bidi="ar-SA"/>
        </w:rPr>
        <w:t xml:space="preserve">له قطعاً؛ ولظاهر الأخبار الدالّة على لزوم إعطاء الأجير الأجرة قبل أن يجفّ عرقه </w:t>
      </w:r>
      <w:r>
        <w:rPr>
          <w:rStyle w:val="FootnoteAnchor"/>
          <w:rtl w:val="true"/>
        </w:rPr>
        <w:footnoteReference w:id="199"/>
      </w:r>
      <w:r>
        <w:rPr>
          <w:rFonts w:ascii="Amiri" w:hAnsi="Amiri" w:eastAsia="Amiri" w:cs="Amiri"/>
          <w:color w:val="111111"/>
          <w:sz w:val="28"/>
          <w:sz w:val="28"/>
          <w:szCs w:val="28"/>
          <w:rtl w:val="true"/>
          <w:lang w:bidi="ar-SA"/>
        </w:rPr>
        <w:t>فإنّها لا تخلو من الدلالة على جواز تأخير الأجرة عن تمام العمل، ولكنا لا نسلّمه في غير العمل، بل يرجع في غيره إلى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نسلّم أيضاً توقف الأجرة بعد تمام العمل على تسليم العين المعمول فيها؛ لصدق تسليم العمل للمستأجر بمجرّد إتمامه وإن لم يسلّمه العين، حتّى أن العين لو تلفت قبل تسليمها استحق الأجير الأجرة، ولا يكون من تلف أحد العوضين قبل قبضه، وكذا لو امتنع من تقبيض العين المعمول بها لم يجز الامتناع عن دفع الأجرة له إلّا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فإذا أتم الأجير العمل بأمر المستأجر وبدفع عين ماله له ليعمل فيه، كان إتمامه تسليمه، ولا نعني بالتسليم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وخيال أنّ المستأجر عليه أثر العمل والعمل مقدمة له، وأثر العمل قائم بالعين فتسليمه بتسليمها،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أن المستأجر عليه هو الأثر، بل الظاهر من الاستئجار هو تعلقه بنفس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حصول التسليم إلّا بتسليم العين، بل يكفي إتمامه له وهو في ملكه؛ لأنّه بمنزلة الوكيل في قبض العين والعمل بها، فكأنه عمل فيه وهو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توقف تسليم الأجرة هنا على أمر زائد على إتمام العمل ولو لم يكن إتمامه تسليماً؛ لعموم الأدلّة الدالّة على لزوم دفع مال الغير، ودفع مال الأجرة من دون 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لزوم التسالم دفعةٌ في المعاوضات فهي خاصّة في غير هذا المورد، ومصروفة إلى الأعيان والعمل المجرّد</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3424907_1280447820"/>
      <w:bookmarkStart w:id="199" w:name="_Toc72"/>
      <w:bookmarkEnd w:id="198"/>
      <w:r>
        <w:rPr>
          <w:rtl w:val="true"/>
        </w:rPr>
        <w:t>سابعها</w:t>
      </w:r>
      <w:r>
        <w:rPr>
          <w:rtl w:val="true"/>
        </w:rPr>
        <w:t xml:space="preserve">: </w:t>
      </w:r>
      <w:r>
        <w:rPr>
          <w:rtl w:val="true"/>
        </w:rPr>
        <w:t>في أنّه يشترط في عوض الإجارة كونه مملوكاً</w:t>
      </w:r>
      <w:bookmarkEnd w:id="19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عوض الإجارة كونهما مملوكين </w:t>
      </w:r>
      <w:r>
        <w:rPr>
          <w:rStyle w:val="FootnoteAnchor"/>
          <w:rtl w:val="true"/>
        </w:rPr>
        <w:footnoteReference w:id="200"/>
      </w:r>
      <w:r>
        <w:rPr>
          <w:rFonts w:ascii="Amiri" w:hAnsi="Amiri" w:eastAsia="Amiri" w:cs="Amiri"/>
          <w:color w:val="111111"/>
          <w:sz w:val="28"/>
          <w:sz w:val="28"/>
          <w:szCs w:val="28"/>
          <w:rtl w:val="true"/>
          <w:lang w:bidi="ar-SA"/>
        </w:rPr>
        <w:t xml:space="preserve">، فلا تصحّ على ما لا يملك لقلته كمنفعةٍ قليلةٍ جداً، أو على مباح الأصل كإيجار قطعةٍ من أرض مباحة، أو على ما لا يملكه </w:t>
      </w:r>
    </w:p>
    <w:p>
      <w:pPr>
        <w:pStyle w:val="BookText"/>
        <w:rPr/>
      </w:pPr>
      <w:r>
        <w:rPr>
          <w:rFonts w:ascii="Amiri" w:hAnsi="Amiri" w:eastAsia="Amiri" w:cs="Amiri"/>
          <w:color w:val="111111"/>
          <w:sz w:val="28"/>
          <w:sz w:val="28"/>
          <w:szCs w:val="28"/>
          <w:rtl w:val="true"/>
          <w:lang w:bidi="ar-SA"/>
        </w:rPr>
        <w:t>أحد بخصوصه، كالأراضي الخراجيّة والطرق النافذة إلّا مع إجازة الحاكم، أو على ما لا يملكه العاقد أو لا يكون له عليه ولاية أو وكالة إلّا مع إجازة المالك، فإذا أجاز جاز؛ لأنّ الأقوى جريان الفضولي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صحّة الإجارة ملك المنفعة وإن لم يملك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للمستأجر أن يؤجر العين لغيره؛ لأنّ المالك له التصرّف بملكه كيف شاء، وللأخبار الواردة في إجارة الأرض أو الحانوت أو البيت أو الرحى بأكثر ممّا استأجر، أو الأجير بأقل ممّا استأجر </w:t>
      </w:r>
      <w:r>
        <w:rPr>
          <w:rStyle w:val="FootnoteAnchor"/>
          <w:rtl w:val="true"/>
        </w:rPr>
        <w:footnoteReference w:id="201"/>
      </w: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202"/>
      </w:r>
      <w:r>
        <w:rPr>
          <w:rFonts w:ascii="Amiri" w:hAnsi="Amiri" w:eastAsia="Amiri" w:cs="Amiri"/>
          <w:color w:val="111111"/>
          <w:sz w:val="28"/>
          <w:sz w:val="28"/>
          <w:szCs w:val="28"/>
          <w:rtl w:val="true"/>
          <w:lang w:bidi="ar-SA"/>
        </w:rPr>
        <w:t>بل المحصّل؛ إلّا أن يشترط المؤجر على المستأجر أن يستوفى المنفعة بنفسه لنفسه دون غيره، فلا يجوز للمستأجر أن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شرط عليه استيفاؤها بنفسه فقط، جاز أن يؤجرها ويستوفيها بنفسه للمستأجر، كأن يركب الدابّة لحاجته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تقبل الأجير عملاً جاز له أن يستأجر به، إلّا أن يشترط عليه المباشرة بنفسه، أو يظهر من الخطاب أو من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في جواز الإيجار للمستأجر أو الأجير فيما عدا ما استثنى بين كونه بالأكثر أو الأقل أو المساوي، وبين كونه من جنس الأجرة الأولى أو من غيرها، وبين كونه قد أحدث حدثاً يقابل التفاوت أم لا، كلّ ذلك لعموم الأدلّة، وفتوى المشهور، وقضاء الأصول والقواعد المحكمة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من المنع عن إجارة الأرض بأكثر ممّا استأجر من الأخبار </w:t>
      </w:r>
      <w:r>
        <w:rPr>
          <w:rStyle w:val="FootnoteAnchor"/>
          <w:rtl w:val="true"/>
        </w:rPr>
        <w:footnoteReference w:id="203"/>
      </w:r>
      <w:r>
        <w:rPr>
          <w:rFonts w:ascii="Amiri" w:hAnsi="Amiri" w:eastAsia="Amiri" w:cs="Amiri"/>
          <w:color w:val="111111"/>
          <w:sz w:val="28"/>
          <w:sz w:val="28"/>
          <w:szCs w:val="28"/>
          <w:rtl w:val="true"/>
          <w:lang w:bidi="ar-SA"/>
        </w:rPr>
        <w:t xml:space="preserve">محمول على الكراهة؛ لمعارضته بأخبار أخر دالّة على الجواز </w:t>
      </w:r>
      <w:r>
        <w:rPr>
          <w:rStyle w:val="FootnoteAnchor"/>
          <w:rtl w:val="true"/>
        </w:rPr>
        <w:footnoteReference w:id="204"/>
      </w:r>
      <w:r>
        <w:rPr>
          <w:rFonts w:ascii="Amiri" w:hAnsi="Amiri" w:eastAsia="Amiri" w:cs="Amiri"/>
          <w:color w:val="111111"/>
          <w:sz w:val="28"/>
          <w:sz w:val="28"/>
          <w:szCs w:val="28"/>
          <w:rtl w:val="true"/>
          <w:lang w:bidi="ar-SA"/>
        </w:rPr>
        <w:t>، معتضدة بفتوى المشهور، وبعموم الأدلّة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دلّ من الأخبار من المنع من إجارة الحانوت والبيت والدار والرحى والسفينة بأكثر ممّا استأجر </w:t>
      </w:r>
      <w:r>
        <w:rPr>
          <w:rStyle w:val="FootnoteAnchor"/>
          <w:rtl w:val="true"/>
        </w:rPr>
        <w:footnoteReference w:id="205"/>
      </w:r>
      <w:r>
        <w:rPr>
          <w:rFonts w:ascii="Amiri" w:hAnsi="Amiri" w:eastAsia="Amiri" w:cs="Amiri"/>
          <w:color w:val="111111"/>
          <w:sz w:val="28"/>
          <w:sz w:val="28"/>
          <w:szCs w:val="28"/>
          <w:rtl w:val="true"/>
          <w:lang w:bidi="ar-SA"/>
        </w:rPr>
        <w:t>محمول على الكراهة؛ لضعف جملة منها سنداً، وأُخرى دلالةً؛ لاشتمالها على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مفهوم نفي البأس الغير صريحين في الحرمة</w:t>
      </w:r>
      <w:r>
        <w:rPr>
          <w:rFonts w:eastAsia="Amiri" w:cs="Amiri" w:ascii="Amiri" w:hAnsi="Amiri"/>
          <w:color w:val="111111"/>
          <w:sz w:val="28"/>
          <w:szCs w:val="28"/>
          <w:rtl w:val="true"/>
          <w:lang w:bidi="ar-SA"/>
        </w:rPr>
        <w:t xml:space="preserve">. </w:t>
      </w:r>
      <w:bookmarkStart w:id="200" w:name="pg19218_273961"/>
    </w:p>
    <w:p>
      <w:pPr>
        <w:pStyle w:val="BookText"/>
        <w:rPr/>
      </w:pPr>
      <w:bookmarkEnd w:id="200"/>
      <w:r>
        <w:rPr>
          <w:rFonts w:ascii="Amiri" w:hAnsi="Amiri" w:eastAsia="Amiri" w:cs="Amiri"/>
          <w:color w:val="111111"/>
          <w:sz w:val="28"/>
          <w:sz w:val="28"/>
          <w:szCs w:val="28"/>
          <w:rtl w:val="true"/>
          <w:lang w:bidi="ar-SA"/>
        </w:rPr>
        <w:t xml:space="preserve">وكذا ما دلّ من الأخبار على منع إجارة الأجير بأقل ممّا آجر نفسه به </w:t>
      </w:r>
      <w:r>
        <w:rPr>
          <w:rStyle w:val="FootnoteAnchor"/>
          <w:rtl w:val="true"/>
        </w:rPr>
        <w:footnoteReference w:id="206"/>
      </w:r>
      <w:r>
        <w:rPr>
          <w:rFonts w:ascii="Amiri" w:hAnsi="Amiri" w:eastAsia="Amiri" w:cs="Amiri"/>
          <w:color w:val="111111"/>
          <w:sz w:val="28"/>
          <w:sz w:val="28"/>
          <w:szCs w:val="28"/>
          <w:rtl w:val="true"/>
          <w:lang w:bidi="ar-SA"/>
        </w:rPr>
        <w:t>، محمول على الكراهة؛ لضعف عمدة روايته دلالةً؛ ولمعارضة القواعد والعمومات وفتوى المشهور، فالحمل على الكراهة وجه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أن الحكم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أفتى به جمع من الأصحاب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على ما ذكرنا من الأشياء، فتعدية الحكم إلى غيرها قياس لا نقول به، خلافاً لمن عداه </w:t>
      </w:r>
      <w:r>
        <w:rPr>
          <w:rStyle w:val="FootnoteAnchor"/>
          <w:rtl w:val="true"/>
        </w:rPr>
        <w:footnoteReference w:id="208"/>
      </w:r>
      <w:r>
        <w:rPr>
          <w:rFonts w:ascii="Amiri" w:hAnsi="Amiri" w:eastAsia="Amiri" w:cs="Amiri"/>
          <w:color w:val="111111"/>
          <w:sz w:val="28"/>
          <w:sz w:val="28"/>
          <w:szCs w:val="28"/>
          <w:rtl w:val="true"/>
          <w:lang w:bidi="ar-SA"/>
        </w:rPr>
        <w:t xml:space="preserve">لذلك، ومقصور أيضاً على ما إذا استأجر بجنس الأُجرة الأولى؛ لظاهر الأخبار المشتملة على لفظ الأكثر وشبهه </w:t>
      </w:r>
      <w:r>
        <w:rPr>
          <w:rStyle w:val="FootnoteAnchor"/>
          <w:rtl w:val="true"/>
        </w:rPr>
        <w:footnoteReference w:id="209"/>
      </w:r>
      <w:r>
        <w:rPr>
          <w:rFonts w:ascii="Amiri" w:hAnsi="Amiri" w:eastAsia="Amiri" w:cs="Amiri"/>
          <w:color w:val="111111"/>
          <w:sz w:val="28"/>
          <w:sz w:val="28"/>
          <w:szCs w:val="28"/>
          <w:rtl w:val="true"/>
          <w:lang w:bidi="ar-SA"/>
        </w:rPr>
        <w:t xml:space="preserve">القاضي بمساواة الجنس، وللإجماع المنقول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إذا لم يحدث حدثاً في ما استأجر يقابل الفضل، كما يظهر من بعض </w:t>
      </w:r>
      <w:r>
        <w:rPr>
          <w:rStyle w:val="FootnoteAnchor"/>
          <w:rtl w:val="true"/>
        </w:rPr>
        <w:footnoteReference w:id="211"/>
      </w:r>
      <w:r>
        <w:rPr>
          <w:rFonts w:ascii="Amiri" w:hAnsi="Amiri" w:eastAsia="Amiri" w:cs="Amiri"/>
          <w:color w:val="111111"/>
          <w:sz w:val="28"/>
          <w:sz w:val="28"/>
          <w:szCs w:val="28"/>
          <w:rtl w:val="true"/>
          <w:lang w:bidi="ar-SA"/>
        </w:rPr>
        <w:t xml:space="preserve">، أو مطلقاً كما يقضي به إطلاق الروايات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مورد التحريم والكراهة في العمل نفس التقبيل الذي هو أعم من الإجارة، وفي غيره من الأعيان خصوصاً الإجارة بعد الإجارة؛ اقتصاراً على مورد اليقين، مع احتمال تعلّقهما بتقبيلهما مطلقاً كما دلّت عليه بعض الأخبار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تسرية الحكم لبعض العين المستأجرة، أو لبعض العمل إذا آجر فأخذ الفضل على ما يخصه من قسطه وجهان، ولا يبعد عدم المنع لا كراهة ولا تحريماً</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3424909_1280447820"/>
      <w:bookmarkStart w:id="202" w:name="_Toc73"/>
      <w:bookmarkEnd w:id="201"/>
      <w:r>
        <w:rPr>
          <w:rtl w:val="true"/>
        </w:rPr>
        <w:t>ثامنها</w:t>
      </w:r>
      <w:r>
        <w:rPr>
          <w:rtl w:val="true"/>
        </w:rPr>
        <w:t xml:space="preserve">: </w:t>
      </w:r>
      <w:r>
        <w:rPr>
          <w:rtl w:val="true"/>
        </w:rPr>
        <w:t>حكم ما لو توقف استيفاء المنفعة على قبض العين وتوقف العمل على قبض العين المعمول بها</w:t>
      </w:r>
      <w:bookmarkEnd w:id="2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استيفاء المنفعة على قبض العين وتوقف العمل على قبض العين المعمول بها، لزم دفعها في باب الإجارة؛ لقضاء الخطاب والعقد به، ولو لم يتوقف لم يلزم، وكان للمستأجر الاستيفاء من العين وهي بيد صاحبها</w:t>
      </w:r>
      <w:r>
        <w:rPr>
          <w:rFonts w:eastAsia="Amiri" w:cs="Amiri" w:ascii="Amiri" w:hAnsi="Amiri"/>
          <w:color w:val="111111"/>
          <w:sz w:val="28"/>
          <w:szCs w:val="28"/>
          <w:rtl w:val="true"/>
          <w:lang w:bidi="ar-SA"/>
        </w:rPr>
        <w:t xml:space="preserve">. </w:t>
      </w:r>
      <w:bookmarkStart w:id="203" w:name="pg19218_273962"/>
    </w:p>
    <w:p>
      <w:pPr>
        <w:pStyle w:val="BookText"/>
        <w:rPr/>
      </w:pPr>
      <w:bookmarkEnd w:id="203"/>
      <w:r>
        <w:rPr>
          <w:rFonts w:ascii="Amiri" w:hAnsi="Amiri" w:eastAsia="Amiri" w:cs="Amiri"/>
          <w:color w:val="111111"/>
          <w:sz w:val="28"/>
          <w:sz w:val="28"/>
          <w:szCs w:val="28"/>
          <w:rtl w:val="true"/>
          <w:lang w:bidi="ar-SA"/>
        </w:rPr>
        <w:t>ولو أجر العين المستأجر لغيره أو استأجر الأجير غيره ليعمل في عين المستأجر الأوّل لم يجز لهما تسليم عين الأوّل له؛ لحرمة التصرّف بمال الغير من دون إذنه، وجواز الاستئجار له لا يقضي بجواز تسليم العين التي هي في يده أمانة لغيره؛ لأنّه لازم أعم؛ لجواز أن يؤجر ويستأجر ويستوفي من استأجره من العين مع بقائها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فالأظهر عدم جواز تسليم العين ما لم يقم شاهد حال، أو تدلّ قرينة على الإذن في ذلك، فلو سلّم بدون ذلك أثم وضمن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بالجواز </w:t>
      </w:r>
      <w:r>
        <w:rPr>
          <w:rStyle w:val="FootnoteAnchor"/>
          <w:rtl w:val="true"/>
        </w:rPr>
        <w:footnoteReference w:id="214"/>
      </w:r>
      <w:r>
        <w:rPr>
          <w:rFonts w:ascii="Amiri" w:hAnsi="Amiri" w:eastAsia="Amiri" w:cs="Amiri"/>
          <w:color w:val="111111"/>
          <w:sz w:val="28"/>
          <w:sz w:val="28"/>
          <w:szCs w:val="28"/>
          <w:rtl w:val="true"/>
          <w:lang w:bidi="ar-SA"/>
        </w:rPr>
        <w:t>لأنّ القبض من ضرورات الإجارة للعين، وقد حكم الشارع بجوازها، والإذن في الشيء إذن في لوازمه وللصحيح رجل استأجر دابّة فأعطاها غيره فنفقت،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شرط أن لا يركبها غيره فهو ضامن، وإن لم يسم فليس عليه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مردود بمنع كون القبض من ضرورات الإجارة إلّا مع توقّف الاستيفاء عليه، فيختصّ بقبض المستأجر الأوّل؛ لأنّه الناشئ من الإذن الضمنية التي قد تضمنها عقد الإجارة، دون الثاني؛ لأنّه مال غيره فليس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والإذن الشرعيّة في الإجارة لا تقضي الإذن بدفع العين؛ لكونه لازماً أعم والعام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ليس فيه تصريح بتسليمها لغيره تسليماً تاماً سيما مع ملاحظة آخره، فلعله أركبه إياها وهو قابض للجامها ويده عليها، ويشعر بذلك تعليقه الضمان على الشرط المذكور وجوداً وعدماً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3424911_1280447820"/>
      <w:bookmarkStart w:id="205" w:name="_Toc74"/>
      <w:bookmarkEnd w:id="204"/>
      <w:r>
        <w:rPr>
          <w:rtl w:val="true"/>
        </w:rPr>
        <w:t>تاسعها</w:t>
      </w:r>
      <w:r>
        <w:rPr>
          <w:rtl w:val="true"/>
        </w:rPr>
        <w:t xml:space="preserve">: </w:t>
      </w:r>
      <w:r>
        <w:rPr>
          <w:rtl w:val="true"/>
        </w:rPr>
        <w:t>في أنّه يشترط في عوض الإجارة المعلومية بالنوع والوصف أو المشاهدة أو التقدير بالكيل والوزن والعدّ</w:t>
      </w:r>
      <w:bookmarkEnd w:id="20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المعلومية في عوض الإجارة بالنوع والصنف، أو بالمشاهدة، وبالتقدير بالكيل والوزن والعد فيما يعتبر بها في الأُجرة، ولا تكفي المشاهدة فيها عن التقدير بما تقدّم للنهي عن الغرر </w:t>
      </w:r>
      <w:r>
        <w:rPr>
          <w:rStyle w:val="FootnoteAnchor"/>
          <w:rtl w:val="true"/>
        </w:rPr>
        <w:footnoteReference w:id="216"/>
      </w:r>
      <w:r>
        <w:rPr>
          <w:rFonts w:ascii="Amiri" w:hAnsi="Amiri" w:eastAsia="Amiri" w:cs="Amiri"/>
          <w:color w:val="111111"/>
          <w:sz w:val="28"/>
          <w:sz w:val="28"/>
          <w:szCs w:val="28"/>
          <w:rtl w:val="true"/>
          <w:lang w:bidi="ar-SA"/>
        </w:rPr>
        <w:t>مطلقاً في عقود المعاوضة، وللإجماع المنقول على اشتراط المعلوميّة</w:t>
      </w:r>
      <w:r>
        <w:rPr>
          <w:rStyle w:val="FootnoteAnchor"/>
          <w:rtl w:val="true"/>
        </w:rPr>
        <w:footnoteReference w:id="2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الشامل للزوم التقدير والإجماع المنقول على شرطيّة انتفاء الغرر والجهالة </w:t>
      </w:r>
      <w:r>
        <w:rPr>
          <w:rStyle w:val="FootnoteAnchor"/>
          <w:rtl w:val="true"/>
        </w:rPr>
        <w:footnoteReference w:id="218"/>
      </w:r>
      <w:r>
        <w:rPr>
          <w:rFonts w:ascii="Amiri" w:hAnsi="Amiri" w:eastAsia="Amiri" w:cs="Amiri"/>
          <w:color w:val="111111"/>
          <w:sz w:val="28"/>
          <w:sz w:val="28"/>
          <w:szCs w:val="28"/>
          <w:rtl w:val="true"/>
          <w:lang w:bidi="ar-SA"/>
        </w:rPr>
        <w:t>الحاصلين بعدم التقدير؛ ولبناء عقد الإجارة على اللزوم وقطع النزاع، وعلى المغابنة والمكايسة اللازمين للزوم التقدير في المقدّر، فالقول بجواز الاكتفاء بالمشاهدة وارتفاع الغرر بها ظاهر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المنفعة من بيان جنس المنتفع به ووصفه وبيان نفس المنفعة جنساً وصنفاً ووصفاً، ولا بدّ من تقديرها إمّا بالعمل كخياطة ثوب معين، أو موصوف، أو حمولة إلى مكان معين، أو نحو ذلك، وإما بالزمان كسكنى الدار شهراً معيناً، أو متصلاً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استئجار الدار شهراً من الشهور كلّيّاً؛ للزوم الغرر والنزاع؛ ولأنّه كالقيمي في عدم جواز بيع كلّي من أفراده المجتمعة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الدار كلّ شهر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الغرر والجهالة، فيفسد في الشهر الأوّل وفي غيره، خلافاً لمن صححه وجعله لازماً في الشهر الأوّل وصححه، وجعله جائزاً فيما عداه </w:t>
      </w:r>
      <w:r>
        <w:rPr>
          <w:rStyle w:val="FootnoteAnchor"/>
          <w:rtl w:val="true"/>
        </w:rPr>
        <w:footnoteReference w:id="219"/>
      </w:r>
      <w:r>
        <w:rPr>
          <w:rFonts w:ascii="Amiri" w:hAnsi="Amiri" w:eastAsia="Amiri" w:cs="Amiri"/>
          <w:color w:val="111111"/>
          <w:sz w:val="28"/>
          <w:sz w:val="28"/>
          <w:szCs w:val="28"/>
          <w:rtl w:val="true"/>
          <w:lang w:bidi="ar-SA"/>
        </w:rPr>
        <w:t>، فكل ما بقي يأخذ من المسمّى بحسابه؛ لعدم الدليل على الصحّة في مثل ذلك بعد الحكم باشتماله على الغرر، وإما بتقدير العمل والزمان معاً، كخياطة هذا الثوب في هذا اليوم مع العلم بإمكان التأدية في ذلك اليوم، فلو علم العدم فسد الشرط وفسد العقد بفساده، فلو لم يعلم صحّ الشرط، فإن أتى له به فيه كان له المسمّى وإن لم يأت له فيه ولو لعدم إمكانه تسلّط المستأجر على الخيار بين الإمضاء ودفع المستى وبين الفسخ ودفع أُجرة المثل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قصد أن الزمان ظرف للتأدية، وإن قصد التطبيق بين الزمان والعمل آخراً وأولاً لغرض من الأغراض، فإن أمكن ذلك عادة ووقع معتاداً صحّ، وجاء فيه ما ذكرناه مع الموافقة والمخالفة، وإن لم يكن التطبيق معتاداً، فإن علم عدم إمكانه فسد الشرط والعقد، وإن لم يعلم ففي صحته؛ لعموم دليل الصحّة، ولكونه شرطاً مقدوراً ربما يتعلّق به غرض من الأغراض، وعدمها؛ لعدم إمكانه غالباً فيلحق بالشرط الغير المقدور، وللزومه للغرر غالباً؛ لأنّه ربما تم العمل قبل المدّة، فإن أمر بعد ذلك بالعمل لزم زيادة العمل على ما استأجر عليه، وربما تمت المدّة قبل العمل فإن أمر بإتمامه لزم العمل في غير المدّة المشروطة، وكلاهما خلاف وضع عقد الإجارة فيفسد؛ وجهان، ولا يبعد الأخير</w:t>
      </w:r>
      <w:r>
        <w:rPr>
          <w:rFonts w:eastAsia="Amiri" w:cs="Amiri" w:ascii="Amiri" w:hAnsi="Amiri"/>
          <w:color w:val="111111"/>
          <w:sz w:val="28"/>
          <w:szCs w:val="28"/>
          <w:rtl w:val="true"/>
          <w:lang w:bidi="ar-SA"/>
        </w:rPr>
        <w:t xml:space="preserve">. </w:t>
      </w:r>
      <w:bookmarkStart w:id="206" w:name="pg19218_273964"/>
    </w:p>
    <w:p>
      <w:pPr>
        <w:pStyle w:val="Heading4"/>
        <w:numPr>
          <w:ilvl w:val="3"/>
          <w:numId w:val="1"/>
        </w:numPr>
        <w:rPr/>
      </w:pPr>
      <w:bookmarkStart w:id="207" w:name="__RefHeading___Toc13424913_1280447820"/>
      <w:bookmarkStart w:id="208" w:name="_Toc75"/>
      <w:bookmarkEnd w:id="206"/>
      <w:bookmarkEnd w:id="207"/>
      <w:r>
        <w:rPr>
          <w:rtl w:val="true"/>
        </w:rPr>
        <w:t>عاشرها</w:t>
      </w:r>
      <w:r>
        <w:rPr>
          <w:rtl w:val="true"/>
        </w:rPr>
        <w:t xml:space="preserve">: </w:t>
      </w:r>
      <w:r>
        <w:rPr>
          <w:rtl w:val="true"/>
        </w:rPr>
        <w:t>اشتراط الجزم في عقد الإجارة</w:t>
      </w:r>
      <w:bookmarkEnd w:id="208"/>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الجزم في عقد الإجارة؛ لانصراف أدلتها وأدلّة سائر العقود للمجزوم بها، ولمكان الغرر والجهالة عند عدم الجزم، فلا تصحّ الإجارة معلقة على شرط أو صفة متوقعين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الترديد فيها بين أجرتين، أو بين منفعتين، أو بين أُجرتين لمنفعتين على تقديرين؛ للزوم الغرر والجهالة؛ ولعدم دليل على صحّة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يصحّ الترديد بين أجرةٍ على تقدير منفعةٍ وأنقص منها على تقدير نقصانها أو على تقدير أُخرى على أن تكون كلّ من المنفعتين مستأجراً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يصحّ الترديد بين أجرة على منفعة وعدمها على تقدير منفعةٍ أُخرى على أن تكون كلّ منهما داخلاً في الاستئجار،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فارسياً فلك درهم وإن خطته رومياً فدرهمان،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حملتني اليوم فلك درهم وإن حملتني غداً فلك نصفه، قاصداً فيهما الإجارة لا الجعالة،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حملتني إلى المكان الفلاني في الوقت الفلاني فلك درهمان، وإن كان في غير ذلك الوقت فدرهم، أو إن كان في غير ذلك الوقت حططت من الكرى عن كلّ يوم ربع درهم،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كذا فلك كذا وإن فعلت غيره فلا شيء لك، قاصداً بهما الاستئجار على أن يقابل إحدى المنفعتين بالأجرة المعينة ويقابل الأخرى بغيرها أو بعدمها، بطل العقد في الجميع مع قصد الإجارة دون الجعالة، ولو قصد الجعالة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قصد إجارة واحدة وأخذ الأجرة الثانية أو نقصانها شرطاً عليه عند فعله غير ما استؤجر عليه وكان مأموراً به منه، أو قصد أُجرة واحدة واشترط عدمها عند عدم فعل ما استؤجر عليه، أو فعل غيره تبرّعاً منه صحت الإجارة والشرط؛ لعموم أدلة الشروط </w:t>
      </w:r>
      <w:r>
        <w:rPr>
          <w:rStyle w:val="FootnoteAnchor"/>
          <w:rtl w:val="true"/>
        </w:rPr>
        <w:footnoteReference w:id="220"/>
      </w:r>
      <w:r>
        <w:rPr>
          <w:rFonts w:ascii="Amiri" w:hAnsi="Amiri" w:eastAsia="Amiri" w:cs="Amiri"/>
          <w:color w:val="111111"/>
          <w:sz w:val="28"/>
          <w:sz w:val="28"/>
          <w:szCs w:val="28"/>
          <w:rtl w:val="true"/>
          <w:lang w:bidi="ar-SA"/>
        </w:rPr>
        <w:t>، إلّا أنّه شرط مؤسس في الأوّل ومؤكد في الثاني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فما ورد في الصحيح في الرجل يكتري الدابّة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اكثريتها منك إلى مكان كذا وكذا، فإن جاوزته فلك كذا وكذا، أو زيادة وسمّى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كلّه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محمول على إرادة الإجارة في أوّله والجعالة في آخره، أو على اشتراط شيء مخصوص له عند الإتيان بما زاد على المستأجر عليه</w:t>
      </w:r>
      <w:r>
        <w:rPr>
          <w:rFonts w:eastAsia="Amiri" w:cs="Amiri" w:ascii="Amiri" w:hAnsi="Amiri"/>
          <w:color w:val="111111"/>
          <w:sz w:val="28"/>
          <w:szCs w:val="28"/>
          <w:rtl w:val="true"/>
          <w:lang w:bidi="ar-SA"/>
        </w:rPr>
        <w:t xml:space="preserve">. </w:t>
      </w:r>
      <w:bookmarkStart w:id="209" w:name="pg19218_273965"/>
    </w:p>
    <w:p>
      <w:pPr>
        <w:pStyle w:val="BookText"/>
        <w:rPr/>
      </w:pPr>
      <w:bookmarkEnd w:id="209"/>
      <w:r>
        <w:rPr>
          <w:rFonts w:ascii="Amiri" w:hAnsi="Amiri" w:eastAsia="Amiri" w:cs="Amiri"/>
          <w:color w:val="111111"/>
          <w:sz w:val="28"/>
          <w:sz w:val="28"/>
          <w:szCs w:val="28"/>
          <w:rtl w:val="true"/>
          <w:lang w:bidi="ar-SA"/>
        </w:rPr>
        <w:t>وكذا ما ورد فيمن اكترى إبلاً لحمل متاع إلى بعض المعادن واشترط عليه أن يدخله المعدن في يوم كذا، فإن احتبس عن ذلك حطّ من الكرى عن كلّ يوم احتبس فيه كذا وكذا، وأنّه احتبس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شرط جائز ما لم يحط بجميع كراه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محمول على إرادة الجعالة، أو على تعيين الأجرة الخاصّة في اليوم الخاص مع اشتراط أنّه لو فعل غير المستأجر عليه بأمر منه لم يكن له إلّا كذا وكذا، فتلزم الأجرة الأولى بالعقد والثانية بالشرط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أحاط الشرط بالأجرة مع كون العمل بأمره، كان الشرط صحيحاً، كما دلّ عليه ذيل الرواية، بحملها على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يحط بجميع 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شيء له، لا على أنّه یراد به بيان أنّه 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إرادة بيان أنّه يفسد فيما لو أخذ مورد الإجارة كلا القسمين المردّد بينهما؛ لمكان الترديد، إلّا أنّه يلزم التحليل بين صدر الرواية بحمله على الشرط وبين عجزها بحمله على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أنّ الأوّل أيضاً من الإجارة المردّد فيها، إلّا أن النصّ المنجبر بفتوى المشهور نقلاً </w:t>
      </w:r>
      <w:r>
        <w:rPr>
          <w:rStyle w:val="FootnoteAnchor"/>
          <w:rtl w:val="true"/>
        </w:rPr>
        <w:footnoteReference w:id="223"/>
      </w:r>
      <w:r>
        <w:rPr>
          <w:rFonts w:ascii="Amiri" w:hAnsi="Amiri" w:eastAsia="Amiri" w:cs="Amiri"/>
          <w:color w:val="111111"/>
          <w:sz w:val="28"/>
          <w:sz w:val="28"/>
          <w:szCs w:val="28"/>
          <w:rtl w:val="true"/>
          <w:lang w:bidi="ar-SA"/>
        </w:rPr>
        <w:t>وتحصيلاً مسوغ لنا القول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ليست ظاهرةً في الإجارة المردّد فيها، بل ظاهرة في الشرطية، وكذا كلام الأصحاب،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موردها الإجارة المردّد فيها للزم الاقتصار فيه على موردها وعدم التخطي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فالرواية لا تخلو من إجمالٍ على كلّ حال، وحينئذٍ فالأخذ بها فيما خالف القواعد مع إمكان تنزيلها على الموافق، وكذا تنزيل فتوى المشهور نقلاً عليها مع عدم تصريحهم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بالمخالفة ممّا لا ينبغي الإقدام عليه</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3424915_1280447820"/>
      <w:bookmarkStart w:id="211" w:name="_Toc76"/>
      <w:bookmarkEnd w:id="210"/>
      <w:r>
        <w:rPr>
          <w:rtl w:val="true"/>
        </w:rPr>
        <w:t>حادي عشرها</w:t>
      </w:r>
      <w:r>
        <w:rPr>
          <w:rtl w:val="true"/>
        </w:rPr>
        <w:t xml:space="preserve">: </w:t>
      </w:r>
      <w:r>
        <w:rPr>
          <w:rtl w:val="true"/>
        </w:rPr>
        <w:t>في أنّ كلّ موضع يفسد عقد الإجارة فيه تضمن المنفعة فيه</w:t>
      </w:r>
      <w:bookmarkEnd w:id="21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يفسد عقد الإجارة فيه تُضمن المنفعة فيه مع تفويتها في غير الحُرّ، أو مع استيفائها فيه، وفي غيره بأجرة المثل؛ لأنّه قيمة المنفعة المستوفاة أو المفوتة عرفاً مع ضمانها على المستوفي؛ لأنّ ضمان القيميّات بقيمتها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 الحكم في ضمان منافع الحرّ بالتفويت من دون استيفاء في العقد الفاسد سيما مع علم الحرّ بالفساد، كما أنّه يشكل ضمان أجرة المثل فيما لو كان الفساد من جهة اشتراط عدم الأجرة، أو الاستئجار بلا أُجرة، أو عدم ذكر الأجرة؛ لإقدامه في الأولين على المجان فلا يتعقبه ضمان؛ ولشبهه في الأخيرة بالعارية؛ لأن لفظ الإجارة وإن لزم منها الأجرة إلّا أنّ عدم ذكرها قرينة على إرادة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أجرة المثل في الثلاثة بعد العلم بقصد الإجارة، وأن الإذن مقيدة بها؛ لأنّ المقيد ينتفي بانتفاء قيده، فيشملها عموم دليل الضمان </w:t>
      </w:r>
      <w:r>
        <w:rPr>
          <w:rStyle w:val="FootnoteAnchor"/>
          <w:rtl w:val="true"/>
        </w:rPr>
        <w:footnoteReference w:id="224"/>
      </w:r>
      <w:r>
        <w:rPr>
          <w:rFonts w:ascii="Amiri" w:hAnsi="Amiri" w:eastAsia="Amiri" w:cs="Amiri"/>
          <w:color w:val="111111"/>
          <w:sz w:val="28"/>
          <w:sz w:val="28"/>
          <w:szCs w:val="28"/>
          <w:rtl w:val="true"/>
          <w:lang w:bidi="ar-SA"/>
        </w:rPr>
        <w:t>، وصيرورة اشتراط عدم الأجرة أو عدم ذكرها بمنزلة القرينة على إرادة العارية بحث آخر يتعلق بالموضوع، فإن سلّمناه ترتب عليه عدم الضمان وإلا فلا، والشأن في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بعضهم حكم ضمان أُجرة الأمثال بما إذا كان المؤجر جاهلاً، إمّا لو كان عالماً بالفساد فلا شيء له؛ لإقدامه على ذهاب ماله فلا يتعقبه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حال المستأجر بالنسبة إلى ضمان الأجرة بعد تلفها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لظاهر أدلّة الضمان ولفتوى الأصحاب؛ ولأن الإذن مقيدة، وينتفي المقيد بانتفاء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العين فنُسب لظاهر الأصحاب ضمانها هنا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مع جهلهما مشكل؛ لأنّ ما لا يُضمن بصحيحه لا يُضمن بفاسده، إلّا أن يختص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بالمعقود عليه دون لوازمه، وكذا مع علم الدافع؛ لأنّه بمنزلة مَنْ سلّط غيره على إتلاف ماله، فلا يتعقبه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به مع جهل الدافع وعلم المدفوع إليه بالفساد؛ لعموم دليل الضمان والشكّ انصراف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الصورة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الفساد لظهور العين مغصوبة، ترتب عليها أحكام الغصب من الضمان وعدمه، والرجوع وعدمه، والغرور وعدمه، ويختلف الحكم باختلافها</w:t>
      </w:r>
      <w:r>
        <w:rPr>
          <w:rFonts w:eastAsia="Amiri" w:cs="Amiri" w:ascii="Amiri" w:hAnsi="Amiri"/>
          <w:color w:val="111111"/>
          <w:sz w:val="28"/>
          <w:szCs w:val="28"/>
          <w:rtl w:val="true"/>
          <w:lang w:bidi="ar-SA"/>
        </w:rPr>
        <w:t xml:space="preserve">. </w:t>
      </w:r>
      <w:bookmarkStart w:id="212" w:name="pg19218_273967"/>
    </w:p>
    <w:p>
      <w:pPr>
        <w:pStyle w:val="Heading4"/>
        <w:numPr>
          <w:ilvl w:val="3"/>
          <w:numId w:val="1"/>
        </w:numPr>
        <w:rPr/>
      </w:pPr>
      <w:bookmarkStart w:id="213" w:name="__RefHeading___Toc13424917_1280447820"/>
      <w:bookmarkStart w:id="214" w:name="_Toc77"/>
      <w:bookmarkEnd w:id="212"/>
      <w:bookmarkEnd w:id="213"/>
      <w:r>
        <w:rPr>
          <w:rtl w:val="true"/>
        </w:rPr>
        <w:t>ثاني عشرها</w:t>
      </w:r>
      <w:r>
        <w:rPr>
          <w:rtl w:val="true"/>
        </w:rPr>
        <w:t xml:space="preserve">: </w:t>
      </w:r>
      <w:r>
        <w:rPr>
          <w:rtl w:val="true"/>
        </w:rPr>
        <w:t>فيما يتعلّق بالأجير الخاص والأجير المطلق</w:t>
      </w:r>
      <w:bookmarkEnd w:id="214"/>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الخاص هو الذي تملك عليه المنفعة المعينة أو كلّ منافعه بإجارة أو غيرها في وقت معين لا يزيد على العمل باشتراطه، أو بانصراف الإطلاق إليه، كما لو قلنا بانصراف الإجارة إلى العمل فوراً، أو بضيق الوقت عن الزيادة على تأدية المطلق، أو بظنّ الوفاة عند إتمامه مع اشتراط مباشرته له بنفسه، أو مع انصراف الإطلاق إلى المباشرة، أو قيام القرائن الحالية أو المقالية على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 المطلق وما لم يتعين عليه وقت، أو ما لم تتعيّن عليه المباشرة مثلاً، أو ما لم يتعين عليه كلّ منهما، وقد يُسمّى المشترك؛ لجواز الاشتراك فيه والعام؛ لإمكان عمومه للمستأجر وغيره، كما قد يُسمّى الخاص بالمقيد؛ لتقييده على خصوص المستأجر، والمختص؛ لاختصاصه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إطلاق الإجارة لا يُصيّر الأجير خاصاً؛ لعدم الدليل على لزوم الفورية في الإجارات في العبادات وغيرها، وعلى لزوم المباشرة أيضاً مطلقاً، والقياس على أوامر الشارع قياس لا نقول به، بل ربما يُفهم من العرف في الأغلب إرادة التوسعة ومجرّد إيقاع العمل، إلّا مع نصب قرينة على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لهذا الأجير الخاص العمل لغيره فيما يعارض المنفعة المملوكة؛ للإجماع، والموثّق فيمن يستأجر الرجل فيجعله في ضيعته فيعطيه رجل آخر دراهم مضاربة،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الذي استأجره فليس به بأس</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وهو ظاهر في الأجير الخاص، ولأن ملك الغير لا يجوز صرفه إلى غيره، ولأنّ جوارحه مرتهنة بحق المستأجر فلا يجوز له استعمالها في غيره إلّا ما قام على خروجه العرف والعادة، كمن استأجر رجلاً بجميع منافعه، فإن الظاهر أن منافع لسانه له فله أن يسبّح بها ويعقد للغير، إلّا إذا أدخل منافع لسانه في العقد فإنّه لا يجوز له ذلك، وكذا لو استأجرها بنفسها، وكمن استأجر رجلاً للخياطة فإنّ له أن يعمل برجليه عملاً لا ينافيها، وكمن استؤجر نهاراً جاز له العمل ليلاً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 فما استشكله بعضهم من جواز عمل الأجير الخاص لغيره عملاً لا ينافي حقّ المستأجر كالاشتغال بعقد عند اشتغاله بتأدية منفعته؛ لاستلزامه التصرّف في ملك الغير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 الغير إنّما يملك ما دخل تحت عقده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لا وجه أيضاً لمنع توارد الإجارتين المطلقتين على شخص، والمطلقة بعد الخاصّة، والخاصّة بعد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في ذلك كلّه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الأجير لو عمل لغيره عملاً، فإما أن يكون عبادة أو غيرها، فإن كان عبادة فالظاهر بطلانها مطلقاً، إمّا مع العلم فلا كلام؛ لمكان النهي عن الضدّ، وحرمة التصرّف بمال الغير في أجزاء العبادة وأركانها، ولا يجتمع الأمر والنهي، وأما مع الجهل والغفلة فكذلك؛ لعدم صلاحية الوقت المختص بشيءٍ لفعل غيره فيه، كعدم صلاحية شهر رمضان لصوم غيره، ولعدم صلاحيّة المنفعة المملوكة للغير أن تصرف في عبادة اللّه تعالى مع عدم إذن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كونها كالفضولي فتصححها الإجازة من المالك بعد ذلك، غير بعد ذلك، غير مسلّم فيما شرطه القربة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بالصحّة مع الجهل والغفلة؛ لصدق العبادة والعبودية والامتثال بجوارحه، غايته أنّه عبد بمال غيره جهلاً، وهو لا ينافي الصحّة من إسقاط القضاء وترتب الثواب، ويكون ضامناً لمال الغير، وعموم أدلة العبادة شاملة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العمل غير عبادة، فإن كان ذا وجه واحد ترتب عليه الأثر، وضمن ما فوّته على المستأجر، فإن كان ما فوّته قد استوفاه هو رجع إليه المستأجر بأجرة مثله، وإن استوفاه غيره تخير المستأجر بين رجوعه إليه وبين رجوعه على المستوفي، فإن رجع إليه رجع إلى المستوفي بأجرة ما استوفاء ما لم يكن المستوفي مغروراً من قبله وقد عمل له تبرعاً فلا يرجع إليه، وإن رجع إلى المستوفي لم يرجع إليه إلّا إذا كان مغروراً من قبله كأن عمل له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ذا وجهين صحّة وفساداً، كالعقد والإيقاع، جاء فيه الكلام السابق، إلّا أنّ في صحّته وفساده كلاماً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والأوجه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العقد والإيقاع؛ لعدم المنافاة بین صحّة العقد وبين كونه مال الغير وإن لزمه ضمانه، ولا تتوقف الصحّة ها هنا على الإجازة؛ للفرق بين العقد على مال الغير والعقد بمال الغير، وإن كان الأولى عدم الإقدام عليه إلّا مع الإجازة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ونزيد القول في ذلك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الأجير الخاص إذا عمل لغيره فإما أن يكون تبرّعاً أو لا، </w:t>
      </w:r>
    </w:p>
    <w:p>
      <w:pPr>
        <w:pStyle w:val="BookText"/>
        <w:rPr/>
      </w:pPr>
      <w:r>
        <w:rPr>
          <w:rFonts w:ascii="Amiri" w:hAnsi="Amiri" w:eastAsia="Amiri" w:cs="Amiri"/>
          <w:color w:val="111111"/>
          <w:sz w:val="28"/>
          <w:sz w:val="28"/>
          <w:szCs w:val="28"/>
          <w:rtl w:val="true"/>
          <w:lang w:bidi="ar-SA"/>
        </w:rPr>
        <w:t>وغير التبرع إمّا بعقد أو لا، كالأمر بالعمل، والعقد إمّا أن يكون بإجارة أو جعالة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عمل بإجارة كأن آجر نفسه لغير الأوّل، تخيّر المستأجر الأوّل بين فسخ عقده والرجوع بالأجرة المسماة؛ لقوات العمل المستأجر عليه كلاً أو بعضاً قبل قبضه، فيرجع بالكلّ إن لم يعمل له شيئاً، وبالبعض الذي لم يعمل مقابله إن عمل له شيئاً موزعاً له على نسبة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صحّة عقد الأجير مع الثاني عند فسخ الأوّل مطلقاً أو مع إجازته وجه، مبني على صحّة عقد من باع شيئاً ثمّ ملكه، فإن قلنا به مطلقاً أو مع الإجازة صحّ، وإلا فسد، فله على المستأجر الثاني أجرة المثل لا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إمضائه، فإذا أمضى تخيّر بين إجازة العقد الثاني وبين فسخه، فإن أجازه فله المسمى، ويرجع به إلى المستأجر الثاني إن كان كلياً، وإن كان عيناً قد قبضها المؤجر تخيّر في الرجوع على المستأجر؛ لوجوب التسليم عليه، وعلى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ؤجر؛ لاستيلائه على عين ماله، إلّا إذا أجاز قبض المؤجر فإنّه لا رجوع له على المستأجر، كما إذا كان المسمّى كلّيّاً فدفع المستأجر فرده للمؤجر فأجاز المستأجر الأوّل الدفع، فإنّه يتعين الرجوع إلى المدفوع إليه، وإن لم يجز أخذ من المستأجر، ورجع المستأجر على المؤجر بما دفعه مع جهله مطلقاً، ومع علمه وبقاء العين، وأما مع تلفها ففي الرجوع وعدمه وجهان مبنيان على ضمان مَنْ أتلف مال من دفعه عوض المغصوب عالماً بالغصب، وإن فسخه رجع بأجرة المثل على المستأجر؛ لاستيفائه، أو على الأجير؛ لتفويته، مخيّراً بينهما، فإن رجع على الأجير رجع على المستوفي بقدر ما استوفاه، ولا يرجع بالزيادة الحاصلة من التفويت إذا كان المستأجر مغروراً من قبله، وإن رجع على المستوفي لا يرجع على الأجير إلّا بالزيادة لو أخذ منه زيادة على ما استوفى وكان مغروراً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العمل بجعالة، فإن فسخ عقده استرد أجرته كلاً أو بعضاً على النسبة، وإلا تخيّر بين إمضائها والرجوع بالجغل مع التعيّن على مَنْ هي في يده، إلّا مع إجازة القبض فلا يرجع على المستأجر، وله أن يرجع على المستأجر مع عدم الإذن وإن لم تكن العين في يده على الأظهر؛ للزوم التسليم عليه، وبين فسخها والرجوع بأجرة الفائت أو المستوفى على من فوت أو استوفى، ويرجع على غيره بالتفاوت؛ لغروره بإقدامه عليه مجّاناً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العمل تبرّعاً، كان له الرجوع على الأجير والمستأجر، ومع الرجوع على الأجير </w:t>
      </w:r>
      <w:bookmarkStart w:id="215" w:name="pg19218_273970"/>
    </w:p>
    <w:p>
      <w:pPr>
        <w:pStyle w:val="BookText"/>
        <w:rPr/>
      </w:pPr>
      <w:bookmarkEnd w:id="215"/>
      <w:r>
        <w:rPr>
          <w:rFonts w:ascii="Amiri" w:hAnsi="Amiri" w:eastAsia="Amiri" w:cs="Amiri"/>
          <w:color w:val="111111"/>
          <w:sz w:val="28"/>
          <w:sz w:val="28"/>
          <w:szCs w:val="28"/>
          <w:rtl w:val="true"/>
          <w:lang w:bidi="ar-SA"/>
        </w:rPr>
        <w:t>ليس له الرجوع على المستأجر مع غروره وجهله؛ لإقدامه مجاناً، ومع الرجوع على المستأجر فيما استوفاه فله الرجوع على الأجير مع جهله وغروره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عمل الأجير الخاص عملاً لنفسه، فإن كان بعقد جاءت المسألة السابقة، وإلا فإن فسخ المستأجر فلا كلام، وإن لم يفسخ فعليه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العمل حيازة مباح كان المحاز للأجير مع احتمال كونه للمستأجر قهراً؛ لأنّه حيز بماله وبمنافعه سيما مع إطلاق النيّة، وكذا لو كان صيداً و وشبهه</w:t>
      </w:r>
    </w:p>
    <w:p>
      <w:pPr>
        <w:pStyle w:val="BookText"/>
        <w:rPr/>
      </w:pPr>
      <w:r>
        <w:rPr>
          <w:rFonts w:ascii="Amiri" w:hAnsi="Amiri" w:eastAsia="Amiri" w:cs="Amiri"/>
          <w:color w:val="111111"/>
          <w:sz w:val="28"/>
          <w:sz w:val="28"/>
          <w:szCs w:val="28"/>
          <w:rtl w:val="true"/>
          <w:lang w:bidi="ar-SA"/>
        </w:rPr>
        <w:t>ويستثنى للأجير الخاص ما يعتاد من صلاة واجبة ومستحبّاتها المتعارفة، والنوم المعتاد، والأكل المعتاد، والتخلّي المعتاد، فلو زاد على المعتاد كان للمستأجر الخيار بين الفسخ والإمضاء وتغريمه أجرة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شيئاً معيناً، اتبع شرطه من ليل أو نهار، ولو أطلق رجع إلى المتعارف في الإجارات بالنسبة إلى العمل المستأجر عليه، فإن أجمل لزم البيان</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3424919_1280447820"/>
      <w:bookmarkStart w:id="217" w:name="_Toc78"/>
      <w:bookmarkEnd w:id="216"/>
      <w:r>
        <w:rPr>
          <w:rtl w:val="true"/>
        </w:rPr>
        <w:t>ثالث عشرها</w:t>
      </w:r>
      <w:r>
        <w:rPr>
          <w:rtl w:val="true"/>
        </w:rPr>
        <w:t xml:space="preserve">: </w:t>
      </w:r>
      <w:r>
        <w:rPr>
          <w:rtl w:val="true"/>
        </w:rPr>
        <w:t>حكم ما لو قدرت المنفعة بالعمل المخصوص أو بالمدّة</w:t>
      </w:r>
      <w:bookmarkEnd w:id="217"/>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قُدّرت المنفعة بالعمل المخصوص لزم العمل في ذمته إمّا على وجه الإطلاق كما هو الأقوى، أو على وجه التعجيل والفورية كما هو مذهب آخرين،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فتكون المنفعة دَيْناً في ذمّة المؤجر لا تتضيّق عليه إلّا بالمطالبة، أو حصول التماهن عرفاً، وإذا دفعها وجب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المستأجر الفورية، أو المؤجر التوسعة، اتبع شرطهما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قدرت المنفعة بالمدّة، جاز أن تكون مفصولةً؛ لعموم الأدلّة، ولخصوص ما جاء في المتعة </w:t>
      </w:r>
      <w:r>
        <w:rPr>
          <w:rStyle w:val="FootnoteAnchor"/>
          <w:rtl w:val="true"/>
        </w:rPr>
        <w:footnoteReference w:id="229"/>
      </w:r>
      <w:r>
        <w:rPr>
          <w:rFonts w:ascii="Amiri" w:hAnsi="Amiri" w:eastAsia="Amiri" w:cs="Amiri"/>
          <w:color w:val="111111"/>
          <w:sz w:val="28"/>
          <w:sz w:val="28"/>
          <w:szCs w:val="28"/>
          <w:rtl w:val="true"/>
          <w:lang w:bidi="ar-SA"/>
        </w:rPr>
        <w:t xml:space="preserve">، فيسري للإجارة بتنقيح المناط، أو مفهوم الأولوية، أو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هنّ مستأجرات</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وجاز أن تكون موصولةً بشرط الاتصال، وجاز أن تكون مطلقةً، فتنصرف للاتصال عرفاً، سواء حدد الغاية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حدّدها بنفس الشهر والسنّة،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شهراً</w:t>
      </w:r>
      <w:r>
        <w:rPr>
          <w:rFonts w:eastAsia="Amiri" w:cs="Amiri" w:ascii="Amiri" w:hAnsi="Amiri"/>
          <w:color w:val="111111"/>
          <w:sz w:val="28"/>
          <w:szCs w:val="28"/>
          <w:rtl w:val="true"/>
          <w:lang w:bidi="ar-SA"/>
        </w:rPr>
        <w:t xml:space="preserve">». </w:t>
      </w:r>
      <w:bookmarkStart w:id="218" w:name="pg19218_273971"/>
    </w:p>
    <w:p>
      <w:pPr>
        <w:pStyle w:val="BookText"/>
        <w:rPr/>
      </w:pPr>
      <w:bookmarkEnd w:id="218"/>
      <w:r>
        <w:rPr>
          <w:rFonts w:ascii="Amiri" w:hAnsi="Amiri" w:eastAsia="Amiri" w:cs="Amiri"/>
          <w:color w:val="111111"/>
          <w:sz w:val="28"/>
          <w:sz w:val="28"/>
          <w:szCs w:val="28"/>
          <w:rtl w:val="true"/>
          <w:lang w:bidi="ar-SA"/>
        </w:rPr>
        <w:t>نعم، إن كان العقد أوّل الهلال انصرف للهلالي، وإن كان في أثنائه أو انكسر كسراً بيناً انصرف إلى العددي، واليوم المنكسر يلفّق من الآخر،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احتسابه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الكسر القليل فيحتسب تاماً، وبين الكثير فلا يحتسب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إبهام المدّة كأن يريد شهراً كلياً مطلقاً أو في ضمن سنة، أو يوماً كذلك؛ للغرر، ولأنّه بمنزلة القيميات فلا يملك منها الواحد الكلّي الغير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الفصل في المدّة والوصل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تعدّد المستأجرين واتحادهم، ويملك كلّ المنفعة القائمة بالعين وإن تأخر استيفاؤها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بعضهم إيجار شهرٍ غير معيّن </w:t>
      </w:r>
      <w:r>
        <w:rPr>
          <w:rStyle w:val="FootnoteAnchor"/>
          <w:rtl w:val="true"/>
        </w:rPr>
        <w:footnoteReference w:id="231"/>
      </w:r>
      <w:r>
        <w:rPr>
          <w:rFonts w:ascii="Amiri" w:hAnsi="Amiri" w:eastAsia="Amiri" w:cs="Amiri"/>
          <w:color w:val="111111"/>
          <w:sz w:val="28"/>
          <w:sz w:val="28"/>
          <w:szCs w:val="28"/>
          <w:rtl w:val="true"/>
          <w:lang w:bidi="ar-SA"/>
        </w:rPr>
        <w:t>، والخيار بيد الدافع، أو المدفوع إليه، أو ما تراضيا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Style w:val="FootnoteAnchor"/>
          <w:rtl w:val="true"/>
        </w:rPr>
        <w:footnoteReference w:id="232"/>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3424921_1280447820"/>
      <w:bookmarkStart w:id="220" w:name="_Toc79"/>
      <w:bookmarkEnd w:id="219"/>
      <w:r>
        <w:rPr>
          <w:rtl w:val="true"/>
        </w:rPr>
        <w:t>رابع عشرها</w:t>
      </w:r>
      <w:r>
        <w:rPr>
          <w:rtl w:val="true"/>
        </w:rPr>
        <w:t xml:space="preserve">: </w:t>
      </w:r>
      <w:r>
        <w:rPr>
          <w:rtl w:val="true"/>
        </w:rPr>
        <w:t>فيما لو تعيّنت المدّة فبذل المؤجر العين فيها لزمت الإجارة</w:t>
      </w:r>
      <w:bookmarkEnd w:id="220"/>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تعيّنت المدّة فبذل المؤجر العين فيها لزمت الإجارة، سواء استوفاها المستأجر أم لم يستوفها، وسواء كانت الإجارة تعلّقت بعين مملوكة أو بحر، وسواء قبض المستأجر العين المؤجرة أم لا، وفي حكم المدّة المعينة مضيّ زمان يمكن استيفاء العمل فيه في إجارة نفسه للعمل من دون تعيين مدّة خاصّة، كلّ ذلك لعموم الأدلّة الدالّة على وجوب بذلالأجرة المملوكة بالعقد، خرج منه ما لم يسلّم المنفعة والعمل وما لم يبذلهما للمستأجر، وبقي الباقي تحت القاعدة، ولظاهر الإجماع المنقول </w:t>
      </w:r>
      <w:r>
        <w:rPr>
          <w:rStyle w:val="FootnoteAnchor"/>
          <w:rtl w:val="true"/>
        </w:rPr>
        <w:footnoteReference w:id="233"/>
      </w:r>
      <w:r>
        <w:rPr>
          <w:rFonts w:ascii="Amiri" w:hAnsi="Amiri" w:eastAsia="Amiri" w:cs="Amiri"/>
          <w:color w:val="111111"/>
          <w:sz w:val="28"/>
          <w:sz w:val="28"/>
          <w:szCs w:val="28"/>
          <w:rtl w:val="true"/>
          <w:lang w:bidi="ar-SA"/>
        </w:rPr>
        <w:t>، 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استأجر من رجلٍ أرضاً فإن لم يزرعها،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يأخذ إن شاء تركه وإن شاء لم يتركه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كان العقد صحيحاً، وإن كان فاسداً كانت المنفعة مضمونة على المستأجر بأجرة المثل؛ لأنّ ما يُضمن بصحيحه ممّا وقع عليه العقد كالمنفعة في باب الإجارة يُضمن بفاسده، والمنفعة مضمونة بالعقد الصحيح استيفاء وتفويتاً فكذا بالفاسد</w:t>
      </w:r>
      <w:r>
        <w:rPr>
          <w:rFonts w:eastAsia="Amiri" w:cs="Amiri" w:ascii="Amiri" w:hAnsi="Amiri"/>
          <w:color w:val="111111"/>
          <w:sz w:val="28"/>
          <w:szCs w:val="28"/>
          <w:rtl w:val="true"/>
          <w:lang w:bidi="ar-SA"/>
        </w:rPr>
        <w:t xml:space="preserve">. </w:t>
      </w:r>
      <w:bookmarkStart w:id="221" w:name="pg19218_273972"/>
    </w:p>
    <w:p>
      <w:pPr>
        <w:pStyle w:val="BookText"/>
        <w:rPr/>
      </w:pPr>
      <w:bookmarkEnd w:id="221"/>
      <w:r>
        <w:rPr>
          <w:rFonts w:ascii="Amiri" w:hAnsi="Amiri" w:eastAsia="Amiri" w:cs="Amiri"/>
          <w:color w:val="111111"/>
          <w:sz w:val="28"/>
          <w:sz w:val="28"/>
          <w:szCs w:val="28"/>
          <w:rtl w:val="true"/>
          <w:lang w:bidi="ar-SA"/>
        </w:rPr>
        <w:t>نعم، قد يشكل الحكم بالضمان في صورة بذل المؤجر العين أو نفسه ولما يقبض المستأجر ولا استوفى المنفعة لنفسه أو لغيره؛ لعدم شمول الضمان لمثل هذه الصورة ولا أقل من الشكّ، وعدم شمول القاعدة لها أيضاً؛ لعدم عمومها بالنسبة إلى أحوال الضمان وكيفياته، والأصل البراءة من الضمان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يتخيّل الفرق في استقرار الأجرة وعدمها في العقد الصحيح عند عدم الاستيفاء بين المعينة والمطلقة، وبين الحُرّ وغيره، أو بين المقيدة بوقت والمتعلقة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امتنع الانتفاع بالمؤجر عقلاً أو شرعاً لانتفاء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كبرء الضرس المستأجر على قلعه، أو العضو المستأجر على مداواته، أو المرض المستأجر على رفعه، أو العدو المستأجر على مقاتلته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انفسخت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يقوى احتمال عدم ضمان منفعة الحُرّ مع التوقيت، وعدمه عند عدم استيفاء المستأجر من منافعه شيئاً في الإجارة الفاسدة؛ لعدم دخول منافع الحُرّ قبل تمليكها لغيره تحت اليد؛ وعدم شمول أدلّة الضمان لها، وعلى ذلك فلو امتنع المستأجر من الاستيفاء رجع المؤجر إلى الحاكم ليجبره عليه، ولا يكفي مجرّد البذل</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3424923_1280447820"/>
      <w:bookmarkStart w:id="223" w:name="_Toc80"/>
      <w:bookmarkEnd w:id="222"/>
      <w:r>
        <w:rPr>
          <w:rtl w:val="true"/>
        </w:rPr>
        <w:t>خامس عشرها</w:t>
      </w:r>
      <w:r>
        <w:rPr>
          <w:rtl w:val="true"/>
        </w:rPr>
        <w:t xml:space="preserve">: </w:t>
      </w:r>
      <w:r>
        <w:rPr>
          <w:rtl w:val="true"/>
        </w:rPr>
        <w:t>في أنّ كلّ ما يتوقف عليه استيفاء المنفعة من المستأجر وكان من متعلقات العمل أو العين المؤجرة فهو على المؤجر</w:t>
      </w:r>
      <w:bookmarkEnd w:id="223"/>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يتوقّف عليه استيفاء المنفعة من المستأجر وكان من متعلّقات العمل أو العين المؤجرة فهو على المؤجر ما لم تقض العادة بخلافه، فيجب عليه قطع الثوب للخياطة، ولفّ الغزل للحياكة، وتقديم الجص والآجر للبناء، وجميع آلات العمل، كآلات الصياغة والنجارة والبناء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 كلّ عمل يوصل المستأجر للمنفعة، كربط الدابّة وقبضها لركوبه وحمله عليها، وإناختها وتقويمها لو كانت بعيراً، وحمل رجله على كتفه ليركب عليها، وسوقها للمشي، وقودها على السكة المعهودة إذا لم تهتد إليه كلّ ذلك إذا قضت العادة بدخول ذلك في عقد الإجارة ضمناً أو اشترطه صريحاً، ويكون ذلك من التوابع فلا تضر جهالتها حينئذٍ</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عليه بذل منفعة ما يتوقف الركوب عليه من زمام ولجام وحزام ورحل وسرج وركاب ووطاءٍ، وشدّ ذلك عليها، ووضعه ورفعه عند الاحتياج إليها، وكذا بذل المفتاح وشبهه، وكذا بذل الحبل والدلو والبكرة للاستقاء وشبهها منفعةً لا عيناً</w:t>
      </w:r>
      <w:r>
        <w:rPr>
          <w:rFonts w:eastAsia="Amiri" w:cs="Amiri" w:ascii="Amiri" w:hAnsi="Amiri"/>
          <w:color w:val="111111"/>
          <w:sz w:val="28"/>
          <w:szCs w:val="28"/>
          <w:rtl w:val="true"/>
          <w:lang w:bidi="ar-SA"/>
        </w:rPr>
        <w:t xml:space="preserve">. </w:t>
      </w:r>
      <w:bookmarkStart w:id="224" w:name="pg19218_273973"/>
    </w:p>
    <w:p>
      <w:pPr>
        <w:pStyle w:val="BookText"/>
        <w:rPr/>
      </w:pPr>
      <w:bookmarkEnd w:id="224"/>
      <w:r>
        <w:rPr>
          <w:rFonts w:ascii="Amiri" w:hAnsi="Amiri" w:eastAsia="Amiri" w:cs="Amiri"/>
          <w:color w:val="111111"/>
          <w:sz w:val="28"/>
          <w:sz w:val="28"/>
          <w:szCs w:val="28"/>
          <w:rtl w:val="true"/>
          <w:lang w:bidi="ar-SA"/>
        </w:rPr>
        <w:t>ويجب عليه بذل عين ما يتوقف العمل عليه من الأمور الجزئية، كمداد الكتابة، وخيوط الثوب، وكش التلقيح، وصبغ الصباغة، ونحو ذلك، فيملك المستأجر هذه الأعيان تبعاً للمنفعة، ولا بأس بملك العين تبعاً للمنافع إذا اقتضاها عقدها في باب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بذل الأمور الكلية عيناً كالآجر والجص بل والإتيان بهما من مكان بعيد على البنّاء، ولا بذل الذهب فيما لو كان النقش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فالأمر يدور مدار العرف وجوداً وعدماً، فقد لا يقضي العرف بشيءٍ ممّا ذكر، كما إذا استأجر دابّة مجردة عن الصاحب لتطحن له في بيته أو ليركبها ويتولاها بنفسه، فإنّه ليس على المؤجر سوى اللجام والرحل وشبههما</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3424925_1280447820"/>
      <w:bookmarkStart w:id="226" w:name="_Toc81"/>
      <w:bookmarkEnd w:id="225"/>
      <w:r>
        <w:rPr>
          <w:rtl w:val="true"/>
        </w:rPr>
        <w:t>سادس عشرها</w:t>
      </w:r>
      <w:r>
        <w:rPr>
          <w:rtl w:val="true"/>
        </w:rPr>
        <w:t xml:space="preserve">: </w:t>
      </w:r>
      <w:r>
        <w:rPr>
          <w:rtl w:val="true"/>
        </w:rPr>
        <w:t>في أنّ تلف المنفعة قبل استيفائها بمنزلة تلف المبيع قبل قبضه سادس عشرها</w:t>
      </w:r>
      <w:r>
        <w:rPr>
          <w:rtl w:val="true"/>
        </w:rPr>
        <w:t xml:space="preserve">: </w:t>
      </w:r>
      <w:r>
        <w:rPr>
          <w:rtl w:val="true"/>
        </w:rPr>
        <w:t xml:space="preserve">ظاهر الأصحاب أنّ تلف المنفعة قبل استيفائها أو قبل مضي مدّة يمكن فيها استيفاؤها منها كلّاً أو بعضاً بمنزلة تلف المبيع قبل قبضه، تنفسخ فيه الإجارة كلاً إن تلفت كلّاً وبعضاً إن تلفت بعضاً فيتسلّط المستأجر على الخيار </w:t>
      </w:r>
      <w:r>
        <w:rPr>
          <w:rtl w:val="true"/>
        </w:rPr>
        <w:t xml:space="preserve">- </w:t>
      </w:r>
      <w:r>
        <w:rPr>
          <w:rtl w:val="true"/>
        </w:rPr>
        <w:t xml:space="preserve">لمكان تبعيض الصفقة </w:t>
      </w:r>
      <w:r>
        <w:rPr>
          <w:rtl w:val="true"/>
        </w:rPr>
        <w:t xml:space="preserve">- </w:t>
      </w:r>
      <w:r>
        <w:rPr>
          <w:rtl w:val="true"/>
        </w:rPr>
        <w:t>بين الفسخ والرجوع بالمسمّى وبين الإمضاء والرجوع بما قابل المتخلف، فإن كانت متساوية فظاهر، وإلا قوم الجميع، وقوم المتخلف منفرداً ورجع بتلك النسبة</w:t>
      </w:r>
      <w:r>
        <w:rPr>
          <w:rtl w:val="true"/>
        </w:rPr>
        <w:t>.</w:t>
      </w:r>
      <w:bookmarkEnd w:id="226"/>
    </w:p>
    <w:p>
      <w:pPr>
        <w:pStyle w:val="BookText"/>
        <w:rPr/>
      </w:pPr>
      <w:r>
        <w:rPr>
          <w:rFonts w:ascii="Amiri" w:hAnsi="Amiri" w:eastAsia="Amiri" w:cs="Amiri"/>
          <w:color w:val="111111"/>
          <w:sz w:val="28"/>
          <w:sz w:val="28"/>
          <w:szCs w:val="28"/>
          <w:rtl w:val="true"/>
          <w:lang w:bidi="ar-SA"/>
        </w:rPr>
        <w:t>ولا يتفاوت الحال في ذلك بين تلف العين قبل قبضها، أو بعد قبضها قبل استيفاء شيء منها، أو بعده عند تلف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ظاهر الاتّفاق منهم على هذا الحكم لأمكن المناقشة فيه بحصول التلف على ملك مالكه، فلا يضمنه المؤجر سيما لو سلّمت المنفعة بتسليم العين فإنّه نوع تسليم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هذا الحكم في عقود المعاوضات ممّا تقتضيه عقودها؛ لمكان التسالم اللازم، فما لم يحصل التسالم ينفسخ العقد، ممنوعة في غير ما أخرجه الإجماع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أيضاً أن العيب مضمون قبل الاستيفاء على المؤجر؛ لمكان ضمان الأصل، فمتى خرج عيب سابق على العقد أو لاحق قبل القبض أو بعده قبل الاستيفاء كان مسلّطاً حصوله على الخيار بين الردّ والإمساك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يُسقط التصرّف بالعين خيار الرد؛ لتجدد المنفعة، والمعيب منها غير متصرّف به ها هنا</w:t>
      </w:r>
      <w:r>
        <w:rPr>
          <w:rFonts w:eastAsia="Amiri" w:cs="Amiri" w:ascii="Amiri" w:hAnsi="Amiri"/>
          <w:color w:val="111111"/>
          <w:sz w:val="28"/>
          <w:szCs w:val="28"/>
          <w:rtl w:val="true"/>
          <w:lang w:bidi="ar-SA"/>
        </w:rPr>
        <w:t xml:space="preserve">. </w:t>
      </w:r>
      <w:bookmarkStart w:id="227" w:name="pg19218_273974"/>
    </w:p>
    <w:p>
      <w:pPr>
        <w:pStyle w:val="BookText"/>
        <w:rPr/>
      </w:pPr>
      <w:bookmarkEnd w:id="227"/>
      <w:r>
        <w:rPr>
          <w:rFonts w:ascii="Amiri" w:hAnsi="Amiri" w:eastAsia="Amiri" w:cs="Amiri"/>
          <w:color w:val="111111"/>
          <w:sz w:val="28"/>
          <w:sz w:val="28"/>
          <w:szCs w:val="28"/>
          <w:rtl w:val="true"/>
          <w:lang w:bidi="ar-SA"/>
        </w:rPr>
        <w:t>وظاهر جملة منهم أنّه لو طلب الأرش لكان له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لهم على ذلك بالخصوص سوى إلحاق الإجارة بالبيع، أو أن الأرش جارٍ على مقتضى القواعد في جميع عقود المعاوضات، وكلاهما لا يخلو الحكم بهما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فيما إذا كان التلف متعلقاً بمعين أو كان العيب كذلك، ولو تعلّقا بكلّي فللمستأجر الإبدال، وفي أنّ له فسخ العقد من أصله، أو الإمضاء مع الأرش بحث قد مضى مثله، وفيما إذا كان التلف والعيب بآفة سماوية، ولو كانا من المستأجر فعليه ضمانه، أو من المؤجر كان للمستأجر الخيار بين الفسخ وبين الإمضاء، فيضمنه أُجرة المثل، والتفاوت الحادث من العيب، ولا ينفسخ العقد، خلافاً لما يظهر من جملة من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3424927_1280447820"/>
      <w:bookmarkStart w:id="229" w:name="_Toc82"/>
      <w:bookmarkEnd w:id="228"/>
      <w:r>
        <w:rPr>
          <w:rtl w:val="true"/>
        </w:rPr>
        <w:t>سابع عشرها</w:t>
      </w:r>
      <w:r>
        <w:rPr>
          <w:rtl w:val="true"/>
        </w:rPr>
        <w:t xml:space="preserve">: </w:t>
      </w:r>
      <w:r>
        <w:rPr>
          <w:rtl w:val="true"/>
        </w:rPr>
        <w:t>في أنّ امتناع المنفعة عقلاً أو عادةً أو شرعاً كتلف المنفعة</w:t>
      </w:r>
      <w:bookmarkEnd w:id="229"/>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بتلف المنفعة امتناعها عقلاً أو عادةً أو شرعاً، كالاستئجار على خياطة ثوب معين أو حياكته فتلف الثوب أو الغزل، أو الاستئجار على صياغة خاتم من فضة معينة فتلفت، أو الاستئجار على عمل معيّن فعمله غيره من صوم أو صلاة أو بناء دارٍ، أو الاستئجار على عمل طبابة أو مداواة جراحةٍ فبرئت، أو الاستئجار على تعليم فحصل قبل وقته، أو الاستئجار على الحمل إلى بلدٍ فامتنع الطريق لخوف أو ماء أو للجهل به، أو الاستئجار على حمل شيءٍ معيّن فتلف أو مات المحمول، أو الاستئجار على عمل محرَّمِ بالعارض، إلى غير ذلك، فإنّه في جميع ذلك ينفسخ العقد ابتداءً واستدامة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اشترك الامتناع بين المؤجر والمستأجر، ولو اختص الامتناع بالمستأجر لمرض أو خوفٍ، ففي انفساخ الإجارة، أو ثبوتها؛ لعدم المانع من التسليم من طرف المؤجر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بإتلاف المستأجر امتناعه من التسلّم، وبإتلاف المؤجر امتناعه من التسليم، فإنّ المستأجر يتسلط على الخيار حينئذٍ بين الفسخ وبين الإمضاء والرجوع إليه بأجرة المثل</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3424929_1280447820"/>
      <w:bookmarkStart w:id="231" w:name="_Toc83"/>
      <w:bookmarkEnd w:id="230"/>
      <w:r>
        <w:rPr>
          <w:rtl w:val="true"/>
        </w:rPr>
        <w:t>ثامن عشرها</w:t>
      </w:r>
      <w:r>
        <w:rPr>
          <w:rtl w:val="true"/>
        </w:rPr>
        <w:t xml:space="preserve">: </w:t>
      </w:r>
      <w:r>
        <w:rPr>
          <w:rtl w:val="true"/>
        </w:rPr>
        <w:t>اشتراط معلوميّة العين المستأجرة بالمشاهدة أو الوصف وكذا معلومية المستوفي للمنفعة</w:t>
      </w:r>
      <w:bookmarkEnd w:id="231"/>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يشترط المعلومية في الأجرة يشترط معلومية العين المستأجرة بالمشاهدة أو الوصف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معلومية المستوفي للمنفعة في مقام يؤدي الجهل به إلى الغرر، كمعرفة راكب </w:t>
      </w:r>
    </w:p>
    <w:p>
      <w:pPr>
        <w:pStyle w:val="BookText"/>
        <w:rPr/>
      </w:pPr>
      <w:r>
        <w:rPr>
          <w:rFonts w:ascii="Amiri" w:hAnsi="Amiri" w:eastAsia="Amiri" w:cs="Amiri"/>
          <w:color w:val="111111"/>
          <w:sz w:val="28"/>
          <w:sz w:val="28"/>
          <w:szCs w:val="28"/>
          <w:rtl w:val="true"/>
          <w:lang w:bidi="ar-SA"/>
        </w:rPr>
        <w:t>الدابّة طولاً وعرضاً وخفّةً و ثقلاً، ومعرفة ما تحمله وزناً ومشاهدة؛ لاختلاف المحمول بالتأثير وإن اتحد وزنه كالقطن والحديد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معلومية وجه الاستيفاء للمنفعة إذا كانت ذات وجوه، كالركوب في محمل أو مجرّداً، ولا بدّ من تعيين المحمل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معلومية ما يصحبه من متاع وفراش وأدوات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الاستئجار للحمل اشترط معرفة الحامل من إنسانٍ أو حيوان حمار أو 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الاستئجار للحمل من دون خصوصيّة وجه يقوى الحكم بمنعه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معلوميّة ما يستأجر عليه من الأعمال؛ لاختلافها بالمشقّة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 بجميع منافعه من دون تعيين بحيث إنّ له أن يصرفه كيف شاء وجه يقوى الحكم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له عدّة منافع، كعبدٍ خيّاط وكاتب وصائغ، أو حرّ كذلك، أو دابّة لها منفعة ركوب وحمل وحرث، أو دار لها منفعة سكنى ورباط دواب وحراز غلّات، فهل يجوز استئجار ذلك بجميع منافعه ولا حاجة إلى التعيين بمدةٍ أو عمل لكلّ منفعة، أو لا يجوز؟ والقول بعدم الجواز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تتفاوت أفراد المحمول كأفراد الطعام بالنسبة إلى الدابّة، أو أفراد الطعام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السفينة لا بالنسبة إلى ملاحها، جاز الاستئجار على وجه العموم، ولا يحتاج حينئذٍ إلى 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جرت العادة بانصراف إطلاق الاستئجار في الأجير أو العين المستأجرة لمنفعة خاصّة اتبعت العادة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بل الأظهر لزوم ذكر صنف الحيوان للركوب من الذكورة والأنوثة والعراب والبخاتي، وذكر البلد إن اختلف الحال فيه، وذكر وصف الدولاب لو استأجر دابّة له، وكذا الرحى؛ للاختلاف في الصغر والكبر، وكذا وصف البئر لو استأجر دابّة للاستسقاء، وكذا تعيين المدّة للسقي، أو تعيين نفس الماء المراد إخراجه، وكذا وصف الأرض، أو مشاهدتها ظاهراً إن كفى الظاهر، وإلا لزم اختيارها باطناً فيما لو استأجر دابّة لحرث الأرض، ولا بدّ </w:t>
      </w:r>
    </w:p>
    <w:p>
      <w:pPr>
        <w:pStyle w:val="BookText"/>
        <w:rPr/>
      </w:pPr>
      <w:r>
        <w:rPr>
          <w:rFonts w:ascii="Amiri" w:hAnsi="Amiri" w:eastAsia="Amiri" w:cs="Amiri"/>
          <w:color w:val="111111"/>
          <w:sz w:val="28"/>
          <w:sz w:val="28"/>
          <w:szCs w:val="28"/>
          <w:rtl w:val="true"/>
          <w:lang w:bidi="ar-SA"/>
        </w:rPr>
        <w:t>من تقدير الأرض أو مشاهدتها، أو تقدير الحرث بالمدّة، ولا بدّ من تعيين نزول السكة في الأرض، أو كونها سكة أو سكتين ما لم تقض العادة بشيء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تعيين السير ليلاً أو نهاراً لمستأجر الدابّة للسير، أو ليلاً ونهاراً ما لم تقض العادة بشيء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طريق عادته عدم التعيين كالحج، كفى الاستئجار للحمل إلى مكان كذا في مدّة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ذكر الزاد المحمول للأكل، فإن كان كلّيّاً وكان ممّا يقصد منه الاستمرار جاز إبداله عند فنائه، وإن كان شخصيّاً، فإن نفد في وقت نفاده عادة فليس للمستأجر شيء، وإن نفد على غير العادة نقص من الأجرة بحسبه، أو تراضيا على إبداله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يستأجر اثنان دابّة واحدة، أو يستأجر واحد أجيرين لعمل واحد على أن يعمل كلّ واحدٍ منهما منفرداً، أو يركب منفرداً، وتكون الدابّة والعمل بينهما على وجه الإشاعة، فإن ذكرا كسراً معيناً يختص به كلّ منهما فلا كلام، وإلا انصرف للمناصفة، ويكون حكمهما المهايأة على ما يتراضيان عليه أوّلاً وآخراً، فإن تشاحًا فالقرعة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آجر دابّة بالنوبة بينه وبين المستأجر لزم ذكر قدر النوبة مدّة أو فراسخ، ولزم ذكر المبتدئ منهما بالركوب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آجره نصف مسافة معلومة، فإن عيّن الأوّل أو الآخر صحّ، وإن قصد الكلّي المردّد بينهما وبين الوسط أو الملفّق بأنواع التلفيق احتملت الصحّة؛ لأنّها بمنزلة المنفعة الكلية فالخيار للمؤجر، إلّا فيما جرت العادة على خلافه، كتلفيق القدر من مجموع جزئيات مسافة بعيدة، واحتمل الفساد؛ لأن المنافع بمنزلة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آجره شهراً في ضمن ثلاثة أشهر من دون ذكر الوصل أو الفصل، وذكر كونه متواصلاً أو منفصلة أيامه، وعلى الانفصال فهل أيامه على النوبة، أو أسبوعاته، أو غير ذلك؟ وعلى تعيين الأيام من الأسبوع فهل المتقدّم المؤجر أو المستأجر؟ بطل في ذلك كله؛ لمكان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آجر اثنين قاصداً تمليك المنفعة لهما من دون تعيين ما لأحدهما خاصّة، فإنّه يبطل؛ لمكان الغرر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أنّهما يملكان ثمّ يقترعان على القدر لا وجه له؛ لأنّ القرعة فرع الملك، والملك بدون المعلومية لا تحقق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يوم لك ويوم لي إلى سنة، فإن ذكر المبتدئ منهما صحّ، وإلا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آجرتكما إلى سنة يوم لك ويوم لهذا، ولم يذكر المبتدئ، ففي الصحّة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على مستأجر العقار من بيوت ودور وحمام وأرض وشجرٍ مشاهدة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بالوصف لرفع الجهالة وجه يقوى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موجوداً، ولو كان كلّيّاً ففي جواز إيجاره بالذمّة والاكتفاء بالوصف وجهان مبنيان على جواز بيع مثل ذلك لانضباطه بالوصف،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انضباط المعين بالوصف جاز انضباط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لخياطة أو صياغة أو غيرهما من الأعمال الكلية، افتقر إلى معرفة عمله جودةً ورداءةً، وإلى عمل غيره لو كان العامل غيره بأن يرى شيئاً ممّا عمل سابقاً فيقيس اللاحق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يكتفي بالوصف إذا كان منضبطاً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 العمل بالمدّة، افتقر إلى معرفة العامل سرعةً وبطئاً أيضاً؛ للاختلاف الموجب للغرر ذلك، فلا ينفع ذكر المدّة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معرفة ذلك لو انضبط العمل بانضباط المعمول فيه كخياطة هذا الثوب ونسج هذا الغزل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على حفر بئر، افتقر إلى معرفة الأرض ظاهراً وباطناً إن أمكن ولو بالرجوع إلى أهل الخبرة؛ لاختلاف الأرض صلابةً ورخاوةً، وإن لم يمكن معرفة الباطن لزم مشاهدة الظاهر، أو وصفه بما ينضبط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تعيين قدر نزولها إلّا إذا كان لها معتاد، وقدر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الاستئجار على الحفر مدّة مضبوطة لم يفتقر إلّا إلى معرفة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السعة والنزول والمدّة، فإن رام الانطباق قوي البطلان، وإن رام تحصيل الحفر بتلك المدّة زاعماً الانطباق صحّ، فإن أتمها دون المدّة فله أجرة وإلا فللمستأجر الخيار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حفرها فانهارت لم يكن على المؤجر شيء، إلّا إذا كان الانهيار بفعله، أو شرط عليه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يلزمه رفع الجزئيّات الواقعة فيها عند الحفر؛ لجريان العادة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حفر المؤجر بعضها فتعذر الباقي لصلابة الأرض أو لعدم تمكنه بمرض أو موت أو حبس وكان مشروطاً عليه المباشرة انفسخ العقد، وأخذ الأجير من المسمّى بنسبة ما عمل إلى المجموع عند تقويم الجميع بأجرة المثل، كأن ينسب أُجرة مثل ما عمل إلى أُجرة مثل المجموع فيعرف ما نسبتها إليها ثلثاً أو ربعاً فيأخذ من المسمّى بتلك النسبة من الثلث والربع ونحوهما، فإن كانت أجزاؤها متساوية أخذ على نسبة التساوي، وإن اختلف أخذ على نسبة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استؤجر على حفر بئر عشرة أذرع طولاً وكذا عمقاً وكذا عرضاً فحفر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كذلك كان له تمن الأجرة مع التساوي؛ لأنّ مضروب العشرة في الأبعاد الثلاثة ألف، ومضروب الخمسة فيها مائة وخمسة وعشرون، وهو تُمن الألف، وهو لم يحفر من النصف الأسفل شيئاً وهو خمسمائة، ولا من نصف نصف الأعلى شيئاً وهو مائتان وخمسون، ولا من نصف نصفه وهو مائة وخمسة وعشرون، وإنّما حفر التمن فله بحسابه، وله مع الاختلاف بنسبة قيمة أُجرة مثل الثمن إلى السبعة أثمان الباقية عند تقويم أهل العرف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رواية ضعيفة السند في واقعة معيّنة مخالفة للقواعد لم يعمل عليها أحد من أصحابنا، وإنما ذكروها روايةً لا فتوى، فلا ينبغي الركون في إثبات حكم مخالف للأصل إليها، ولو أخذنا بها لاقتصرنا على منطوقها من دون تسريةٍ لغيره، أو خصصناها بالواقعة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رواية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قبل رجلاً بئراً عشر قامات بعشرة دراهم فحفر قامة ثمّ عجز،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تقسم عشرة على خمسة وخمسين جزءاً، فما أصاب واحداً فهو للقامة الأُولى والاثنين، للثانية والثلاثة للثالثة وهكذا</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بلوغ العدد هذا المقدار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يزاد أقل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الواحد على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العشرة فتكون إحدى عشرة، وتضرب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الأكثر وهو عشرة، فيكون الحاصل خمسة وخمسين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يبلغ مائة، ثمّ تزيد عليه جذرها وهو عشرة يكون مائة وعشرة، ثمّ تنصفه، يكون الحاصل خمسة وخمسين</w:t>
      </w:r>
      <w:r>
        <w:rPr>
          <w:rFonts w:eastAsia="Amiri" w:cs="Amiri" w:ascii="Amiri" w:hAnsi="Amiri"/>
          <w:color w:val="111111"/>
          <w:sz w:val="28"/>
          <w:szCs w:val="28"/>
          <w:rtl w:val="true"/>
          <w:lang w:bidi="ar-SA"/>
        </w:rPr>
        <w:t xml:space="preserve">. </w:t>
      </w:r>
      <w:bookmarkStart w:id="232" w:name="pg19218_273979"/>
    </w:p>
    <w:p>
      <w:pPr>
        <w:pStyle w:val="BookText"/>
        <w:rPr/>
      </w:pPr>
      <w:bookmarkEnd w:id="232"/>
      <w:r>
        <w:rPr>
          <w:rFonts w:ascii="Amiri" w:hAnsi="Amiri" w:eastAsia="Amiri" w:cs="Amiri"/>
          <w:color w:val="111111"/>
          <w:sz w:val="28"/>
          <w:sz w:val="28"/>
          <w:szCs w:val="28"/>
          <w:rtl w:val="true"/>
          <w:lang w:bidi="ar-SA"/>
        </w:rPr>
        <w:t xml:space="preserve">و على كلّ حال فالرواية محمولة على ما إذا تناسبت القامات، بحيث يكون نسبة القامة الأولى إلى الثانية على النصف في المشقة والأجرة، وهكذا ما بعدها بالنسبة إلى ما بعدها، وإلا فلا يستقيم على القواعد من هذه الجهة أيضاً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3424931_1280447820"/>
      <w:bookmarkStart w:id="234" w:name="_Toc84"/>
      <w:bookmarkEnd w:id="233"/>
      <w:r>
        <w:rPr>
          <w:rtl w:val="true"/>
        </w:rPr>
        <w:t>تاسع عشرها</w:t>
      </w:r>
      <w:r>
        <w:rPr>
          <w:rtl w:val="true"/>
        </w:rPr>
        <w:t xml:space="preserve">: </w:t>
      </w:r>
      <w:r>
        <w:rPr>
          <w:rtl w:val="true"/>
        </w:rPr>
        <w:t>حكم ما لو تعدّى المستأجر في العين المستأجرة أو فرّط</w:t>
      </w:r>
      <w:bookmarkEnd w:id="234"/>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تعدّى المستأجر في العين المؤجرة أو فرّط، ضمنها ما دامت تحت يده، سواء تلفت بذلك التعدّي أو غيره، وسواء طال الزمان أو قصر، وسواء رضي المالك ببقائها عنده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المالك في التعدّي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المستأجر عدم الضمان بالتعدّي في الإجارة، ففي صحّة الشرط والعقد أو فسادهما أو فساد الشرط فقط وجوه، لا يبعد البناء على الأوّل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كانت بيد المستأجر مستولياً عليها، ولو كانت بيد المؤجر أو ردّها المستأجر عليه رداً مستقراً ثمّ تسلّمها منه ليركبها كما هي العادة في أخذ المكاري لها في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أرجعها إليه ليستوفى منها المنفعة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يتفاوت الحال بين التعدّي عمداً أو خطأ على الأظهر، وبين الاضطرار إليه أو الاختيار؛ لإطلاق النصّ </w:t>
      </w:r>
      <w:r>
        <w:rPr>
          <w:rStyle w:val="FootnoteAnchor"/>
          <w:rtl w:val="true"/>
        </w:rPr>
        <w:footnoteReference w:id="237"/>
      </w:r>
      <w:r>
        <w:rPr>
          <w:rFonts w:ascii="Amiri" w:hAnsi="Amiri" w:eastAsia="Amiri" w:cs="Amiri"/>
          <w:color w:val="111111"/>
          <w:sz w:val="28"/>
          <w:sz w:val="28"/>
          <w:szCs w:val="28"/>
          <w:rtl w:val="true"/>
          <w:lang w:bidi="ar-SA"/>
        </w:rPr>
        <w:t>والفتوى، إلّا إذا كان التعدّي لحفظها لا لحفظ المستأجر، فإنّه لا يصدق عليه التعدّي عرفاً، ويشكّ في شمول أدلّة الضمان للأمانة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بالتعدّي فعل ما لا يجوز فعله فيها كحثّ السير زائداً على المعتاد، والركض عليها، وكبحها باللجام، وتحميلها زائداً، والسير بها على غير الطريق المعتاد، وترك ما يلزم فعله فيها، كحفظها، والنظر إليها، والإنفاق عليها لو وجب عليه، وحراستها عن البرد والحرّ والمهالك، ويُسمّى التفريط</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تعدّى بالدابة زيادة على المسافة المشروطة، ضمنها قيمة مع التلف، وضمن نقصها وعيبها، سواء كان التلف بفعله أو بفعل الغير أو بآفة سماوية، دون ما كان بفعل المؤجر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بفعل الغير، كان له الرجوع على الغير لو رجع إليه، ولزمه في الزائد أيضا أُجرة المثل، وعليه مع ذلك كلّه دفع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لمقتضى القواعد؛ ولظاهر الاتفاق، وللخبر المشهور الصحيح المستفيض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مثل كراء البغل ذاهباً من الكوفة إلى النيل، ومثل كراء البغل راكباً من النيل إلى بغداد، ومثل كراء البغل من بغداد إلى الكوفة تُوفِّيه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عطب البغل أو نفق أو ليس كان يلزمني؟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البغل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عقر،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قيمة ما بين الصحيح والمعيب يوم تردّه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حكي عن القاضي من لزوم قيمة الدابّة عند التلف لا غير، ومن لزوم الأُجرة أو قيمة الناقص مع النقص </w:t>
      </w:r>
      <w:r>
        <w:rPr>
          <w:rStyle w:val="FootnoteAnchor"/>
          <w:rtl w:val="true"/>
        </w:rPr>
        <w:footnoteReference w:id="239"/>
      </w:r>
      <w:r>
        <w:rPr>
          <w:rFonts w:ascii="Amiri" w:hAnsi="Amiri" w:eastAsia="Amiri" w:cs="Amiri"/>
          <w:color w:val="111111"/>
          <w:sz w:val="28"/>
          <w:sz w:val="28"/>
          <w:szCs w:val="28"/>
          <w:rtl w:val="true"/>
          <w:lang w:bidi="ar-SA"/>
        </w:rPr>
        <w:t>، شاذٌّ مخالف للقواعد ولأصالة تعدّد المسبب بتعدد السبب، وأصالة عدم تداخل الأسباب؛ لاقتضاء كلّ من المذكورات غرامة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ما يدلّ على بطلان الحكم بذلك، وأنّه بمثل هذا القضاء وشبهه تحبس السماء ماءها وتمنع الأرض بركاتها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الرواية ضمان القيمة يوم التفريط؛ لأنّه يوم تعلّقه بذمته،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الأكثر </w:t>
      </w:r>
      <w:r>
        <w:rPr>
          <w:rStyle w:val="FootnoteAnchor"/>
          <w:rtl w:val="true"/>
        </w:rPr>
        <w:footnoteReference w:id="240"/>
      </w:r>
      <w:r>
        <w:rPr>
          <w:rFonts w:ascii="Amiri" w:hAnsi="Amiri" w:eastAsia="Amiri" w:cs="Amiri"/>
          <w:color w:val="111111"/>
          <w:sz w:val="28"/>
          <w:sz w:val="28"/>
          <w:szCs w:val="28"/>
          <w:rtl w:val="true"/>
          <w:lang w:bidi="ar-SA"/>
        </w:rPr>
        <w:t>، ولا بأس بالقول به، إلّا أنّ القول بضمانها يوم التلف أقرب للقواعد؛ لأنّه يوم الانتقال إلى القيمة، والقول بضمان الأعلى ما بين التعدّي والتلف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بضمان القيمة يوم الردّ أو الأعلى ما بين التعدّي والرد، أو الأعلى ما بين التلف والرد فضعيف وإن دلّت الرواية على الأوّل وقضى الاحتياط بالأخيرين؛ لضعف الرواية بإعراض الأصحاب عن العمل بمضمونها، وعدم كون الاحتياط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حملها على مساواة يوم الردّ ليوم التعدي،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اختلفا في قيمة التالف أو أرش نقصه، فالقول قول مدعي النقصان؛ لقضاء القواعد وفتوى المشهور 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المالك </w:t>
      </w:r>
      <w:r>
        <w:rPr>
          <w:rStyle w:val="FootnoteAnchor"/>
          <w:rtl w:val="true"/>
        </w:rPr>
        <w:footnoteReference w:id="241"/>
      </w:r>
      <w:r>
        <w:rPr>
          <w:rFonts w:ascii="Amiri" w:hAnsi="Amiri" w:eastAsia="Amiri" w:cs="Amiri"/>
          <w:color w:val="111111"/>
          <w:sz w:val="28"/>
          <w:sz w:val="28"/>
          <w:szCs w:val="28"/>
          <w:rtl w:val="true"/>
          <w:lang w:bidi="ar-SA"/>
        </w:rPr>
        <w:t>لدلالة ذيل الصحيح السابق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أن يحلف </w:t>
      </w:r>
      <w:bookmarkStart w:id="235" w:name="pg19218_273981"/>
    </w:p>
    <w:p>
      <w:pPr>
        <w:pStyle w:val="BookText"/>
        <w:rPr/>
      </w:pPr>
      <w:bookmarkEnd w:id="235"/>
      <w:r>
        <w:rPr>
          <w:rFonts w:ascii="Amiri" w:hAnsi="Amiri" w:eastAsia="Amiri" w:cs="Amiri"/>
          <w:color w:val="111111"/>
          <w:sz w:val="28"/>
          <w:sz w:val="28"/>
          <w:szCs w:val="28"/>
          <w:rtl w:val="true"/>
          <w:lang w:bidi="ar-SA"/>
        </w:rPr>
        <w:t>على القيمة فتلزمك، وإن ردّ اليمين عليك فحلفت على القيمة لزمه ذلك</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ولأن الغاصب 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لضعف الرواية بإعراض المشهور عن العمل بمضمونها، وإمكان المناقشة فيها بضعف الدلالة أيضاً، ولعدم تسليم القاعدة المتقدّمة؛ لعدم الدليل عليها، ولو أخذنا بها لاقتصرنا على خصوص الدابّة وخصوص التعدّي الخاص؛ لمخالفة الحكم للقواعد فيقتصر على مورد اليقين</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3424933_1280447820"/>
      <w:bookmarkStart w:id="237" w:name="_Toc85"/>
      <w:bookmarkEnd w:id="236"/>
      <w:r>
        <w:rPr>
          <w:rtl w:val="true"/>
        </w:rPr>
        <w:t>العشرون</w:t>
      </w:r>
      <w:r>
        <w:rPr>
          <w:rtl w:val="true"/>
        </w:rPr>
        <w:t xml:space="preserve">: </w:t>
      </w:r>
      <w:r>
        <w:rPr>
          <w:rtl w:val="true"/>
        </w:rPr>
        <w:t>في أنّه يلزم المستأجر ذكر موضع التسليم للعين المستأجرة</w:t>
      </w:r>
      <w:bookmarkEnd w:id="237"/>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المستأجر ذكر موضع التسليم للعين المستأجرة إذا اختلف اختلافاً يؤدي إلى تفاوت الأجرة به ولم تقم عادة بتسليم المؤجر لها في بيت المستأجر، كاستئجار الدابّة غالباً، أو تسلّم المستأجر لها في بيت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يلزم ذكر محلّ عمل الأجير في العين المؤجرة أنّه في بيته أو في بيت المستأجر إذا لم تقض العادة بأحدهما، كما تقضي بالأوّل العادة اليوم في الصائغ والحداد وشبههما، ويقضي بالثاني في نقار الرحى وشبهه، ويقع الشكّ في بعض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البيان، كما يقع الشكّ في الاستئجار للرضاع أنّه في بيت المؤجر أو المستأجر، وكذا في الحجام والحلّاق والفصاد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استئجار الحيوان إنساناً وغير إنسان حُرّاً أو عبداً للرضاع؛ للإجماع في الإنسان، والأخبار الخاصّة والعامّة،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به غيره لتنقيح المناط، ولكن على إشكال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يتفاوت الحال بعد قيام الدليل على جوازه بين أن يكون الاستئجار على الرضاع صريحاً وبين أن يكون ضمناً، كالاستئجار على الوضع في الحجر وامتصاص الثدي أو التقامه فيلزمه شرب اللبن، ولا بين القول بأنّ الرضاع هو شرب اللبن أو الامتصاص الناشئ عنه الشرب، ولا بين القصد إلى الشرب ابتداءً وغيره بالعرض، أو القصد إلى غيره أصالة وهو بالعرض، كلّ ذلك للدليل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يرد حينئذٍ أنّ الاستئجار للرضاع خارج عن موضوع الإجارة؛ لأنّها تمليك المنفعة المعنويّة مع بقاء العين، لا تمليك النماء وإتلافه الذي هو من الأعيان مع بقاء أصلها، على أنّه قد يمنع عدم جواز الاستئجار على إتلافه النماء مع بقاء أصله؛ لعموم الأدلّة، غاية 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يؤدي استئجاره لتلف نفسه كاستئجار الشمع للإحراق ممنوع، ومخالف لوضع عقد الإجارة، دون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استئجار الزوجة لإرضاع ولده واستئجار زوجة الغير أيضاً مع إذنه قطعاً، وبدون إذنه على الأظهر الأشهر؛ لعموم الأدلّة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لها إيجار نفسها في مدّة تعارض حقوق الزوجية؛ لأنّه تصرف بمال الغير من دون إذنه فلا يصحّ إلّا مع الإجازة، ولا يبطل مطلقاً؛ لأنّه لا ينقص عن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بالمنع مطلقاً من دون إذن الزوج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محتجاً بملك الزوج منافع الزوجة، فلا قابلية لها حينئذٍ بأن يملك الرضاع عليها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لمنع ذلك فيما لم يعارض حقوق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تقدّم الاستئجار على الزوجيّة تقدّم حقّ الرضاع على حقه وليس له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تسقط عنه النفقة عند عدم التمكين له من حقه، وليس له عليها سبيل إلّا في وقتٍ يفضل عن قضاء حقّ الإرضاع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معرفة المرضعة بالمشاهدة أو الوصف؛ لما في النساء من الاختلاف في السمن والهزال وكثرة اللين وقلته، ومعرفة المرتضع أيضاً؛ لما فيه من الاختلاف كبراً وصغراً وهزالاً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الصبي وكان المستأجر عليه صبياً معيناً لا في الذمّة، أو المرضعة وكانت معيّنةً بالاستئجار بنفسها لا في الذمّة انفسخت الإجارة، وإلا بقيت في الذمّة ولزم استخراج ما يستأجر به للرضاع من تركتها، ولا تنفسخ هنا بموت المستأجر، خلافاً لابن إدريس وإن نقل عليه الإجماع </w:t>
      </w:r>
      <w:r>
        <w:rPr>
          <w:rStyle w:val="FootnoteAnchor"/>
          <w:rtl w:val="true"/>
        </w:rPr>
        <w:footnoteReference w:id="245"/>
      </w:r>
      <w:r>
        <w:rPr>
          <w:rFonts w:ascii="IRNazanin" w:hAnsi="IRNazanin" w:eastAsia="IRNazanin"/>
          <w:color w:val="111111"/>
          <w:sz w:val="28"/>
          <w:sz w:val="28"/>
          <w:szCs w:val="28"/>
          <w:rtl w:val="true"/>
          <w:lang w:bidi="fa-IR"/>
        </w:rPr>
        <w:t>لضعفه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ظهر الولد معسراً وكان الاستئجار من ماله، أو الأب كذلك، كان للمرضعة الخيار</w:t>
      </w:r>
      <w:r>
        <w:rPr>
          <w:rFonts w:eastAsia="Amiri" w:cs="Amiri" w:ascii="Amiri" w:hAnsi="Amiri"/>
          <w:color w:val="111111"/>
          <w:sz w:val="28"/>
          <w:szCs w:val="28"/>
          <w:rtl w:val="true"/>
          <w:lang w:bidi="ar-SA"/>
        </w:rPr>
        <w:t xml:space="preserve">. </w:t>
      </w:r>
      <w:bookmarkStart w:id="238" w:name="pg19218_273983"/>
    </w:p>
    <w:p>
      <w:pPr>
        <w:pStyle w:val="BookText"/>
        <w:rPr/>
      </w:pPr>
      <w:bookmarkEnd w:id="238"/>
      <w:r>
        <w:rPr>
          <w:rFonts w:ascii="Amiri" w:hAnsi="Amiri" w:eastAsia="Amiri" w:cs="Amiri"/>
          <w:color w:val="111111"/>
          <w:sz w:val="28"/>
          <w:sz w:val="28"/>
          <w:szCs w:val="28"/>
          <w:rtl w:val="true"/>
          <w:lang w:bidi="ar-SA"/>
        </w:rPr>
        <w:t>ولو استأجر شيئاً سنة أو سنتين أو أقلّ، لم يلزم تقسيط الأجرة على المدّة، كما يلزم تقسيط الثمن على مبيعين، ولو قسط جاز؛ عملاً بالشرط، سواء تساوى التقسيط أم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استئجار الأرض لتكون مصلّى أو محلاً لغير الصلاة من العبادات الأخر، ولو استأجرها لصلاة عامة الناس لم يلزم عليه ذلك، كما يلزم في وقف العين، بل له العدول، ولا يلزم احترام العين المستأجرة لذلك؛ لأنّها ليست من المساجد المحترمة؛ لاشتراط كون العين موقوفةً فيها، والعين المستأجرة لا يصحّ وقفها؛ لعدم ملك العين، ولا وقف منفعتها؛ لعدم التأبيد، ولعدم تعلّق الوقف بالمنافع</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3424935_1280447820"/>
      <w:bookmarkStart w:id="240" w:name="_Toc86"/>
      <w:bookmarkEnd w:id="239"/>
      <w:r>
        <w:rPr>
          <w:rtl w:val="true"/>
        </w:rPr>
        <w:t>الواحد والعشرون</w:t>
      </w:r>
      <w:r>
        <w:rPr>
          <w:rtl w:val="true"/>
        </w:rPr>
        <w:t xml:space="preserve">: </w:t>
      </w:r>
      <w:r>
        <w:rPr>
          <w:rtl w:val="true"/>
        </w:rPr>
        <w:t>صحّة استئجار كلّ ماله منفعة مقصودة عقلائية مع بقاء عينه</w:t>
      </w:r>
      <w:bookmarkEnd w:id="240"/>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له منفعة مقصودة عند العقلاء يصحّ استئجاره مع بقاء عينه؛ لظاهر الأدلّة عموماً وخصوصاً، وكلّ ما لا منفعة فيه لا يصحّ استئجاره؛ لكونه سفهاً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يشكّ في أنّ له منفعةً مقصودةً عند العقلاء تقابل بعوض، أو ليس له ذلك، إمّا لعدم العلم بالانتفاع به، أو لعدم العلم بكونها متموّلةً؛ للشكّ في حصول منفعة له مطلقاً، أو منفعة مقصودة تقابل بعوض وعدمهما، فهل الأصل جواز إيجارها أو الأصل عدمه؟</w:t>
      </w:r>
    </w:p>
    <w:p>
      <w:pPr>
        <w:pStyle w:val="BookText"/>
        <w:rPr/>
      </w:pPr>
      <w:r>
        <w:rPr>
          <w:rFonts w:ascii="Amiri" w:hAnsi="Amiri" w:eastAsia="Amiri" w:cs="Amiri"/>
          <w:color w:val="111111"/>
          <w:sz w:val="28"/>
          <w:sz w:val="28"/>
          <w:szCs w:val="28"/>
          <w:rtl w:val="true"/>
          <w:lang w:bidi="ar-SA"/>
        </w:rPr>
        <w:t>والأظهر أنّ الشكّ إن وقع في أصل وجود المنفعة وعدمه لم يصحّ عقد الإجارة، وإن وقع في صحّة المعاوضة عليها وعدمها بعد فرض تحققها، كاستئجار الذهب والفضة للتحلّى بهما ولجلب الاعتبار بحملهما، واستئجار الشمع للتزين به، أو الحائط للاستظلال به، أو الشجر للجلوس تحته، أو الطعام لتحصيل الاعتبار بوضعه، صحّ إجراء عقد الإجارة عليها، وملك المؤجر عوضها؛ لأنّها منافع مقصودة في نظر العقلاء فهي ممّا تتموّل وتقابل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أنّها لو صحّ استئجارها لصح ضمانها عند غصبها، والتالي ممنوع؛ لعدم الاعتداد بتلك المنافع عرفاً، وعدم كونها مالاً عندهم؛ لأنا نمنع عدم ضمانها بالغصب، وجريان السيرة بعدم الضمان لعدم الاعتداد بقيمتها، لا لكونها ليست أموالاً، ولو أرادوا المداقة والمماكسة لضمّنوا الغاصب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استيفائها فيضمنها الغاصب وبين تفويتها على المالك فلا يضمنها الغاصب كمنفعة الأجير الخاص</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منع الملازمة؛ لعدم الدليل عليها عقلاً وشرعاً</w:t>
      </w:r>
      <w:r>
        <w:rPr>
          <w:rFonts w:eastAsia="Amiri" w:cs="Amiri" w:ascii="Amiri" w:hAnsi="Amiri"/>
          <w:color w:val="111111"/>
          <w:sz w:val="28"/>
          <w:szCs w:val="28"/>
          <w:rtl w:val="true"/>
          <w:lang w:bidi="ar-SA"/>
        </w:rPr>
        <w:t xml:space="preserve">. </w:t>
      </w:r>
      <w:bookmarkStart w:id="241" w:name="pg19218_273984"/>
    </w:p>
    <w:p>
      <w:pPr>
        <w:pStyle w:val="Heading4"/>
        <w:numPr>
          <w:ilvl w:val="3"/>
          <w:numId w:val="1"/>
        </w:numPr>
        <w:rPr/>
      </w:pPr>
      <w:bookmarkStart w:id="242" w:name="__RefHeading___Toc13424937_1280447820"/>
      <w:bookmarkStart w:id="243" w:name="_Toc87"/>
      <w:bookmarkEnd w:id="241"/>
      <w:bookmarkEnd w:id="242"/>
      <w:r>
        <w:rPr>
          <w:rtl w:val="true"/>
        </w:rPr>
        <w:t>الثاني والعشرون</w:t>
      </w:r>
      <w:r>
        <w:rPr>
          <w:rtl w:val="true"/>
        </w:rPr>
        <w:t xml:space="preserve">: </w:t>
      </w:r>
      <w:r>
        <w:rPr>
          <w:rtl w:val="true"/>
        </w:rPr>
        <w:t>حكم ما لو استأجر دابّة أو أجيراً لحمل شيء معين فزاده عند الحمل من دون علم المؤجر أو الاستئذان منه</w:t>
      </w:r>
      <w:bookmarkEnd w:id="243"/>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دابّة أو أجيراً لحمل شيء معين في الذمّة فزاده عند الحمل من دون علم المؤجر أو الاستئذان منه، أو استأجره لشيءٍ مشخص فأخبره بقدره ناقصاً مدلّساً عليه وهو على خلاف ذلك، ضمن المستأجر الدابّة؛ لتعديه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تلفت بنفس التحميل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الدابّة بيده، ولو كانت بيد المؤجر ضمنها إن تلفت بنفس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يضمن جميع الدابّة لو كان التلف تحت يد المؤجر بنفس الحمل أو تحت يدهما معاً؛ لتعديه عليها، ولاستناد التلف إلى فعله ولعدم تميّز الأصل من الزيادة فهو متعد بالمجموع ومتلف به، أو يضمن نصفها؛ لأنّ التلف قد استند إلى فعل مأذون به وغيره فيوزّع ثمن الدابّة عليهما، كما لو جرح نفسه جراحات متعدّدة وجرحه الغير واحدةً فمات بهما، فإنّه يقضى بتنصيف الدابّة، أو يوزّع ثمنها على حسب الأصل والزيادة مقسطاً عليهما؛ لاستناد التلف إلى الجميع ولا ترجيح، وللزوم مساواة الناقص للزائد وهو ممتنع؟ وجوه أقواها الأوّل، وكان عليه مع ضمان العين المسمّى وأُجرة مثل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كال الطعام المستأجرُ وحمّله أو كاله هو فأمر المؤجر بتحميله وكان المؤجر جاهلاً بالزيادة، أو أمر أجنبياً بذلك وكان غير عالم بحقيقة حال ما أمره به المستأجر، ولا يتفاوت الحال في ضمانه بين كونه عالماً أو جاهلاً؛ لأن الجهل لا يرفع الضمان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كال الطعام المؤجرُ فحمله هو جاهلاً أو عالماً بالزيادة، كان هو المفرط بماله، ولا شيء له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كاله هو فأمر المستأجر أو أجنبياً بحمله وكانا جاهلين بالزيادة؛ لعدم تولّيهما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كاله غيره من المستأجر أو أجنبي لأمرٍ آخر ولم يعرضه عليه للتحميل، فحمّله المؤجر من دون ترو فإنّه لا ضمان على الكائل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كال الطعام أجنبي فحمله الأجنبي ضمن الداية وأُجرة مثل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لوكاله بأمرهما أو بأمر أحدهما فعلم الزيادة ولم يخبر بها، ضمن وإن تولّى الحمل غيره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تولى الحمل الأجنبيُّ من غير أمرٍ منهما وكانت فيه زيادة، فإنّه يضمن أيضاً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لو تولّى الكيل المستأجرُ فطرح الحمل ولم يلبس على المؤجر فتناوله فحمله، أمكن </w:t>
      </w:r>
      <w:bookmarkStart w:id="244" w:name="pg19218_273985"/>
    </w:p>
    <w:p>
      <w:pPr>
        <w:pStyle w:val="BookText"/>
        <w:rPr/>
      </w:pPr>
      <w:bookmarkEnd w:id="244"/>
      <w:r>
        <w:rPr>
          <w:rFonts w:ascii="Amiri" w:hAnsi="Amiri" w:eastAsia="Amiri" w:cs="Amiri"/>
          <w:color w:val="111111"/>
          <w:sz w:val="28"/>
          <w:sz w:val="28"/>
          <w:szCs w:val="28"/>
          <w:rtl w:val="true"/>
          <w:lang w:bidi="ar-SA"/>
        </w:rPr>
        <w:t>القول بالضمان؛ لأنّ كيله وإعداده للحمل بمنزلة الأمر به فيكون المحمّل مغروراً من قبله كمن قدم طعاماً للضيف فأكله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تولّى الكيل المؤجر فأعده للحمل فحمله المستأجر،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بمنزلة الأمر ارتفع عن المستأجر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وأمكن القول بعدم الضمان في الأوّل، وبالضمان في الثاني؛ لأنّ الإعداد ليس بمنزلة الأمر،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فصُور المسألة عديدة؛ لأنّ الكائل إمّا المستأجر، أو المؤجر، أو الأجنبي، أو الكلّ، كما إذا كال كلّ منهما جزءاً لنفسه، والحامل على الدابّة أيضاً كذلك، فالصُّور ستة عشر، وعلى كلّ تقدير فالزيادة إمّا أن تقع عمداً، أو خطأ، فهي اثنتان وثلاثون، وعلى كلّ حالٍ فالحامل على الدابّة إمّا أن يكون عالماً، أو جاهلاً، فالصُّور أربعة وستون، وعلى كلّ حالٍ فإما أن يكون مأموراً من غيره، أو لا، فالصُّور مائة وثمانية وعشرون، وعلى كلّ حال فالزيادة إمّا ممّا تتفاوت بها المكاييل والموازين ويتسامح بها أم لا، فالصور مائتان وستة وخمسون، ومثلها صور النقصان فيما لو كان النقصان مضراً بالدابة ومتلفاً لها، كحمل بعض الأشياء، فإذا انضمت إليها بلغت خمسمائة واثنتا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منها لا حكم لها، وهي ما إذا كانت الزيادة والنقيصة ممّا تحصل بتفاوت الموازين والمكاييل، وجملة يُعرف حكمها من قواعد الإتلاف وجملة يُعرف حكمها من قواعد الغرور، وجملة يُعرف حكمها من قواعد الضمان</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3424939_1280447820"/>
      <w:bookmarkStart w:id="246" w:name="_Toc88"/>
      <w:bookmarkEnd w:id="245"/>
      <w:r>
        <w:rPr>
          <w:rtl w:val="true"/>
        </w:rPr>
        <w:t>الثالث والعشرون</w:t>
      </w:r>
      <w:r>
        <w:rPr>
          <w:rtl w:val="true"/>
        </w:rPr>
        <w:t xml:space="preserve">: </w:t>
      </w:r>
      <w:r>
        <w:rPr>
          <w:rtl w:val="true"/>
        </w:rPr>
        <w:t>في أنّه يشترط في الإجارة كون المنفعة المقصود عليها محلّلةً</w:t>
      </w:r>
      <w:bookmarkEnd w:id="246"/>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الإجارة كون المنفعة المقصود عليها محلّلة، ولا يضر القصد إلى المحرم منها إذا لم يذكر في العقد شطراً أو شرطاً، فلو عقد على منفعة محرمة بطل العقد وإن كان للمعقود عليه جهة محلّلة؛ لظاهر الاتفاق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وللخبر المعتبر المشتهر فتوى 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يؤاجر البيت فيباع فيه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أُجرته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وظاهر تحريم الثمن والأجرة بطلان </w:t>
      </w:r>
      <w:bookmarkStart w:id="247" w:name="pg19218_273986"/>
    </w:p>
    <w:p>
      <w:pPr>
        <w:pStyle w:val="BookText"/>
        <w:rPr/>
      </w:pPr>
      <w:bookmarkEnd w:id="247"/>
      <w:r>
        <w:rPr>
          <w:rFonts w:ascii="Amiri" w:hAnsi="Amiri" w:eastAsia="Amiri" w:cs="Amiri"/>
          <w:color w:val="111111"/>
          <w:sz w:val="28"/>
          <w:sz w:val="28"/>
          <w:szCs w:val="28"/>
          <w:rtl w:val="true"/>
          <w:lang w:bidi="ar-SA"/>
        </w:rPr>
        <w:t>العقد؛ لفهم الفقهاء ذلك، ولدلالة اللفظ التزاماً شرعيّاً عليه، يعرف ذلك بالنظر إلى القواعد الفقهيّة، وللاستقراء القطعي أو الظنّي المعتبر كما يُفهم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العقد على المحرَّم لو صحّ للزم إمّا جواز استيفائه وهو باطل بالضرورة، أو استيفاء غيره وهو غير المعقود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بصحّة العقد على المحرم، ويلزم الانتفاع بغيره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شاذ ضعيف مخالف للسنة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يستند إليه من الصحيح فيمن يؤجر سفينة أو دابّة ممّن يحمل فيها أو عليها الخمر والخنازير،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ضعيف؛ لشذوذه، وموافقته للتقيّة، أو منزل على حال الاضطرار أو على محلَّل كالخمر المتخذة للتخليل وشبهها، أو على أنّ القصد لغير المحرم ففعل المستأجر المحرَّم، أو على أنّ المعقود عليه غير المحرم ففعل المستأجر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آجر الدابّة ممّن يعمل المحرَّم لا للعمل المحرَّم، صحّ على الأقوى، سواء علم أنّه يعمل به ذلك أم لا، إلّا أنّه مع الجهل لا حرمة عليه، ومع العلم فالأقوى التحريم؛ لكونه ممّا يدخل في الإعانة على الإثم، مع احتمال الجواز؛ لما مرّ من النصوص الواردة في البيع السارية لمثل هذا المقام بتنقيح المناط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3424941_1280447820"/>
      <w:bookmarkStart w:id="249" w:name="_Toc89"/>
      <w:bookmarkEnd w:id="248"/>
      <w:r>
        <w:rPr>
          <w:rtl w:val="true"/>
        </w:rPr>
        <w:t>الرابع والعشرون</w:t>
      </w:r>
      <w:r>
        <w:rPr>
          <w:rtl w:val="true"/>
        </w:rPr>
        <w:t xml:space="preserve">: </w:t>
      </w:r>
      <w:r>
        <w:rPr>
          <w:rtl w:val="true"/>
        </w:rPr>
        <w:t>في أنّه يشترط في عقد الإجارة القدرة على التسليم</w:t>
      </w:r>
      <w:bookmarkEnd w:id="249"/>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عقد الإجارة القدرة على التسليم من المستأجر، ويقوم مقامه القدرة على التسلّم من المؤجر على الأقوى؛ لارتفاع السفه الموجب للبطلان به؛ لأنّ الدليل عليها إمّا الإجماع وهو متيقن في الصورة الأُولى، وإما السفه والغرر وهو كذلك أيضاً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تصحح الإجارة الضميمة مطلقاً؛ لارتفاع السفه بها، ولعدم تحقق الإجماع على المنع معها، أو لا تصححها مطلقاً لإطلاق دليل المنع وعدم دليل على تخصيصه بغير حال الانضمام، أو تصححها في الآبق المنصوص على جواز بيعه مع الضميمة </w:t>
      </w:r>
      <w:r>
        <w:rPr>
          <w:rStyle w:val="FootnoteAnchor"/>
          <w:rtl w:val="true"/>
        </w:rPr>
        <w:footnoteReference w:id="251"/>
      </w:r>
      <w:r>
        <w:rPr>
          <w:rFonts w:ascii="Amiri" w:hAnsi="Amiri" w:eastAsia="Amiri" w:cs="Amiri"/>
          <w:color w:val="111111"/>
          <w:sz w:val="28"/>
          <w:sz w:val="28"/>
          <w:szCs w:val="28"/>
          <w:rtl w:val="true"/>
          <w:lang w:bidi="ar-SA"/>
        </w:rPr>
        <w:t>، دون غيره؛ لعدم النصّ ؟ وجوه، أقواها المنع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ارتفاع السفه بالضميمة ممنوعة سيما فيما كانت الضميمة غير مقصودة أصالة، كدعوى إلحاق الإجارة بالبيع، فيصح في الآبق ولو كانت الضميمة غير مقصودة أصالة؛ لمنع الإلحاق، وكونه من القياس الممنوع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بالصحّة فيما لو كانت الضميمة مقصودة بالأصالة وكانت ممّا تقابل بالأعواض؛ لارتفاع السفه، فيدخل العقد المشتمل على ذلك تحت أدلّة العقود جنساً ونوعاً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بالصحّة فهل يشترط في الضميمة إمكان إفرادها بالإجارة، أو يكفي إمكان إفرادها بالبيع وإن لم يمكن إفرادها بالإجارة؟ وجهان، والأحوط الأول؛ لأن الظاهر أن ضميمة كلّ شيءٍ إلى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أفراد غير المقدور على تسليمه المغصوب الذي لا يمكن إرجاعه، والضال والذاهب والمجحود والآبق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غصب بعد العقد وقبل القبض، لم ينفسخ العقد على الأظهر، وتسلّط المستأجر على الخيار بين الفسخ والرجوع إلى المؤجر بالمسمّى وبين الإمضاء والرجوع على الغاصب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الإمضاء والرجوع إلى المؤجر بأجرة المثل للزوم التسليم عليه فيطالب به وبعوضه؟ وجه لا يبعد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أرجعه الظالم في أثناء المدّة لم يزل خيار المستأجر، ولكن له فسخ الجميع أو إمضاء الجميع فيطالب الغاصب بأجرة مثل المدّة التي تحقق فيها الغصب، وليس له تبعيض الفسخ فيفسخ في البعض ويأخذ من المسمّى بنسبته ويمضي الباقي؛ للزوم الضرر على المؤجر بتبعيض الصفقة، مع احتمال ذلك؛ لتنزيل المنفعة في الأزمنة المتعدّدة منزلة عقود متعدّدة، ولكنه بعيد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منع المستأجر الظالم بعد القبض عن استيفاء المنفعة كلاً أو بعضاً، لم يكن له الفسخ، وكان له مطالبة الظالم فقط بأجرة المثل، مع احتمال جواز الفسخ في الجميع أو إمضاء الجميع، سواء منعه عن الكلّ أو عن البعض من المنافع؛ تنزيلاً للمنافع المتجددة منزلة الأعيان الغير مقبوضة، فهي مضمونة على المؤجر، وقبض المستأجر العين لا يقوم مقام قبض المنافع من كل وجه</w:t>
      </w:r>
      <w:r>
        <w:rPr>
          <w:rFonts w:eastAsia="Amiri" w:cs="Amiri" w:ascii="Amiri" w:hAnsi="Amiri"/>
          <w:color w:val="111111"/>
          <w:sz w:val="28"/>
          <w:szCs w:val="28"/>
          <w:rtl w:val="true"/>
          <w:lang w:bidi="ar-SA"/>
        </w:rPr>
        <w:t xml:space="preserve">. </w:t>
      </w:r>
      <w:bookmarkStart w:id="250" w:name="pg19218_273988"/>
    </w:p>
    <w:p>
      <w:pPr>
        <w:pStyle w:val="BookText"/>
        <w:rPr/>
      </w:pPr>
      <w:bookmarkEnd w:id="250"/>
      <w:r>
        <w:rPr>
          <w:rFonts w:ascii="Amiri" w:hAnsi="Amiri" w:eastAsia="Amiri" w:cs="Amiri"/>
          <w:color w:val="111111"/>
          <w:sz w:val="28"/>
          <w:sz w:val="28"/>
          <w:szCs w:val="28"/>
          <w:rtl w:val="true"/>
          <w:lang w:bidi="ar-SA"/>
        </w:rPr>
        <w:t>ولو كان المنع من المؤجر، احتمل انفساخ العقد إن منعه قبل القبض، واحتمل بقاؤه وثبوت الخيار للمستأجر، وهو الأقوى والأوفق بالقواعد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منعه بعد القبض احتمل ثبوت الخيار للمستأجر أيضاً، ولكن الأقوى عدمه، فله الرجوع على المؤجر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ينفسخ العقد، وللنظر في جملة من هذه الأحكام مجال</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3424943_1280447820"/>
      <w:bookmarkStart w:id="252" w:name="_Toc90"/>
      <w:bookmarkEnd w:id="251"/>
      <w:r>
        <w:rPr>
          <w:rtl w:val="true"/>
        </w:rPr>
        <w:t xml:space="preserve">الخامس والعشرون </w:t>
      </w:r>
      <w:r>
        <w:rPr>
          <w:rtl w:val="true"/>
        </w:rPr>
        <w:t xml:space="preserve">: </w:t>
      </w:r>
      <w:r>
        <w:rPr>
          <w:rtl w:val="true"/>
        </w:rPr>
        <w:t>حكم ما لو طرأ على العين المستأجرة ما يقضي ببطلان الانتفاع بها</w:t>
      </w:r>
      <w:bookmarkEnd w:id="252"/>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طرأ على العين المستأجرة ما يقضي ببطلان الانتفاع بها بالمنفعة المعقود عليها أصلاً ورأساً، انفسخ عقد الإجارة قبل القبض، أو بعده وقبل استيفاء شيءٍ من المنافع أو بعده، ولا فرق في ذلك بين إمكان تداركه من المؤجر وإصلاحه وبين عدمه، فلو انهدمت الدار أو غرقت الأرض أو مرض الأجير أو غير ذلك، انفسخ العقد وإن أمكن المؤجر بناء الدار ورفع مائها ومداواة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مع إمكان الإصلاح من المؤجر بسرعة بحيث لا يفوت عليه شيء من المنافع لا يُحكم بالانفساخ عند تدارك المؤجر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للمستأجر الخيار بين الفسخ ودفع المسمّى بنسبته أو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مع الإمضاء جبر المؤجر على الإصلاح؛ توصلاً إلى استيفاء حقه اللازم توفيته على المؤجر ؟ ظاهر المشهور ذلك، أو لا يلزم؟ للأصل، وعدم دليل على وجوب الإصلاح بعد تسليم العين صالحةً؛ لأنّ العين الواقع عليها العقد هي ما كانت على الحال الأوّل، فوجوب الإصلاح مفتقر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مع تحقق الإصلاح الفعلي من المؤجر وعدم فوات شيء من المنافع على المستأجر تكون الإجارة لازمةً، وليس للمستأجر فسخها، والعمل على الاستصحاب منظور فيه؛ للشكّ في ثبوت الخيار أولاً والحال كذلك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طرأ على العين ما يقضي ببطلان بعض المنفعة بحيث لا يزول بها الانتفاع رأساً، ثبت للمستأجر الخيار بين الفسخ فيدفع من الأجرة ما لزمه بالنسبة، وبين الإمضاء بالمسمّى، وفي ثبوت الأرش كلام تقدّم</w:t>
      </w:r>
      <w:r>
        <w:rPr>
          <w:rFonts w:eastAsia="Amiri" w:cs="Amiri" w:ascii="Amiri" w:hAnsi="Amiri"/>
          <w:color w:val="111111"/>
          <w:sz w:val="28"/>
          <w:szCs w:val="28"/>
          <w:rtl w:val="true"/>
          <w:lang w:bidi="ar-SA"/>
        </w:rPr>
        <w:t xml:space="preserve">. </w:t>
      </w:r>
      <w:bookmarkStart w:id="253" w:name="pg19218_273989"/>
    </w:p>
    <w:p>
      <w:pPr>
        <w:pStyle w:val="Heading4"/>
        <w:numPr>
          <w:ilvl w:val="3"/>
          <w:numId w:val="1"/>
        </w:numPr>
        <w:rPr/>
      </w:pPr>
      <w:bookmarkStart w:id="254" w:name="__RefHeading___Toc13424945_1280447820"/>
      <w:bookmarkStart w:id="255" w:name="_Toc91"/>
      <w:bookmarkEnd w:id="253"/>
      <w:bookmarkEnd w:id="254"/>
      <w:r>
        <w:rPr>
          <w:rtl w:val="true"/>
        </w:rPr>
        <w:t>السادس والعشرون</w:t>
      </w:r>
      <w:r>
        <w:rPr>
          <w:rtl w:val="true"/>
        </w:rPr>
        <w:t xml:space="preserve">: </w:t>
      </w:r>
      <w:r>
        <w:rPr>
          <w:rtl w:val="true"/>
        </w:rPr>
        <w:t>في أنّ صاحب الحمّام لا يكون ضامناً لما يسلّمه إليه المغتسل من الثياب وشبهها إلّا مع التعدّي أو التفريط</w:t>
      </w:r>
      <w:bookmarkEnd w:id="255"/>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الحمام وشبهه قد يكون أميناً فيما إذا سلّمه المغتسل الثياب وشبهها أو وضعها في المسلخ فقال له احفظها؛ لأنّ المسلخ خزانته وتحت يده ويلحق به ما إذا كان مستعداً للتأمين فوضعها بمرأى منه ومسمع فأقره على الوضع، وقد لا يكون أميناً، كما إذا نزع المغتسل الثياب فطرحها لا على نحو من تلك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فلا ضمان إلّا مع التعدّي أو التفريط؛ لأنّه أمين، وعلى الثاني فلا ضمان مطلقاً، إلّا إذا استند الإتلاف إليه؛ لأصالة عدم الضمان مع عدم التزامه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على صاحب الحمام في ما ذهب من الثياب؛ لأنّه إنّما أخذ الجعل على الحمام ولم يأخذ على الثياب</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وظاهره عدم الضمان في صورة الإيداع وعدمه، وتعليقه على الجعل وعدمه محمول على الإيداع عند أخذه، والتفريط بالحفظ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أمين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ويستفاد منه ضمانه مع التفريط عند كونه أميناً لا مطلقاً</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3424947_1280447820"/>
      <w:bookmarkStart w:id="257" w:name="_Toc92"/>
      <w:bookmarkEnd w:id="256"/>
      <w:r>
        <w:rPr>
          <w:rtl w:val="true"/>
        </w:rPr>
        <w:t>السابع والعشرون</w:t>
      </w:r>
      <w:r>
        <w:rPr>
          <w:rtl w:val="true"/>
        </w:rPr>
        <w:t xml:space="preserve">: </w:t>
      </w:r>
      <w:r>
        <w:rPr>
          <w:rtl w:val="true"/>
        </w:rPr>
        <w:t>في أنّ العين المقبوضة من يد المستأجر بيد المؤجر أمانة</w:t>
      </w:r>
      <w:bookmarkEnd w:id="257"/>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المقبوضة من يد المستأجر بيد المؤجر أمانة عمل بها أم لا، من أهل الصنائع كان كالنجار والقصار والحائك والصائغ، أم لا، كالجمال والحمّال والراعي والمكاري والملاح، فلا يضمنها بدون تعد أو تفريط، إلّا إذا استند الإتلاف إليه بعمله أو بعمل وكيله، كأن أفسدها أو عيبها عن عمدٍ أو سهو أو خطا باجتهاد أو غيره، فإنّه يضمن حينئذٍ من غير خلافٍ؛ لعموم ما دلّ على ضمان اليد وضمان التلف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وللأخبار الخاصّة الدالّة على ذلك،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يعطى الأجر ليصلح فيفسد فهو ضامن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ثالث مثله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غرامة القصار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أعطيته ليصلح، لم تعطه ليفسد</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خامس مثله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سادس في تغريم النجار حيث أفسد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غرمه ذلك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بما قدمنا الكحّال والحجّام والقصّار والبيطار والطبيب إذا أفسدوا بعملهم كسقيهم الدواء وشبهه من لطوخ وسعوط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أو تبيطر فليأخذ البراءة من صاحبه، وإلا فهو ضامن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يضمن الطبيب بوصفه ؟ الظاهر العدم للأصل، والشكّ في شمول قاعدة الغرور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وصف الغير العاقل فاستعمل بسبب وصفه فلا يبعد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الخبر الأخير أن البراءة من الضمان ترفعه، كاشتراط عدمه عند وقوع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ذلك فيما لو لم يكن العامل مقصراً في العمل ولو لعدم كونه عارفاً، وكون الطبيب حاذقاً ومجتهداً، وإلا فلو كان جاهلاً فأفسد لجهله ضمن مطلقاً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بعدم ضمان غير أهل الصنائع إذا لم يتعدوا وإن كان الإتلاف بما جنته أيديهم؛ لما دلّ على عدم ضمان الأمين</w:t>
      </w:r>
      <w:r>
        <w:rPr>
          <w:rStyle w:val="FootnoteAnchor"/>
          <w:rtl w:val="true"/>
        </w:rPr>
        <w:footnoteReference w:id="262"/>
      </w:r>
      <w:r>
        <w:rPr>
          <w:rFonts w:ascii="Amiri" w:hAnsi="Amiri" w:eastAsia="Amiri" w:cs="Amiri"/>
          <w:color w:val="111111"/>
          <w:sz w:val="28"/>
          <w:sz w:val="28"/>
          <w:szCs w:val="28"/>
          <w:rtl w:val="true"/>
          <w:lang w:bidi="ar-SA"/>
        </w:rPr>
        <w:t>، وغاية ما خرج الصائغ، وهو قوي، وقد يظهر من الفقهاء ذلك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التلف لم يستند للعامل فلا ضمان؛ للأصل، ولما دلّ على عدم ضمان الأمين </w:t>
      </w:r>
      <w:r>
        <w:rPr>
          <w:rStyle w:val="FootnoteAnchor"/>
          <w:rtl w:val="true"/>
        </w:rPr>
        <w:footnoteReference w:id="263"/>
      </w:r>
      <w:r>
        <w:rPr>
          <w:rFonts w:ascii="Amiri" w:hAnsi="Amiri" w:eastAsia="Amiri" w:cs="Amiri"/>
          <w:color w:val="111111"/>
          <w:sz w:val="28"/>
          <w:sz w:val="28"/>
          <w:szCs w:val="28"/>
          <w:rtl w:val="true"/>
          <w:lang w:bidi="ar-SA"/>
        </w:rPr>
        <w:t>من الأخبار المتكثّرة في الموارد المتعدّدة، وللأخبار الخاصّة المؤيدة بالأصل وفتوى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في الصحيح عن الصباغ والقصار،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يضمنان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 عن الملاح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مأموناً فلا تضمّنه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جمالٍ ضاع منه حمل،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جمالٍ ضاع منه جمل قيمته ستمائة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يتهمونه؟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يغرمونه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حمّال يحمل المتاع فيضيع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تأخذوا منه شيئاً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القصار يضيع الثوب بعد أن دفعه إلى قصارٍ آخر، فوقع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إلّا أن يكون ثقةً مأموناً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ظاهرة في عدم الضمان وتقييدها بعدم الاتهام وبكونه مأموناً ونحو ذلك إنما هو لرفع اليمين عنه؛ لأنّه في صورة عدم الاتهام لا ضمان ولا يمين، وفي صورة الاتهام يتوجه عليه اليمين، فإن نكل ضمن فمعنى تضمينه معاملته معاملة الضامن، ولا يرتفع عنه إلّا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ويشعر بذلك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القصار تذهب منه الجبّة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اتهمته استحلفته، وإن لم تتهمه فليس عليه شيء</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القصار إلّا ما جنت يده، وإن اتهمته أحلفته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الصائغ ولا القصار ولا الحائك إلّا أن يكونوا متهمين فيخوّف بالبيّنة أو يستحلف لعله يستخرج شيئاً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فرض المسألة في ضمان العامل مع عدم التعدّي والتفريط والجناية بيده، وعدمه، ولا مدخلية لذلك في الاتهام وعدمه، بل قد تكون تلك مسألة أُخرى تلحق بباب الدعاوى، وهو أن المتهم لا يُصدَّق قوله في التلف، بل يتعلّق به الضمان، إلّا أن تقوم بينة بذلك، أو يظهر </w:t>
      </w:r>
    </w:p>
    <w:p>
      <w:pPr>
        <w:pStyle w:val="BookText"/>
        <w:rPr/>
      </w:pPr>
      <w:r>
        <w:rPr>
          <w:rFonts w:ascii="IRNazanin" w:hAnsi="IRNazanin" w:eastAsia="IRNazanin"/>
          <w:color w:val="111111"/>
          <w:sz w:val="28"/>
          <w:sz w:val="28"/>
          <w:szCs w:val="28"/>
          <w:rtl w:val="true"/>
          <w:lang w:bidi="fa-IR"/>
        </w:rPr>
        <w:t>دعوی التلف باستناده لأمرٍ مشهور من حرق أو غرق أو شبههما، ولعلنا نقول بها؛ قضاء لحق ظاهر تلك الأخبار، كما ورد في جملةٍ من الأخبار ممّا يقضي بالضمان وعدم تصديق قوله إلّا مع البيّنة بذلك أو شبهها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قصارٍ زعم أن الثوب سُرِق من بين متاعه،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يقيم البيّنة أنّه سُرِق من بين متاعه وليس عليه شيء، وإن سرق متاعه كلّه فليس عليه شيء</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جمال معه زيت ادّعى أنّ منه قد انخرق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زعم أنّه انخرق فلا يقبل منه إلّا ببينة عادلة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يحمل الزيت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أو أهرق أو قطع عليه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ببينة عادلة أنّه قطع عليه أو ذهب فليس عليه شيء، وإلا ضمن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لنا في الأخذ بها في مقابلة القواعد وفتوى المشهور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جملة من الأخبار ممّا ظاهره الضمان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القصار والصائغ احتياطاً على أموال الناس</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مثله،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لا يضمن من الغرق والحرق والشيء الغالب</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القصار والصائغ أيضمنون؟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الناس إلّا أن يضمنوا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الأجير المشترك ضامن إلّا من سبع أو غرق أو حرق أو أمر مكابر</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حمل مع رجلٍ طعاماً في سفينته فنقص،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ضمان ما جنته أيديهم كما يشعر به سياقها دون غيره، أو </w:t>
      </w:r>
      <w:bookmarkStart w:id="258" w:name="pg19218_273993"/>
    </w:p>
    <w:p>
      <w:pPr>
        <w:pStyle w:val="BookText"/>
        <w:rPr/>
      </w:pPr>
      <w:bookmarkEnd w:id="258"/>
      <w:r>
        <w:rPr>
          <w:rFonts w:ascii="Amiri" w:hAnsi="Amiri" w:eastAsia="Amiri" w:cs="Amiri"/>
          <w:color w:val="111111"/>
          <w:sz w:val="28"/>
          <w:sz w:val="28"/>
          <w:szCs w:val="28"/>
          <w:rtl w:val="true"/>
          <w:lang w:bidi="ar-SA"/>
        </w:rPr>
        <w:t>على حالة التعدّي والتفريط، أو على إرادة عدم تصديقهم في دعوى التلف بل يلتزمون بالأداء إلّا أن يقيموا بينةً بذلك، كما دلّت عليه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ضعف القول بالضمان مطلقاً، كما نُسب للمفيد والمرتضى ونقل عليه الإجماع </w:t>
      </w:r>
      <w:r>
        <w:rPr>
          <w:rStyle w:val="FootnoteAnchor"/>
          <w:rtl w:val="true"/>
        </w:rPr>
        <w:footnoteReference w:id="281"/>
      </w:r>
      <w:r>
        <w:rPr>
          <w:rFonts w:ascii="Amiri" w:hAnsi="Amiri" w:eastAsia="Amiri" w:cs="Amiri"/>
          <w:color w:val="111111"/>
          <w:sz w:val="28"/>
          <w:sz w:val="28"/>
          <w:szCs w:val="28"/>
          <w:rtl w:val="true"/>
          <w:lang w:bidi="ar-SA"/>
        </w:rPr>
        <w:t>، أو الضمان مع التهمة دون ما عداها، كما يقضي بها الجمع بين الأخبار، وجنح إليه بعض المتأخرين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13424949_1280447820"/>
      <w:bookmarkStart w:id="260" w:name="_Toc93"/>
      <w:bookmarkEnd w:id="259"/>
      <w:r>
        <w:rPr>
          <w:rtl w:val="true"/>
        </w:rPr>
        <w:t>الثامن والعشرون</w:t>
      </w:r>
      <w:r>
        <w:rPr>
          <w:rtl w:val="true"/>
        </w:rPr>
        <w:t xml:space="preserve">: </w:t>
      </w:r>
      <w:r>
        <w:rPr>
          <w:rtl w:val="true"/>
        </w:rPr>
        <w:t>في أنّ من تقبل عملاً بإجارة أو غيرها جاز أن يقبله غيره مطلقاً</w:t>
      </w:r>
      <w:bookmarkEnd w:id="260"/>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تقبل عملاً بإجارة أو غيرها في عينٍ أو في غيرها، جاز أن يقبله غيره مطلقاً إذا لم يشترط عليه المباشرة بنفسه برأس ماله، أو بزيادة عليه أو بنقيصةٍ عنه إذا عمل فيه عملاً، أو عمل منه عملاً، أو ضم إلى العمل شيئاً من عمله في العين إليه، أو ضم إليه عيناً داخلة في المستأجر عليه، أو كان من غير جنس الأجرة فيؤجر الباقي بنقصانٍ عن رأس المال ويكون له الفضل، ويدلّ على ذلك عموم الأدلّة وخصوصها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أن يقبل العمل بنقيصةٍ عن رأس المال مع عدم إحداث شيء في العين، أو عمل بعض العمل، أو ضمّ شيءٍ من عمله في العين إليه، أو كونه من غير جنس الأجرة الأولى؟ ظاهر جملةٍ من الأخبار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تقبيل العمل بدون أن يعمل منه شيئاً، أو يعمل في العين شيئاً، أو يضمّ للعمل عملاً منه مع عمل المتقبل أو قبله، كتفصيل الثوب، أو خياطة بعضه قبل تقبيله، أو خياطة بعضه مع المستأجر، أو دفع الخيوط لمن استأجره إذا لم تكن عليه بنفس الإجارة، وأفتى بمضمونها أكثر القدماء بل مشهورهم </w:t>
      </w:r>
      <w:r>
        <w:rPr>
          <w:rStyle w:val="FootnoteAnchor"/>
          <w:rtl w:val="true"/>
        </w:rPr>
        <w:footnoteReference w:id="284"/>
      </w:r>
      <w:r>
        <w:rPr>
          <w:rFonts w:ascii="Amiri" w:hAnsi="Amiri" w:eastAsia="Amiri" w:cs="Amiri"/>
          <w:color w:val="111111"/>
          <w:sz w:val="28"/>
          <w:sz w:val="28"/>
          <w:szCs w:val="28"/>
          <w:rtl w:val="true"/>
          <w:lang w:bidi="ar-SA"/>
        </w:rPr>
        <w:t>، والاحتياط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مشهور المتأخرين الجواز؛ لعموم الأدلّة، وللأصول المحكمة والقواعد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أخبار المنع على الكراهة، وهو الأقوى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الكراهة والتحريم شاملة لما كان العقد الأوّل إجارة أو غيرها، وكذا العقد الثاني؛ لإطلاق الأخبار بلفظ التقبيل دون خصوصيّة الإجارة</w:t>
      </w:r>
      <w:r>
        <w:rPr>
          <w:rFonts w:eastAsia="Amiri" w:cs="Amiri" w:ascii="Amiri" w:hAnsi="Amiri"/>
          <w:color w:val="111111"/>
          <w:sz w:val="28"/>
          <w:szCs w:val="28"/>
          <w:rtl w:val="true"/>
          <w:lang w:bidi="ar-SA"/>
        </w:rPr>
        <w:t xml:space="preserve">. </w:t>
      </w:r>
      <w:bookmarkStart w:id="261" w:name="pg19218_273994"/>
    </w:p>
    <w:p>
      <w:pPr>
        <w:pStyle w:val="BookText"/>
        <w:rPr/>
      </w:pPr>
      <w:bookmarkEnd w:id="261"/>
      <w:r>
        <w:rPr>
          <w:rFonts w:ascii="Amiri" w:hAnsi="Amiri" w:eastAsia="Amiri" w:cs="Amiri"/>
          <w:color w:val="111111"/>
          <w:sz w:val="28"/>
          <w:sz w:val="28"/>
          <w:szCs w:val="28"/>
          <w:rtl w:val="true"/>
          <w:lang w:bidi="ar-SA"/>
        </w:rPr>
        <w:t xml:space="preserve">وعلى كلّ حال ففي مقام الجواز فهل يجوز للمتقبل العمل أن يسلّم العين إلى من استأجره هو إذا لم يشترط عليه المباشرة بنفسه سواء توقف العمل على التسليم أو لم يتوقف؛ للأصل، وللرواية الدالّة على عدم ضمان الدابّة المستأجرة بتسليمها للغير إذا لم يشترط عليه المؤجر ركوبها بنفسه </w:t>
      </w:r>
      <w:r>
        <w:rPr>
          <w:rStyle w:val="FootnoteAnchor"/>
          <w:rtl w:val="true"/>
        </w:rPr>
        <w:footnoteReference w:id="285"/>
      </w:r>
      <w:r>
        <w:rPr>
          <w:rFonts w:ascii="Amiri" w:hAnsi="Amiri" w:eastAsia="Amiri" w:cs="Amiri"/>
          <w:color w:val="111111"/>
          <w:sz w:val="28"/>
          <w:sz w:val="28"/>
          <w:szCs w:val="28"/>
          <w:rtl w:val="true"/>
          <w:lang w:bidi="ar-SA"/>
        </w:rPr>
        <w:t>، فعدم ضمانه بتسليمها لمن ملكه منفعتها أولى، ولأنّ تسليم العين مع توقف استيفاء المنفعة عليه ربما كان من ضروريات العقد الأوّل، أو لا يجوز؛ لحرمة التصرّف بمال الغير، وضعف الرواية عن مقاومة القواعد ؟ وحملها على حصول الإذن يومئذ لاقتضاء عقد الإجارة ذلك غير بعيد، على أنّ الأولوية ممنوعة، وعلى ذلك فله أن يؤجر ولكن ليس له أن يسلّم العين، فلو سلّم بدون إذن المالك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المالك من الإذن بعد أن استأجر غيره للعمل في العين، أو أجر العين لغيره، تسلّط المؤجر الثاني على الفسخ؛ لامتناع تسلّم العين عليه، بل ينفسخ العقد على الأظهر، إلّا إذا أجاز المالك؛ لتنزيله منزلة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بجواز الرجوع إلى الحاكم والاستئذان منه مع امتناع المالك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إلحاق غيبته به؛ للجمع بين حقّ العامل والمالك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نظرٍ؛ للمنع من ثبوت حقّ العامل بالتسلّم حال عدم رضى المالك</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3424951_1280447820"/>
      <w:bookmarkStart w:id="263" w:name="_Toc94"/>
      <w:bookmarkEnd w:id="262"/>
      <w:r>
        <w:rPr>
          <w:rtl w:val="true"/>
        </w:rPr>
        <w:t>التاسع والعشرون</w:t>
      </w:r>
      <w:r>
        <w:rPr>
          <w:rtl w:val="true"/>
        </w:rPr>
        <w:t xml:space="preserve">: </w:t>
      </w:r>
      <w:r>
        <w:rPr>
          <w:rtl w:val="true"/>
        </w:rPr>
        <w:t>في أنّه لا يلزم المستأجر نفقة الدابّة إلّا إذا اشترطت عليه مع تعيّنها قدراً</w:t>
      </w:r>
      <w:bookmarkEnd w:id="263"/>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المستأجر نفقة الدابّة لا بذل عين ولا عمل، إلّا إذا اشترطت عليه مع تعينها قدراً بلفظ أو بعادة؛ للأصل، وظاهر الأصحاب، واستصحاب تبعية النفقة لملك العين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امتنع المالك من الإنفاق لزم المستأجر الإنفاق؛ حفظاً للنفس المحترمة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بدونه في وجه قوي، مع احتمال الضمان ويرجع به إلى المالك لو نوى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استئذان الحاكم في الإنفاق في جواز الرجوع ؟ الأظهر ذلك ما دام الاستئذان ممكناً، وإلا كفى في الرجوع 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الامتناع البُعْد لغيبة أو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يلزمه نفقة الأجير الخاص إلّا إذا اشترطت عليه مع التعيين بقدر أو عادة، أو استؤجر بنفس النفقة مع التعيين، كما وردت به الأخبار في الرضاع، وإطلاقها محمول على النفقة المعيّنة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كون الأجير مستأجراً لعمل خاص، أو لجميع الأعمال إن جوزناه، وبين كونه مستأجراً لحاجةٍ خاصّة، أو لينفذه في جميع حوائجه، كلّ ذلك للأصل، والاستصحاب، ولعدم الدليل على التزام المستأجر به إلّا إذا قضت العادة بذلك، كما إذا لم يكن للأجير مال ولم تكن الأجرة مالاً، فإنّه لا يبعد أن تكون النفقة من قبيل الشرط الضمني على المستأجر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بلزوم النفقة على المستأجر ؛</w:t>
      </w:r>
      <w:r>
        <w:rPr>
          <w:rStyle w:val="FootnoteAnchor"/>
          <w:rtl w:val="true"/>
        </w:rPr>
        <w:footnoteReference w:id="287"/>
      </w:r>
      <w:r>
        <w:rPr>
          <w:rFonts w:ascii="Amiri" w:hAnsi="Amiri" w:eastAsia="Amiri" w:cs="Amiri"/>
          <w:color w:val="111111"/>
          <w:sz w:val="28"/>
          <w:sz w:val="28"/>
          <w:szCs w:val="28"/>
          <w:rtl w:val="true"/>
          <w:lang w:bidi="ar-SA"/>
        </w:rPr>
        <w:t>لاستحقاقه منافعه في جميع الأزمنة، فلم يبق له زمن يمكنه فيه تحصيل النفقة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لازم لتعلق النفقة برقبة المستأجر؛ لإمكان كونه عنده مال من مال هذه الإجارة أو غيرها، أو يكتسب بهبةٍ أو قرض أو نحوهما، على أنّه يلزم منه ثبوت نفقة عياله وأطفاله برقبة المستأجر أيضاً، ولا يلتزمه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 المسؤول فيه عن رجل استأجر رجلاً بنفقة ودراهم مسمّاة على أن يبعثه إلى أرض، فلمّا قدم دعاه رجل من أصحابه إلى منزله الشهر والشهرين، فيصيب عنده ما يغنيه عن نفقة المستأجر، فنظر الأجير إلى ما كان ينفق عليه في الشهر إذا هو لم يدعه فكافاً به الذي يدعوه، فمن مال مَنْ تلك المكافأة من مال الأجير أم من مال المستأجر؟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مصلحة المستأجر فهو من ماله، وإلا فهو على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رجل استأجر رجلاً بنفقةٍ مسماة ولم يفسر شيئاً، فما كان من مؤونة الأجير من غسل الثياب أو الحمام فعلى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المستأجر</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ضعف سنداً؛ لاشتماله على المهمل، ودلالةً؛ لاحتمال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يلوح من 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النفقة داخلة في الاستئجار، فهي من الأجرة شطراً أو شرطاً، فلا يكون ثمن غسل الثياب </w:t>
      </w:r>
      <w:bookmarkStart w:id="264" w:name="pg19218_273996"/>
    </w:p>
    <w:p>
      <w:pPr>
        <w:pStyle w:val="BookText"/>
        <w:rPr/>
      </w:pPr>
      <w:bookmarkEnd w:id="264"/>
      <w:r>
        <w:rPr>
          <w:rFonts w:ascii="Amiri" w:hAnsi="Amiri" w:eastAsia="Amiri" w:cs="Amiri"/>
          <w:color w:val="111111"/>
          <w:sz w:val="28"/>
          <w:sz w:val="28"/>
          <w:szCs w:val="28"/>
          <w:rtl w:val="true"/>
          <w:lang w:bidi="ar-SA"/>
        </w:rPr>
        <w:t>والحمّام في الثاني غير النفقة المستأجر بها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يفسّر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بالمسماة المعلومة بالعادة، وتكون تلك داخلة فيها، ولا يكون المال الذي كافاً به من دعاه في السؤال الأوّل غير النفقة المستأجر بها، بل هي منها فيستحقها بعد القيام بمصالح المستأجر، ومع ذلك فيسقط الاستدلال؛ لقيام الإجمال</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3424953_1280447820"/>
      <w:bookmarkStart w:id="266" w:name="_Toc95"/>
      <w:bookmarkEnd w:id="265"/>
      <w:r>
        <w:rPr>
          <w:rtl w:val="true"/>
        </w:rPr>
        <w:t>الثلاثون</w:t>
      </w:r>
      <w:r>
        <w:rPr>
          <w:rtl w:val="true"/>
        </w:rPr>
        <w:t xml:space="preserve">: </w:t>
      </w:r>
      <w:r>
        <w:rPr>
          <w:rtl w:val="true"/>
        </w:rPr>
        <w:t>حكم ما لو أجر العبد نفسه من دون إذن مولاه أو أجره المولى أو آجر نفسه بإذن مولاه وتعدى أو فرّط في العين المقبوضة</w:t>
      </w:r>
      <w:bookmarkEnd w:id="266"/>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 العبد نفسه من دون إذن مولاه، كان فضولياً، فإن لم يجز المولى وقعت فاسدة، وله على المستأجر أجرة المثل، وليس على المولى ضمان شيء ممّا أتلفه بيده أو بتعديه أو تفريطه، بل يتعلّق بذمته ويتبع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أجاز،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كاشفة، جرى عليه ما جرى على المأذون ابتداء،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ناقلة، صحت الإجارة، ولا شيء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أجره المولى أو آجر نفسه بإذن المولى، فإن تعدى أو فرّط في العين المقبوضة في يده ضمن ما تعدى فيه، وليس على المولى شيء، ويكون متبوعاً به بعد العتق، وإن أفسد بيده كان ضمان ما أفسده بذمة المولى؛ لأنّ ضمان الجناية من لوازم الأجير، والإذن في الشيء إذن في لوازمه، كما لو أذن السيّد لعبده في الضمان أو في عمل يترتب عليه الضمان كعارية مضمونة أو مقبوض بالسوم، أو أذن له بالبيع الفاسد، أو أذن له بالإفساد ونحو ذلك؛ ولأنّ المولى بإجازته للعبد المملوك يكون كمباشر الإفساد حيث يكون العبد لا مهارة له في الفن ويكون المولى كالمدلّس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ما يدلّ على ضمان المولى مطلقاً في رجل كان له غلام استأجره منه صانع أو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ضيّع شيئاً أو أبق فمواليه ضامنون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ولا ينافي العمل بها عدم القول ببعضها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جمع من الأصحاب </w:t>
      </w:r>
      <w:r>
        <w:rPr>
          <w:rStyle w:val="FootnoteAnchor"/>
          <w:rtl w:val="true"/>
        </w:rPr>
        <w:footnoteReference w:id="290"/>
      </w:r>
      <w:r>
        <w:rPr>
          <w:rFonts w:ascii="Amiri" w:hAnsi="Amiri" w:eastAsia="Amiri" w:cs="Amiri"/>
          <w:color w:val="111111"/>
          <w:sz w:val="28"/>
          <w:sz w:val="28"/>
          <w:szCs w:val="28"/>
          <w:rtl w:val="true"/>
          <w:lang w:bidi="ar-SA"/>
        </w:rPr>
        <w:t xml:space="preserve">إلى تعلّق الضمان بخصوص كسب العبد من أموال المولى لا في ذمته مطلقاً، فلو أبق أو مات أو امتنع عليه الكسب أو نقص عن أرش الإفساد أو قيمة </w:t>
      </w:r>
      <w:bookmarkStart w:id="267" w:name="pg19218_273997"/>
    </w:p>
    <w:p>
      <w:pPr>
        <w:pStyle w:val="BookText"/>
        <w:rPr/>
      </w:pPr>
      <w:bookmarkEnd w:id="267"/>
      <w:r>
        <w:rPr>
          <w:rFonts w:ascii="Amiri" w:hAnsi="Amiri" w:eastAsia="Amiri" w:cs="Amiri"/>
          <w:color w:val="111111"/>
          <w:sz w:val="28"/>
          <w:sz w:val="28"/>
          <w:szCs w:val="28"/>
          <w:rtl w:val="true"/>
          <w:lang w:bidi="ar-SA"/>
        </w:rPr>
        <w:t>المتلف، لم يكن على المولى شيء، وكأنّ مستنده أن الصانع إذا أفسد تعلّق الضمان بماله، وحيث إنّ العبد لا مال له تعلّق بكسبه؛ ولأنّ الإجارة لا تزيد على الإذن في الضمان، وهو يتعلق بكسب العبد،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إلّا أن الأوّل أقوى؛ لظاهر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ظهر من بعض العبارات عدم ضمان المولى لما أفسده العبد مطلقاً لا في ذمته ولا في كسب العبد، بل يتعلّق بذمة العبد كباقي متلفاته على غير النفس والطرف من المال، وكما لو ضمن بإذن المولى مطلقاً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به من جهة القواعد إلّا أنّه خلاف ظاهر الأصحاب</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3424955_1280447820"/>
      <w:bookmarkStart w:id="269" w:name="_Toc96"/>
      <w:bookmarkEnd w:id="268"/>
      <w:r>
        <w:rPr>
          <w:rtl w:val="true"/>
        </w:rPr>
        <w:t>الواحد والثلاثون</w:t>
      </w:r>
      <w:r>
        <w:rPr>
          <w:rtl w:val="true"/>
        </w:rPr>
        <w:t xml:space="preserve">: </w:t>
      </w:r>
      <w:r>
        <w:rPr>
          <w:rtl w:val="true"/>
        </w:rPr>
        <w:t>فيما يتعلّق بجواز إجارة العبد ثمّ عتقه</w:t>
      </w:r>
      <w:bookmarkEnd w:id="269"/>
    </w:p>
    <w:p>
      <w:pPr>
        <w:pStyle w:val="BookText"/>
        <w:rPr/>
      </w:pPr>
      <w:r>
        <w:rPr>
          <w:rFonts w:ascii="Amiri" w:hAnsi="Amiri" w:eastAsia="Amiri" w:cs="Amiri"/>
          <w:color w:val="111111"/>
          <w:sz w:val="28"/>
          <w:sz w:val="28"/>
          <w:szCs w:val="28"/>
          <w:rtl w:val="true"/>
          <w:lang w:bidi="ar-SA"/>
        </w:rPr>
        <w:t>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جواز إجارة العبد ثمّ عتقه، وتلزم الإجارة؛ لعدم المنافاة، ووقوع كلّ عقدٍ في محله، إنما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رجوع العبد على المولى بأجرة مثل المدّة الغائية عليه بعد العتق لتفويت المولى عليه مالاً بعد الحرّية،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لسبق التفويتها هنا على الحرّية، كما لو أوصى بمنفعة عبده فأعتقه، أو شرط عليه خدمةً معيّنة فأعتقه، وحينئذٍ فتمليك العبد نفسه بالتحرير قد طرأ على تمليك منافعه التي كانت تحت يد المولى وفي تصرفه، فلا تستعقب ضماناً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نفقته هل هي على المولى، أو في كسبه، أو في بيت المال، أو على المستأجر؟ يحتمل الأوّل ؛ لأنّ المولى ملك عوض المنفعة في تلك المدّة واستوفاه فتلزمه النفقة، وللاستصحاب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الثاني للأصل، ولخروجه عن ملك المولى والنفقة تابعة للملك، إلّا أن النفقة لما كانت مقدّمةً على حقّ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كالمديون والمعسر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إخراجها من الكسب مقدمةً على حقّ المستأجر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الثالث؛ لإعداد بيت المال لمصالح المسلمين، وهذا منها؛ لأنّه من إحياء النفس المحترمة، ومن صلة المضطر المحتاج الذي لا ملجأ له؛ لأنّه لا مالك لرقبته؛ لانتفاء الملك </w:t>
      </w:r>
      <w:bookmarkStart w:id="270" w:name="pg19218_273998"/>
    </w:p>
    <w:p>
      <w:pPr>
        <w:pStyle w:val="BookText"/>
        <w:rPr/>
      </w:pPr>
      <w:bookmarkEnd w:id="270"/>
      <w:r>
        <w:rPr>
          <w:rFonts w:ascii="Amiri" w:hAnsi="Amiri" w:eastAsia="Amiri" w:cs="Amiri"/>
          <w:color w:val="111111"/>
          <w:sz w:val="28"/>
          <w:sz w:val="28"/>
          <w:szCs w:val="28"/>
          <w:rtl w:val="true"/>
          <w:lang w:bidi="ar-SA"/>
        </w:rPr>
        <w:t>عنها، ومالك المنفعة لا يجب عليه الإنفاق على العين المستأجرة إلّا مع الاشتراط ولا شرط ها هنا، وإخراجها من كسبه موقوف على أنّ الكسب من أمواله كالمعسر والمدين، وليس كذلك، بل كسبه في جميع أوقاته ملك للمستأجر، فلا يستثنى منه قدر الإنفاق، ولا يقدّم على حقّ الغير، وعلى ذلك فلو قصر بيت المال لزم كفاية الإنفاق عليه من سائر المسلمين؛ لوجوب حفظ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الرابع؛ لما قدمنا من أنّ الأجير الحُرّ نفقته على المستأجر وهذا مثله، ولعود جميع منافعه عليه فعليه النفقة؛ لأنّ مَنْ له النفع عليه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هذه الاحتمالات الثالث؛ لما يشتمل عليه غيره من الوهن والضعف، والمخالفة للقواعد والضوابط</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3424957_1280447820"/>
      <w:bookmarkStart w:id="272" w:name="_Toc97"/>
      <w:bookmarkEnd w:id="271"/>
      <w:r>
        <w:rPr>
          <w:rtl w:val="true"/>
        </w:rPr>
        <w:t>الثاني والثلاثون</w:t>
      </w:r>
      <w:r>
        <w:rPr>
          <w:rtl w:val="true"/>
        </w:rPr>
        <w:t xml:space="preserve">: </w:t>
      </w:r>
      <w:r>
        <w:rPr>
          <w:rtl w:val="true"/>
        </w:rPr>
        <w:t>حكم إيجار الوليّ للصبي أو المجنون أو السفيه أو إيجاره ما لهم</w:t>
      </w:r>
      <w:bookmarkEnd w:id="272"/>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الصبي أو المجنون أو السفية ولي إجباري، كالأب والجد، أو غيره، كالوصي والحاكم، أو أجر مالهم من عقار أو حيوان أو غيرهما مع المصلحة، فإن وقعت الإجارة في مدّة لا تزيد على الصبا أو الجنون أو السفه صحت الإجارة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وقعت في مدّة تزيد على ذلك، فإما أن تكون معلومة الزيادة عند الاستئجار، كما إذا آجر ابن عشر سنين عشرين سنة، وإما أن تكون مجهولةً، كما إذا آجر ابن عشر سنين أربع سنين فبلغ في أثنائها، أو أجر المجنون فعقل في الأثناء أو رشد بعد سفهه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معلومة الزيادة، فالذي يظهر من بعض المتأخرين أنّه لا خلاف في وقوع الزائد فضوليّاً موقوفاً على إجازة المولّى عليه، ولم يقع صحيحاً من أول وهلة بحيث لا يكون للمولى عليه فسخه ولا فاسداً بحيث لا تؤثر فيه الإجازة صحّة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 انعقد عليه إجماع فلا كلام، وإلا فمحل مناقشة؛ لإمكان القول بالصحّة والنفوذ من أول وهلة على الصبي؛ لأنّ الولي بمنزلة المالك إذا آجر ملكه وقائم مقامه، إمّا الإجباري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وأما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المصلحة الحاصلة بالاستئجار للصبي حال صغره تلك المدّة الزائدة على البلوغ أو العقل يكون بمنزلة المالك أيضاً، ويكون حكم الاستئجار في المقامين حكم </w:t>
      </w:r>
      <w:bookmarkStart w:id="273" w:name="pg19218_273999"/>
    </w:p>
    <w:p>
      <w:pPr>
        <w:pStyle w:val="BookText"/>
        <w:rPr/>
      </w:pPr>
      <w:bookmarkEnd w:id="273"/>
      <w:r>
        <w:rPr>
          <w:rFonts w:ascii="Amiri" w:hAnsi="Amiri" w:eastAsia="Amiri" w:cs="Amiri"/>
          <w:color w:val="111111"/>
          <w:sz w:val="28"/>
          <w:sz w:val="28"/>
          <w:szCs w:val="28"/>
          <w:rtl w:val="true"/>
          <w:lang w:bidi="ar-SA"/>
        </w:rPr>
        <w:t>النكاح فيما إذا أنكح الولي الصغير في أنّه يمضي عليه ذلك النكاح؛ ولإمكان القول بالفساد وبطلان الإجارة فيما زاد من أوّل وهلةٍ؛ لاشتراط قابلية المجيز للإجازة في الفضولي حال العقد، والصبي ها هنا لا قابلية له والولي لا دخل له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مجهولة الزيادة حين العقد فاتفقت المصادفة، فللفقهاء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بالصحّة </w:t>
      </w:r>
      <w:r>
        <w:rPr>
          <w:rStyle w:val="FootnoteAnchor"/>
          <w:rtl w:val="true"/>
        </w:rPr>
        <w:footnoteReference w:id="292"/>
      </w:r>
      <w:r>
        <w:rPr>
          <w:rFonts w:ascii="Amiri" w:hAnsi="Amiri" w:eastAsia="Amiri" w:cs="Amiri"/>
          <w:color w:val="111111"/>
          <w:sz w:val="28"/>
          <w:sz w:val="28"/>
          <w:szCs w:val="28"/>
          <w:rtl w:val="true"/>
          <w:lang w:bidi="ar-SA"/>
        </w:rPr>
        <w:t>لصدور العقد من أهله في محلّه فيقع صحيحاً فتُستصحب، ولم يعلم كون البلوغ ونحوه قاطعاً لذلك؛ لحلول الولي محلّ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بوقوعه فضوليّاً </w:t>
      </w:r>
      <w:r>
        <w:rPr>
          <w:rStyle w:val="FootnoteAnchor"/>
          <w:rtl w:val="true"/>
        </w:rPr>
        <w:footnoteReference w:id="293"/>
      </w:r>
      <w:r>
        <w:rPr>
          <w:rFonts w:ascii="Amiri" w:hAnsi="Amiri" w:eastAsia="Amiri" w:cs="Amiri"/>
          <w:color w:val="111111"/>
          <w:sz w:val="28"/>
          <w:sz w:val="28"/>
          <w:szCs w:val="28"/>
          <w:rtl w:val="true"/>
          <w:lang w:bidi="ar-SA"/>
        </w:rPr>
        <w:t>كالصورة الأولى؛ لتبعية صحّة الإجارة لبقاء الولاية، وهي تابعة للصغر ونحوه فتزول بزواله فتقع الإجارة في الزائد فضولية مفتقرةً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الأول؛ لما ذكرنا في معلوم الزيادة من أنّ الولي بمنزلة المالك فينفذ تصرفه في المدّة السابقة على البلوغ واللاحقة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تبعية الإجارة للولاية التابعة للصغر مسلّمة، ولا ينافي نفوذ ما وقع في الصغر المدة الواقعة في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العقد عند انتفائها كان فضوليّاً صرفاً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3424959_1280447820"/>
      <w:bookmarkStart w:id="275" w:name="_Toc98"/>
      <w:bookmarkEnd w:id="274"/>
      <w:r>
        <w:rPr>
          <w:rtl w:val="true"/>
        </w:rPr>
        <w:t>الثالث والثلاثون</w:t>
      </w:r>
      <w:r>
        <w:rPr>
          <w:rtl w:val="true"/>
        </w:rPr>
        <w:t xml:space="preserve">: </w:t>
      </w:r>
      <w:r>
        <w:rPr>
          <w:rtl w:val="true"/>
        </w:rPr>
        <w:t>فيما يتعلّق بما لو أمر غيره بعمل له أجرة عادة وكان العامل ممّن يأخذ الأجرة على عمله</w:t>
      </w:r>
      <w:bookmarkEnd w:id="275"/>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غيره بعمل وكان العمل له أجرة عادةً وكان العامل ممّن يأخذ الأجرة على عمله فلا شك بالتزام الأمر بأجرة المثل له ما لم تقم قرائن الأحوال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انتفى الأمران فلا شك بعدم ثبوت شيءٍ في ذمّة الآمر؛ لمكان العادة، فتكون كالقرينة على نيّة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للعمل قيمة عرفية، وإلا فلا إشكال في عدم الضمان؛ لعدم تموّل المنفعة فلا تكون مضمونةً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العامل ممّن يأخذ الأجرة على عمله عادةً، ضمن الآمر أيضاً أُجرة المثل؛ لعدم حصول الدلالة على إرادة التبرع بعمله، فيلتزم الآمر به وإن لم يكن للعمل أُجرة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العكس أيضاً، كما إذا كان العامل ليس من عادته أخذ الأجرة ولكن العمل ممّا له أُجرة عادةً، وذلك لتعارض العادتين، فلم يظهر من المأمور التبرع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فالأصل في كلّ منفعةٍ استوفاها الآمر من مال المأمور أو من نفسه أن يضمن الأمر أجرة مثلها؛ لأنّه عمل محترم قد استوفاه بأمره، وله قيمة بحسب العرف، فيضمن تلك القيمة؛ لدخولها حينئذٍ تحت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 تحت ما دلّ على ضمان المتلف والمستوفى، إلّا أن يقوم شاهد على إرادة التبرع من المأمور، فيكون من قبيل المال المباح بتقديمه للضيف، فلا يستعقبه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والأعيان كالمنافع عند الأمر بها وأخذها وإتلافها، فإنّه إن ظهر من المأمور الإباحة لم يضمن الآمر المثل والقيمة، وإن لم يظهر منه ذلك كان ضمان المتلف بالمثل والقيمة على الأمر، ومجرّد امتثال الأمر لا يقضي بالإباحة من المأمور؛ لأنّه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من الضمان الذي قضى به الدليل لا من المعاطاة؛ للزوم بيان العوضين في المعاطاة دون هذا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أراد شخص إعطاء المنافع كان له أن يعطي بصيغة الإباحة لا بصيغة الهبة؛ لاختصاصها بالأعيان المقابلة للمنافع، ولو كانت المنافع كلّيّةً في الذمم جاز تعلّق الإبراء بها دون الهبة</w:t>
      </w:r>
      <w:r>
        <w:rPr>
          <w:rFonts w:eastAsia="Amiri" w:cs="Amiri" w:ascii="Amiri" w:hAnsi="Amiri"/>
          <w:color w:val="111111"/>
          <w:sz w:val="28"/>
          <w:szCs w:val="28"/>
          <w:rtl w:val="true"/>
          <w:lang w:bidi="ar-SA"/>
        </w:rPr>
        <w:t xml:space="preserve">. </w:t>
      </w:r>
      <w:bookmarkStart w:id="276" w:name="pg19218_274001"/>
    </w:p>
    <w:p>
      <w:pPr>
        <w:pStyle w:val="Heading3"/>
        <w:numPr>
          <w:ilvl w:val="2"/>
          <w:numId w:val="1"/>
        </w:numPr>
        <w:rPr/>
      </w:pPr>
      <w:bookmarkStart w:id="277" w:name="__RefHeading___Toc13424961_1280447820"/>
      <w:bookmarkStart w:id="278" w:name="_Toc99"/>
      <w:bookmarkEnd w:id="276"/>
      <w:bookmarkEnd w:id="277"/>
      <w:r>
        <w:rPr>
          <w:rtl w:val="true"/>
        </w:rPr>
        <w:t>القول في التنازع</w:t>
      </w:r>
      <w:bookmarkEnd w:id="278"/>
    </w:p>
    <w:p>
      <w:pPr>
        <w:pStyle w:val="Heading4"/>
        <w:numPr>
          <w:ilvl w:val="3"/>
          <w:numId w:val="1"/>
        </w:numPr>
        <w:rPr/>
      </w:pPr>
      <w:bookmarkStart w:id="279" w:name="__RefHeading___Toc13424963_1280447820"/>
      <w:bookmarkStart w:id="280" w:name="_Toc100"/>
      <w:bookmarkEnd w:id="279"/>
      <w:r>
        <w:rPr>
          <w:rtl w:val="true"/>
        </w:rPr>
        <w:t>وفيه مواضع</w:t>
      </w:r>
      <w:r>
        <w:rPr>
          <w:rtl w:val="true"/>
        </w:rPr>
        <w:t>:</w:t>
      </w:r>
      <w:bookmarkEnd w:id="280"/>
    </w:p>
    <w:p>
      <w:pPr>
        <w:pStyle w:val="Heading5"/>
        <w:numPr>
          <w:ilvl w:val="4"/>
          <w:numId w:val="1"/>
        </w:numPr>
        <w:rPr/>
      </w:pPr>
      <w:bookmarkStart w:id="281" w:name="__RefHeading___Toc13424965_1280447820"/>
      <w:bookmarkStart w:id="282" w:name="_Toc101"/>
      <w:bookmarkEnd w:id="281"/>
      <w:r>
        <w:rPr>
          <w:rtl w:val="true"/>
        </w:rPr>
        <w:t>أحدها</w:t>
      </w:r>
      <w:r>
        <w:rPr>
          <w:rtl w:val="true"/>
        </w:rPr>
        <w:t xml:space="preserve">: </w:t>
      </w:r>
      <w:r>
        <w:rPr>
          <w:rtl w:val="true"/>
        </w:rPr>
        <w:t>حكم ما لو اختلفا في أصل الاستئجار</w:t>
      </w:r>
      <w:bookmarkEnd w:id="28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أصل الاستئجار، كان القول قول منكره مع عدم البيّنة؛ للأصل، وللإجماع المنقول </w:t>
      </w:r>
      <w:r>
        <w:rPr>
          <w:rStyle w:val="FootnoteAnchor"/>
          <w:rtl w:val="true"/>
        </w:rPr>
        <w:footnoteReference w:id="295"/>
      </w:r>
      <w:r>
        <w:rPr>
          <w:rFonts w:ascii="Amiri" w:hAnsi="Amiri" w:eastAsia="Amiri" w:cs="Amiri"/>
          <w:color w:val="111111"/>
          <w:sz w:val="28"/>
          <w:sz w:val="28"/>
          <w:szCs w:val="28"/>
          <w:rtl w:val="true"/>
          <w:lang w:bidi="ar-SA"/>
        </w:rPr>
        <w:t>، ورجع كلّ مالٍ إلى صاحبه إذا لم يستوف غير المالك شيئاً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المدّعي المالك أخذ المنافع مقاصةً عمّا دفعه من الأجرة؛ لأنّها ملكه على دعواه، فإن زادت قيمتها عليها دسّ الزائد في أموال المنكر، أو بقي مجهول المالك؛ لأنّه لا يدعيه أحد، أو يملكه بالإعراض،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المدّعي الآخر كانت العين مضمونةً عليه إن كانت تحت يده ولم يأذن المالك بقبضها، وأخذ الأجرة مقاصةً، إلّا مع الزيادة على المنفعة فيجيء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استوفى غير المالك شيئاً كلّاً أو بعضاً، ضمن العين إن لم يكن مأذوناً بالتصرف من المالك إذا كان المالك منكراً للاستئجار، وضمن أُجرة المثل وإن زادت على المسمّى بزعمه، وإن نقصت عنه كان الزائد بحكم المال المعرض عنه، أو يلزمه أن يدسه في مال المالك، أو يكون كالمجهول المالك، وجوه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المتصرّف يزعم أن الأجرة نقد مخصوص فإن كان من الغالب، دفعه للمالك ولزمه قبوله، وإلا دفع للمالك الغالب من النقد، وكان المعين بيده من المالك له أخذه مقاصةً إن ساوى، وإن زاد ففى الزائد الوجوه المتقدّمة</w:t>
      </w:r>
      <w:r>
        <w:rPr>
          <w:rFonts w:eastAsia="Amiri" w:cs="Amiri" w:ascii="Amiri" w:hAnsi="Amiri"/>
          <w:color w:val="111111"/>
          <w:sz w:val="28"/>
          <w:szCs w:val="28"/>
          <w:rtl w:val="true"/>
          <w:lang w:bidi="ar-SA"/>
        </w:rPr>
        <w:t xml:space="preserve">. </w:t>
      </w:r>
      <w:bookmarkStart w:id="283" w:name="pg19218_274002"/>
    </w:p>
    <w:p>
      <w:pPr>
        <w:pStyle w:val="BookText"/>
        <w:rPr/>
      </w:pPr>
      <w:bookmarkEnd w:id="283"/>
      <w:r>
        <w:rPr>
          <w:rFonts w:ascii="Amiri" w:hAnsi="Amiri" w:eastAsia="Amiri" w:cs="Amiri"/>
          <w:color w:val="111111"/>
          <w:sz w:val="28"/>
          <w:sz w:val="28"/>
          <w:szCs w:val="28"/>
          <w:rtl w:val="true"/>
          <w:lang w:bidi="ar-SA"/>
        </w:rPr>
        <w:t>وإن كان المنكر المتصرف وحلف على نفي الإجارة، لزمه أُجرة المثل، فإن كانت أزيد من المسمّى لم يكن للمالك أخذ الزائد؛ لاعتراف المالك بعدم استحقاقه له، وكان عليه دسّه في م ماله، أو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من المجهول المالك، أو ممّا يملك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يكن دَفَعه للمالك، وإن دَفَعه له لم يكن له مطالبة المالك به؛ لاعترافه بأنّه للمالك، وكان على المالك إرجاعه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أكذب المنكر نفسه بعد ذلك، ففي جواز أخذه للزائد الذي نفاه بإقراره أولاً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جازت المقاصة في المواضع المتقدّمة مع صدور النفي صدور النفي من المنكر؛ لعدم تعلّق اليمين بنفي المال ابتداءً بل إنما تعلّق بنفي وقوع العقد</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13424967_1280447820"/>
      <w:bookmarkStart w:id="285" w:name="_Toc102"/>
      <w:bookmarkEnd w:id="284"/>
      <w:r>
        <w:rPr>
          <w:rtl w:val="true"/>
        </w:rPr>
        <w:t>ثانيها</w:t>
      </w:r>
      <w:r>
        <w:rPr>
          <w:rtl w:val="true"/>
        </w:rPr>
        <w:t xml:space="preserve">: </w:t>
      </w:r>
      <w:r>
        <w:rPr>
          <w:rtl w:val="true"/>
        </w:rPr>
        <w:t>حكم ما لو اختلفا في ردّ العين المستأجرة</w:t>
      </w:r>
      <w:bookmarkEnd w:id="28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ردّ العين المستأجرة، كان القول قول المنكر؛ لنفي الخلاف عنه؛ وللأصل السالم عن المعارض حتّى ما يقال في الوديعة من أن الودعيّ لو ادّعى الردكان القول قوله؛ لأنّه محسن وما على المحسنين من سبيل؛ للفرق بين الودعيّ والمستأجر؛ حيث إن الأوّل قبض لمصلحة المودع، والثاني قبض لمصلحته، فلا سبيل على الأوّل بمطالبة البيّنة، بخلاف الثاني</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3424969_1280447820"/>
      <w:bookmarkStart w:id="287" w:name="_Toc103"/>
      <w:bookmarkEnd w:id="286"/>
      <w:r>
        <w:rPr>
          <w:rtl w:val="true"/>
        </w:rPr>
        <w:t>ثالثها</w:t>
      </w:r>
      <w:r>
        <w:rPr>
          <w:rtl w:val="true"/>
        </w:rPr>
        <w:t xml:space="preserve">: </w:t>
      </w:r>
      <w:r>
        <w:rPr>
          <w:rtl w:val="true"/>
        </w:rPr>
        <w:t>حكم ما لو اختلفا في قدر الشيء المستأجر عيناً أو عملاً واتفقا على قدر الأُجرة والزمان</w:t>
      </w:r>
      <w:bookmarkEnd w:id="28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قدر الشيء المستأجر عيناً أو عملاً واتفقا على قدر الأجرة والزمان، كان القول قول منكر الزيادة، كما يقول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البيت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آجرتني الدار بمائة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اتّفقا على قدر الشيء المستأجر والأجرة واختلفا في قدر الإجارة بحسب الزمان كان القول قول منكر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اختلفا في قدر الأجرة بعد اتفاقهما على قدر الشيء المستأجر والزمان، كان القول قول منكر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لفتوى المشهور، وللأصل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لمن قال بالتحالف عند الاختلاف في قدر الشيء المستأجر، فتنفسخ الإجارة؛ لأن كلا منهما مدّعٍ ومنكر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ضابطة التحالف أن لا يتفقا على شيءٍ ويختلفا في غيره، بل كلّ أمر يثبته أحدهما ينفيه الآخر، وها هنا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لمن حكم مع الاختلاف في قدر الأجرة بالقرعة، فمن خرج اسمه حلف وحكم له للإجماع على أنّها لكلّ أمر مشكل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أنّه لا إشكال في الأمر بعد ورود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ومدّعي الزيادة مدّع بالمعاني الثلاث ومنكرها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لمن حكم في هذه الصورة بالتحالف إن كان الاختلاف قبل مضي المدّة، وإلا فالقول قول المستأجر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به خروج عن ضابطة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لمن حكم هنا أيضاً بالتحالف إن حلفا وإلا فقول أحدهما مع يمينه إن نكل صاحبه، وإن نكلا أو حلفا جميعاً انفسخ العقد في المستقبل، وكان القول قول المالك مع يمينه في الماضي، وإن لم يحلف كان له أجرة المثل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قوة القول بالتحالف، 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لم تكن بينة، فلو كانت لأحدهما بينة سمعت مطلقاً، ولو كان لكل منهما سمعت بيّنة المدّعي دون المنكر، واحتمل الحكم بالتحالف حينئذٍ، واحتمل الرجوع للقرعة لإشكال الأمر، واحتمل الترجيح في البينات عند تعارضها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قدر الأجرة وقدر الشيء المستأجر، كما إذا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البيت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الدار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كون القول قول منكر الزيادة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التحالف، وهو قويّ؛ لأنّ اليمين على نفي استئجار الدار بالمائة لا يثبت على المستأجر استئجار البيت بخمسين، بل له أن يحلف على نفيه فتنفسخ الإجارة</w:t>
      </w:r>
      <w:r>
        <w:rPr>
          <w:rFonts w:eastAsia="Amiri" w:cs="Amiri" w:ascii="Amiri" w:hAnsi="Amiri"/>
          <w:color w:val="111111"/>
          <w:sz w:val="28"/>
          <w:szCs w:val="28"/>
          <w:rtl w:val="true"/>
          <w:lang w:bidi="ar-SA"/>
        </w:rPr>
        <w:t xml:space="preserve">. </w:t>
      </w:r>
      <w:bookmarkStart w:id="288" w:name="pg19218_274004"/>
    </w:p>
    <w:p>
      <w:pPr>
        <w:pStyle w:val="BookText"/>
        <w:rPr/>
      </w:pPr>
      <w:bookmarkEnd w:id="288"/>
      <w:r>
        <w:rPr>
          <w:rFonts w:ascii="Amiri" w:hAnsi="Amiri" w:eastAsia="Amiri" w:cs="Amiri"/>
          <w:color w:val="111111"/>
          <w:sz w:val="28"/>
          <w:sz w:val="28"/>
          <w:szCs w:val="28"/>
          <w:rtl w:val="true"/>
          <w:lang w:bidi="ar-SA"/>
        </w:rPr>
        <w:t xml:space="preserve">وربما قيل ذلك في صورة الاختلاف في قدر الشيء المستأجر أيضاً </w:t>
      </w:r>
      <w:r>
        <w:rPr>
          <w:rStyle w:val="FootnoteAnchor"/>
          <w:rtl w:val="true"/>
        </w:rPr>
        <w:footnoteReference w:id="301"/>
      </w:r>
      <w:r>
        <w:rPr>
          <w:rFonts w:ascii="Amiri" w:hAnsi="Amiri" w:eastAsia="Amiri" w:cs="Amiri"/>
          <w:color w:val="111111"/>
          <w:sz w:val="28"/>
          <w:sz w:val="28"/>
          <w:szCs w:val="28"/>
          <w:rtl w:val="true"/>
          <w:lang w:bidi="ar-SA"/>
        </w:rPr>
        <w:t>، لأنّه بحلف المالك على نفى إجارة الدار لا يثبت على المستأجر إجارة البيت بتلك الأجرة المتفق عليها؛ لأنّه يدعى الدار كملاً، لا بيتاً منها خاصّة، فلا بدّ من المخرج عن هذه الدعوى، وليس إلّا بيمين المستأجر على نفيها؛ لأنّ 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وجيه إن أخذت التمامية في الدار عنواناً عند التداعي، وإلا فالنظر فيه ظاهر</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3424971_1280447820"/>
      <w:bookmarkStart w:id="290" w:name="_Toc104"/>
      <w:bookmarkEnd w:id="289"/>
      <w:r>
        <w:rPr>
          <w:rtl w:val="true"/>
        </w:rPr>
        <w:t>رابعها</w:t>
      </w:r>
      <w:r>
        <w:rPr>
          <w:rtl w:val="true"/>
        </w:rPr>
        <w:t xml:space="preserve">: </w:t>
      </w:r>
      <w:r>
        <w:rPr>
          <w:rtl w:val="true"/>
        </w:rPr>
        <w:t>حكم ما لو اختلفا في التلف وعدمه أو التفريط وعدمه</w:t>
      </w:r>
      <w:bookmarkEnd w:id="29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التلف وعدمه أو في التفريط وعدمه، فالقول قول المستأجر بيمينه؛ للأخبار </w:t>
      </w:r>
      <w:r>
        <w:rPr>
          <w:rStyle w:val="FootnoteAnchor"/>
          <w:rtl w:val="true"/>
        </w:rPr>
        <w:footnoteReference w:id="302"/>
      </w:r>
      <w:r>
        <w:rPr>
          <w:rFonts w:ascii="Amiri" w:hAnsi="Amiri" w:eastAsia="Amiri" w:cs="Amiri"/>
          <w:color w:val="111111"/>
          <w:sz w:val="28"/>
          <w:sz w:val="28"/>
          <w:szCs w:val="28"/>
          <w:rtl w:val="true"/>
          <w:lang w:bidi="ar-SA"/>
        </w:rPr>
        <w:t>الدالّة على تصديق قول الأمين خصوصاً وعموماً، المنجبرة بفتوى المشهور، وبنفي العسر والحرج</w:t>
      </w:r>
      <w:r>
        <w:rPr>
          <w:rStyle w:val="FootnoteAnchor"/>
          <w:rtl w:val="true"/>
        </w:rPr>
        <w:footnoteReference w:id="303"/>
      </w:r>
      <w:r>
        <w:rPr>
          <w:rFonts w:ascii="IRNazanin" w:hAnsi="IRNazanin" w:eastAsia="IRNazanin"/>
          <w:color w:val="111111"/>
          <w:sz w:val="28"/>
          <w:sz w:val="28"/>
          <w:szCs w:val="28"/>
          <w:rtl w:val="true"/>
          <w:lang w:bidi="fa-IR"/>
        </w:rPr>
        <w:t>، والضرر والضرار</w:t>
      </w:r>
      <w:r>
        <w:rPr>
          <w:rStyle w:val="FootnoteAnchor"/>
          <w:rtl w:val="true"/>
        </w:rPr>
        <w:footnoteReference w:id="304"/>
      </w:r>
      <w:r>
        <w:rPr>
          <w:rFonts w:ascii="Amiri" w:hAnsi="Amiri" w:eastAsia="Amiri" w:cs="Amiri"/>
          <w:color w:val="111111"/>
          <w:sz w:val="28"/>
          <w:sz w:val="28"/>
          <w:szCs w:val="28"/>
          <w:rtl w:val="true"/>
          <w:lang w:bidi="ar-SA"/>
        </w:rPr>
        <w:t>، وهي وإن لم تصرّح بلزوم اليمين عليه والأصل البراءة من وجوبه إلّا أن الخروج عن القاعدة بتصديق دعوى المدّعي لا بدّ فيه من الأخذ بالمتيقن، وهو المصاحب لليمين دون غيره، ولأنّه لا يزيد على تصديق المنكر، مع أن اليمين لازم عليه، ولأنّه منكر في المعنى؛ لإنكاره شغل ذمّته عند دعوى التلف منه أو عدم التفريط وتكذيب المالك له، ولأنّ أخبار تصديق قوله مساقها مساق نفي بيّنته على دعواه التلف، لا مساقها مساق نفي اليمين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يتهم بالخيانة والتفريط سقط اليمين، فلا وجه لما يظهر من بعضهم من المناقشة في إلزامه باليمين بعد تصديق قوله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أصحابنا إلى عدم سماع قول الصانع والمكاري والملاح بدعواهم التلف أو عدم التفريط بعد تلف العين، بل عليهم ضمان العين، إلّا أن يقيموا بينةً، أو يستندوا إلى أمرٍ ظاهر في التلف، ونقل على ذلك الإجماع </w:t>
      </w:r>
      <w:r>
        <w:rPr>
          <w:rStyle w:val="FootnoteAnchor"/>
          <w:rtl w:val="true"/>
        </w:rPr>
        <w:footnoteReference w:id="306"/>
      </w:r>
      <w:r>
        <w:rPr>
          <w:rFonts w:ascii="Amiri" w:hAnsi="Amiri" w:eastAsia="Amiri" w:cs="Amiri"/>
          <w:color w:val="111111"/>
          <w:sz w:val="28"/>
          <w:sz w:val="28"/>
          <w:szCs w:val="28"/>
          <w:rtl w:val="true"/>
          <w:lang w:bidi="ar-SA"/>
        </w:rPr>
        <w:t xml:space="preserve">، ودلّت عليه جملة من الأخبار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91" w:name="pg19218_274005"/>
    </w:p>
    <w:p>
      <w:pPr>
        <w:pStyle w:val="BookText"/>
        <w:rPr/>
      </w:pPr>
      <w:bookmarkEnd w:id="291"/>
      <w:r>
        <w:rPr>
          <w:rFonts w:ascii="Amiri" w:hAnsi="Amiri" w:eastAsia="Amiri" w:cs="Amiri"/>
          <w:color w:val="111111"/>
          <w:sz w:val="28"/>
          <w:sz w:val="28"/>
          <w:szCs w:val="28"/>
          <w:rtl w:val="true"/>
          <w:lang w:bidi="ar-SA"/>
        </w:rPr>
        <w:t xml:space="preserve">ويظهر من بعض المتأخرين الميل إلى الفرق بين المتهم فلا يقبل قوله في دعوى التلف، وبين المأمون فيُقبل </w:t>
      </w:r>
      <w:r>
        <w:rPr>
          <w:rStyle w:val="FootnoteAnchor"/>
          <w:rtl w:val="true"/>
        </w:rPr>
        <w:footnoteReference w:id="308"/>
      </w:r>
      <w:r>
        <w:rPr>
          <w:rFonts w:ascii="Amiri" w:hAnsi="Amiri" w:eastAsia="Amiri" w:cs="Amiri"/>
          <w:color w:val="111111"/>
          <w:sz w:val="28"/>
          <w:sz w:val="28"/>
          <w:szCs w:val="28"/>
          <w:rtl w:val="true"/>
          <w:lang w:bidi="ar-SA"/>
        </w:rPr>
        <w:t xml:space="preserve">للأخبار الدالّة على هذا التفصيل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محمول على عدم قبول قوله من دون يمين، بل بمجرد دعواه، وقرينة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اتهامه وعدمه؛ لأنّ مع عدم الاتهام لا يتوجه اليمين، أو محمول على حالة التعدّي والتفريط، أو غير ذلك، أو مطرحة كالإجماع المنقول؛ لمعارضتها الرواية المعتضدة بفتوى المشهور وعملهم، واستقراء أبواب الأمانات القاضية بسماع قول مدعي التلف فيها، فخروج الإجارة عنها بعيد كلّ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نُسب لجمع من الأصحاب </w:t>
      </w:r>
      <w:r>
        <w:rPr>
          <w:rStyle w:val="FootnoteAnchor"/>
          <w:rtl w:val="true"/>
        </w:rPr>
        <w:footnoteReference w:id="310"/>
      </w:r>
      <w:r>
        <w:rPr>
          <w:rFonts w:ascii="Amiri" w:hAnsi="Amiri" w:eastAsia="Amiri" w:cs="Amiri"/>
          <w:color w:val="111111"/>
          <w:sz w:val="28"/>
          <w:sz w:val="28"/>
          <w:szCs w:val="28"/>
          <w:rtl w:val="true"/>
          <w:lang w:bidi="ar-SA"/>
        </w:rPr>
        <w:t>أن قول المستأجر لا يُصدق في التلف وإن كان من غير أهل الصنائع والمكاري والملاح وشبههم، وهو بعيد جداً</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3424973_1280447820"/>
      <w:bookmarkStart w:id="293" w:name="_Toc105"/>
      <w:bookmarkEnd w:id="292"/>
      <w:r>
        <w:rPr>
          <w:rtl w:val="true"/>
        </w:rPr>
        <w:t>خامسها</w:t>
      </w:r>
      <w:r>
        <w:rPr>
          <w:rtl w:val="true"/>
        </w:rPr>
        <w:t xml:space="preserve">: </w:t>
      </w:r>
      <w:r>
        <w:rPr>
          <w:rtl w:val="true"/>
        </w:rPr>
        <w:t>حكم ما لو اختلف المالك والخياط في قطع الثوب</w:t>
      </w:r>
      <w:bookmarkEnd w:id="29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المالك والخياط في قطع الثوب، فقال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أمرتك بقطعه 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 العمل حلف المالك فقط، أو تحالفا وانفسخ العقد وبطلت الإذن، وإن كان بعده فالقول قول المالك بيمينه، وليس للخياط أُجرة على عمله؛ لعدم ثبوت إذن المالك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هو يدعي الإجارة على نحو خاص، أو الإذن به على نحو خاص، أو سقوط ضمانه بعد تصرفه بمال الغير، والمالك ينكر ذلك، فعلى الخياط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بتقديم قول الخياط لادّعاء المالك عليه الأرش وهو غرامة، فالأصل عدمها والقول قول نافيها، ضعيف؛ لأنّ التصرّف بمال الغير موجب للضمان سنّة </w:t>
      </w:r>
      <w:r>
        <w:rPr>
          <w:rStyle w:val="FootnoteAnchor"/>
          <w:rtl w:val="true"/>
        </w:rPr>
        <w:footnoteReference w:id="311"/>
      </w:r>
      <w:r>
        <w:rPr>
          <w:rFonts w:ascii="Amiri" w:hAnsi="Amiri" w:eastAsia="Amiri" w:cs="Amiri"/>
          <w:color w:val="111111"/>
          <w:sz w:val="28"/>
          <w:sz w:val="28"/>
          <w:szCs w:val="28"/>
          <w:rtl w:val="true"/>
          <w:lang w:bidi="ar-SA"/>
        </w:rPr>
        <w:t>، وإجماعاً، وغاية ما يسقطه صدور الإذن من المالك، وهو أمر مشكوك فيه والأصل عدمه، فعلى مدّعيه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المقام التحالف، وهو وجه، وثمرته كثمرة القول بأن القول للمالك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فلو قدمنا قول المالك لزم الخياط أرش الثوب، وهو تفاوت ما بين كونه </w:t>
      </w:r>
      <w:bookmarkStart w:id="294" w:name="pg19218_274006"/>
    </w:p>
    <w:p>
      <w:pPr>
        <w:pStyle w:val="BookText"/>
        <w:rPr/>
      </w:pPr>
      <w:bookmarkEnd w:id="294"/>
      <w:r>
        <w:rPr>
          <w:rFonts w:ascii="Amiri" w:hAnsi="Amiri" w:eastAsia="Amiri" w:cs="Amiri"/>
          <w:color w:val="111111"/>
          <w:sz w:val="28"/>
          <w:sz w:val="28"/>
          <w:szCs w:val="28"/>
          <w:rtl w:val="true"/>
          <w:lang w:bidi="ar-SA"/>
        </w:rPr>
        <w:t>مقطوعاً قميصاً ومقطوعاً قباء، ويسقط أرش ما يصلح لهما، مع احتمال ضمان أرش ما بين كونه مقطوعاً وغير مقطوع؛ لأنّ القطع على الوجه الذي يدعيه الخياط عدوان لا يستحق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الخياط فتق القميص لرفع ما أحدثه من العمل لم تجب إجابته؛ لاستلزامه التصرّف بمال الغير عدواناً، كمن نقل مال غيره عدواناً إلى مكان فإنّه ليس له أن يرده إلى مكانه من دون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الخيوط له فطلب أخذها احتمل وجوب إجابته؛ لأنّه عين ماله يجب دفعه إليه، واحتمل عدمه؛ لاستلزامه التصرّف بمال الغير بغير حق، مع أنّه قد أسقط حرمة ماله بمداخلته بمال الغير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يضمن أرش نقصان ما يحدثه جذب الخيوط من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المالك قيمة الخيوط لم تجب إجابته، كما لو بذل الخياط قيمة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المالك شدّ خيوطه بخيوط الخياط لتقوم مقامها عند جذبها، لم تجب إجابته على الخياط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يقال بأنّ خيوط الخياط يملكها صاحب الثوب بإقرار الخياط؛ لأنّه معترف بإجارة المالك، ومن لوازم إجارة الخياط بذل الخيوط فتملك عليه بعقد الإجارة، فإذا خاط بها فکأنّها قد قبضها للمالك فملكها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وجه لو كان التداعي في المستأجر عليه لا في الإذن وعدمه؛ لاعتراف الخياط في الصورة الأولى بأنّه ليس على المستأجر سوى الأُجرة المسماة، وأن الخيوط له، وبقاؤها في ملك الخياط إلى أن يقبضها المالك راضياً بها بعيد</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13424975_1280447820"/>
      <w:bookmarkStart w:id="296" w:name="_Toc106"/>
      <w:bookmarkEnd w:id="295"/>
      <w:r>
        <w:rPr>
          <w:rtl w:val="true"/>
        </w:rPr>
        <w:t>سادسها</w:t>
      </w:r>
      <w:r>
        <w:rPr>
          <w:rtl w:val="true"/>
        </w:rPr>
        <w:t xml:space="preserve">: </w:t>
      </w:r>
      <w:r>
        <w:rPr>
          <w:rtl w:val="true"/>
        </w:rPr>
        <w:t>حكم ما لو اختلفا في صحّة عقد الإجارة وعدمها</w:t>
      </w:r>
      <w:bookmarkEnd w:id="2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صحّة عقد الإجارة وعدمها، فإن اتّفقا على وقوع الإيجاب والقبول من كاملين والأجرة المعينة قدراً ووصفاً والمنفعة كذلك، إلّا أنّهما اختلفا في وقوع ذلك صحيحاً أو فاسداً، كما إذا اختلفا في وقوع اللحن في الصيغة، أو في عدم القصد أو الاختيار، أو في الجهالة، أو في عدم القدرة على التسليم،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اجتماع </w:t>
      </w:r>
      <w:bookmarkStart w:id="297" w:name="pg19218_274007"/>
    </w:p>
    <w:p>
      <w:pPr>
        <w:pStyle w:val="BookText"/>
        <w:rPr/>
      </w:pPr>
      <w:bookmarkEnd w:id="297"/>
      <w:r>
        <w:rPr>
          <w:rFonts w:ascii="Amiri" w:hAnsi="Amiri" w:eastAsia="Amiri" w:cs="Amiri"/>
          <w:color w:val="111111"/>
          <w:sz w:val="28"/>
          <w:sz w:val="28"/>
          <w:szCs w:val="28"/>
          <w:rtl w:val="true"/>
          <w:lang w:bidi="ar-SA"/>
        </w:rPr>
        <w:t>الجهالة مع تعيين القدر، كما إذا 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سنة بدينار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آجرتني سنّة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معلومة الاتصال ولا الانفصال ولا الاجتماع ولا التفرّق لا أشهراً ولا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في ذلك كلّه قول مدعي الصحّة مع يمينه ؛ لأصالة الصحّة في أفعال المسلمين المفهومة من السنّة بل والإجماع؛ أو لأصالة صحّة العقد في نفسه وإن صدر من كافر على الأظهر دليلاً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يتّفقا على وقوع الإيجاب والقبول، أو على كونهما من كاملين، كما إذا ادّعى أحدهما الصبا أو الجنون، أو على تعيين الأجرة أو المنفعة، كما إذا ادّعى أحدهما إجارة كلّ شهر بدرهم وادعى الآخر إجارة سنةٍ بكر من طعام، أو ادّعى أحدهما منفعةً معينة على وجه الصحّة وادعى الآخر منفعةً أُخرى على وجه الفساد، أو على تعيين المدّة، فادعى أحدهما مدّة فاسدة وادعى الآخر مدّة أُخرى زائدة صحيحة، أو على تعيين العقد، كما إذا ادّعى أحدهما بيعاً فاسداً وادعى الآخر صلحاً إلى غير ذلك، فالحكم بتقديم قول مدعي الصحّة مع معارضة الأصول بحث وإشكال ينشآن من أصالة الصحّة، فالقول قول مدعيها، فإذا حلف يميناً على نفي الفساد حلف أُخرى على إثبات الصحيح، فيثبت قوله؛ إذ لا ثالث محتمل بينهما، ومن أن مدّعي الصحّة إنما يكون القول قوله في نفي الفساد لا في إثبات ما يدعيه، فيحتاج إثباته إلى بيّنة، وإلا فيتوجه اليمين على مَنْ ينكره، فيتحالفان ويُحكم بعدم وقوع شيءٍ ممّا ادعياه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ذكرناه ما لو تداعيا في وقوع العقد حال الصبا أو حال الجنون مع العلم بسبقه، فإن الحكم بالصحّة مع عدم إحراز الشرط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توقفت الصحّة على حصول شرط متأخر فتنازعا في وقوعه، كالقبض في الصرف أو السلم، أو الإجارة في الفضولي،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أصالة العدم، لا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اتّفقا على حصول القبض سابقاً وحصول التفرّق واختلفا في السابق واللاحق، فإنّ الأوجه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بالصحّة</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3424977_1280447820"/>
      <w:bookmarkStart w:id="299" w:name="_Toc107"/>
      <w:bookmarkEnd w:id="298"/>
      <w:r>
        <w:rPr>
          <w:rtl w:val="true"/>
        </w:rPr>
        <w:t>سابعها</w:t>
      </w:r>
      <w:r>
        <w:rPr>
          <w:rtl w:val="true"/>
        </w:rPr>
        <w:t xml:space="preserve">: </w:t>
      </w:r>
      <w:r>
        <w:rPr>
          <w:rtl w:val="true"/>
        </w:rPr>
        <w:t>حكم ما لو ادّعى المستأجر إباق العبد أو مرض الدابّة أو انهدام المسكن</w:t>
      </w:r>
      <w:bookmarkEnd w:id="29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المستأجر إباق العبد أو مرض الدابّة أو انهدام المسكن، فإن جاء بما </w:t>
      </w:r>
    </w:p>
    <w:p>
      <w:pPr>
        <w:pStyle w:val="BookText"/>
        <w:rPr/>
      </w:pPr>
      <w:r>
        <w:rPr>
          <w:rFonts w:ascii="Amiri" w:hAnsi="Amiri" w:eastAsia="Amiri" w:cs="Amiri"/>
          <w:color w:val="111111"/>
          <w:sz w:val="28"/>
          <w:sz w:val="28"/>
          <w:szCs w:val="28"/>
          <w:rtl w:val="true"/>
          <w:lang w:bidi="ar-SA"/>
        </w:rPr>
        <w:t>ادّعاه غير متّصف بدعواه فالقول قول المالك؛ لأصالة عدم طريان ما ادّعاه، وإن لم يجئ به كان القول قول المستأجر؛ لأمانته، وللزوم تخليده بالسجن لو لم يسمع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اتّفقا على المرض واختلفا في المدّة، كان القول قول المستأجر؛ لكونه تحت يده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اختلفا في وقت الهلاك والإباق والمرض بحيث كان النزاع في تاريخ مبدأ ذلك، كان القول قول المالك إن كانت المنفعة مقدرةً في الزمان؛ لأصالة التأخر، وإن قدرت بالعمل فاختلفا في سبق هذه على العمل وتأخره، فالقول قول المستأجر؛ لأصالة عدم تقدّم العمل، وأصالة عدم استقرار الأجرة في ذمته سيما لو قلنا باستقرار الأجرة بمجرد العمل من دون توقف على التسليم، وإلا فإشكال</w:t>
      </w:r>
      <w:r>
        <w:rPr>
          <w:rFonts w:eastAsia="Amiri" w:cs="Amiri" w:ascii="Amiri" w:hAnsi="Amiri"/>
          <w:color w:val="111111"/>
          <w:sz w:val="28"/>
          <w:szCs w:val="28"/>
          <w:rtl w:val="true"/>
          <w:lang w:bidi="ar-SA"/>
        </w:rPr>
        <w:t xml:space="preserve">. </w:t>
      </w:r>
      <w:bookmarkStart w:id="300" w:name="pg19218_274009"/>
    </w:p>
    <w:p>
      <w:pPr>
        <w:pStyle w:val="Heading3"/>
        <w:numPr>
          <w:ilvl w:val="2"/>
          <w:numId w:val="1"/>
        </w:numPr>
        <w:rPr/>
      </w:pPr>
      <w:bookmarkStart w:id="301" w:name="__RefHeading___Toc13424979_1280447820"/>
      <w:bookmarkStart w:id="302" w:name="_Toc108"/>
      <w:bookmarkEnd w:id="300"/>
      <w:bookmarkEnd w:id="301"/>
      <w:r>
        <w:rPr>
          <w:rtl w:val="true"/>
        </w:rPr>
        <w:t>القول في مسائل متفرّقة</w:t>
      </w:r>
      <w:bookmarkEnd w:id="302"/>
    </w:p>
    <w:p>
      <w:pPr>
        <w:pStyle w:val="Heading4"/>
        <w:numPr>
          <w:ilvl w:val="3"/>
          <w:numId w:val="1"/>
        </w:numPr>
        <w:rPr/>
      </w:pPr>
      <w:bookmarkStart w:id="303" w:name="__RefHeading___Toc13424981_1280447820"/>
      <w:bookmarkStart w:id="304" w:name="_Toc109"/>
      <w:bookmarkEnd w:id="303"/>
      <w:r>
        <w:rPr>
          <w:rtl w:val="true"/>
        </w:rPr>
        <w:t>وهي أمور</w:t>
      </w:r>
      <w:r>
        <w:rPr>
          <w:rtl w:val="true"/>
        </w:rPr>
        <w:t>:</w:t>
      </w:r>
      <w:bookmarkEnd w:id="304"/>
    </w:p>
    <w:p>
      <w:pPr>
        <w:pStyle w:val="Heading5"/>
        <w:numPr>
          <w:ilvl w:val="4"/>
          <w:numId w:val="1"/>
        </w:numPr>
        <w:rPr/>
      </w:pPr>
      <w:bookmarkStart w:id="305" w:name="__RefHeading___Toc13424983_1280447820"/>
      <w:bookmarkStart w:id="306" w:name="_Toc110"/>
      <w:bookmarkEnd w:id="305"/>
      <w:r>
        <w:rPr>
          <w:rtl w:val="true"/>
        </w:rPr>
        <w:t>أحدها</w:t>
      </w:r>
      <w:r>
        <w:rPr>
          <w:rtl w:val="true"/>
        </w:rPr>
        <w:t xml:space="preserve">: </w:t>
      </w:r>
      <w:r>
        <w:rPr>
          <w:rtl w:val="true"/>
        </w:rPr>
        <w:t>عدم صحّة الإستئجار على ما لا يمكن تملّكه من المنافع ولا حصول السلطان عليه</w:t>
      </w:r>
      <w:bookmarkEnd w:id="30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يمكن تملّكه من المنافع ولا يمكن حصول السلطان عليه أو لا يمكن النيابة فيه من الأعمال عن المستأجر أو لا منفعة للمستأجر فيه لا يصحّ الاستئجار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ظاهر من الأدلّة سنّة </w:t>
      </w:r>
      <w:r>
        <w:rPr>
          <w:rStyle w:val="FootnoteAnchor"/>
          <w:rtl w:val="true"/>
        </w:rPr>
        <w:footnoteReference w:id="312"/>
      </w:r>
      <w:r>
        <w:rPr>
          <w:rFonts w:ascii="Amiri" w:hAnsi="Amiri" w:eastAsia="Amiri" w:cs="Amiri"/>
          <w:color w:val="111111"/>
          <w:sz w:val="28"/>
          <w:sz w:val="28"/>
          <w:szCs w:val="28"/>
          <w:rtl w:val="true"/>
          <w:lang w:bidi="ar-SA"/>
        </w:rPr>
        <w:t xml:space="preserve">وإجماعاً؛ لأنّ الإجارة فرع ما ذكرناه فلا يتحقق الفرع من دون أصله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ويترتّب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استئجار الشخص على أعماله الراجعة إليه من أكل أو شرب أو نوم أو جلوس، ولا على عمل في ملكه كخياطة ثوبه وصياغة خاتمه ونحو ذلك، إلّا إذا تعلق للمستأجر غرض يُعتد به، ومع ذلك ففي جوازه وإدخاله تحت إطلاقات الإجارة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الجواز عند تعلّق الغرض وإمكان النيابة فيه، كأن يعمل في ملكه نيابة عنّي لحصول القربة لي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سبق الملك عقد الإجارة، إمّا لو وقعا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يستأجره لخياطة ثوبه به ولصياغة خاتمه به ولطحن حنطته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الجواز ظاهر بعد تعلّق الغرض ومانع الملك مرتفع؛ لوقوع الملكين دفعة واحدة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في الجواز ما لو استأجره للعمل في ملكه ببعضه كالاستئجار لإرضاع العبد </w:t>
      </w:r>
    </w:p>
    <w:p>
      <w:pPr>
        <w:pStyle w:val="BookText"/>
        <w:rPr/>
      </w:pPr>
      <w:r>
        <w:rPr>
          <w:rFonts w:ascii="Amiri" w:hAnsi="Amiri" w:eastAsia="Amiri" w:cs="Amiri"/>
          <w:color w:val="111111"/>
          <w:sz w:val="28"/>
          <w:sz w:val="28"/>
          <w:szCs w:val="28"/>
          <w:rtl w:val="true"/>
          <w:lang w:bidi="ar-SA"/>
        </w:rPr>
        <w:t>ببعضه، وطحن الحنطة بربعها دقيقاً، وهكذا كلّ مال يتحقق به الاشتراك ويراد العمل فيه؛ لدخوله في عمومات الجواز من غير معارض سوى ما يتخيّل من لزوم اجتماع العوض والمعوّض عند الأجير فيخلو المستأجر عن النفع، وهو مدفوع بما قدمناه من حصول النفع، وإمكان النيابة، ولزوم اجتماع العوض والمعوض بالأخرة لواحدٍ غير مانع، كما جاز مثله في المزارعة والمساقاة مع تحقق الشركة بينهما وزيادة النماء لأحدهما مع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استئجار الشخص على أعماله الواجبة على المستأجر مباشرةً، كصلاته الواجبة عليه وصومه ونحوهما؛ لعدم إمكان النيابة فيها، ولا على أعماله الواجبة على الأجير كصلاة الأجير وصومه ونحوهما، سواء نواها عن الأجير أو عن نفسه؛ لعدم جواز تملكها وعدم ثبوت السلطان عليها إيجاداً وإعداماً وإبراء، ولعدم قدرة الأجير على تسليمها للمستأجر؛ لتكليفه بها، ولعدم إمكان النيابة فيها، ولعدم شمول أدلّة الإجارة لها؛ لانصرافها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المانع منافاة القربة للأجرة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تخيله بعض المحقّقين </w:t>
      </w:r>
      <w:r>
        <w:rPr>
          <w:rStyle w:val="FootnoteAnchor"/>
          <w:rtl w:val="true"/>
        </w:rPr>
        <w:footnoteReference w:id="314"/>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لأنّ الوجوب بالأُجرة يؤكّد الوجوب كما يؤكده أمر المطاع فلا ينافيه؛ ولأنّ العبادة ليست للأجرة حتى تنافي الإخلاص، بل الأجرة ملزمة للعبادة المتقرب بها إلى اللّه تعالى فلا تنافيه، ولأنها لو نافت الإخلاص للزم بطلان الاستئجار على العبادات عن الأموات وعلى ما تقع فيها النيابات، وهو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خروجه بالإجماع ممنوعة؛ لمنافاته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العقل والنقل، فدعوى الإجماع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الأجير عن نفسه ابتغاء الأجرة، كانت الأجرة فاسدة، والعمل صحيحاً، ولا يستحق أُجرةً على عمله، وحينئذٍ فلو صلّى عن المستأجر تلك الصلاة فسدت صلاته وبطل المسمّى، ولا يستحق أُجرةً مع العلم بالفساد، ومع الجهل ففي الاستحقاق وعدمه وجهان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الاستئجار على الواجبات الكفائية الواجبة من غير اشتراط العوض كتغسيل الميّت ودفنه والإفتاء والقضاء والشهادة والتحمّل في وجه والجماعة الواجبة ونحو </w:t>
      </w:r>
    </w:p>
    <w:p>
      <w:pPr>
        <w:pStyle w:val="BookText"/>
        <w:rPr/>
      </w:pPr>
      <w:r>
        <w:rPr>
          <w:rFonts w:ascii="Amiri" w:hAnsi="Amiri" w:eastAsia="Amiri" w:cs="Amiri"/>
          <w:color w:val="111111"/>
          <w:sz w:val="28"/>
          <w:sz w:val="28"/>
          <w:szCs w:val="28"/>
          <w:rtl w:val="true"/>
          <w:lang w:bidi="ar-SA"/>
        </w:rPr>
        <w:t xml:space="preserve">ذلك، سواء انحصر الواجب في المؤجر، أم لم ينحصر؛ للإجماع المنقول </w:t>
      </w:r>
      <w:r>
        <w:rPr>
          <w:rStyle w:val="FootnoteAnchor"/>
          <w:rtl w:val="true"/>
        </w:rPr>
        <w:footnoteReference w:id="315"/>
      </w:r>
      <w:r>
        <w:rPr>
          <w:rFonts w:ascii="Amiri" w:hAnsi="Amiri" w:eastAsia="Amiri" w:cs="Amiri"/>
          <w:color w:val="111111"/>
          <w:sz w:val="28"/>
          <w:sz w:val="28"/>
          <w:szCs w:val="28"/>
          <w:rtl w:val="true"/>
          <w:lang w:bidi="ar-SA"/>
        </w:rPr>
        <w:t>بل المحصل، ولعدم انصراف أدلّة الإجارة عموماً وخصوصاً إلى مثل ذلك، ولأنّه بفعله يتعين له فلا يدخل ملك آخر؛ لعدم جواز النيابة فيه، وكلّ ما بقع فهو عن الغائب لا المنوب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وجب بالعوض كالصناعات والحرف فلا بأس بأخذ العوض عليه؛ لعدم تقدّم الوجوب على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شك فيه من الواجبات أنّه هل وجب وجب مطلقاً أم وجب بالعوض، فأصل البراءة من الوجوب المطلق وعموم أدلة جواز الاستئجار يقضيان بأنّه مشروط، إلّا أن يعارضهما إطلاق يرجح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الاستئجار للصلاة والصوم والحج الفائتة عن الميت؛ لجواز النيابة فيها، وصحة تملكها على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الترتيب في الصلاة المستأجر عليها؟ لا يبعد الوجوب مع العلم به وعدم المشقة في الترتيب، وحكمها كحكم صلاة القاضي عن نفسه على الأظهر والأحوط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استئجار أجيرين لصلاة سنتين عن الميّت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جواز اقترانهما في الصلاة بحيث يبتدئان دفعةً، فلو فعلا ذلك صحت واحدة على جهة الوجوب وفسدت الأخرى، أو كانت نفلاً كفعل الواجب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إمكان صحتهما؛ لفقد شرط الترتيب، وصحة معيّن منهما؛ للزوم الترجيح بلا مرجّح، وفسادهما معاً؛ لأنّ إحداهما قد وقعت في محلّها ومقارنة الأخرى لها غير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كمن أدى الواجب مرتين دفعةً واحدة، وعلى ذلك فيقضيان سنةً كلّ واحد نصف سنةٍ ؛ لعدم العلم بالفاسد فيلزم توزيعه عليهما بالمناصفة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صليا ولم يَدْرِ أحدهما بصلاة الآخر، صحت الصلاتان معاً وإن اقترنا؛ لأنّ الترتيب شرط علمي بالنسبة إلى القاضي نفسه فغيره بطريق أولى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فالحكم بصحّة أحدهما غير معيّن مع عدم وجود غير المعين وإبهامه، واقتضائه الحكم بصحّة هذا مرّةً وهذا أُخرى بمجرد التشهى، وأدائه إلى عدم الفساد مع النهي؛ لأنّهما بإقدامهما على الفعلين مع العلم بالمقارنة قد أقدما على منهي عنه، محل بحث وإشكال</w:t>
      </w:r>
      <w:r>
        <w:rPr>
          <w:rFonts w:eastAsia="Amiri" w:cs="Amiri" w:ascii="Amiri" w:hAnsi="Amiri"/>
          <w:color w:val="111111"/>
          <w:sz w:val="28"/>
          <w:szCs w:val="28"/>
          <w:rtl w:val="true"/>
          <w:lang w:bidi="ar-SA"/>
        </w:rPr>
        <w:t xml:space="preserve">. </w:t>
      </w:r>
      <w:bookmarkStart w:id="307" w:name="pg19218_274012"/>
    </w:p>
    <w:p>
      <w:pPr>
        <w:pStyle w:val="BookText"/>
        <w:rPr/>
      </w:pPr>
      <w:bookmarkEnd w:id="307"/>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الترتيب بالنسبة إلى قضاء الوليّ والأجير، وجواز الاقتران منهما؛ لعدم الدليل على لزوم تقديم الأوّل فالأوّل وعدم جواز وقوع الفرائض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فلو أوقعا دفعةً واحدة لا يضمن الولي ولو مع جهلهما؛ لضعف التسبيب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ابتدأ أحدهما وتأخر عنه الآخر، اختص الفساد بالمتأخر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الاستئجار على صلاة واجبةٍ للميّت غير فائتة، ولا على رواتب غير فائتة، ولا على ذوات أسباب غير فائتةٍ إلّا إذا استؤجر على السبب والمسبب، كصلاة التحية والزيارة، تبعاً للاستئجار على دخول المسجد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الاستئجار على النوافل المندوبة الابتدائية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عن الحي الاستئجار على واجب أو نفل من الصلوات ما لم يقم عليه دليل، أو كانت النيابة مشروعةً فيه، كالحج والزيارة، والمقام يحتاج إلى تأمل ونظر</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3424985_1280447820"/>
      <w:bookmarkStart w:id="309" w:name="_Toc111"/>
      <w:bookmarkEnd w:id="308"/>
      <w:r>
        <w:rPr>
          <w:rtl w:val="true"/>
        </w:rPr>
        <w:t>ثانيها</w:t>
      </w:r>
      <w:r>
        <w:rPr>
          <w:rtl w:val="true"/>
        </w:rPr>
        <w:t xml:space="preserve">: </w:t>
      </w:r>
      <w:r>
        <w:rPr>
          <w:rtl w:val="true"/>
        </w:rPr>
        <w:t>جواز الاستئجار للزرع وحصاده ودياسه ونقله وسقيه وحفظه</w:t>
      </w:r>
      <w:bookmarkEnd w:id="309"/>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الاستئجار للزرع وحصاده ودياسه ونقله وسقيه وحفظه كلّ واحدٍ مجتمعاً ومنفرداً؛ لأنّه عمل مقصود تصحّ فيه النيابة، فيدخل تحت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تارةً بالزمان، وأُخرى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بدّ من تعيين الزرع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الزرع شده وضعفاً، واختلاف السقي والنقل والدياس والحفظ باختلافه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بيان مكان المنقول إليه ومكان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بيان قدر الزرع بالمشاهدة أو الوصف إذا كان التقدير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الاستئجار للقصاص نفساً أو طرفاً، وعلى الحدود والتعزيرات إذا لم تجب كفايةً، ويتقدّر كلّ ذلك بالمدة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فيه من التعيين الرافع للجهالة قدراً ووصفاً أو مشاهدةً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والأُجرة تجب على المقتص منه ؛ لأنّه أجر يجب لإيفاء حقٌّ، فيجب على مَنْ عليه الحقّ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310" w:name="pg19218_274013"/>
    </w:p>
    <w:p>
      <w:pPr>
        <w:pStyle w:val="BookText"/>
        <w:rPr/>
      </w:pPr>
      <w:bookmarkEnd w:id="310"/>
      <w:r>
        <w:rPr>
          <w:rFonts w:ascii="Amiri" w:hAnsi="Amiri" w:eastAsia="Amiri" w:cs="Amiri"/>
          <w:color w:val="111111"/>
          <w:sz w:val="28"/>
          <w:sz w:val="28"/>
          <w:szCs w:val="28"/>
          <w:rtl w:val="true"/>
          <w:lang w:bidi="ar-SA"/>
        </w:rPr>
        <w:t>وفيه نظر؛ إذ الواجب عليه عدم الامتناع عند طلب صاحب الحق، ولا يجب عليه فعل ذلك ابتداء وتأديته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الاستئجار على الدلالة على الطريق، وعلى المحافظة فيه، ويجوز تعينهما بالمدة والعمل على الأظهر، ولا بدّ من تعيين ما يحتاج فيه إلى التعيين لرفع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الاستئجار على الكيل والوزن والعدد والنقد، وتتقدّر بالمدة والعمل مع التعيين الرافع للجهالة في نوع الموزون وكيفية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الاستئجار على ملازمة الغريم، فيتعين بالمدّة، وعلى استيفاء الدين فيتقدّر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الاستئجار على المحاكمة وإقامة البيّنة وإثبات الحجج والخصومة، وتتقدّر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الاستئجار على الاستخدام، ويتقدّر بالمدة والعمل، ولا بدّ من تعيين نوع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الاستئجار على العموم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الاستئجار على السمسرة، وعلى إيقاع صيغ العقود من بيع وشراء ونكاح، وإيقاع صيغ الطلاق والعتق، ونحوها سواء توقف إيجادها على المؤجر أم لا، ووجوبها مع العوض إذا توقف عليها النظام لا ينافي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الاستئجار على الصلح بين المتخاصمين، ويتقدر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الاستئجار على الخطبة، وعلى إرضاء المخطوبة أو إرضاء الولي، ويتقدّر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الأدلّة وإطلاقاتها</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3424987_1280447820"/>
      <w:bookmarkStart w:id="312" w:name="_Toc112"/>
      <w:bookmarkEnd w:id="311"/>
      <w:r>
        <w:rPr>
          <w:rtl w:val="true"/>
        </w:rPr>
        <w:t>ثالثها</w:t>
      </w:r>
      <w:r>
        <w:rPr>
          <w:rtl w:val="true"/>
        </w:rPr>
        <w:t xml:space="preserve">: </w:t>
      </w:r>
      <w:r>
        <w:rPr>
          <w:rtl w:val="true"/>
        </w:rPr>
        <w:t>جواز استئجار الأرض للبناء والغرس والزرع مع مشاهدة الأرض أو وصفها</w:t>
      </w:r>
      <w:bookmarkEnd w:id="312"/>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الأرض للبناء والغرس والزرع مع مشاهدة الأرض أو وصفها الرافع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تعيين أحد الثلاثة المتقدّمة، وتعيين المزروع أو المغروس، وضبط المدّة؛ لرفع الجهالة في كلّ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وجوّز بعض المحقّقين استئجار الأرض لأحد الثلاثة المتقدّمة أو لأحد أنواع الزرع، فيتخيّر زرع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استئجارها لما شاء فعله فيها على جهة العموم، فيفعل فيها ما شاء من الثلاثة وغيرها منفردةً ومجتمعةً، وجوّز استئجار الدابّة أيضاً ليحمل عليها ما شاء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313" w:name="pg19218_274014"/>
    </w:p>
    <w:p>
      <w:pPr>
        <w:pStyle w:val="BookText"/>
        <w:rPr/>
      </w:pPr>
      <w:bookmarkEnd w:id="313"/>
      <w:r>
        <w:rPr>
          <w:rFonts w:ascii="Amiri" w:hAnsi="Amiri" w:eastAsia="Amiri" w:cs="Amiri"/>
          <w:color w:val="111111"/>
          <w:sz w:val="28"/>
          <w:sz w:val="28"/>
          <w:szCs w:val="28"/>
          <w:rtl w:val="true"/>
          <w:lang w:bidi="ar-SA"/>
        </w:rPr>
        <w:t>والكل لا يخلو من نظرٍ ؛ لأوّل الأوّل إلى الإبهام المجمع على منعه في عقود المعاوضة، وأول الثاني إلى الجهالة والغرر، وارتفاعهما بإجراء صيغة العموم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بعضهم على صورة العموم دون الترديد؛ للزوم الإبهام في الأخير دون الأوّل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عيّن المؤجر منفعةً خاصّة فليس للمستأجر التخطي عنها، سواء كانت مساويةً أو أقل منه ضرراً أو أزيد، وسواء كان ذلك من جنس ما استأجره، كما إذا استأجره لزرع خاص فزرع أقلّ منه ضرراً، أو من غير جنسه، كما إذا استأجره للغرس فزرع، كلّ ذلك اقتصاراً على ما وقع عليه العقد من اللفظ الصريح في التصرّف بمال الغير المحرَّم كتاباً </w:t>
      </w:r>
      <w:r>
        <w:rPr>
          <w:rStyle w:val="FootnoteAnchor"/>
          <w:rtl w:val="true"/>
        </w:rPr>
        <w:footnoteReference w:id="319"/>
      </w:r>
      <w:r>
        <w:rPr>
          <w:rFonts w:ascii="Amiri" w:hAnsi="Amiri" w:eastAsia="Amiri" w:cs="Amiri"/>
          <w:color w:val="111111"/>
          <w:sz w:val="28"/>
          <w:sz w:val="28"/>
          <w:szCs w:val="28"/>
          <w:rtl w:val="true"/>
          <w:lang w:bidi="ar-SA"/>
        </w:rPr>
        <w:t xml:space="preserve">وسنّة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بالرضى لا يرفع الضمان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بجواز التعدّي إلى الأقل ضرراً أو المساوي </w:t>
      </w:r>
      <w:r>
        <w:rPr>
          <w:rStyle w:val="FootnoteAnchor"/>
          <w:rtl w:val="true"/>
        </w:rPr>
        <w:footnoteReference w:id="321"/>
      </w:r>
      <w:r>
        <w:rPr>
          <w:rFonts w:ascii="IRNazanin" w:hAnsi="IRNazanin" w:eastAsia="IRNazanin"/>
          <w:color w:val="111111"/>
          <w:sz w:val="28"/>
          <w:sz w:val="28"/>
          <w:szCs w:val="28"/>
          <w:rtl w:val="true"/>
          <w:lang w:bidi="fa-IR"/>
        </w:rPr>
        <w:t xml:space="preserve">، ونُسب للمشهور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منهم عدم الضمان أيضاً، وحجتهم غير واضحة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إذن الفحوى من المالك بذلك، أو فهم إرادة نفس انتقال المنفعة على ذلك الوجه أو ما يساويه من دون تعلّق غرض خاص ممنوعة؛ لاختلاف الأغراض والإرادات والمذاق بين عامة الناس، فدعوى القطع أو الإذن الفحوائية لا تكاد أن تسلم بوجه</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3424989_1280447820"/>
      <w:bookmarkStart w:id="315" w:name="_Toc113"/>
      <w:bookmarkEnd w:id="314"/>
      <w:r>
        <w:rPr>
          <w:rtl w:val="true"/>
        </w:rPr>
        <w:t>رابعها</w:t>
      </w:r>
      <w:r>
        <w:rPr>
          <w:rtl w:val="true"/>
        </w:rPr>
        <w:t xml:space="preserve">: </w:t>
      </w:r>
      <w:r>
        <w:rPr>
          <w:rtl w:val="true"/>
        </w:rPr>
        <w:t>جواز الاستئجار لحيازة المباحات عن المستأجر وتقديره بالمدة وبالعمل</w:t>
      </w:r>
      <w:bookmarkEnd w:id="315"/>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الاستئجار لحيازة المباحات عن المستأجر كالحطب والماء وغيرهما؛ لأنّه عمل مقصود مشتمل على نفع، بناءً على جواز النيابة في تملك المباح؛ لأنّه يملك بالنيّة لا بمجرد الفعل، فلو نواه لغيره صار لغيره، أو لأنّه يملك من دون نيّة إلّا أن نيّة الضد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بملكه بالحيازة قهراً على المحيز فالأظهر عدم جواز الاستئجار عليه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ويشعر بما اخترناه ما ورد من أنّ ما في جوف السمكة لواجده لا للصائد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316" w:name="pg19218_274015"/>
    </w:p>
    <w:p>
      <w:pPr>
        <w:pStyle w:val="BookText"/>
        <w:rPr/>
      </w:pPr>
      <w:bookmarkEnd w:id="31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الاستئجار لتعليم القرآن والمسائل الفقهية إذا لم يجبا على المتعلم عيناً كقراءة الصلاة وفقهها، أو كفاية لعدم قيام الغير به كباقي القرآن والفقه، وإن وجبا على المتعلم عيناً أو كفايةً فقد وجبا على المعلم أيضاً عيناً أو كفايةً، فلا يصحّ أخذ الأجرة عليهما كسائر الواجبات العينية أو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 بالكفاية من به الكفاية، سقط الوجوب كفاية على غيره، وجاز أخذ الأجرة، وعلى ذلك ينزل أخذ الأجرة على تعليم القرآن وجعل تعليم سورة منه صداقاً، وأخذ الأجرة على تعليم مقدمات الفقه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الاستئجار للفصد والحجامة والختان والاكتحال وإعانة الحامل على الوضع وإن تضمّنا عيناً على الأظهر، والمداواة والبيطرة ومداواة الجراحات، كلّ ذلك مع الاضطرار والاختيار، بل لو أشرف المريض على التلف ووجبت على المعالج حفاظة نفسه جاز أخذ الأجرة؛ لأنّها إنّما تجب مع العوض، فإن دفعه المحتاج فبها، وإلا عالجه بنيّة الرجوع إليه وملك عليه الأجرة، كدفع المأكول لمن أشرف على التلف فإنّه يجب مع العوض إن دفعه المشرف، وإلّا دفعه إليه بنيّة الرجوع ويلتزم به، وما على المحسنين من سبيل</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3424991_1280447820"/>
      <w:bookmarkStart w:id="318" w:name="_Toc114"/>
      <w:bookmarkEnd w:id="317"/>
      <w:r>
        <w:rPr>
          <w:rtl w:val="true"/>
        </w:rPr>
        <w:t>خامسها</w:t>
      </w:r>
      <w:r>
        <w:rPr>
          <w:rtl w:val="true"/>
        </w:rPr>
        <w:t xml:space="preserve">: </w:t>
      </w:r>
      <w:r>
        <w:rPr>
          <w:rtl w:val="true"/>
        </w:rPr>
        <w:t>جواز استئجار الشخص لرعي الماشية في المباح</w:t>
      </w:r>
      <w:bookmarkEnd w:id="318"/>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الشخص لرعي الماشية في المباح، ويقدر بالمدة وبالعمل فإن قدر بالعمل افتقر إلى ذكر نوع الماشية بل صنفها؛ لحصول الجهالة من دون ذلك، وإلى معرفة قدر المرعى كى يتميّز العمل، وإن قدر بالمدة افتقر إلى تعيين الحيوان فقط نوعاً وصنفاً دون تعيين 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الحيوان بشخصه في كلا الأمرين فمات كلّاً أو بعضاً انفسخ العقد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استئجار الراعي في أرضه المملوكة له فيدخل المرعى تبعاً في الإجارة؟ وجه يبنى على جواز دخول الأعيان تبعاً في الإجارة على وجه شمول العقد له شمول الجزء، إمّا لو دخل على وجه الشرطية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في جميع عقود الإجارة المشترط فيها تمليك عين أو إتلافها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استئجار الأرض للرعي فيها، وتُقدر بالمدّة، ولا إشكال لو كان نبتها غير مملوك للمؤجر، ولو كان مملوكاً ففي جواز الاستئجار إشكال</w:t>
      </w:r>
      <w:r>
        <w:rPr>
          <w:rFonts w:eastAsia="Amiri" w:cs="Amiri" w:ascii="Amiri" w:hAnsi="Amiri"/>
          <w:color w:val="111111"/>
          <w:sz w:val="28"/>
          <w:szCs w:val="28"/>
          <w:rtl w:val="true"/>
          <w:lang w:bidi="ar-SA"/>
        </w:rPr>
        <w:t xml:space="preserve">. </w:t>
      </w:r>
      <w:bookmarkStart w:id="319" w:name="pg19218_274016"/>
    </w:p>
    <w:p>
      <w:pPr>
        <w:pStyle w:val="Heading5"/>
        <w:numPr>
          <w:ilvl w:val="4"/>
          <w:numId w:val="1"/>
        </w:numPr>
        <w:rPr/>
      </w:pPr>
      <w:bookmarkStart w:id="320" w:name="__RefHeading___Toc13424993_1280447820"/>
      <w:bookmarkStart w:id="321" w:name="_Toc115"/>
      <w:bookmarkEnd w:id="319"/>
      <w:bookmarkEnd w:id="320"/>
      <w:r>
        <w:rPr>
          <w:rtl w:val="true"/>
        </w:rPr>
        <w:t>سادسها</w:t>
      </w:r>
      <w:r>
        <w:rPr>
          <w:rtl w:val="true"/>
        </w:rPr>
        <w:t xml:space="preserve">: </w:t>
      </w:r>
      <w:r>
        <w:rPr>
          <w:rtl w:val="true"/>
        </w:rPr>
        <w:t>جواز استئجار الأرض للغرس والبناء فيها مع تعيين المدّة الرافعة للجهل وتعيين المبني والمغروس فيها</w:t>
      </w:r>
      <w:bookmarkEnd w:id="321"/>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الأرض للغرس والبناء فيها مع تعيين المدّة الرافعة للجهالة، وتعيين المبني والمغروس فيها، فإن عيّنا مدّة كثيرة يضمحل فيها المغروس والمبني فلا كلام، وإن عيّنا مدّة قليلة يبقيان بعدها، فإن اشترط القلع بعدها جاز للمستأجر والمؤجر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عليهما، ولا يمنع أحدهما الآخر، ولهما أن يتراضيا على الإبقاء مجاناً أو بأجرةٍ، أو نقل الغرس لمالك الأرض، أو نقل الأرض لمالك الغرس كلّ ذلك لعموم أدلة الشروط </w:t>
      </w:r>
      <w:r>
        <w:rPr>
          <w:rStyle w:val="FootnoteAnchor"/>
          <w:rtl w:val="true"/>
        </w:rPr>
        <w:footnoteReference w:id="324"/>
      </w:r>
      <w:r>
        <w:rPr>
          <w:rFonts w:ascii="IRNazanin" w:hAnsi="IRNazanin" w:eastAsia="IRNazanin"/>
          <w:color w:val="111111"/>
          <w:sz w:val="28"/>
          <w:sz w:val="28"/>
          <w:szCs w:val="28"/>
          <w:rtl w:val="true"/>
          <w:lang w:bidi="fa-IR"/>
        </w:rPr>
        <w:t xml:space="preserve">والعقود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شرطا إبقاء المغروس والمبني بعدها من دون تحديدٍ بمدة البقاء، بطل الشرط والعقد؛ لمكان الجهالة، ولزم الغارس أُجرة المثل ما دام غرسه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أطلقا، صحّ العقد؛ لعموم الأدلّة من غير معارض، وكان للغارس القلع بعد المدّة؛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ولا شيء عليه لو نقصت الأرض أو عابت؛ قضاءً لحق مورد 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بعضهم أنّ عليه الأرش وطمّ الحفر؛ لأنّه تصرف في مال الغير بدون إذنه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لأنّه تصرّف مأذون فيه فلا يستعقبه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للمالك القلع أيضاً، ولا شيء عليه لو نقص الغرس أو عاب؛ لأنّه فعل مأذون به شرعاً بعد انقضاء عقد الإجارة فلا يستعقبه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بعضهم الضمان؛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والغارس ها هنا ليس بظالم، فله حقّ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إذ لا حقّ بعد مضي زمن الإجارة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أنّه ليس للمالك القلع، بل عليه الإبقاء مجاناً أو بأجرة، أو دفع قيمة الغرس للغارس مع رضاه به، ضعيف جداً، مخالف للقواعد</w:t>
      </w:r>
      <w:r>
        <w:rPr>
          <w:rFonts w:eastAsia="Amiri" w:cs="Amiri" w:ascii="Amiri" w:hAnsi="Amiri"/>
          <w:color w:val="111111"/>
          <w:sz w:val="28"/>
          <w:szCs w:val="28"/>
          <w:rtl w:val="true"/>
          <w:lang w:bidi="ar-SA"/>
        </w:rPr>
        <w:t xml:space="preserve">. </w:t>
      </w:r>
      <w:bookmarkStart w:id="322" w:name="pg19218_274017"/>
    </w:p>
    <w:p>
      <w:pPr>
        <w:pStyle w:val="Heading5"/>
        <w:numPr>
          <w:ilvl w:val="4"/>
          <w:numId w:val="1"/>
        </w:numPr>
        <w:rPr/>
      </w:pPr>
      <w:bookmarkStart w:id="323" w:name="__RefHeading___Toc13424995_1280447820"/>
      <w:bookmarkStart w:id="324" w:name="_Toc116"/>
      <w:bookmarkEnd w:id="322"/>
      <w:bookmarkEnd w:id="323"/>
      <w:r>
        <w:rPr>
          <w:rtl w:val="true"/>
        </w:rPr>
        <w:t>سابعها</w:t>
      </w:r>
      <w:r>
        <w:rPr>
          <w:rtl w:val="true"/>
        </w:rPr>
        <w:t xml:space="preserve">: </w:t>
      </w:r>
      <w:r>
        <w:rPr>
          <w:rtl w:val="true"/>
        </w:rPr>
        <w:t>حكم ما إذا استأجر أرضاً للزرع وعيّن مدّة يعتاد حصاده فيها</w:t>
      </w:r>
      <w:bookmarkEnd w:id="324"/>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أرضاً للزرع وعين مدّة يعتاد حصاده فيها، صحّ، فإن استحصد في تلك المدّة فلا كلام، وإن تأخر حصاده لعارض من حَرِّ أو بردٍ أو قلة ماءٍ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إبقائه على المالك في الأرض مع الأجرة؛ جمعاً بين الحقين؛ لأنّه لم يكن الإبقاء مستنداً لتقصيره، مع احتمال أن للمالك قلعه مع أرش النقصان؛ جمعاً بين الحقين أيضاً، واحتمال أن له قلعه من دون أرش؛ لعدم بقائه بعد المدّة بحقِّ، إلّا أنّ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الزارع فلا شكّ في أنّه له قلع زرعه عند انتهاء المدّة وإن لم يستحصد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أن لا أرش عليه للأرض لو تعيبت؛ لأنّه عمل مأذون فيه، مع احتمال أن له ذلك؛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تأخر حصاده بتفريط المستأجر كما إذا زرع ما يبقى بعد المدّة عادةً أو غير ذلك، فلا حقّ للزارع؛ لدخوله تحت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للمالك منع الزارع من أن يزرع ما يبقى عادةً بعد المدّة؛ لانصراف إطلاق العقد إلى ما لا يبقى كذلك، فلو زرع كان له قلعه حينئذٍ، أو له؛ لشمول إطلاق عقد المزارعة لكلّ ما يزرع سيّما لو كان للزارع نفع بنفس الزرع في تلك المدّة؟ ولا ينافي ذلك جواز قلع المالك له؛ لأنّه من الأحكام الشرعيّة التابعة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الأرض مدّة لزرع ما لا يكمل فيها عادةً، فإن اشترط قلعه بعدها فلا كلام في الصحّة؛ لعموم الأدلّة ما لم يؤد إلى السفه والعبث وإن اشترط بقاءه مدّة معينة كان الأجل هو ما شرطه، وإن شرط بقاءه إلى مدّة إدراكه كان شرطاً مجهولاً يبطل، ويبطل العقد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أطلق احتمل الحكم بالصحّة؛ لحصول المقتضي من العقد الصادر من أهله في محلّه مع عدم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البطلان لدخوله تحت السفه والعبث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ضعف؛ لإمكان حصول النفع بمجرّد زرع تلك المدّة، ويكون ذكر المدّة قرينة صارفةً عن إرادة الزرع على وجهه المعتاد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الحكم بالصحّة مع إمكان الانتفاع بالمزروع في تلك المدّة نفعاً يُعتد به عند العقلاء، والبطلان عند عدمه</w:t>
      </w:r>
      <w:r>
        <w:rPr>
          <w:rFonts w:eastAsia="Amiri" w:cs="Amiri" w:ascii="Amiri" w:hAnsi="Amiri"/>
          <w:color w:val="111111"/>
          <w:sz w:val="28"/>
          <w:szCs w:val="28"/>
          <w:rtl w:val="true"/>
          <w:lang w:bidi="ar-SA"/>
        </w:rPr>
        <w:t xml:space="preserve">. </w:t>
      </w:r>
      <w:bookmarkStart w:id="325" w:name="pg19218_274018"/>
    </w:p>
    <w:p>
      <w:pPr>
        <w:pStyle w:val="BookText"/>
        <w:rPr/>
      </w:pPr>
      <w:bookmarkEnd w:id="325"/>
      <w:r>
        <w:rPr>
          <w:rFonts w:ascii="Amiri" w:hAnsi="Amiri" w:eastAsia="Amiri" w:cs="Amiri"/>
          <w:color w:val="111111"/>
          <w:sz w:val="28"/>
          <w:sz w:val="28"/>
          <w:szCs w:val="28"/>
          <w:rtl w:val="true"/>
          <w:lang w:bidi="ar-SA"/>
        </w:rPr>
        <w:t>واحتمل الحكم بالصحّة إن أمكن الانتفاع بالأرض في تلك المدّة بزرع آخر مساو للزرع المشروط حرزاً،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عند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فهل يجب إبقاء الزرع على المالك مع الأجرة؛ جمعاً بين الحقين، ولمفهوم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وهذا موضوع بحق، أو لا يجب عليه؛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ولأنّه بعد المدّة لا حقّ له فلا يشمله المفهوم؟</w:t>
      </w:r>
    </w:p>
    <w:p>
      <w:pPr>
        <w:pStyle w:val="Heading5"/>
        <w:numPr>
          <w:ilvl w:val="4"/>
          <w:numId w:val="1"/>
        </w:numPr>
        <w:rPr/>
      </w:pPr>
      <w:bookmarkStart w:id="326" w:name="__RefHeading___Toc13424997_1280447820"/>
      <w:bookmarkStart w:id="327" w:name="_Toc117"/>
      <w:bookmarkEnd w:id="326"/>
      <w:r>
        <w:rPr>
          <w:rtl w:val="true"/>
        </w:rPr>
        <w:t>ثامنها</w:t>
      </w:r>
      <w:r>
        <w:rPr>
          <w:rtl w:val="true"/>
        </w:rPr>
        <w:t xml:space="preserve">: </w:t>
      </w:r>
      <w:r>
        <w:rPr>
          <w:rtl w:val="true"/>
        </w:rPr>
        <w:t>حكم ما لو استأجر الأرض للزرع ولم يكن لها ماء</w:t>
      </w:r>
      <w:bookmarkEnd w:id="327"/>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الأرض للزرع وكان لا ماء لها أصلاً، أو كانت عامرة بحيث لا ينحسر عنها الماء، بطلت الإجارة مع الجهل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إلغاء قيد الزراعة مع العلم فينصرف لغيرها إن أمكن الانتفاع بغيرها ممّا يساويها ضرراً،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تجدد حصول الماء أو انحساره على خلاف العادة، فالبطلان باقٍ على حاله، ولا يصحح العقد طروء المصحح في الأثناء بعد الحكم بالفساد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 الماء في الأثناء بعد أن كان على العادة، فللمستأجر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انقطع لنفسه أو قطعه معتد بسد أو أخذ، انفسخ العقد من حينه، وكان للمستأجر الخيار بين الفسخ ودفع أجرة المثل عما مضى، أو الإمضاء ودفع المسمّى عما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أرضاً مطلقاً وصححنا له ذلك وكان عالماً بعدم الماء، صحت الإجارة وانتفع بها بغير الزراعة، وإن كان لا ينتفع بها بغير الزراعة 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عالماً بعدم الماء، فإن كان لها نفع ظاهر بغير الزرع صحّ العقد، وإلا ففي صحّته والانتفاع بها بغيره، أو فساده؛ لأنّ أظهر منافع الأراضي المتسعة الزراعة فينصرف إليها، وجهان، ولا يبعد الصحّة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استأجر أرضاً لزرع شيئين أو أشياء دفعة أو متعاقبةً فامتنع أحدها أو أكثرها، بقي العقد على الصحّة، وكان للمستأجر الخيار</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الوكالة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9218_274022"/>
      <w:bookmarkStart w:id="329" w:name="pg19218_274022"/>
      <w:bookmarkEnd w:id="329"/>
    </w:p>
    <w:p>
      <w:pPr>
        <w:pStyle w:val="Heading2"/>
        <w:numPr>
          <w:ilvl w:val="1"/>
          <w:numId w:val="1"/>
        </w:numPr>
        <w:rPr/>
      </w:pPr>
      <w:bookmarkStart w:id="330" w:name="pg19218_274022"/>
      <w:bookmarkStart w:id="331" w:name="__RefHeading___Toc13424999_1280447820"/>
      <w:bookmarkStart w:id="332" w:name="_Toc118"/>
      <w:bookmarkEnd w:id="330"/>
      <w:bookmarkEnd w:id="331"/>
      <w:r>
        <w:rPr>
          <w:rtl w:val="true"/>
        </w:rPr>
        <w:t>كتاب الوكالة</w:t>
      </w:r>
      <w:bookmarkEnd w:id="332"/>
    </w:p>
    <w:p>
      <w:pPr>
        <w:pStyle w:val="Heading3"/>
        <w:numPr>
          <w:ilvl w:val="2"/>
          <w:numId w:val="1"/>
        </w:numPr>
        <w:rPr/>
      </w:pPr>
      <w:bookmarkStart w:id="333" w:name="__RefHeading___Toc13425001_1280447820"/>
      <w:bookmarkStart w:id="334" w:name="_Toc119"/>
      <w:bookmarkEnd w:id="333"/>
      <w:r>
        <w:rPr>
          <w:rtl w:val="true"/>
        </w:rPr>
        <w:t>تعريف الوكالة شرعاً</w:t>
      </w:r>
      <w:bookmarkEnd w:id="334"/>
    </w:p>
    <w:p>
      <w:pPr>
        <w:pStyle w:val="BookText"/>
        <w:rPr/>
      </w:pPr>
      <w:r>
        <w:rPr>
          <w:rFonts w:ascii="Amiri" w:hAnsi="Amiri" w:eastAsia="Amiri" w:cs="Amiri"/>
          <w:color w:val="111111"/>
          <w:sz w:val="28"/>
          <w:sz w:val="28"/>
          <w:szCs w:val="28"/>
          <w:rtl w:val="true"/>
          <w:lang w:bidi="ar-SA"/>
        </w:rPr>
        <w:t>بكسر الواو وفتحها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شرعاً عقد دال على الاستنابة في التصرّف، أو نفس الاستنابة الناشئة عن ذلك العقد، مشروع في الكتاب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بِقَمِيصِي هَذَا فَألْقُوهُ</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أَحَدَكُمْ بِوَرِقِكُمْ هَذِهِ</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والسنّة </w:t>
      </w:r>
      <w:r>
        <w:rPr>
          <w:rStyle w:val="FootnoteAnchor"/>
          <w:rtl w:val="true"/>
        </w:rPr>
        <w:footnoteReference w:id="335"/>
      </w:r>
      <w:r>
        <w:rPr>
          <w:rFonts w:ascii="Amiri" w:hAnsi="Amiri" w:eastAsia="Amiri" w:cs="Amiri"/>
          <w:color w:val="111111"/>
          <w:sz w:val="28"/>
          <w:sz w:val="28"/>
          <w:szCs w:val="28"/>
          <w:rtl w:val="true"/>
          <w:lang w:bidi="ar-SA"/>
        </w:rPr>
        <w:t xml:space="preserve">، وهي مستفيضة بل متواترة بين العامّة والخاصّة، والإجماع بقسميه </w:t>
      </w:r>
      <w:r>
        <w:rPr>
          <w:rStyle w:val="FootnoteAnchor"/>
          <w:rtl w:val="true"/>
        </w:rPr>
        <w:footnoteReference w:id="336"/>
      </w:r>
      <w:r>
        <w:rPr>
          <w:rFonts w:ascii="Amiri" w:hAnsi="Amiri" w:eastAsia="Amiri" w:cs="Amiri"/>
          <w:color w:val="111111"/>
          <w:sz w:val="28"/>
          <w:sz w:val="28"/>
          <w:szCs w:val="28"/>
          <w:rtl w:val="true"/>
          <w:lang w:bidi="ar-SA"/>
        </w:rPr>
        <w:t>، وسيرة المسلمين القطعية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عن الحد الوديعة؛ فإنّها استنابة في الحفظ، والوصاية؛ فإنّها إحداث ولاية على مال الميّت لا استنابة عنه في التصرّف والمضاربة والمزارعة والمساقاة والإجارة على الأعمال؛ لعدم القصد فيها ابتداءً للاستنابة في التصرّف وإنّما المقصود منها أمر آخر ويلزمه الاستنابة فيه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يخرج نصب القيم، ونصب قاضي التحكيم؛ لأنّهما من المناصب لا من الاستنابات وكذا أُمراء الجيوش والعساكر وأصحاب الرايات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وظاهرهم أن الوكالة عقد مفتقر إلى إيجاب وقبول، وليست من قبيل الإيقاع فيكفي فيها الإذن المجردة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ولكنّهم يظهر منهم التسامح في عقدها أكثر من غيرها من العقود الجائزة، حيث اكتفوا فيه إيجاباً باللفظ الصريح وغيره العربي وغيره، المفصول بينه وبين القبول والموصول، حتّى أنّهم اكتفوا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اللفظ من رفع أو إشارة بجارحة أو كناية، وقبولاً كذلك بما دلّ على الرضى من قول أو فعل موصول أو مفصول، حتّى أنّهم اكتفوا بفعل ما وكل فيه، كما اكتفوا في الإيجاب بالأمر أو الطلب أو الالتماس على الفعل المراد صدوره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مستنده السيرة القاضية بصحّة جميع ذلك، وظواهر الأخبار العامّة والخاصّة القاضية بحصول الوكالة بمجرّد الأمر أو الالتماس، والمنقول عن فعل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والأخبار القاضية بحصول الوكالة بمجرد الكتابة أو الوصيّة على لسان آخر من غائبِ إلى آخر </w:t>
      </w:r>
      <w:r>
        <w:rPr>
          <w:rStyle w:val="FootnoteAnchor"/>
          <w:rtl w:val="true"/>
        </w:rPr>
        <w:footnoteReference w:id="337"/>
      </w:r>
      <w:r>
        <w:rPr>
          <w:rFonts w:ascii="Amiri" w:hAnsi="Amiri" w:eastAsia="Amiri" w:cs="Amiri"/>
          <w:color w:val="111111"/>
          <w:sz w:val="28"/>
          <w:sz w:val="28"/>
          <w:szCs w:val="28"/>
          <w:rtl w:val="true"/>
          <w:lang w:bidi="ar-SA"/>
        </w:rPr>
        <w:t xml:space="preserve">، ولا يمكن تطرّق الطعن عليها بإمكان انضمام الصيغة الخاصّة إلى ذلك وإن لم ينقل، كما كُنا نقوله في الأخبار الواردة في العقود اللازمة؛ للفرق بين أخبار الوكالة وبين أخبار العقود اللازمة من حيثية جواز تطرّق انضمام الصيغ الخاصّة إلى العقود اللازمة وإن لم ينقل، وعدم جواز تطرّق الاحتمال في أخبار الوكالة؛ للقطع بعدم صدور أمر آخر وراء ما في الأخبار، وتحقق الوكالة بمجرّد الأمر والطلب الصادرين فيها ومجرّد الكتابة والرسالة من بُعْدِ ونحو ذلك، وكذا تحقق القبول بمجرد صدور الفعل من المأمور والمكتوب إليه ونحو ذلك، ومن المعلوم عرفاً وشرعاً أن ذلك كلّه على سبيل الوكالة؛ وكلّ حكم يجري على الوكالة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يجري على ما صدر بالأمر والطلب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الوكالة حينئذٍ وبين إذن المالك بالتصرف في ماله ببيع وشراء مع أنّ الوكالة جعلتموها عقداً مستقلاً لا مجرد إذن في الفعل؟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بالإذن ما كان المقصود منه الاستنابة من المالك في الفعل فهذه هي الوكالة، سواء صدرت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بغيرها، وإن أُريد بها الإذن بمعنى رفع المنع من المالك في التصرّف كالأمر بعد الحظر لم يكن ذلك وكالةً، ولا تجري عليه أحكامها وإن ساغ به التصرّف من المأذون</w:t>
      </w:r>
      <w:r>
        <w:rPr>
          <w:rFonts w:eastAsia="Amiri" w:cs="Amiri" w:ascii="Amiri" w:hAnsi="Amiri"/>
          <w:color w:val="111111"/>
          <w:sz w:val="28"/>
          <w:szCs w:val="28"/>
          <w:rtl w:val="true"/>
          <w:lang w:bidi="ar-SA"/>
        </w:rPr>
        <w:t xml:space="preserve">. </w:t>
      </w:r>
      <w:bookmarkStart w:id="335" w:name="pg19218_274024"/>
    </w:p>
    <w:p>
      <w:pPr>
        <w:pStyle w:val="BookText"/>
        <w:rPr/>
      </w:pPr>
      <w:bookmarkEnd w:id="335"/>
      <w:r>
        <w:rPr>
          <w:rFonts w:ascii="Amiri" w:hAnsi="Amiri" w:eastAsia="Amiri" w:cs="Amiri"/>
          <w:color w:val="111111"/>
          <w:sz w:val="28"/>
          <w:sz w:val="28"/>
          <w:szCs w:val="28"/>
          <w:rtl w:val="true"/>
          <w:lang w:bidi="ar-SA"/>
        </w:rPr>
        <w:t>فلو قال شخص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أذنتُ لك في بيع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الاستنابة كان وكالةً، وإن أراد منها رفع المنع المتوهم لم يكن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 بينهما أنّ الإذن تكون عامة،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أذنتُ لجميع الناس أن يتصرفوا بمالي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والوكالة لا بدّ من تشخيص الوكيل عموماً أو خصوصاً، وأن الإذن يكفي فيها القطع بالأمارات وقرائن الأحوال، دون الوكالة، وأن الوكالة إذا ردّها الوكيل قبل القبول أو بعده بطلت، دون الإذن؛ فإنّ الردّ لا يؤثر فيه بطلاناً، وأن الوكالة لا تعلق على شرط أو صفة، بخلاف الإذن</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3425003_1280447820"/>
      <w:bookmarkStart w:id="337" w:name="_Toc120"/>
      <w:bookmarkEnd w:id="336"/>
      <w:r>
        <w:rPr>
          <w:rtl w:val="true"/>
        </w:rPr>
        <w:t>وهنا أُمور</w:t>
      </w:r>
      <w:r>
        <w:rPr>
          <w:rtl w:val="true"/>
        </w:rPr>
        <w:t>:</w:t>
      </w:r>
      <w:bookmarkEnd w:id="337"/>
    </w:p>
    <w:p>
      <w:pPr>
        <w:pStyle w:val="Heading4"/>
        <w:numPr>
          <w:ilvl w:val="3"/>
          <w:numId w:val="1"/>
        </w:numPr>
        <w:rPr/>
      </w:pPr>
      <w:bookmarkStart w:id="338" w:name="__RefHeading___Toc13425005_1280447820"/>
      <w:bookmarkStart w:id="339" w:name="_Toc121"/>
      <w:bookmarkEnd w:id="338"/>
      <w:r>
        <w:rPr>
          <w:rtl w:val="true"/>
        </w:rPr>
        <w:t>أحدها</w:t>
      </w:r>
      <w:r>
        <w:rPr>
          <w:rtl w:val="true"/>
        </w:rPr>
        <w:t xml:space="preserve">: </w:t>
      </w:r>
      <w:r>
        <w:rPr>
          <w:rtl w:val="true"/>
        </w:rPr>
        <w:t>اشتراط التعيين في عقد الوكالة</w:t>
      </w:r>
      <w:bookmarkEnd w:id="33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عقد الوكالة التعيين كما يشترط ذلك في الوكيل، فلا تصحّ الوكالة المبهمة، ولا توكيل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عقدها التنجيز، فلا يصحّ تعليقها على شرط أو صفة متوقّعين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الحلول، فلا يصحّ تأخير أثره الذي هو عبارة عن صيرورة الوكيل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تأخير جواز التصرّف إلى مدّة معينة، وإلى شرط أو وصفٍ مترقبين،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 على فعل ذلك بعد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مجيء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يكونا قيداً للفعل لا قيداً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اشتمال الوكالة على شرط فاسد فيفسد عقدها بفساده، كما إذا اشترط الموكّل في الوكالة شيئاً محرماً أو غير مقدور، وإذا اشترط شرطاً سائغاً كانت فائدته حرمة التصرّف من دون وقوعه، أو عدم استحقاق الجغل لو اشتمل عقد الوكالة على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مع الشرط يجوز إجبار المشروط عليه على فعل الشرط ما دام لم يفسخ عقد الوكالة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3425007_1280447820"/>
      <w:bookmarkStart w:id="341" w:name="_Toc122"/>
      <w:bookmarkEnd w:id="340"/>
      <w:r>
        <w:rPr>
          <w:rtl w:val="true"/>
        </w:rPr>
        <w:t>ثانيها</w:t>
      </w:r>
      <w:r>
        <w:rPr>
          <w:rtl w:val="true"/>
        </w:rPr>
        <w:t xml:space="preserve">: </w:t>
      </w:r>
      <w:r>
        <w:rPr>
          <w:rtl w:val="true"/>
        </w:rPr>
        <w:t>جواز الوكالة مطلقاً ومقيدةً بوصف أو وقت أو حال أو مكان</w:t>
      </w:r>
      <w:bookmarkEnd w:id="341"/>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الوكالة مطلقاً، وتجوز مقيدةً بوصف أو وقتٍ أو حالٍ أو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فعقد الوكالة مبني على التبرع كما جرت به السيرة، وكما تشعر به أخبار الوكالة، من حيث خلوّها عن العوض من الموكّل وعدم اشتراطه من الوكيل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اشترطا جُغلاً لزم بعد فعل ما وكل عليه، أو كان الأمر الذي وكل عليه والشخص الذي وكل ممّا تجري العادة بثبوت الأجرة لهما</w:t>
      </w:r>
      <w:r>
        <w:rPr>
          <w:rFonts w:eastAsia="Amiri" w:cs="Amiri" w:ascii="Amiri" w:hAnsi="Amiri"/>
          <w:color w:val="111111"/>
          <w:sz w:val="28"/>
          <w:szCs w:val="28"/>
          <w:rtl w:val="true"/>
          <w:lang w:bidi="ar-SA"/>
        </w:rPr>
        <w:t xml:space="preserve">. </w:t>
      </w:r>
      <w:bookmarkStart w:id="342" w:name="pg19218_274025"/>
    </w:p>
    <w:p>
      <w:pPr>
        <w:pStyle w:val="BookText"/>
        <w:rPr/>
      </w:pPr>
      <w:bookmarkEnd w:id="342"/>
      <w:r>
        <w:rPr>
          <w:rFonts w:ascii="Amiri" w:hAnsi="Amiri" w:eastAsia="Amiri" w:cs="Amiri"/>
          <w:color w:val="111111"/>
          <w:sz w:val="28"/>
          <w:sz w:val="28"/>
          <w:szCs w:val="28"/>
          <w:rtl w:val="true"/>
          <w:lang w:bidi="ar-SA"/>
        </w:rPr>
        <w:t>وعلى ما ذكرنا فإن كان عقد الوكالة صحيحاً لزم الجعل المشترط بفعل الوكيل، وإن كان فاسداً كان له أُجرة المثل دون المسمّى حتّى لو لم تجر العادة بأخذ مثل ذلك الوكيل أُجرة؛ لإقدامه على العوض على كلّ حال</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3425009_1280447820"/>
      <w:bookmarkStart w:id="344" w:name="_Toc123"/>
      <w:bookmarkEnd w:id="343"/>
      <w:r>
        <w:rPr>
          <w:rtl w:val="true"/>
        </w:rPr>
        <w:t>ثالثها</w:t>
      </w:r>
      <w:r>
        <w:rPr>
          <w:rtl w:val="true"/>
        </w:rPr>
        <w:t xml:space="preserve">: </w:t>
      </w:r>
      <w:r>
        <w:rPr>
          <w:rtl w:val="true"/>
        </w:rPr>
        <w:t>حكم ما لو عُلّقت الوكالة على شرط أو اشتملت على شرط فاسد</w:t>
      </w:r>
      <w:bookmarkEnd w:id="34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عُلّقت الوكالة على شرط أو اشتملت على شرط فاسد، ففي صحّة تصرّف الوكيل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لبقاء الإذن الضمني المشتمل عليه العقد، فيستند التصرّف إليه، فيكون مأذوناً فيه، ولأنّ الوكالة أخص من مطلق الإذن، وعدم الأخصّ لا يستلزم عدم الأعم، ولأنّ الوكالة لا تزيد على الإذن في التصرّف، وما يزيد فيها من الجغل ونحوه أمر زائد، وفساده لا يقضي بفساد أصله، كفساد المهر في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لأنّ المفروض فساد العقد، ولا معنى للفاسد إلّا ما يترتب عليه أثره كصحة التصرّف في عقد الوكالة، ولأنّ الإذن الضمنية لا معنى لبقائها مع ارتفاع عقد الوكالة؛ إذ لا معنى لبقاء الجنس مع ارتفاع الفصل، ولا معنى لبقاء الجزء مع ارتفاع المركب، ولأنّ الضمنية واقعة على نحو خاص وهي الوكالة، فلا معنى لارتفاعها وبقاء 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أوجه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الثاني الميل إلى صحّة عقد الوكالة المعلقة وإن فسد الجغل المشتملة عليه؛ لأنّها إذن في الفعل فلا ينافيه التعليق، ومنافاته للجعل لكونه معاوضةً لا تقضي بفساد العقد، كما لا يقضي فساد المهر بفساد النكاح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بعيد عن ظاهر الأصحاب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ذلك احتاط في نفوذ تصرّف الوكيل مع التوكيل بالبيع والشراء والأمور الكلية؛ لبناء هذه الأمور على التضييق والمداقة، دون المسامحة، كما يتسامح في إباحة الطعام للضيف وشبهه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345" w:name="pg19218_274026"/>
    </w:p>
    <w:p>
      <w:pPr>
        <w:pStyle w:val="Heading4"/>
        <w:numPr>
          <w:ilvl w:val="3"/>
          <w:numId w:val="1"/>
        </w:numPr>
        <w:rPr/>
      </w:pPr>
      <w:bookmarkStart w:id="346" w:name="__RefHeading___Toc13425011_1280447820"/>
      <w:bookmarkStart w:id="347" w:name="_Toc124"/>
      <w:bookmarkEnd w:id="345"/>
      <w:bookmarkEnd w:id="346"/>
      <w:r>
        <w:rPr>
          <w:rtl w:val="true"/>
        </w:rPr>
        <w:t>رابعها</w:t>
      </w:r>
      <w:r>
        <w:rPr>
          <w:rtl w:val="true"/>
        </w:rPr>
        <w:t xml:space="preserve">: </w:t>
      </w:r>
      <w:r>
        <w:rPr>
          <w:rtl w:val="true"/>
        </w:rPr>
        <w:t>حكم ما لو ردّ الوكيل بعد الإيجاب أو بعد الإيجاب والقبول</w:t>
      </w:r>
      <w:bookmarkEnd w:id="347"/>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الوكيل بعد الإيجاب أو بعد الإيجاب والقبول، فالأظهر بطلانها؛ للبناء على أنّها عقد فينفسخ بالردّ ولا يعود إلّا بإذن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بعدم انفساخ العقد بذلك، فللوكيل الرجوع إلى الوكالة؛ لأنّها إذن ولا ينتفي موجبها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إعلام الموكّل بالردّ فينفسخ العقد، وبين عدمه فلا ينفسخ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على إمضاء أمر من الأمور فالوكالة ثابتة أبداً حتّى يعلمه بالخروج منها كما أعلمه بالدخول فيها</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بناءً على رجوع الضمير للوكيل</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3425013_1280447820"/>
      <w:bookmarkStart w:id="349" w:name="_Toc125"/>
      <w:bookmarkEnd w:id="348"/>
      <w:r>
        <w:rPr>
          <w:rtl w:val="true"/>
        </w:rPr>
        <w:t>خامسها</w:t>
      </w:r>
      <w:r>
        <w:rPr>
          <w:rtl w:val="true"/>
        </w:rPr>
        <w:t xml:space="preserve">: </w:t>
      </w:r>
      <w:r>
        <w:rPr>
          <w:rtl w:val="true"/>
        </w:rPr>
        <w:t>صحّة الإيجاب بالإشارة المفهمة ولو لغير الأخرس وكذا صحّة القبول بالفعل الدال على الرضى</w:t>
      </w:r>
      <w:bookmarkEnd w:id="349"/>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الأصحاب ومنقول الإجماع </w:t>
      </w:r>
      <w:r>
        <w:rPr>
          <w:rStyle w:val="FootnoteAnchor"/>
          <w:rtl w:val="true"/>
        </w:rPr>
        <w:footnoteReference w:id="341"/>
      </w:r>
      <w:r>
        <w:rPr>
          <w:rFonts w:ascii="Amiri" w:hAnsi="Amiri" w:eastAsia="Amiri" w:cs="Amiri"/>
          <w:color w:val="111111"/>
          <w:sz w:val="28"/>
          <w:sz w:val="28"/>
          <w:szCs w:val="28"/>
          <w:rtl w:val="true"/>
          <w:lang w:bidi="ar-SA"/>
        </w:rPr>
        <w:t>على صحّة الإيجاب بالإشارة المفهمة ولو لغير الأخرس، وصحة القبول بالفعل الدال على الرضى وكذا ظاهرهما على جواز تراخي القبول من الإيجاب ولو طالت المدّة، وكذا على جواز توكيل الغائب برسالة، أو كتابة وإن تأخّر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أمر رجلاً بأن يزوجه امرأة بالمدينة وسماها له، والذي أمره بالعراق، فخرج المأمور فزوجها إيّاه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يبعث إلى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لي ثوباً، فيطلب له في السوق الخبر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بعث إليه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بثلاثمائة دينار إلى رحم امرأة كانت له وأمره أن يطلقها عنه ويمتعها بهذا المال </w:t>
      </w:r>
      <w:r>
        <w:rPr>
          <w:rStyle w:val="FootnoteAnchor"/>
          <w:rtl w:val="true"/>
        </w:rPr>
        <w:footnoteReference w:id="344"/>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3425015_1280447820"/>
      <w:bookmarkStart w:id="351" w:name="_Toc126"/>
      <w:bookmarkEnd w:id="350"/>
      <w:r>
        <w:rPr>
          <w:rtl w:val="true"/>
        </w:rPr>
        <w:t xml:space="preserve">سادسها </w:t>
      </w:r>
      <w:r>
        <w:rPr>
          <w:rtl w:val="true"/>
        </w:rPr>
        <w:t xml:space="preserve">: </w:t>
      </w:r>
      <w:r>
        <w:rPr>
          <w:rtl w:val="true"/>
        </w:rPr>
        <w:t>انعزال الوكيل بعزل الموكّل له قبل القبول وبعده</w:t>
      </w:r>
      <w:bookmarkEnd w:id="35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ينعزل الوكيل بعزل الموكّل له قبل القبول وبعده من غير كلام؛ لأنّها من العقود الجائزة، فلكل منهما فسخه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إن علم الوكيل بالعزل، فإن لم يعلم به فهل ينعزل بالعزل بحيث لا تعود وكالته إلّا بعقد جديد وبحيث لا يمضي تصرّفه ولا يجري عليه أحكام الوكيل، أو ينعزل ولكن تجري عليه أحكام الوكيل ويمضي تصرّفه إلى أن يعلم بالعزل، أو لا ينعزل إلّا مع العزل مشافهة أو بإخبار مَنْ يوثق به، أو ينعزل مع الإشهاد على العزل ولا ينعزل بدونه؟ وجوه، وكثير منها أقوال، أظهرها بقاء الوكالة وعدم حصول العزل قبل العلم، وإمضاء ما وكل به؛ لتحققها وثبوتها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ذلك الرواية الطويلة في امرأةٍ وكلت رجلاً في تزويجها من رجل فزوجها الوكيل، ثمّ إنّها أقامت شاهدين على أنّها عزلته، فسُئل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فذكر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وأن الامرأة ادعت أنّها أعلمته بالعزل فأنكر هو ذلك، فطلب منها البيّنة، فعجزت عن إثبات إعلامه بالعزل، فحلّف الوكيل على نفى العلم بالعزل فحلف وأثبت وكالته وأجاز النكاح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وكل آخر على إمضاء أمر من الأمور، فلما قام الوكيل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عزلتُ فلاناً عن الوكالة،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الوكيل أمضى الأمر قبل أن يعلم بالعزل أو يبلغه أنّه قد عزله عن الوكالة فالأمر على ما أمضاه؟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الوكيل إذا وكل ثمّ قام عن المجلس فأمره ماض أبداً، والوكالة ثابتة أبداً حتّى يبلغه العزل عن الوكالة بثقة يبلغه أو يشافه العزل عن الوكالة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وكل على طلاق امرأته فبدا له فأشهد أنّه قد أبطل ما كان أمره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فليعلم أهله وليعلم الوكيل</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على إمضاء أمرٍ من الأمور فالوكالة ثابتة أبداً حتّى يُعلمه بالخروج منها كما أعلمه بالدخول فيها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الأخبار ثبوت هذه الوكالة بحكم الشارع، سواء أشهد على العزل أم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أنّه لولا ذلك للزم الضرر العظيم على الوكلاء، وعلى من تصرف ببيعٍ وشراء ونكاحٍ ووقفٍ وعتقٍ</w:t>
      </w:r>
      <w:r>
        <w:rPr>
          <w:rFonts w:eastAsia="Amiri" w:cs="Amiri" w:ascii="Amiri" w:hAnsi="Amiri"/>
          <w:color w:val="111111"/>
          <w:sz w:val="28"/>
          <w:szCs w:val="28"/>
          <w:rtl w:val="true"/>
          <w:lang w:bidi="ar-SA"/>
        </w:rPr>
        <w:t xml:space="preserve">. </w:t>
      </w:r>
      <w:bookmarkStart w:id="352" w:name="pg19218_274028"/>
    </w:p>
    <w:p>
      <w:pPr>
        <w:pStyle w:val="BookText"/>
        <w:rPr/>
      </w:pPr>
      <w:bookmarkEnd w:id="352"/>
      <w:r>
        <w:rPr>
          <w:rFonts w:ascii="Amiri" w:hAnsi="Amiri" w:eastAsia="Amiri" w:cs="Amiri"/>
          <w:color w:val="111111"/>
          <w:sz w:val="28"/>
          <w:sz w:val="28"/>
          <w:szCs w:val="28"/>
          <w:rtl w:val="true"/>
          <w:lang w:bidi="ar-SA"/>
        </w:rPr>
        <w:t>والنقض على ذلك بالموت ضعيف؛ لأنّ الموت من الأمور العادية المبني عليها بالنسبة إلى جميع المعاملات في العقود الجائزة، بخلاف العزل، فإنا لو قلنا بانفساخ الوكالة فيه وعدم نفوذ فعل الوكيل لزم منه فساد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الوكيل ينعزل بمجرّد العزل منسوب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وذكر أن فيه رواية </w:t>
      </w:r>
      <w:r>
        <w:rPr>
          <w:rStyle w:val="FootnoteAnchor"/>
          <w:rtl w:val="true"/>
        </w:rPr>
        <w:footnoteReference w:id="350"/>
      </w:r>
      <w:r>
        <w:rPr>
          <w:rFonts w:ascii="Amiri" w:hAnsi="Amiri" w:eastAsia="Amiri" w:cs="Amiri"/>
          <w:color w:val="111111"/>
          <w:sz w:val="28"/>
          <w:sz w:val="28"/>
          <w:szCs w:val="28"/>
          <w:rtl w:val="true"/>
          <w:lang w:bidi="ar-SA"/>
        </w:rPr>
        <w:t>، وأن الوكالة من العقود الجائزة فللموكل الفسخ أعلم به أم لم يُعلم، وإلا كانت لازمةً، ولأن الفسخ رفع عقد لا يفتقر إلى رضى صاحبه، فلا يفتقر إلى علمه كالطلاق والعتق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لعدم ثبوت الرواية، ولو فرضناها فليس لها قابلية معارضة الروايات المعتضدة بالشهرة والاعتبار، ولعدم الملازمة بين كونها جائزةً وبين إمضاء حكمها قبل الإعلام بالعزل؛ لضرورة النظام، بل لا منافاة بين جوازها بالأصل ولزومها بالعارض لمقتض اقتضى ذلك، ككثير من العقود الجائزة بالأصل اللازمة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بالفرق بين الإشهاد وعدمه منسوب لجمع من أصحابنا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لعدم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الأمر يدور مدار الثقة المأمون في إخباره، ولا يكفي كلّ خبرٍ أو كلّ أمارة وإن أفاد المظنة، كما لا يشترط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مخصوص بالوكالة فلا يسري للمضاربة، فلو عزل المالك العامل في المضاربة لم تمض تصرفاته قبل إعلامه بالعزل، أو تمضي؛ لأنّها وكالة في المعنى؟ وجهان، ولا يبعد الأخير</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3425017_1280447820"/>
      <w:bookmarkStart w:id="354" w:name="_Toc127"/>
      <w:bookmarkEnd w:id="353"/>
      <w:r>
        <w:rPr>
          <w:rtl w:val="true"/>
        </w:rPr>
        <w:t>سابعها</w:t>
      </w:r>
      <w:r>
        <w:rPr>
          <w:rtl w:val="true"/>
        </w:rPr>
        <w:t xml:space="preserve">: </w:t>
      </w:r>
      <w:r>
        <w:rPr>
          <w:rtl w:val="true"/>
        </w:rPr>
        <w:t>انفساخ الوكالة بموت الوكيل أو الموكّل وبجنون أحدهما وبالإغماء عليه وبسفه الموكّل</w:t>
      </w:r>
      <w:bookmarkEnd w:id="354"/>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تنفسخ الوكالة بموت كلّ من الوكيل أو الموكّل، وبجنون أحدهما، وبالإغماء عليه وبسفه الموكّل، وبالتحجير على أمواله التي وكّل على نقلها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تعود عند ارتفاع الحجر؛ استصحاباً لحالة الانقطاع، وإن احتمل ذلك؛ بناءً على أنّ الوكالة إذن في التصرّف وليست كسائر العقود، أو بناء على أن ارتفاع العقد لا يقضي بارتفاع </w:t>
      </w:r>
    </w:p>
    <w:p>
      <w:pPr>
        <w:pStyle w:val="BookText"/>
        <w:rPr/>
      </w:pPr>
      <w:r>
        <w:rPr>
          <w:rFonts w:ascii="Amiri" w:hAnsi="Amiri" w:eastAsia="Amiri" w:cs="Amiri"/>
          <w:color w:val="111111"/>
          <w:sz w:val="28"/>
          <w:sz w:val="28"/>
          <w:szCs w:val="28"/>
          <w:rtl w:val="true"/>
          <w:lang w:bidi="ar-SA"/>
        </w:rPr>
        <w:t>الإذن، ويمكن تأييده بما قدمناه من القول ببقاء الإذن مع ردّ الوكيل، ومع تعليق الوكالة على شرط، وبدخول الصيد الغائب في ملك المُحْرِم بعد زوال إحرامه، وبأن مَنْ وَكُل مُحِلّا فصار محرماً لم يحتج إلى تجديد الوكالة بعد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ضعيف مخالف لظواهر الفتوى وإطلاق الإجماعات المحكية على بطلان الوكالة بالموت والجنون والإغماء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يحتمل قويّاً ذلك في السفيه والمحجور عليه لفلس أو رهن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وتنفسخ الوكالة بحدوث رقيّة الموكّل كما إذا كان حربياً فاسترق، أو قامت البيّنة على رقيته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حدوث الرقية بالنسبة إلى الوكيل ففي انفساخ الوكالة وجهان مبنيان على جواز توكيل عبد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فالتصرف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عدم صحّة الوكالة ابتداء، وانفساخها استدامة؛ لأنّ العبد لا يقدر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صحّة تصرّف العبد وإن كان منهيّاً عنه لمكان إذن الموكّل وعدمها وجهان، كما أنّ في عودها لو عاد حراً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نفوذ تصرفه لمكان إذن الموكّل وإن كان منهيّاً عنه؛ لعدم اقتضاء النهي ها هنا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تنفسخ أيضاً بفوات ما وكل فيه، كما إذا وكله على بيع عبد فمات، أو أعتقه مولاه، أو باعه، أو وكله على طلاق امرأةٍ فماتت أو على شراء شيء بثمن معين فتلفت عينه، ولا يجدي كونه مضموناً عند تلفه؛ لأنّ الوكالة لا تتناول بدله كما لا تتناول الوكالة بيعه ثانياً، كما إذا وكله ببيع عبد فباعه الموكّل ثمّ اشتراه، وكذا لو وكله على طلاق زوجته فطلقها ثمّ عادت إليه ؛ لأنّ إطلاق الوكالة إنّما ينصرف إلى البيع الأوّل والطلاق الأوّل، فلا يقع بيع الوكيل ولا طلاقه بموقعهما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وتنفسخ الوكالة بفعل ما يدلّ على عدم إرادة الفعل الذي وكل الوكيل عليه، كما إذا وكله على بيع جاريةٍ فوطأها، أو على طلاق امرأةٍ فوطأها، أو على عتق عبد أو بيعه فرهنه، أو على عتق عبد فكاتبه، ومثل ذلك فعل المقدمات الدالّة على الرغبة في العبد والزوجة وغيرهما </w:t>
      </w:r>
      <w:bookmarkStart w:id="355" w:name="pg19218_274030"/>
    </w:p>
    <w:p>
      <w:pPr>
        <w:pStyle w:val="BookText"/>
        <w:rPr/>
      </w:pPr>
      <w:bookmarkEnd w:id="355"/>
      <w:r>
        <w:rPr>
          <w:rFonts w:ascii="Amiri" w:hAnsi="Amiri" w:eastAsia="Amiri" w:cs="Amiri"/>
          <w:color w:val="111111"/>
          <w:sz w:val="28"/>
          <w:sz w:val="28"/>
          <w:szCs w:val="28"/>
          <w:rtl w:val="true"/>
          <w:lang w:bidi="ar-SA"/>
        </w:rPr>
        <w:t>إذا كان مقروناً بما يدلّ من قرائن الأحوال على عزل الوكيل فإن لم يكن كذلك فالوكالة ثابتة؛ للاستصحاب حتّى يتحقق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فلو انعزل الوكيل وكان بيده مال كان أمانة لا يضمنه إلّا مع التعدّي أو التفريط، ولكنه مع الموت والجنون ونحوهما يكون أمانةً شرعيّة يجب ردّها فوراً إلى أهلها، ومع عزل الموكّل له وشبهه يكون أمانة مالكية لا يجب ردّها إلّا مع المطالبة، ومع عزل الوكيل نفسه ففي كونها شرعيّة أو مالكية وجهان</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3425019_1280447820"/>
      <w:bookmarkStart w:id="357" w:name="_Toc128"/>
      <w:bookmarkEnd w:id="356"/>
      <w:r>
        <w:rPr>
          <w:rtl w:val="true"/>
        </w:rPr>
        <w:t>ثامنها</w:t>
      </w:r>
      <w:r>
        <w:rPr>
          <w:rtl w:val="true"/>
        </w:rPr>
        <w:t xml:space="preserve">: </w:t>
      </w:r>
      <w:r>
        <w:rPr>
          <w:rtl w:val="true"/>
        </w:rPr>
        <w:t>حكم ما لو باع الوكيل بثمن خاص فأنكر الموكّل قدره أو عينه أو جنسه أو وصفه أو زمانه أو</w:t>
      </w:r>
      <w:bookmarkEnd w:id="357"/>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الوكيل بثمن خاص فأنكر الموكّل قدره أو عينه أو جنسه أو وصفه أو زمانه أو مكانه أو المبيع عليه، كان القول قوله مع اليمين؛ للأصل، ولرجوعه إلى إنكار الوكالة بذلك القدر أو النوع أو الوصف أو الزمان أو المكان أو نفس المبيع عليه،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الوكيل أمين وهو مصدَّق في قوله؛ للزوم الحكم بخيانته لولا تصديقه، وهو منهي عنه؛ لأنّ تصديق الوكيل إنّما يلزم فيما كان وكيلاً فيه، كما إذا ادّعى التلف من غير تعدّ أو تفريط، أو ادّعى الإيصال أو الردّ وكان وكيلاً عليهما، أو ادّعى المصلحة في البيع والشراء، أو ادّعى امتثال ما وكل فيه من زمان أو مكانٍ أو حالٍ أو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الدعوى في تحقيق ما وكل فيه فالقول قول الموكّل، سواء كان إنكاره لأصل الوكالة، أو لوقوعها مطلقةً، أو لوقوعها مقيّدة، حتّى لو ادّعى الوكيل إطلاق الوكالة وادعى الموكّل تقييدها بشرط أو وصفٍ أو حالٍ أو زمانٍ أو مكانٍ، كان القول قول الموكّل؛ لإنكاره الإذن الصادر منه على نحو ما يدعيه الوكيل، وما يدعيه الوكيل عليه مفتقر إلى البيّنة، فإن لم تكن كان على الموكّل في نفي ما يدعيه الوكيل اليمين، فإذا حلف استعاد العين المبيعة أو الثمن عيناً إن كانا موجودين، ولم يجز البيع، ومثلهما أو قيمتهما إن كانا تالفين، أو حصل حائل عن إيصالهما إليه، وله الرجوع على كلّ من البائع والمشتري، ويستقر الضمان على مَنْ تلفت في يده</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3425021_1280447820"/>
      <w:bookmarkStart w:id="359" w:name="_Toc129"/>
      <w:bookmarkEnd w:id="358"/>
      <w:r>
        <w:rPr>
          <w:rtl w:val="true"/>
        </w:rPr>
        <w:t>تاسعها</w:t>
      </w:r>
      <w:r>
        <w:rPr>
          <w:rtl w:val="true"/>
        </w:rPr>
        <w:t xml:space="preserve">: </w:t>
      </w:r>
      <w:r>
        <w:rPr>
          <w:rtl w:val="true"/>
        </w:rPr>
        <w:t>في بيان موارد تصحّ الوكالة فيها</w:t>
      </w:r>
      <w:bookmarkEnd w:id="359"/>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الوكالة في كلّ فعل جامع لأُمور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كونه مملوكاً للموكل، بمعنى أنّ له مباشرته بنفسه عقلاً وشرعاً، فلا تجوز الوكالة فيما لا يمكن للموكل مباشرته عقلاً، كالأُمور المستحيلة، أو شرعاً كالغصب والقتل والسرقة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يعتبر الإمكان من حين الوكالة إلى وقت التصرف؟ المشهور والمحكي عليه الإجماع </w:t>
      </w:r>
      <w:r>
        <w:rPr>
          <w:rStyle w:val="FootnoteAnchor"/>
          <w:rtl w:val="true"/>
        </w:rPr>
        <w:footnoteReference w:id="353"/>
      </w:r>
      <w:r>
        <w:rPr>
          <w:rFonts w:ascii="Amiri" w:hAnsi="Amiri" w:eastAsia="Amiri" w:cs="Amiri"/>
          <w:color w:val="111111"/>
          <w:sz w:val="28"/>
          <w:sz w:val="28"/>
          <w:szCs w:val="28"/>
          <w:rtl w:val="true"/>
          <w:lang w:bidi="ar-SA"/>
        </w:rPr>
        <w:t>ذلك، فلا يصحّ التوكيل على طلاق امرأةٍ سينكحها، أو عتق عبد سيشتريه، أو تزويج امرأةٍ محصنة بعد طلاقها، أو بيع مال سيملكه، أو وفاء دين سيستدينه، أو نفقة زوجةٍ سيتزوجها، أو مملوك سيملكه،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يظهر من بعضهم </w:t>
      </w:r>
      <w:r>
        <w:rPr>
          <w:rStyle w:val="FootnoteAnchor"/>
          <w:rtl w:val="true"/>
        </w:rPr>
        <w:footnoteReference w:id="354"/>
      </w:r>
      <w:r>
        <w:rPr>
          <w:rFonts w:ascii="Amiri" w:hAnsi="Amiri" w:eastAsia="Amiri" w:cs="Amiri"/>
          <w:color w:val="111111"/>
          <w:sz w:val="28"/>
          <w:sz w:val="28"/>
          <w:szCs w:val="28"/>
          <w:rtl w:val="true"/>
          <w:lang w:bidi="ar-SA"/>
        </w:rPr>
        <w:t>نسبة الأصحاب إلى جواز التوكيل في الطلاق في طهر المواقعة والحيض، وفي تزويج امرأة وطلاقها، وفي شراء عبد وعتقه، وفي استدانة دين ووفائه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مشكل، ولذا فرّق بعضهم بين التوكيل على ما لا يمكن منفرداً فمَنَعه، وبين ما كان منضماً كالأمثلة الأخيرة فجوَّزه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الجواز في ذلك كلّه منفرداً ومجتمعاً، وتنزيل المنع على ما كان المقصود من الوكالة حصول التصرّف حين صدور العقد، أو كان مطلقاً؛ لانصرافه إلى ذلك، إمّا لو كان التصرّف مقيداً بوقت الإمكان فلا نرى منه مانعاً، وأدلّة الوكالة شاملة له، فلا بأس بالتوكيل على نقل المعدوم بعد وجوده كثمرة الشجرة وحمل الدابّة وليس من تعليق الوكالة، بل ممّا تأخر فيه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التوكيل فيما لا يمكن فعله للموكل لا في الحال ولا في المآل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الممنوع منه 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كنذرٍ أو يمين أو تحريم والدٍ أو تقيّة أو ضررٍ إذا تعلق المنع بفعله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وكل عليه لا يتعلّق للشارع غرض في وقوعه من مباشر خاص، كالعبادات البدنية المشروطة بالقربة؛ لأنّ المقصود منها العبودية والخضوع من المأمور به والتذلل وهذه لا تحصل من دون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الوكالة في العقود والإيقاعات والنفقات والعتق وغيرها ممّا لا يتعلّق للشارع غرض بوقوعه مباشرةً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إلى تمييز ذلك هو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المشكوك به فيما شرطه القربة هو اشتراط المباشرة؛ لأنّ ما شكّ شرطيته شرط، بل الأصل في كلّ مأمور به 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وظاهر الأمر هو المباشرة، بل الأصل في كلّ مأمور به أن يكون عبادة مشروطة بالمباشرة، إلّا ما أخرجه الدليل، كالنيابة في بعض الواجبات والمندوبات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الوكالة في الإقرار وفي الشهادة وفي فعل الواجبات الكفائية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كتغسيل الأموات لمن وجب عليه ودفنهم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النذور والأيمان وفي القسمة بين الأزواج وفي الظهار وفي اللعان وفي الجناية وفي الجهاد لمن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فلم نعثر على عموم أو إطلاق دالين على صحّة الوكالة أو النيابة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أخبار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عثرنا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هو وارد في قضايا خاصّة لا عموم فيها، وبين ما هو مطلق ولكنّه مسوق لبيان حكم آخر لا لبيان صحّة الوكالة بالنسبة إلى الأفعال التي يراد التوكيل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فما ظهر اشتراط المباشرة منه يكون خارجاً بالدليل، وما دلّ الدليل على جواز الوكالة فيه من خبرٍ أو إجماع أو سيرةٍ قطعية أو كان المفهوم من دليل مشروعيته هو إرادة إيقاعه من المكلّف على أي نحو اتفق فلا كلام فيه أيضاً، وذلك كالوكالة في عقد البيع وتوابعه من القبض والإقباض وأصنافه من صَرف وسَلَمٍ ونسيئة، وكالتوكيل في عقد النكاح والطلاق وتوابعهما من المهر والخلع وقبض العوض لدلالة الأخبار في الجملة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الوكالة في الحوالة والضمان والشركة والقراض والجعالة والمزارعة والمساقاة والصلح والرهن والعارية والوديعة والإبراء والأخذ بالشفعة، وفي أن يوكل غيره، وفي العمل بمال المضاربة، وفي عمل الجعالة، وفي العمل المستأجر عليه إذا لم يشترط عليه المباشرة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الوكالة في اختيار مَنْ شاء من الزوجات وقسمة الصدقات وقبضها عن الفقراء، وقبض الخمس عن الفقير وتفريقه على مستحقيه عن صاحبه أو عن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لابن إدريس؛ حيث منع الوكالة في القبض عن الفقير في الزكاة؛ استناداً إلى أنّه ليس من أحد الأصناف </w:t>
      </w:r>
      <w:r>
        <w:rPr>
          <w:rStyle w:val="FootnoteAnchor"/>
          <w:rtl w:val="true"/>
        </w:rPr>
        <w:footnoteReference w:id="357"/>
      </w:r>
      <w:r>
        <w:rPr>
          <w:rFonts w:ascii="Amiri" w:hAnsi="Amiri" w:eastAsia="Amiri" w:cs="Amiri"/>
          <w:color w:val="111111"/>
          <w:sz w:val="28"/>
          <w:sz w:val="28"/>
          <w:szCs w:val="28"/>
          <w:rtl w:val="true"/>
          <w:lang w:bidi="ar-SA"/>
        </w:rPr>
        <w:t xml:space="preserve">،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قبض الحقوق العامّة عن الحاكم،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بإرساله </w:t>
      </w:r>
    </w:p>
    <w:p>
      <w:pPr>
        <w:pStyle w:val="BookText"/>
        <w:rPr/>
      </w:pPr>
      <w:r>
        <w:rPr>
          <w:rFonts w:ascii="Amiri" w:hAnsi="Amiri" w:eastAsia="Amiri" w:cs="Amiri"/>
          <w:color w:val="111111"/>
          <w:sz w:val="28"/>
          <w:sz w:val="28"/>
          <w:szCs w:val="28"/>
          <w:rtl w:val="true"/>
          <w:lang w:bidi="ar-SA"/>
        </w:rPr>
        <w:t xml:space="preserve">عُمّال الصدقات </w:t>
      </w:r>
      <w:r>
        <w:rPr>
          <w:rStyle w:val="FootnoteAnchor"/>
          <w:rtl w:val="true"/>
        </w:rPr>
        <w:footnoteReference w:id="358"/>
      </w:r>
      <w:r>
        <w:rPr>
          <w:rFonts w:ascii="Amiri" w:hAnsi="Amiri" w:eastAsia="Amiri" w:cs="Amiri"/>
          <w:color w:val="111111"/>
          <w:sz w:val="28"/>
          <w:sz w:val="28"/>
          <w:szCs w:val="28"/>
          <w:rtl w:val="true"/>
          <w:lang w:bidi="ar-SA"/>
        </w:rPr>
        <w:t xml:space="preserve">، وفي استيفاء القصاص مع حضور المستحق وغيبته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 العامّة بالنسبة إلى الغيبة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قبض الديات، وفي الحدود عن الحاكم أو عن مستحقها، وفي الجهاد لمن لم يتعين عليه في وجه، أو لمن لم يجب عليه؛ لقيام غيره به، وفي إثبات الحقوق المالية، وفي الدعوى عليها، وفي إثبات دعوى القصاص، وفي الخصومة، وفي الجرح والتعديل وطلب اليمين من المنكر، وفي العتق والتدبير والكتابة إيجاباً وقبولاً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الوقف والحبس والسكنى والعمرى والسبق والرماية والوصيّة وقسمة الميراث وإثبات الحقوق كحق المسجد والمدرسة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للسيرة ولضرورة النظام وللإجماع في بعض ولما يُفهم من الأخبار في جملة أُخرى، ولما يُفهم من كثير منها أن المقصود منها مجرد إيقاعها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أنّه لا تصحّ الوكالة في الطهارات الحدثية والصلوات الواجبة والحجّ الواجب إلّا ما أخرجه الدليل في مقام العجز، ولا في الصوم الواجب، والنيابة عن الأموات في باب العبادات الواجبة وفي المندوبة عن الأحياء والأموات جاء بها الدليل، ولا في الاعتكاف، ولا في الظهار ولا اللعان؛ لأنّهما بمعنى اليمين، ولا بالإيلاء، ولا بالرضاع في نشر الحرمة، ولا في العدد، ولا في الاستبراء، ولا في التحجير، ولا في الواجبات الكفائية لمن وجبت عليه، والظاهر أنّه إجماعي، وإلا فلا منافاة بين وجوبها على شخص وفعلها بنيّة أنّها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الواجبات الكفائية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السلام وإقامة الحج والأمر بالمعروف وتجهيز الأموات و تغسيلهم ودفنهم وفعل كثيرٍ من الصنائع والقضاء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للحاكم التوكيل في الحكم؛ لاختصاصه به، ويجوز له التوكيل في الاستحلاف وفي قبض الحقوق وفي تولّي مال الأيتام والمجانين وقبض مجهول المالك وتولية مال الغائب، والتوكيل في التحجير والاقتصاص من الممتنع وجبر من عليه حقّ قد امتنع من تأديته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صحّة التوكيل في ابتداء السلام وفي الاحتطاب والاحتشاش وجميع حيازة المباحات وفي التوكيل على نيّة التملك في اللقطات وفي مجهول المالك وجهان أقواهما سيما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كون التوكيل على الإقرار إقراراً وجهان، والأظهر أنّه ليس إقراراً من الموكّل، سواء أقرّ الوكيل أم لم يقرّ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فالوكالة بنفسها باطلة كالوكالة على الشهادة؛ لأن كلا منهما خبر عن نسبةٍ واقعيّة تطابقه أو لا تطابقه، فلا يتصوّر تحمّلها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أجاز ذلك </w:t>
      </w:r>
      <w:r>
        <w:rPr>
          <w:rStyle w:val="FootnoteAnchor"/>
          <w:rtl w:val="true"/>
        </w:rPr>
        <w:footnoteReference w:id="360"/>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لانقطاعه بالشرط في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التوكيل فى القضاء إلّا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أمر القضاء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يصحّ للحاكم الآن التوكيل في إثبات دعوى المدعي، سواء كانت الدعوى متعلّقةً بحق من حقوق اللّه أو من حقوق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التوكيل على إثبات الحد مطلقاً، وسيّما حدّ اللّه تعالى؛ لابتنائه على التخفيف، وما ورد ممّا يدلّ على جوازه </w:t>
      </w:r>
      <w:r>
        <w:rPr>
          <w:rStyle w:val="FootnoteAnchor"/>
          <w:rtl w:val="true"/>
        </w:rPr>
        <w:footnoteReference w:id="362"/>
      </w:r>
      <w:r>
        <w:rPr>
          <w:rFonts w:ascii="Amiri" w:hAnsi="Amiri" w:eastAsia="Amiri" w:cs="Amiri"/>
          <w:color w:val="111111"/>
          <w:sz w:val="28"/>
          <w:sz w:val="28"/>
          <w:szCs w:val="28"/>
          <w:rtl w:val="true"/>
          <w:lang w:bidi="ar-SA"/>
        </w:rPr>
        <w:t xml:space="preserve">ضعيف مع قوّة احتمال جوازه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توكيل مَنْ توجهت عليه دعوى الحدّ لإثباته عليه، أو توكيل شخص آخر على إثباته عند الحاكم كي يتولّى حده؟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توكيل الرجل لامرأته على طلاقها لصدوره من أهله في محله، والمخالف </w:t>
      </w:r>
      <w:r>
        <w:rPr>
          <w:rStyle w:val="FootnoteAnchor"/>
          <w:rtl w:val="true"/>
        </w:rPr>
        <w:footnoteReference w:id="363"/>
      </w:r>
      <w:r>
        <w:rPr>
          <w:rFonts w:ascii="Amiri" w:hAnsi="Amiri" w:eastAsia="Amiri" w:cs="Amiri"/>
          <w:color w:val="111111"/>
          <w:sz w:val="28"/>
          <w:sz w:val="28"/>
          <w:szCs w:val="28"/>
          <w:rtl w:val="true"/>
          <w:lang w:bidi="ar-SA"/>
        </w:rPr>
        <w:t>لا يُعتد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ابن إدريس من التوكيل في قبض الخمس والزكاة ونحوهما؛ لأنّهما لم يتعيّنا للموكل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والوكيل لا يستحق إلّا ما تعيّن للموكل بأن يكون ملكه أو يستحق المطالبة به لنفسه، ولأنّ الوكيل ليس من أحد الأصناف المستحقين، فلا يبرأ المالك بالدفع إليه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بعد الحكم بأن يد الوكيل يد الموكّل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بما وكل عليه،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المتعلق، ولا ينزل على معيّن؛ لأنّه ترجيح من دون مرجح، ولا على العموم؛ لعدم دلالته عليه؛ ولاشتماله على معظم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يصحّ العموم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وكيلي على كلّ قليل أو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للزوم الغرر والضرر على الموكّل، لاحتمال إيقاع تطليق نسائه وهبة أمواله وعتق عبيده وإلزامه الديون الكثيرة والمهور المتضاعفة، والغرر منهي عنه </w:t>
      </w:r>
      <w:r>
        <w:rPr>
          <w:rStyle w:val="FootnoteAnchor"/>
          <w:rtl w:val="true"/>
        </w:rPr>
        <w:footnoteReference w:id="365"/>
      </w:r>
      <w:r>
        <w:rPr>
          <w:rFonts w:ascii="Amiri" w:hAnsi="Amiri" w:eastAsia="Amiri" w:cs="Amiri"/>
          <w:color w:val="111111"/>
          <w:sz w:val="28"/>
          <w:sz w:val="28"/>
          <w:szCs w:val="28"/>
          <w:rtl w:val="true"/>
          <w:lang w:bidi="ar-SA"/>
        </w:rPr>
        <w:t xml:space="preserve">، والضرر سفه وإسراف منهي عنه </w:t>
      </w:r>
      <w:r>
        <w:rPr>
          <w:rStyle w:val="FootnoteAnchor"/>
          <w:rtl w:val="true"/>
        </w:rPr>
        <w:footnoteReference w:id="366"/>
      </w:r>
      <w:r>
        <w:rPr>
          <w:rFonts w:ascii="Amiri" w:hAnsi="Amiri" w:eastAsia="Amiri" w:cs="Amiri"/>
          <w:color w:val="111111"/>
          <w:sz w:val="28"/>
          <w:sz w:val="28"/>
          <w:szCs w:val="28"/>
          <w:rtl w:val="true"/>
          <w:lang w:bidi="ar-SA"/>
        </w:rPr>
        <w:t xml:space="preserve">، ومبطل للعقد المشتمل عليه، بل صرّح بعضهم بأنّه لو فصل العام ونص على جزئياته لكانت الوكالة فيه باطلة؛ لمكان الضرر والإسراف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وأجاز جمع منهم التوكيل على العموم؛ لارتفاع الضرر بلزوم اتباع المصلحة على الوكيل فيما وكّل عليه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فرضنا شمول العموم للمصلحة والمفسدة لقلنا بالبطلان؛ لمكان الضرر والسفه، مع احتمال الصحّة وإن كان العقد منهيّاً عنه؛ لأنّ 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الغرر فممنوع على العموم أوّلاً، ولئن سلّمناه فلا ينافي الوكالة إلّا الغرر العظيم، كالإبهام في متعلّقها، أو كالتوكيل فيما لا يؤول إلى العلم، كالوكالة على فعل شيء، أو على ما يحبّ ولا يعلم ما يحبّه، أو على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الغرر في الجملة فلا بأس به؛ لأنّه عقد مبني على المسامحة وعلى الإرفاق ودفع الحاجة، وهو من العقود الجائزة المبنية على حصول الإذن في التصرّف بأي نحو اتفق، وحينئذٍ فالجواز أقوى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في التذكرة بين ما لو أطلق العموم فتقع الوكالة باطلة، وبين ما لو أضافها لنفسه أو فصلها،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على جميع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أُموري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بمالي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 على جميع ما يتعلق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حقوقي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على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العموم بمنزلة الإضافة؛ إذ لا يوكل الإنسان على مال غيره، ولأن الغرر حاصل في الإضافة أيضاً، فإن كان التقييد بالمصلحة رافعاً له فهو رافع له في المقامين، وأمّا التفصيل فلا كلام في صحّته ما لم يشتمل على ضرر فيجيء فيه الكلام السابق، فالفرق ضعيف</w:t>
      </w:r>
      <w:r>
        <w:rPr>
          <w:rFonts w:eastAsia="Amiri" w:cs="Amiri" w:ascii="Amiri" w:hAnsi="Amiri"/>
          <w:color w:val="111111"/>
          <w:sz w:val="28"/>
          <w:szCs w:val="28"/>
          <w:rtl w:val="true"/>
          <w:lang w:bidi="ar-SA"/>
        </w:rPr>
        <w:t xml:space="preserve">. </w:t>
      </w:r>
      <w:bookmarkStart w:id="360" w:name="pg19218_274036"/>
    </w:p>
    <w:p>
      <w:pPr>
        <w:pStyle w:val="BookText"/>
        <w:rPr/>
      </w:pPr>
      <w:bookmarkEnd w:id="360"/>
      <w:r>
        <w:rPr>
          <w:rFonts w:ascii="Amiri" w:hAnsi="Amiri" w:eastAsia="Amiri" w:cs="Amiri"/>
          <w:color w:val="111111"/>
          <w:sz w:val="28"/>
          <w:sz w:val="28"/>
          <w:szCs w:val="28"/>
          <w:rtl w:val="true"/>
          <w:lang w:bidi="ar-SA"/>
        </w:rPr>
        <w:t>ويجوز التوكيل على شراء عبد، ولا يفتقر إلى استقصاء أوصافه التي تتفاوت بها 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ارتفاع الغرر فيه في الجملة من كونه أبيضاً أو أسوداً حبشيّاً أو غيره؛ لتفاوت أفراد المتواطئ بها تفاوتاً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 العبد من الحيوانات كالفرس والبعير والحمار، وكذا بعض الحبوب المتفاوتة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الصفات المتقاربة فلا حاجة إلى ذكرها، ويكتفى بالإطلاق فيها، وينجبر الغرر اللاحق لها باعتبار ذلك بالمصلحة اللازم اعتبارها للوكيل، وتختلف باختلاف الأشخاص والحالات والأوقات، وكون الشيء مشترى للتجارة أو كونه مشترئ للقنية،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صحّة الوكالة فيما يؤول إلى العلم بالنسبة إلى الوكيل أو الموكّل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يوكله على بيع ما في داره، أو على وفاء ديونه، أو على إبرائها ممّن عليه وإن لم يعلما قدر ذلك، فيصح أن بيرثه عن كلّ قليل وكثير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أن يوكله على نقل ماله وإن لم يبين له أنّه بيع أو صلح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أن يوكله بهبة ما في داره وإن لم يعلماه، مع احتمال أن التوكيل على النقل من دون بيان أنّه بيع أو صلح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الوكالة على نقل ما سيوجد من أمواله كحمل دابته وثمرة نخلته، وليس تعليقاً للوكالة بل هو ممّا تأخر فيه التصرّف، ولا يدخل فيما ليس للموكل فعله؛ لأن له فعله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في أن يبيع بما باع به فلان صحّ وإن جهلا قدره حين الوكالة إذا أمكن العلم به بعد ذلك، ولو لم يمكن العلم به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المتعلّق بطلت ولا معنى لانصرافه إلى العموم؛ للغرر، ولعدم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عمّم الوكالة من وجه وخصصها من آخر،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على تطليق 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الصدقة بأموالي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البيع والشراء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مصارف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3425023_1280447820"/>
      <w:bookmarkStart w:id="362" w:name="_Toc130"/>
      <w:bookmarkEnd w:id="361"/>
      <w:r>
        <w:rPr>
          <w:rtl w:val="true"/>
        </w:rPr>
        <w:t>عاشرها</w:t>
      </w:r>
      <w:r>
        <w:rPr>
          <w:rtl w:val="true"/>
        </w:rPr>
        <w:t xml:space="preserve">: </w:t>
      </w:r>
      <w:r>
        <w:rPr>
          <w:rtl w:val="true"/>
        </w:rPr>
        <w:t>اشتراط كون الموكّل مكلّفاً بالغاً، عاقلاً، جائز التصرّف فيما يوكل فيه</w:t>
      </w:r>
      <w:bookmarkEnd w:id="36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الموكّل كونه مكلّفاً بالغاً عاقلاً جائز التصرّف فيما يوكّل فيه برفع الحجر عنه من رقّ أو سفه أو فلس، غير ممنوع من صدوره عنه مطلقاً مباشرةً ونيابة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القول بصحّة عتق الصبي وطلاقه وصدقته ووصيته تصحّ وكالته وتوكيله فيها؛ لاستلزام صحّة الأصل صحّة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يصحّ توكيل العبد لو قلنا بملكه بإذن مولاه؛ لأنّه محجور عليه من دون ذلك، وعلى القول بعدم ملكه فلا إشكال بعدم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يجوز له أن يوكل فيما له فعله كالطلاق ما لم تكن أمة مولاه، خلافاً لمن منع مطلقاً </w:t>
      </w:r>
      <w:r>
        <w:rPr>
          <w:rStyle w:val="FootnoteAnchor"/>
          <w:rtl w:val="true"/>
        </w:rPr>
        <w:footnoteReference w:id="370"/>
      </w:r>
      <w:r>
        <w:rPr>
          <w:rFonts w:ascii="Amiri" w:hAnsi="Amiri" w:eastAsia="Amiri" w:cs="Amiri"/>
          <w:color w:val="111111"/>
          <w:sz w:val="28"/>
          <w:sz w:val="28"/>
          <w:szCs w:val="28"/>
          <w:rtl w:val="true"/>
          <w:lang w:bidi="ar-SA"/>
        </w:rPr>
        <w:t>بناء على أن الطلاق بيد الولي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وللحاكم الشرعي أن يوكل عن السفهاء والمجانين والصبيان الذين لا ولي لهم غيره، عموماً في إثبات دعاويهم واستيفاء حقوقهم والصرف عليهم والبيع والشراء عنهم وغير ذلك، ويسمّى قيماً، وخصوصاً في عمل خاص يرجع إليهم، وكلُّ منهما إجماعي، ويلزم القيم مراعاة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ينعزل القيم بطروء ما يقضي بفساد الوكالة بجنون الحاكم أو إغمائه أو موته، أو بجنون الوكيل وإغمائه، أم لا ينعزل ؟ وجهان مبنيان على أن القيم وكيل عن الحاكم، أو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بحسب 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يجوز للولي الإجباري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والجد 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التوكيل على المولى عليه عموماً أو خصوصاً؛ إلّا أن يمنع الموصي من الوكالة فلا يصحّ منه التوكيل، أو تشهد القرائن على إرادة مباشرة نفس الوصيّ كالأعمال المتعلقة بالنظر والتدبير، أو ما تقضي العادة بمباشرة الوصي نفسه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للوكيل أن يوكل غيره عموماً أو خصوصاً، إلّا مع التصريح عموماً أو نصاً، أو كانت هنالك قرائن دالّة على جواز التوكيل له ككونه من أهل القدر والاحتشام وكانت الأعمال لا تناسب حاله كلّاً أو بعضاً وكان الموكّل عالماً بذلك، أو كان الوكيل ممّن يعجز عن تلك الأعمال كحمل الأثقال، والظاهر لزوم الاقتصار في التوكيل على نفس ما يعجز عنه لا مطلقاً؛ أخذاً بالمتيقن أو كون متعلّق الوكالة متفرّقاً فى أمكنة متباعدة، أو غير ذلك ممّا يعلم به الموكّل بحيث يكون قرينة على الإذن بالتوكيل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الإذن إمّا أن تتعلق بتوكيل الوكيل عن الموكّل أو بتوكيله عن الوكيل نفسه، أو تتعلّق على جهة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تنصرف إلى أنّها عن الموكّل أو عن الوكيل ؟ والظاهر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الانصراف يمكن القول بالبطلان لمكان الإجمال، ويمكن القول بالصحّة ويكون للوكيل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بالصحّة فلو أطلق الوكيل وكالة من وكله ولم يعين الموكّل له، احتمل أيضاً انصرافه إلى أنّه وكيل عن موكله، واحتمل انصرافه إلى أنّه وكيل عنه، واحتمل البطلان؛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فتظهر الثمرة بانعزاله بعزل الوكيل أو جنونه أو إغمائه أو نحو ذلك لو كان وكيلاً عنه، وبعدم انعزاله بذلك لو كان وكيلاً عن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طرأ ما يفسد الوكالة من الموكّل انعزلا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انعزال القيم بطروء ما يقضي بالعزل وجهان مبنيان على أنّه وكيل عن الحاكم، أو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نوى الحاكم وكالته عن أحدهما على جهة التعيين اتبع 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انعزال القيم بطروء ما يقضي بفساد الوكالة عليه مطلقاً، دون ما يطرأ على الحاكم الذي نصبه؛ لأنّ الظاهر أنّ القيم منصوب من الحاكم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الكلام في كثيرٍ من وكلاء الحاكم المنصوبين على جهة العموم من قبض الحقوق وتولية الأوقاف وولاية الأيتام ونحوهم،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وكل الوكيل وكيلاً لزم مراعاة الغبطة في كونه عدلاً ضابطاً، وكذا وكيل الحاكم والوصي، فلو فسق انعزل وكيل الحاكم والوصي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انعزال وكيل الوكيل بمجرّد الفسق، أو يفتقر إلى عزل الوكيل له وجهان، وعلى الأخير فيلزم على الوكيل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وكيلاً عنه، وإن كان وكيلاً عن الموكّل لم يكن له عزله إلّا أن يكون وكيلاً على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الوكيل الأوّل أن لا يسلّمه شيئاً من المال؛ لأنّه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رضي الموكّل بوكالة عموماً أو خصوصاً، جاز للوكيل توكيله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جواز توكيل الفاسق بحضور الموكّل وجهان، والمنع أولى؛ لأنّ الحضور لا يلزمه الرضى به </w:t>
      </w:r>
    </w:p>
    <w:p>
      <w:pPr>
        <w:pStyle w:val="BookText"/>
        <w:rPr/>
      </w:pPr>
      <w:r>
        <w:rPr>
          <w:rFonts w:ascii="Amiri" w:hAnsi="Amiri" w:eastAsia="Amiri" w:cs="Amiri"/>
          <w:color w:val="111111"/>
          <w:sz w:val="28"/>
          <w:sz w:val="28"/>
          <w:szCs w:val="28"/>
          <w:rtl w:val="true"/>
          <w:lang w:bidi="ar-SA"/>
        </w:rPr>
        <w:t>ولا يصحّ للمخرم توكيل المحرم أو المُحلّ في عقد النكاح، أو ابتياع الصيد؛ لعدم إمكان صدورهما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توكيله على فعلهما بعد إحلاله وجهان، وظاهر كثير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وللمكاتب أن يوكل غيره؛ لانقطاع سلطنة المولى عنه، وكذا للمأذون به بما جرت العادة بالتوكيل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وللحاضر أن يوكل في الطلاق كما هو المشهور بل عليه الإجماع، وتشهد له الأخبار، كالصحيح التارك للاستفصال فيمن جعل أمر فلانة إلى فلان فيطلقها أيجوز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الشيخ إلى منع توكيل الحاضر في الطلاق </w:t>
      </w:r>
      <w:r>
        <w:rPr>
          <w:rStyle w:val="FootnoteAnchor"/>
          <w:rtl w:val="true"/>
        </w:rPr>
        <w:footnoteReference w:id="372"/>
      </w:r>
      <w:r>
        <w:rPr>
          <w:rFonts w:ascii="Amiri" w:hAnsi="Amiri" w:eastAsia="Amiri" w:cs="Amiri"/>
          <w:color w:val="111111"/>
          <w:sz w:val="28"/>
          <w:sz w:val="28"/>
          <w:szCs w:val="28"/>
          <w:rtl w:val="true"/>
          <w:lang w:bidi="ar-SA"/>
        </w:rPr>
        <w:t xml:space="preserve">جمعاً بين هذه الرواية ورواية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الوكالة في الطلاق</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بحملها على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ضعيف؛ لأنّ الجمع فرع المقاومة، والأخيرة لا تقاوم الأولى بوجه، على أنّه لا شاهد على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بالحضور حضور مجلس الطلاق، أو حضور البلد؟ وجهان، وقد يُفهم من بعضهم أن المراد به الثاني، وهو الظاهر من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توكيل السفيه والمحجور عليه في غير ما منع من التصرّف به، ويجوز فيه مع إذن</w:t>
      </w:r>
    </w:p>
    <w:p>
      <w:pPr>
        <w:pStyle w:val="BookText"/>
        <w:rPr/>
      </w:pPr>
      <w:r>
        <w:rPr>
          <w:rFonts w:ascii="Amiri" w:hAnsi="Amiri" w:eastAsia="Amiri" w:cs="Amiri"/>
          <w:color w:val="111111"/>
          <w:sz w:val="28"/>
          <w:sz w:val="28"/>
          <w:szCs w:val="28"/>
          <w:rtl w:val="true"/>
          <w:lang w:bidi="ar-SA"/>
        </w:rPr>
        <w:t>الولي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للرجل توكيل امرأته بطلاق نفسها، كما يجوز توكيلها على طلاق غيرها؛ لأنّه عمل يقبل النيابة من دون 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ومنع جمع </w:t>
      </w:r>
      <w:r>
        <w:rPr>
          <w:rStyle w:val="FootnoteAnchor"/>
          <w:rtl w:val="true"/>
        </w:rPr>
        <w:footnoteReference w:id="374"/>
      </w:r>
      <w:r>
        <w:rPr>
          <w:rFonts w:ascii="Amiri" w:hAnsi="Amiri" w:eastAsia="Amiri" w:cs="Amiri"/>
          <w:color w:val="111111"/>
          <w:sz w:val="28"/>
          <w:sz w:val="28"/>
          <w:szCs w:val="28"/>
          <w:rtl w:val="true"/>
          <w:lang w:bidi="ar-SA"/>
        </w:rPr>
        <w:t>، من جواز توكيل المرأة على طلاق نفسها؛ للشكّ في صحّة هذا الطلاق ونفوذه، وعدم انصراف الأدلّة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توكيل الحاضر على الخصومة من غير أن يلزمه الحضور، رضي خصمه أم 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فمَنع من توكيله إلّا برضى خصمه بمخاصمة وكيل خصمه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63" w:name="pg19218_274040"/>
    </w:p>
    <w:p>
      <w:pPr>
        <w:pStyle w:val="BookText"/>
        <w:rPr/>
      </w:pPr>
      <w:bookmarkEnd w:id="363"/>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لذي الشرف والمروءات مباشرة الخصومات، بل يندب لهم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أيضاً كراهة تولّي الخصومات عن غيرهم بطريق أولى</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3425025_1280447820"/>
      <w:bookmarkStart w:id="365" w:name="_Toc131"/>
      <w:bookmarkEnd w:id="364"/>
      <w:r>
        <w:rPr>
          <w:rtl w:val="true"/>
        </w:rPr>
        <w:t>حادي عشرها</w:t>
      </w:r>
      <w:r>
        <w:rPr>
          <w:rtl w:val="true"/>
        </w:rPr>
        <w:t xml:space="preserve">: </w:t>
      </w:r>
      <w:r>
        <w:rPr>
          <w:rtl w:val="true"/>
        </w:rPr>
        <w:t>اشتراط البلوغ والعقل في الوكيل</w:t>
      </w:r>
      <w:bookmarkEnd w:id="365"/>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الوكيل البلوغ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صحّة توكيل الصبي في الصدقة والوقف والطلاق والعتق وجه مبني على جواز صدورها منه أصالة فيصح وقوعها منه وكالة عن غيره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توكيل السفيه فيما لا يخشى منه عليه في التبذير أو السرف، وكذا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توكيل العبد بإذن مولاه، ولا تنعقد من دون إذنه، سواء زاحم العمل الموكّل فيه حقوق المولى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جمع إلى جواز توكيله فيما لا يزاحم حقوق المولى ولا يمنع شيئاً من حقوقه </w:t>
      </w:r>
      <w:r>
        <w:rPr>
          <w:rStyle w:val="FootnoteAnchor"/>
          <w:rtl w:val="true"/>
        </w:rPr>
        <w:footnoteReference w:id="376"/>
      </w:r>
      <w:r>
        <w:rPr>
          <w:rFonts w:ascii="Amiri" w:hAnsi="Amiri" w:eastAsia="Amiri" w:cs="Amiri"/>
          <w:color w:val="111111"/>
          <w:sz w:val="28"/>
          <w:sz w:val="28"/>
          <w:szCs w:val="28"/>
          <w:rtl w:val="true"/>
          <w:lang w:bidi="ar-SA"/>
        </w:rPr>
        <w:t>للأصل، وانتفاء الضرر، وشهادة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لأنّه من دون إذن لا يقدر على شيء، فلا مدخل لانتفاء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شهادة الحال فإن أفادت إذناً فلا كلام، وإلا منعنا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وكالة السيد لعبده، وتكون وكالة تترتب عليها ثمراتها، لا مجرد إذن تنتفي بالبيع أو العتق، فلو بيع أو انعتق بقيت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الوكالة لازمة لقبول الجُعل والضمان وهما ممتنعان من السيد على العبد وامتناع اللازم يدلّ على امتناع الملزوم، ضعيف؛ لمنع الملازمة، واطراد ذلك في كلّ 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وكالة العبد بإذن مولاه على شراء نفسه من مولاه، كما تصحّ وكالة المولى له على بيعه نفسه وعتقه بها والمغايرة الاعتبارية بين الناقل والمنقول والمعتق والمعتق كافية؛ لعموم الأدلّة من دون مانع، ولا يصلح الاتحاد الظاهري للمانعية؛ لعدم الدليل على اشتراط المغايرة الحقيقية، سوى شبهة عدم انصراف أدلّة الجواز لمثله، وهو حسن إلّا أنّه لا يفيد سوى الاحتياط</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أن يتوكل المُحْرِم على عقد نكاح أو شراء صيد أو بيعه أو حفظه، ولا معتكف على بيع شيءٍ؛ لأنّ الظاهر من الأدلّة تحريم صدور ذلك منهما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كلّ ما يمتنع فعله أصالة أن يمتنع وكالة، وكلّ ما أمكن أن يليه بنفسه ولم يكن له مانع من النيابة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كالعبادات المشروطة بالمباشرة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التوكيل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إلّا أن هذين الأصلين غالبيان؛ لانتقاضهما بكثير ممّا مرّ </w:t>
      </w:r>
      <w:r>
        <w:rPr>
          <w:rStyle w:val="FootnoteAnchor"/>
          <w:rtl w:val="true"/>
        </w:rPr>
        <w:footnoteReference w:id="377"/>
      </w:r>
      <w:r>
        <w:rPr>
          <w:rFonts w:ascii="Amiri" w:hAnsi="Amiri" w:eastAsia="Amiri" w:cs="Amiri"/>
          <w:color w:val="111111"/>
          <w:sz w:val="28"/>
          <w:sz w:val="28"/>
          <w:szCs w:val="28"/>
          <w:rtl w:val="true"/>
          <w:lang w:bidi="ar-SA"/>
        </w:rPr>
        <w:t xml:space="preserve">، وسيجيء </w:t>
      </w:r>
      <w:r>
        <w:rPr>
          <w:rStyle w:val="FootnoteAnchor"/>
          <w:rtl w:val="true"/>
        </w:rPr>
        <w:footnoteReference w:id="378"/>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ما لا يكون الكفر والفسق مانعين من مباشرة فعله، أو يكون ممنوعاً شرعاً من تنصيب صاحبه صحّ توكيل الكافر والفاسق فيه سواء في ذلك عقد النكاح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توكيل الكافر على زواج المسلمة بالمسلم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لأنّه سبيل منفي كتاباً </w:t>
      </w:r>
      <w:r>
        <w:rPr>
          <w:rStyle w:val="FootnoteAnchor"/>
          <w:rtl w:val="true"/>
        </w:rPr>
        <w:footnoteReference w:id="379"/>
      </w:r>
      <w:r>
        <w:rPr>
          <w:rFonts w:ascii="Amiri" w:hAnsi="Amiri" w:eastAsia="Amiri" w:cs="Amiri"/>
          <w:color w:val="111111"/>
          <w:sz w:val="28"/>
          <w:sz w:val="28"/>
          <w:szCs w:val="28"/>
          <w:rtl w:val="true"/>
          <w:lang w:bidi="ar-SA"/>
        </w:rPr>
        <w:t xml:space="preserve">وسنةً </w:t>
      </w:r>
      <w:r>
        <w:rPr>
          <w:rStyle w:val="FootnoteAnchor"/>
          <w:rtl w:val="true"/>
        </w:rPr>
        <w:footnoteReference w:id="380"/>
      </w:r>
      <w:r>
        <w:rPr>
          <w:rFonts w:ascii="Amiri" w:hAnsi="Amiri" w:eastAsia="Amiri" w:cs="Amiri"/>
          <w:color w:val="111111"/>
          <w:sz w:val="28"/>
          <w:sz w:val="28"/>
          <w:szCs w:val="28"/>
          <w:rtl w:val="true"/>
          <w:lang w:bidi="ar-SA"/>
        </w:rPr>
        <w:t>، ولانتفاء جواز ملكه لذلك مباشرةً فينتفي ملكه له وكالة، والجواز؛ للأصل، ولمنع كونه سبيلاً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توكيل المسلم على زواج الكافرة بالكافر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للأصل، والمنع؛ لعدم ملك المسلم تزويج الكافرة، إلّا أن الجواز هنا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توكيل الكافر على المسلم من مسلم وكافر؛ للإجماع المنقول </w:t>
      </w:r>
      <w:r>
        <w:rPr>
          <w:rStyle w:val="FootnoteAnchor"/>
          <w:rtl w:val="true"/>
        </w:rPr>
        <w:footnoteReference w:id="381"/>
      </w:r>
      <w:r>
        <w:rPr>
          <w:rFonts w:ascii="Amiri" w:hAnsi="Amiri" w:eastAsia="Amiri" w:cs="Amiri"/>
          <w:color w:val="111111"/>
          <w:sz w:val="28"/>
          <w:sz w:val="28"/>
          <w:szCs w:val="28"/>
          <w:rtl w:val="true"/>
          <w:lang w:bidi="ar-SA"/>
        </w:rPr>
        <w:t>، بل كاد أن يكون محصلاً، ولنفي السبيل كتاباً وسنة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بتوكيله عليه فيما يستلزم سلطنةً عليه من استيفاء حد أو قصاص أو دَيْنٍ، أو ولاية على طفل أو مجنون، أو على إثبات حقّ عليه، أو على مخاصمة معه، أو على جبره على بيع ماله، أو تأدية حقّ عليه في مقام يتعلّق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لو وكله على دفع مال له، أو على الإنفاق من ماله على طفله، أو على تربيته، أو على إرضاعه، أو على دفع ماله له، أو نحو ذلك ممّا يؤول إلى كونه خادماً له فلا بأس</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بذلك ما لو وكل على إيقاع عقد النكاح للمولى عليه عن وليه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أن يتوكل الكافر على الكافر للمسلم والكافر، ويجوز أن يتوكل المسلم عن الكافر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توكل المسلم عن الكافر على المسلم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ونُقل عليه الإجماع </w:t>
      </w:r>
      <w:r>
        <w:rPr>
          <w:rStyle w:val="FootnoteAnchor"/>
          <w:rtl w:val="true"/>
        </w:rPr>
        <w:footnoteReference w:id="383"/>
      </w:r>
      <w:r>
        <w:rPr>
          <w:rFonts w:ascii="Amiri" w:hAnsi="Amiri" w:eastAsia="Amiri" w:cs="Amiri"/>
          <w:color w:val="111111"/>
          <w:sz w:val="28"/>
          <w:sz w:val="28"/>
          <w:szCs w:val="28"/>
          <w:rtl w:val="true"/>
          <w:lang w:bidi="ar-SA"/>
        </w:rPr>
        <w:t>، ولأنّه سبيل في الجملة، والجواز؛ للأصل، ولجواز تولّي الكافر أخذ حقه بنفسه فأخذه بواسطة المسلم 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 هو المشهور، ونُقل عليه الإجماع </w:t>
      </w:r>
      <w:r>
        <w:rPr>
          <w:rStyle w:val="FootnoteAnchor"/>
          <w:rtl w:val="true"/>
        </w:rPr>
        <w:footnoteReference w:id="384"/>
      </w:r>
      <w:r>
        <w:rPr>
          <w:rFonts w:ascii="Amiri" w:hAnsi="Amiri" w:eastAsia="Amiri" w:cs="Amiri"/>
          <w:color w:val="111111"/>
          <w:sz w:val="28"/>
          <w:sz w:val="28"/>
          <w:szCs w:val="28"/>
          <w:rtl w:val="true"/>
          <w:lang w:bidi="ar-SA"/>
        </w:rPr>
        <w:t>، والإجماع المنقول على الأوّل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الحكم بكراهته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حكم به جمع من الأصحاب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للمرتدّ أن يتوكل عن المسلم ابتداءً، ولا يُبطل الارتداد استدامة الوكالة، سواء كان عن فطرة أو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يتوكل المكاتب بجعل بإذن سيده وبدونه، ولا يجوز مجاناً إلّا بإذن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 اثنين بشرط الاجتماع أو أطلق، لزمهما الاجتماع؛ أخذاً بالمتيقن، ولو أجاز الانفراد جاز، ولو شرطه لزمهما الانفراد، ولو مات أحد من شرط عليه الاجتماع بطلت وكالته، ولا يضمّ إليه الحاكم، ولو غاب أحدهما فليس للحاضر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 اثنين على عقد، جاز أن يوكل أحدهما الآخر أو يوكلا ثالثاً بطريق الفحوى، ويجوز إيقاع العقد منهما مرتين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كون الوكيل وكيلاً عن اثنين في عقدٍ واحد بأن يكون موجباً قابلاً، والمغايرة الاعتبارية كافية؛ لعموم الأدلّة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كونه وكيلاً عن البائع والمشتري معاً، سواء كان وكيلاً في إجراء الصيغة فقط أو المماكسة وملاحظة المصلحة أيضاً، إلّا أنّ في إمكان الأخير نوع خفاء؛ لتضاد المصلحتين غالباً فيعسر ملاحظتهما معاً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كون الواحد وكيلاً عن اثنين في الخصومة، بأن يكون وكيلاً عن المدّعي والمنكر؛ لتمكنه من إيراد الحجة عن المدّعي والجرح عن المنكر، وجرح الجارح عن المدعي، ومن تزكية الشهود، إلى غير ذلك</w:t>
      </w:r>
      <w:r>
        <w:rPr>
          <w:rFonts w:eastAsia="Amiri" w:cs="Amiri" w:ascii="Amiri" w:hAnsi="Amiri"/>
          <w:color w:val="111111"/>
          <w:sz w:val="28"/>
          <w:szCs w:val="28"/>
          <w:rtl w:val="true"/>
          <w:lang w:bidi="ar-SA"/>
        </w:rPr>
        <w:t xml:space="preserve">. </w:t>
      </w:r>
      <w:bookmarkStart w:id="366" w:name="pg19218_274043"/>
    </w:p>
    <w:p>
      <w:pPr>
        <w:pStyle w:val="BookText"/>
        <w:rPr/>
      </w:pPr>
      <w:bookmarkEnd w:id="366"/>
      <w:r>
        <w:rPr>
          <w:rFonts w:ascii="Amiri" w:hAnsi="Amiri" w:eastAsia="Amiri" w:cs="Amiri"/>
          <w:color w:val="111111"/>
          <w:sz w:val="28"/>
          <w:sz w:val="28"/>
          <w:szCs w:val="28"/>
          <w:rtl w:val="true"/>
          <w:lang w:bidi="ar-SA"/>
        </w:rPr>
        <w:t>ولا يخلو المقام من نظرٍ وتوقف؛ لأنّ الوكيل ممّا يلزم عليه الاستقصاء والمبالغة فيما وكل عليه، وأن لا يعتمد الضرر الراجع لموكله، والمفروض أنّ الاستقصاء والمبالغة لأحدهما ممّا تناقض المبالغة للآخر، وممّا يعود بها ضرر عليه؛ لتعريضه بها لذهاب حقه، ولأن الاستقصاء للجانبين ربما أدى إلى الوقوع في المحرَّم؛ للعلم بكون أحدهما مبطلاً، فهو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توكيل الغريم على استيفاء دينه، وعلى الاقتصاص من نفسه إذا كان الموكّل هو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الموكّل عن القصاص وكيلاً مأذوناً في الوكالة أو ولياً لم يجز له توكيل صاحب الجناية؛ لعدم المصلحة، ولعدم حصول التشفّي به، وكذا ليس للحاكم توكيل مَنْ عليه حد خالقي أو مخلوقي على أن يحد نفسه، ولو علم بصدور الحدّ منه على النهج الشرعي جاز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وللفرق بين الحدّ الممكن خفاء إيلامه كالجلد، وبين ما لا يمكن كالقطع، فتصح الوكالة في الأوّل دون الثاني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 عبده أو عبد الغير فأعتق أو بيع، أو زوجة فطلقها، لم تنفسخ الوكالة، ولو كان الصادر منه إذناً فالظاهر ذهاب الإذن ببيع عبده وعتقه وطلاق زوجته؛ لأن الظاهر تبعية الإذن للملك والزوجية، فتزول بزوالهما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الصادر من المولى بلفظ الأمر أو الطلب إذن أم وكالة؟ وجهان، والأظهر في غير لفظ 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إذن؛ لقضاء العرف بذلك بالنسبة للموالي وعبيدهم</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3425027_1280447820"/>
      <w:bookmarkStart w:id="368" w:name="_Toc132"/>
      <w:bookmarkEnd w:id="367"/>
      <w:r>
        <w:rPr>
          <w:rtl w:val="true"/>
        </w:rPr>
        <w:t>ثاني عشرها</w:t>
      </w:r>
      <w:r>
        <w:rPr>
          <w:rtl w:val="true"/>
        </w:rPr>
        <w:t xml:space="preserve">: </w:t>
      </w:r>
      <w:r>
        <w:rPr>
          <w:rtl w:val="true"/>
        </w:rPr>
        <w:t>في أحكام الوكالة وفيه مسائل</w:t>
      </w:r>
      <w:r>
        <w:rPr>
          <w:rtl w:val="true"/>
        </w:rPr>
        <w:t>:</w:t>
      </w:r>
      <w:bookmarkEnd w:id="368"/>
    </w:p>
    <w:p>
      <w:pPr>
        <w:pStyle w:val="Heading5"/>
        <w:numPr>
          <w:ilvl w:val="4"/>
          <w:numId w:val="1"/>
        </w:numPr>
        <w:rPr/>
      </w:pPr>
      <w:bookmarkStart w:id="369" w:name="__RefHeading___Toc13425029_1280447820"/>
      <w:bookmarkStart w:id="370" w:name="_Toc133"/>
      <w:bookmarkEnd w:id="369"/>
      <w:r>
        <w:rPr>
          <w:rtl w:val="true"/>
        </w:rPr>
        <w:t>أحدها</w:t>
      </w:r>
      <w:r>
        <w:rPr>
          <w:rtl w:val="true"/>
        </w:rPr>
        <w:t xml:space="preserve">: </w:t>
      </w:r>
      <w:r>
        <w:rPr>
          <w:rtl w:val="true"/>
        </w:rPr>
        <w:t>وجوب اتباع إذن الموكّل والانتهاء بنهيه</w:t>
      </w:r>
      <w:bookmarkEnd w:id="37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اتباع إذن الموكّل والانتهاء بنهيه، وكلّ ما خلا عن الإذن والنهي فحكمه حكم المنهي عنه؛ اقتصاراً فيما خالف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التصرّف بمال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والإذن شاملة للأمر والندب والإباحة والكراهة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الإذن إمّا صريحة أو ضمنيّة أو فحوائية أو ناشئة من قرائن الأحوال الخارجية، فلا فرق بين الإذن ببيع ماله بمائتين، وبين الإذن ببيعه بمائة، ويُفهم الإذن بالمائتين بمفهوم </w:t>
      </w:r>
    </w:p>
    <w:p>
      <w:pPr>
        <w:pStyle w:val="BookText"/>
        <w:rPr/>
      </w:pPr>
      <w:r>
        <w:rPr>
          <w:rFonts w:ascii="Amiri" w:hAnsi="Amiri" w:eastAsia="Amiri" w:cs="Amiri"/>
          <w:color w:val="111111"/>
          <w:sz w:val="28"/>
          <w:sz w:val="28"/>
          <w:szCs w:val="28"/>
          <w:rtl w:val="true"/>
          <w:lang w:bidi="ar-SA"/>
        </w:rPr>
        <w:t>الأولوية، وبين الإذن ببيعه نسيئةً وحالاً ونقد البلد وغيره، وبين الإذن ببيعه نسيئة وبغير البلد، فيفهم منه الحلول ونقد البلد بمفهوم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الإذن ببيعه بسوق معيّن فيُفهم منه الإذن بما كان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 المساواة القطعي كمفهوم الأولوية في رفع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هو مثله في رفع الضمان وجهان من أنّه إذن مالكية ومن شأنها ارتفاع الضمان به، ومن أن النصّ على معيّن يقضي بضمان المتعدّي،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فيكون حكمه حكم القطع بالرضى، فإنّ الأظهر ارتفاع الإثم به دون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الأخذ بمفهوم الأولوية والمساواة عدم احتمال اختصاص المنصوص عليه بأمرٍ يقتضي إرادته بخصوصه، كتحصيل جاه أو اعتبار أو ثواب أو دوام أو سمعة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شرطه أن لا يتعلّق به نهي، فمتى تعلّق به كذلك كان مخصصاً للمفهوم، ولزمه مع المخالفة الإثم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الأعلام أنّ مفهوم المساواة رافع للإثم والضمان، إلّا إذا استلزم نقلاً من بلد إلى غيره بل من سوق إلى آخر فيضمن الوكيل المبيع وثمنه وإن صحّ البيع، ويترتب الإثم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وناقشهم بعض المتأخرين في ذلك بأنّ الإذن إن كانت حاصلة من الخطاب أو من القرائن فلا إثم ولا ضمان، وإلا فلا يصحّ البيع ويتحقق الإثم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تختص الإذن الفحوائية بمجرد صحّة البيع دون جواز نقل العين من محلّ إلى آخر، فيكون النقل تعدّياً موجباً للضمان، كما لو صرّح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مأذون ببيعه في أيّ مكان بهذا الثمن ولكن لا تنقله عن المكان الفلاني، ولو نقلته فبعته كنت مأذوناً بالبيع وضامناً للمبيع والثمن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فظاهر جملة من الأصحاب أنّه لو أمره بالبيع بثمن معين في مكان معين فعدل إلى غيره من سوق أو بلد أو دارٍ صحّ البيع ولهم في الضمان وجهان، وكذا ما دلّت عليه القرائن أو نطقت به الإذن الفحوائية فإنّهم حكموا بصحّة فعل الوكيل له، ولهم في الضمان </w:t>
      </w:r>
      <w:bookmarkStart w:id="371" w:name="pg19218_274045"/>
    </w:p>
    <w:p>
      <w:pPr>
        <w:pStyle w:val="BookText"/>
        <w:rPr/>
      </w:pPr>
      <w:bookmarkEnd w:id="371"/>
      <w:r>
        <w:rPr>
          <w:rFonts w:ascii="Amiri" w:hAnsi="Amiri" w:eastAsia="Amiri" w:cs="Amiri"/>
          <w:color w:val="111111"/>
          <w:sz w:val="28"/>
          <w:sz w:val="28"/>
          <w:szCs w:val="28"/>
          <w:rtl w:val="true"/>
          <w:lang w:bidi="ar-SA"/>
        </w:rPr>
        <w:t>وجهان، وأنّه لو أمره بالبيع حالاً أو مطلقاً فباع مؤجّلاً، أو عين نقداً فباع بغيره، أو أطلق فباع بأقل من ثمن المثل، أو عين شخصاً فباع على غيره، أو زماناً فباع بغيره كان البيع فضوليّاً والوكيل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سرّ الفرق بين الصحّة في الأوّل دون البواقي هو حصول الإذن الفحوائية في نفس البيع فيه، وأن الغرض تحصيل الثمن، بخلاف البواقي ؛ لاحتمال كون الخصوصيّة لها مدخل في التوكيل فتكون مقيدة للوكالة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فالقيد في الأوّل لا يراد التقييد به حقيقةً، وإنما جيء به لمظنة حصول النفع، بخلاف البواقي، والفارق بينهما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بالضمان فهو مبني إمّا على حصول التعدّي بالنقل، أو على أنّ الإذن التي لم تصدر من صريح الخطاب أو مفهوم الأولوية لا يرتفع بها الضمان وإن ارتفع بها الإثم وصحّ بها العقد</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3425031_1280447820"/>
      <w:bookmarkStart w:id="373" w:name="_Toc134"/>
      <w:bookmarkEnd w:id="372"/>
      <w:r>
        <w:rPr>
          <w:rtl w:val="true"/>
        </w:rPr>
        <w:t>ثانيها</w:t>
      </w:r>
      <w:r>
        <w:rPr>
          <w:rtl w:val="true"/>
        </w:rPr>
        <w:t xml:space="preserve">: </w:t>
      </w:r>
      <w:r>
        <w:rPr>
          <w:rtl w:val="true"/>
        </w:rPr>
        <w:t>عدم صحّة الوكالة في العقد الفاسد</w:t>
      </w:r>
      <w:bookmarkEnd w:id="37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الوكالة في العقد الفاسد، فلو وكله عليه وكان الوكيل عالماً تعلّق به الضمان، ولا يتعلّق بالموكّل إلّا إذا وكله على ضمان ما لزم ضمانه بذلك فضمنه برضى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الوكيل جاهلاً بالحكم، احتمل استقرار الضمان على الموكّل، والأوجه استقراره عليه، وإن كان جاهلاً بالموضوع استقر على الموكّل، فيرجع الوكيل عليه لو رجع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الوكالة في ملك ثمن مبيع الوكيل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مالك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بمالك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لأنّه لا يملك الإنسان شيئاً بمال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انحلال الأمر إلى التوكيل باستقراضه عنه والشراء به،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بما لي عندك من العين أو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وسلّم البائع برئ بالتسليم؛ لأنّه توكيل بدفع ماله وتشخيصه، فإذا قبض الدَّيْن عن الديان تعيّن له، فإذا دفعه 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لا يتعيّن إلّا بالدفع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الدين لا يتعيّن بذلك مطلقاً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 عنّي في قبض ديني والشراء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 سلّم دَيْني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من إشكال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 على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وكيل عليه</w:t>
      </w:r>
      <w:r>
        <w:rPr>
          <w:rFonts w:eastAsia="Amiri" w:cs="Amiri" w:ascii="Amiri" w:hAnsi="Amiri"/>
          <w:color w:val="111111"/>
          <w:sz w:val="28"/>
          <w:szCs w:val="28"/>
          <w:rtl w:val="true"/>
          <w:lang w:bidi="ar-SA"/>
        </w:rPr>
        <w:t xml:space="preserve">». </w:t>
      </w:r>
      <w:bookmarkStart w:id="374" w:name="pg19218_274046"/>
    </w:p>
    <w:p>
      <w:pPr>
        <w:pStyle w:val="BookText"/>
        <w:rPr/>
      </w:pPr>
      <w:bookmarkEnd w:id="374"/>
      <w:r>
        <w:rPr>
          <w:rFonts w:ascii="Amiri" w:hAnsi="Amiri" w:eastAsia="Amiri" w:cs="Amiri"/>
          <w:color w:val="111111"/>
          <w:sz w:val="28"/>
          <w:sz w:val="28"/>
          <w:szCs w:val="28"/>
          <w:rtl w:val="true"/>
          <w:lang w:bidi="ar-SA"/>
        </w:rPr>
        <w:t>والظاهر أن جميع ذلك ممّا يقضي بالإذن بقبض الدين عن الديان وتصرفه فيه</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3425033_1280447820"/>
      <w:bookmarkStart w:id="376" w:name="_Toc135"/>
      <w:bookmarkEnd w:id="375"/>
      <w:r>
        <w:rPr>
          <w:rtl w:val="true"/>
        </w:rPr>
        <w:t>ثالثها</w:t>
      </w:r>
      <w:r>
        <w:rPr>
          <w:rtl w:val="true"/>
        </w:rPr>
        <w:t xml:space="preserve">: </w:t>
      </w:r>
      <w:r>
        <w:rPr>
          <w:rtl w:val="true"/>
        </w:rPr>
        <w:t>في أنّ للوكالة مقتضيات لفظية وحالية ينصرف إليها الإطلاق وتكون مقيدة له</w:t>
      </w:r>
      <w:bookmarkEnd w:id="376"/>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للوكالة مقتضيات لفظية وحالية ينصرف إليها الإطلاق، وتكون مقيدة له عرفاً، فلا يجوز للوكيل العمل على موجب الإطلاق مع ظهور التقييد عرفاً، وقد لا يحصل المقتضي فيبقى المطلق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الوكالة في نقل شيءٍ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كبيعه أو الصلح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بنقله بثمن المثل على جهة الحلول بنقد البلد، إلّا ما يتسامح به عادة، ويقضي بلزوم مراعاة الغبطة والمصلحة بالنسبة إلى الموكّل، فعلى ذلك لو وجد باذلاً للزيادة على ثمن المثل لزم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أفتى به جملة من أصحابنا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الانصراف إلى ثمن المثل مقيداً بعدم الباذل، مع احتمال جواز البيع بثمن المثل مطلقاً تبعاً للإطلاق، ولكن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الوكيل بخيار وكان وكيلاً على الفسخ، ففي وجوب الفسخ عليه عند وجود باذل الزيادة والبيع عليه؛ لأنّ البيع بالزيادة مع تحققها واجب، وما لا يتم الواجب إلّا به فهو واجب؛ ولأنّ تصرّف الوكيل منوط بالغبطة، وإبقاء هذا البيع مع قدرته على إزالته حال كونه وكيلاً في الإبقاء وعدمه منافٍ للغبطة، أو عدم الوجوب؛ لأنّ ما وجب عليه قد فعله، والتكسب لطلب حصول الزيادة غير واجب عليه؛ للأصل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يرجح الأوّل بأن البيع بالزيادة واجب عليه مهما أمكن، وهو الآن ممكن، فيجب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الوكالة يقضي بشراء الصحيح دون المعيب إلّا فيما إذا كان المطلوب شراؤه للتجارة لا للقنية فوجد في المعيب ربحاً، فإنّ المعيب والصحيح فيه سواء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المضاربة أنّ إطلاقها إنما ينصرف إلى ما فيه ربح دون خصوصيّة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المدار في شراء الصحيح ما كان صحيحاً بنظره، أو ما كان كذلك في الواقع؟ مقتضى القواعد الثاني، فيكون العقد على المعيب فضولياً، كالعقد على ما كان أدنى من ثمن المثل، أو ما كان من غير نقد البلد، أو على ما كان مؤجلاً لو وقع ذلك من الوكيل سهواً أو خطأ خطاً في اجتهادٍ في حكم أو موضوع، إلّا أنّ ظاهر أصحابنا أن شراء المعيب مع الجهل بالعيب نافذ على الموكّل؛ لخفاء العيب غالباً، وعدم الاطلاع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ويكون الخيار بين الردّ والإمساك للموكل قطعاً، وللوكيل مع توكيله على الفسخ عموماً أو نصاً، ويلزمه الفسخ بموجب الوكالة، وأما مع عدم توكيله ففي جواز فسخه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توكيله فيه، ومن الإذن الفحوائية بالفسخ للزوم الضرر على الموكّل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التوكيل في شراء كلّيّ فظهر فرده الذي اشتراه معيباً فإنّ للوكيل ردّه؛ لأنّه نزله منزلة نفسه، وبين التوكيل في شراء شيءٍ بعينه فظهر معيباً فليس له، وإنما يكون الخيار فيه للموكل،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الوكالة أيضاً يقضي بعدم تسليم الثمن قبل تسليم المبيع أو العين المستأجرة عليه، فلو سلّم كان ضامناً، إلّا ما تقضي العادة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يقضي إطلاق الوكالة في البيع والشراء أن لا يبيع على نفسه ولا يشتري لها؟ لا يبعد ذلك؛ لقضاء العرف به، ولفوات الغبطة للموكل غالباً؛ لعدم تدقيق الإنسان على نفسه غالباً، إلّا إذا وكله مطلقاً أو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على إعطاء المحاويج، ففي دخوله معهم وأخذ حصة كأحدهم لنفسه مع وصفهم له وجهان، والجواز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على الشراء بالذمّة ودفع العين، ففي جواز الشراء بالعين ابتداء وجه؛ لأنّه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عكس، فالأظهر عدم جواز الشراء بالذمّة؛ لاحتمال تلف العين، إلّا في مقام يقطع بإرادة المبيع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على شراء شيءٍ وكان عند الوكيل، ففي جواز بيعه له فيكون موجباً قابلاً وجهان، والأحوط المنع، إلّا إذا كانت قيمته معلومةً ويقطع بعدم التفاوت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 عبده على عتق عبيده، أو زوجته على تطليق نسائه، أو غريماً على إبراء غرمائه، ففي دخول الوكيل وجهان، والأقوى المنع؛ لقضاء العرف بخروج الوكيل عما وكل فيه، فيكون مخصصاً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 حقي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أن يقبضه من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 حقى الذي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وكله على إثبات حقّ، لم يكن له قبضه، ولو وكله على قبض حقّ لم يكن وكيلاً على إثباته</w:t>
      </w:r>
      <w:r>
        <w:rPr>
          <w:rFonts w:eastAsia="Amiri" w:cs="Amiri" w:ascii="Amiri" w:hAnsi="Amiri"/>
          <w:color w:val="111111"/>
          <w:sz w:val="28"/>
          <w:szCs w:val="28"/>
          <w:rtl w:val="true"/>
          <w:lang w:bidi="ar-SA"/>
        </w:rPr>
        <w:t xml:space="preserve">. </w:t>
      </w:r>
      <w:bookmarkStart w:id="377" w:name="pg19218_274048"/>
    </w:p>
    <w:p>
      <w:pPr>
        <w:pStyle w:val="BookText"/>
        <w:rPr/>
      </w:pPr>
      <w:bookmarkEnd w:id="377"/>
      <w:r>
        <w:rPr>
          <w:rFonts w:ascii="Amiri" w:hAnsi="Amiri" w:eastAsia="Amiri" w:cs="Amiri"/>
          <w:color w:val="111111"/>
          <w:sz w:val="28"/>
          <w:sz w:val="28"/>
          <w:szCs w:val="28"/>
          <w:rtl w:val="true"/>
          <w:lang w:bidi="ar-SA"/>
        </w:rPr>
        <w:t>ولو وكل اثنين على الخصومة، احتمل أن يكون لأحدهما الانفراد؛ لحصول الغرض، والأولى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الوكيل على الخصومة على مَنْ خاصمه فيما خاصمه، وتقبل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عزله الموكّل قبلت شهادته ما لم تسبق الشهادة وقوع الخصومة ولم يطل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على الصلح عن الدم بخمرٍ أو خنزير،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عفواً من الموكّل </w:t>
      </w:r>
      <w:r>
        <w:rPr>
          <w:rStyle w:val="FootnoteAnchor"/>
          <w:rtl w:val="true"/>
        </w:rPr>
        <w:footnoteReference w:id="390"/>
      </w:r>
      <w:r>
        <w:rPr>
          <w:rFonts w:ascii="Amiri" w:hAnsi="Amiri" w:eastAsia="Amiri" w:cs="Amiri"/>
          <w:color w:val="111111"/>
          <w:sz w:val="28"/>
          <w:sz w:val="28"/>
          <w:szCs w:val="28"/>
          <w:rtl w:val="true"/>
          <w:lang w:bidi="ar-SA"/>
        </w:rPr>
        <w:t>لأنّه بمنزلة إسقاط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المنع؛ لفساد الوكالة، فلا يترتب عليها أثر، ولأنّ الصلح لو صدر من الأصيل لمنعنا كونه عفواً فكيف يكون عفواً بنفس الوكالة عليه أو بنفس صدوره من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العفو مبنيّاً على التغليب حتّى في مثل هذا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وكله على شراء شاة بدرهم فاشترى شاتين قيمتهما در همان وباع إحداهما بدرهم احتمل صحّة الشراء؛ لدلالة العرف على الإذن به؛ ولرواية عروة البارقي </w:t>
      </w:r>
      <w:r>
        <w:rPr>
          <w:rStyle w:val="FootnoteAnchor"/>
          <w:rtl w:val="true"/>
        </w:rPr>
        <w:footnoteReference w:id="391"/>
      </w:r>
      <w:r>
        <w:rPr>
          <w:rFonts w:ascii="Amiri" w:hAnsi="Amiri" w:eastAsia="Amiri" w:cs="Amiri"/>
          <w:color w:val="111111"/>
          <w:sz w:val="28"/>
          <w:sz w:val="28"/>
          <w:szCs w:val="28"/>
          <w:rtl w:val="true"/>
          <w:lang w:bidi="ar-SA"/>
        </w:rPr>
        <w:t>، واحتمل العدم؛ لمنع دلالة العرف، ولاحتمال صدور الشراء في رواية البارقي فضولاً، والأوّل أوجه، وأمّا البيع فهو فضولي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على بيع عبد بمائة فباع نصفه بها، أو بيع عبدين بها فباع واحداً، أو شراء عبدٍ بها فاشتراه بخمسين، فالأظهر الصحّة في الجميع؛ لدلالة العرف، ما لم يحصل الشكّ المعتبر في إرادة الخصوصيّة</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3425035_1280447820"/>
      <w:bookmarkStart w:id="379" w:name="_Toc136"/>
      <w:bookmarkEnd w:id="378"/>
      <w:r>
        <w:rPr>
          <w:rtl w:val="true"/>
        </w:rPr>
        <w:t>رابعها</w:t>
      </w:r>
      <w:r>
        <w:rPr>
          <w:rtl w:val="true"/>
        </w:rPr>
        <w:t xml:space="preserve">: </w:t>
      </w:r>
      <w:r>
        <w:rPr>
          <w:rtl w:val="true"/>
        </w:rPr>
        <w:t>حكم ما لو خالف الوكيل مقتضى الوكالة إطلاقاً أو تعيّناً</w:t>
      </w:r>
      <w:bookmarkEnd w:id="379"/>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الوكيل مقتضى الوكالة إطلاقاً أو تعيّناً فباع أو اشترى، فإن سمّى الموكّل حين بيعه أو شرائه لم يقع البيع أو الشراء له؛ لذكر الموكّل في العقد، ولا للموكل؛ لعدم ثبوت الوكالة فيه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يُسمّه حين العقد، فإن لم يَنْوِ أحداً أو نوى نفسه كان النقل إليه؛ لانصراف الإطلاق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الشراء بالذمّة، إمّا لو كان الشراء بالعين أو كان قد نوى الموكّل كان فضولياً، كما لو سمّاه مع المخالفة، فإن أجاز صار له، وإلا لم يقع بحسب الواقع لأحد، وحكم في الظاهر بأنّه للوكيل، وجرت عليه أحكامه، ولزم الوكيل دفع عوض العين للموكل؛ لضمانه لها من جهة الحيلولة</w:t>
      </w:r>
      <w:r>
        <w:rPr>
          <w:rFonts w:eastAsia="Amiri" w:cs="Amiri" w:ascii="Amiri" w:hAnsi="Amiri"/>
          <w:color w:val="111111"/>
          <w:sz w:val="28"/>
          <w:szCs w:val="28"/>
          <w:rtl w:val="true"/>
          <w:lang w:bidi="ar-SA"/>
        </w:rPr>
        <w:t xml:space="preserve">. </w:t>
      </w:r>
      <w:bookmarkStart w:id="380" w:name="pg19218_274049"/>
    </w:p>
    <w:p>
      <w:pPr>
        <w:pStyle w:val="BookText"/>
        <w:rPr/>
      </w:pPr>
      <w:bookmarkEnd w:id="380"/>
      <w:r>
        <w:rPr>
          <w:rFonts w:ascii="Amiri" w:hAnsi="Amiri" w:eastAsia="Amiri" w:cs="Amiri"/>
          <w:color w:val="111111"/>
          <w:sz w:val="28"/>
          <w:sz w:val="28"/>
          <w:szCs w:val="28"/>
          <w:rtl w:val="true"/>
          <w:lang w:bidi="ar-SA"/>
        </w:rPr>
        <w:t>ولو علم البائع بأنّ العين للموكل لزمه دفعها إليه؛ لعلمه ببطلان البيع، وكذا لو علم بأنّ نية الشراء كانت له ولم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الموكّل علم البائع بأن الثمن له كان له إحلافه على نفي العلم، وكذا للوكيل إحلافه على نفي العلم بأن الشراء قد كان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انكر الموكّل الوكالة كان للوكيل إحلافه على عدمها، فإن حلف فإن كان الشراء بعين مال الموكّل وقد سمّاه بطل الشراء إلّا مع الإجازة، ولزم البائع إرجاع الثمن إذا علم أنّه للموكل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يسمه كان للوكيل ظاهراً، وغرم للموكل المثل والقيمة، وللموكل إحلاف البائع على عدم العلم بكون الثمن له، وكذا للوكيل إحلافه على ذلك، فإن علم البائع بصدور الوكالة وكذب المنكر فالثمن له والمبيع يكون للموكل، فلو استرد الموكّل الثمن جاز للبائع أخذ المبيع مقاصة، فإن زادت قيمة المبيع على الثمن بقي في يده أمانة وكان مال شخص لا يدعيه، فإمّا أن يدس في ماله أو يكون كحكم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الشراء بالذمّة، فإن ذكر الموكّل لفظاً كان فضوليّاً، فإن لم يجز بطل، وإن لم يذكره كان ظاهراً للوكيل وجرت عليه أحكامه، وللوكيل إحلاف البائع على عدم العلم بكون الشراء للموكل، فإن علم البائع بصدور الوكالة لم يكن له مطالبة الوكيل بالثمن؛ لعدم إمكان تحصيله مع إنكار الموكّل الوكالة، وله أخذ المبيع مقاصةً، وللوكيل دفعه كذلك، فإن نقص عن الثمن كان له أخذه قهراً أو خفيةً من الموكّل، وإن زاد دسه في ماله، فإن لم يمكن جرى عليه حكم مجهول المالك</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3425037_1280447820"/>
      <w:bookmarkStart w:id="382" w:name="_Toc137"/>
      <w:bookmarkEnd w:id="381"/>
      <w:r>
        <w:rPr>
          <w:rtl w:val="true"/>
        </w:rPr>
        <w:t>خامسها</w:t>
      </w:r>
      <w:r>
        <w:rPr>
          <w:rtl w:val="true"/>
        </w:rPr>
        <w:t xml:space="preserve">: </w:t>
      </w:r>
      <w:r>
        <w:rPr>
          <w:rtl w:val="true"/>
        </w:rPr>
        <w:t>في أنّ الوكيل أمين لا يضمن إلّا مع التعدّي أو التفريط</w:t>
      </w:r>
      <w:bookmarkEnd w:id="382"/>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أمين لا يضمن إلّا مع التعدّي أو التفريط، سواء كان وكيلاً في التصرّف أو الردّ أو الإيصال أو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فهو أمين على ما وكل عليه، وربما نُقل على ذلك إجماع علماء الإسلام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كلام في ضمانه مع التعدّي والتفريط المعلومين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ضمانه بالتعدّي والتفريط الواقعيين إذا صدرا منه جهلاً أو غفلة أو خطاً وجهان، ولا يبعد الضمان مع التقصير، وعدمه مع التقصير، وعدمه مع عدمه كما إذا أبلى العذر وأدى الاجتهاد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يُصدَّق في دعوى التلف في الجملة إجماعاً، والأخبار </w:t>
      </w:r>
      <w:r>
        <w:rPr>
          <w:rStyle w:val="FootnoteAnchor"/>
          <w:rtl w:val="true"/>
        </w:rPr>
        <w:footnoteReference w:id="393"/>
      </w:r>
      <w:r>
        <w:rPr>
          <w:rFonts w:ascii="Amiri" w:hAnsi="Amiri" w:eastAsia="Amiri" w:cs="Amiri"/>
          <w:color w:val="111111"/>
          <w:sz w:val="28"/>
          <w:sz w:val="28"/>
          <w:szCs w:val="28"/>
          <w:rtl w:val="true"/>
          <w:lang w:bidi="ar-SA"/>
        </w:rPr>
        <w:t>دالّة عليه، سواء كان التلف بأمر ظاهر أو خفيّ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يفتقر تصديق قوله إلى اليمين؟ الأقوى الافتقار؛ اقتصاراً في سماع قول المدّعي على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إلى عدم الافتقار إلى اليمين في سماع قوله </w:t>
      </w:r>
      <w:r>
        <w:rPr>
          <w:rStyle w:val="FootnoteAnchor"/>
          <w:rtl w:val="true"/>
        </w:rPr>
        <w:footnoteReference w:id="394"/>
      </w:r>
      <w:r>
        <w:rPr>
          <w:rFonts w:ascii="Amiri" w:hAnsi="Amiri" w:eastAsia="Amiri" w:cs="Amiri"/>
          <w:color w:val="111111"/>
          <w:sz w:val="28"/>
          <w:sz w:val="28"/>
          <w:szCs w:val="28"/>
          <w:rtl w:val="true"/>
          <w:lang w:bidi="ar-SA"/>
        </w:rPr>
        <w:t xml:space="preserve">لما دلّ من الأخبار المتكثرة على المنع من اتهام الأمين وتصديقه فيما قال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بتصديق الثقة المأمون من غير يمين دون غيره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يُصدق قوله بيمينه في إنكار التفريط أو التعدي؛ للأصل، ولأنّه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قبول قوله في التصرّف الموكّل عليه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للأصل،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والقبول؛ لأنّه أمين عليه والأمين مصدق فيما يدعي؛ ولأنّه يعسر إثبات التصرّف على الوكلاء غالباً؛ ولأنّ التصرّف فعله ومرجعه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بالفرق بين إخباره به قبل عزله عن الوكالة، وبين ما يكون بعده، فيُسمع قوله في الأوّل دون الثاني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قوي؛ لأنّ العزل عن الوكالة أخرجه عن كونه أميناً بعد العزل، فإخباره عما صدر منه حال الأمانة غير إخباره عما صدر منه خارج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يُصدق قول الوكيل في الصرف والإنفاق يُصدَّق قول الولي أو الوصي أو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احتمال الفرق بين دعواهما حال الوصاية أو الولاية، وبين دعواهما بعد عزلهما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الأوجه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قولهما مطلقاً؛ لعسر إقامة البيّنة على جزئيات الصرف والإنفاق عليهما غالباً، فيؤدي إلى لزوم العسر والحرج</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يظهر أن أحد هؤلاء لو ادّعى ردّ المال إلى الموصى إليه وتسليمه إياه، أو دفع المال الموصى به إلى أهله كانت عليه البيّنة على مقتضى القواعد</w:t>
      </w:r>
      <w:r>
        <w:rPr>
          <w:rFonts w:eastAsia="Amiri" w:cs="Amiri" w:ascii="Amiri" w:hAnsi="Amiri"/>
          <w:color w:val="111111"/>
          <w:sz w:val="28"/>
          <w:szCs w:val="28"/>
          <w:rtl w:val="true"/>
          <w:lang w:bidi="ar-SA"/>
        </w:rPr>
        <w:t xml:space="preserve">. </w:t>
      </w:r>
      <w:bookmarkStart w:id="383" w:name="pg19218_274051"/>
    </w:p>
    <w:p>
      <w:pPr>
        <w:pStyle w:val="BookText"/>
        <w:rPr/>
      </w:pPr>
      <w:bookmarkEnd w:id="383"/>
      <w:r>
        <w:rPr>
          <w:rFonts w:ascii="Amiri" w:hAnsi="Amiri" w:eastAsia="Amiri" w:cs="Amiri"/>
          <w:color w:val="111111"/>
          <w:sz w:val="28"/>
          <w:sz w:val="28"/>
          <w:szCs w:val="28"/>
          <w:rtl w:val="true"/>
          <w:lang w:bidi="ar-SA"/>
        </w:rPr>
        <w:t xml:space="preserve">أما لو ادّعى الوكيل الردّ على الموكّل وتسليمه ما وكل على صرفه وإنفاقه أو ردّه، ففي سماع قوله مطلقاً؛ لأنّه أمين قابض على موجب الأمانة وقول الأمين مسموع مطلقاً ولا خصوصيّة للتلف، أو عدمه مطلقاً للأصل،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 أو سماعه إذا خلت الوكالة عن جعل لصيرورته كالودعي في قبض المال لمصلحة المالك فلا يطالب بالبيّنة؛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وعدم سماعه إذا اقترنت بالجعل؛ جرياً على الأصل وعموم الدليل؛ لأنّ قبضه لمصلحة نفسه وجوه، أوجهها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الوكيل إن كان وكيلاً في الردّ أو الإيصال سُمع قوله فيه؛ لتصديق الأمين فيما كان أميناً عليه، وإن كان وكيلاً في الإنفاق أو دفع المال إلى جهة خاصّة فادعى ردّه إلى المالك لم يُسمع، سواء كان بجعل أو مجاناً، ولزوم العسر والحرج مدفوع بإمكان الإشهاد على الردّ إلى الموكّل، أو إيصاله إلى وكيله،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يراد به نفي السبيل على ما صدر من دون اختيار كالتلف و شبهه لا ما صدر باختيار منه وكان له مندوحة على إثباته بالإشهاد ونحوه، على أن اليمين أيضاً سبيل عليه، فلا معنى لدخوله تحت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وكله على دفع مال لشخص، كان القول قوله في دفعه؛ لأنّه وكيل عليه، فإن أنكر المدفوع إليه كان القول قوله أيضاً، فلا يبرأ الموكّل حينئذٍ بمجرد إخبار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المتأخرين إلى قبول قول الوكيل في كلّ ما يدعيه؛ لأصالة براءة الذمّة، ولحمل أفعال المسلم على الصحّة؛ ولأن اتهام الأمين منهي عنه مطلقاً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مخالف لما عليه جمهور الأصحاب</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3425039_1280447820"/>
      <w:bookmarkStart w:id="385" w:name="_Toc138"/>
      <w:bookmarkEnd w:id="384"/>
      <w:r>
        <w:rPr>
          <w:rtl w:val="true"/>
        </w:rPr>
        <w:t>سادسها</w:t>
      </w:r>
      <w:r>
        <w:rPr>
          <w:rtl w:val="true"/>
        </w:rPr>
        <w:t xml:space="preserve">: </w:t>
      </w:r>
      <w:r>
        <w:rPr>
          <w:rtl w:val="true"/>
        </w:rPr>
        <w:t>في أنّه يلزم الوكيل تسليم ما في يده إلى الموكّل مع المطالبة</w:t>
      </w:r>
      <w:bookmarkEnd w:id="385"/>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الوكيل تسليم ما في يده إلى الموكّل مع المطالبة، وعدم العذر من خوفٍ على نفسه أو عرضه أو ماله ممّا يضر بحاله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عليه ذلك فوراً؛ لظاهر الأدلّة، ولأن تسلّطه على مال غيره ومنعه عن صاحبه عدوان، وهو ممنوع عقلاً وشرعاً، فلو قصر عن الردّ فوراً لا لعذر أثم وضمن؛ لتعديه على مال الغير من غير إذن شرعيّة أو مالكية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تبطل عباداته المضادة مطلقاً؛ لاقتضاء الأمر بالشيء النهي عن ضدّه، أو لا تبطل مطلقاً؛ لاستلزامه بطلان أكثر عبادات الناس وتحريم أسفارهم ولزوم إتمام الصلاة والصوم في السفر عليهم، بل لا يكاد يسلم من ذلك سوى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شابهه، واللازم باطل؛ لخلق الأخبار عن بيانه، ولإعراض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عن السؤال عنه وعن إثباته، أو تبطل فيما جعله المكلّف وصلةٌ لعدم الإتيان بالمأمور به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مالك لأنّي أريد أصلي، أو أسافر، أو نحوهما، دون ما لم يجعله كذلك، وجوه، أجودها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بالفوريّة الفوريّة العرفيّة، فلا يجب العدو في مشيه، ولا ترك النافلة المتلبس بها، ولا الخروج من الحمام وهو متلطَّخ بالصبغ أو الدواء، أو هو مجنب، ولا قطع الأكل والشرب المعتادين، ولا ترك لُبس الثياب والعمامة والخُفّ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تجب الفورية في الحقوق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لأن المستحق مطالب بشاهد الحال، أو لا تجب مطلقاً؛ للأصل، ولما تشعر به أخبار الزكاة والخمس من جواز تأخيرها شهراً أو شهرين </w:t>
      </w:r>
      <w:r>
        <w:rPr>
          <w:rStyle w:val="FootnoteAnchor"/>
          <w:rtl w:val="true"/>
        </w:rPr>
        <w:footnoteReference w:id="403"/>
      </w:r>
      <w:r>
        <w:rPr>
          <w:rFonts w:ascii="Amiri" w:hAnsi="Amiri" w:eastAsia="Amiri" w:cs="Amiri"/>
          <w:color w:val="111111"/>
          <w:sz w:val="28"/>
          <w:sz w:val="28"/>
          <w:szCs w:val="28"/>
          <w:rtl w:val="true"/>
          <w:lang w:bidi="ar-SA"/>
        </w:rPr>
        <w:t xml:space="preserve">، وجواز نقل الخمس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المستحق </w:t>
      </w:r>
      <w:r>
        <w:rPr>
          <w:rStyle w:val="FootnoteAnchor"/>
          <w:rtl w:val="true"/>
        </w:rPr>
        <w:footnoteReference w:id="404"/>
      </w:r>
      <w:r>
        <w:rPr>
          <w:rFonts w:ascii="Amiri" w:hAnsi="Amiri" w:eastAsia="Amiri" w:cs="Amiri"/>
          <w:color w:val="111111"/>
          <w:sz w:val="28"/>
          <w:sz w:val="28"/>
          <w:szCs w:val="28"/>
          <w:rtl w:val="true"/>
          <w:lang w:bidi="ar-SA"/>
        </w:rPr>
        <w:t>، أو يجب فوراً إن طلبها الحاكم، وإلا فلا؟ وجوه أحوطها الأوّل، وفي الأخير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لمن عليه الحق الامتناع إلى أن يشهد على إيصاله مطلقاً؛ لاحتمال حصول الضرر عليه بتركه له ولو بتحمل اليمين المنهي عن ارتكابها حقاً أو باطلاً، أو ليس له مطلقاً؛ لعموم وجوب إيصال الحق إلى أهله </w:t>
      </w:r>
      <w:r>
        <w:rPr>
          <w:rStyle w:val="FootnoteAnchor"/>
          <w:rtl w:val="true"/>
        </w:rPr>
        <w:footnoteReference w:id="405"/>
      </w:r>
      <w:r>
        <w:rPr>
          <w:rFonts w:ascii="Amiri" w:hAnsi="Amiri" w:eastAsia="Amiri" w:cs="Amiri"/>
          <w:color w:val="111111"/>
          <w:sz w:val="28"/>
          <w:sz w:val="28"/>
          <w:szCs w:val="28"/>
          <w:rtl w:val="true"/>
          <w:lang w:bidi="ar-SA"/>
        </w:rPr>
        <w:t>، أو له التأخير إليه إن كان لا يُسمع قوله فيه إلّا ببينة كالدَّيْن وشبهه، وإن كان ممّا يُسمع قوله فيه من دونها كالوديعة فليس له التأخير؟</w:t>
      </w:r>
    </w:p>
    <w:p>
      <w:pPr>
        <w:pStyle w:val="BookText"/>
        <w:rPr/>
      </w:pPr>
      <w:r>
        <w:rPr>
          <w:rFonts w:ascii="Amiri" w:hAnsi="Amiri" w:eastAsia="Amiri" w:cs="Amiri"/>
          <w:color w:val="111111"/>
          <w:sz w:val="28"/>
          <w:sz w:val="28"/>
          <w:szCs w:val="28"/>
          <w:rtl w:val="true"/>
          <w:lang w:bidi="ar-SA"/>
        </w:rPr>
        <w:t>وقد يفصل بين ما إذا كان أصل ثبوت الحق عليه بالبيّنة وشبهها فله التأخير؛ تفصياً عن ضرر الإثبات، وبين ما لم يكن فلا يجوز له التأخير؛ لاندفاع ضرره بإنكار أصل ثبوت الحق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التأخير فيما لا يخاف منه الضرر العرفي بتركه؛ لأنّ منع المالك عن ملكه ضرر أيضاً، ولأنّ الإشهاد قلما يتفق تحصيله؛ لندرة وجود العدلين المرضيين غالباً، فيلزم على المالك ضرر بالتأخير</w:t>
      </w:r>
      <w:r>
        <w:rPr>
          <w:rFonts w:eastAsia="Amiri" w:cs="Amiri" w:ascii="Amiri" w:hAnsi="Amiri"/>
          <w:color w:val="111111"/>
          <w:sz w:val="28"/>
          <w:szCs w:val="28"/>
          <w:rtl w:val="true"/>
          <w:lang w:bidi="ar-SA"/>
        </w:rPr>
        <w:t xml:space="preserve">. </w:t>
      </w:r>
      <w:bookmarkStart w:id="386" w:name="pg19218_274053"/>
    </w:p>
    <w:p>
      <w:pPr>
        <w:pStyle w:val="Heading5"/>
        <w:numPr>
          <w:ilvl w:val="4"/>
          <w:numId w:val="1"/>
        </w:numPr>
        <w:rPr/>
      </w:pPr>
      <w:bookmarkStart w:id="387" w:name="__RefHeading___Toc13425041_1280447820"/>
      <w:bookmarkStart w:id="388" w:name="_Toc139"/>
      <w:bookmarkEnd w:id="386"/>
      <w:bookmarkEnd w:id="387"/>
      <w:r>
        <w:rPr>
          <w:rtl w:val="true"/>
        </w:rPr>
        <w:t>سابعها</w:t>
      </w:r>
      <w:r>
        <w:rPr>
          <w:rtl w:val="true"/>
        </w:rPr>
        <w:t xml:space="preserve">: </w:t>
      </w:r>
      <w:r>
        <w:rPr>
          <w:rtl w:val="true"/>
        </w:rPr>
        <w:t>حكم ما لو تعدّى الوكيل على ما في يده أو فرّط</w:t>
      </w:r>
      <w:bookmarkEnd w:id="388"/>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تعدّى الوكيل على ما في يده أو فرط بما يُسمّى عرفاً تعدياً أو تفريطاً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لبس الثوب أو ركب الدابّة أو تركها هاملة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المثل أو القيمة عند التلف وإن لم يكن بذلك التعدّي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تبطل بذلك أمانته بحيث لا يكون أميناً، فلا يُسمع قوله في الإنفاق أو الردّ أو تلف العين نفسها وإن ضمن قيمتها، أو لا تبطل أمانته للاستصحاب، وبقاء الإذن وإن تعلّق به حكم الضمان؛ لمكان الخيانة، فلا ينتفي من أحكام الأمانة عنه سوى عدم الضمان اللاحق للأمين إذا لم يتعد ولم يفرّط ؟ وجهان، والأخير أوجه؛ لبقاء صدق أنّه أمين عرفاً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في عموم ما دلّ على لزوم تصديق الأمين </w:t>
      </w:r>
      <w:r>
        <w:rPr>
          <w:rStyle w:val="FootnoteAnchor"/>
          <w:rtl w:val="true"/>
        </w:rPr>
        <w:footnoteReference w:id="406"/>
      </w:r>
      <w:r>
        <w:rPr>
          <w:rFonts w:ascii="Amiri" w:hAnsi="Amiri" w:eastAsia="Amiri" w:cs="Amiri"/>
          <w:color w:val="111111"/>
          <w:sz w:val="28"/>
          <w:sz w:val="28"/>
          <w:szCs w:val="28"/>
          <w:rtl w:val="true"/>
          <w:lang w:bidi="ar-SA"/>
        </w:rPr>
        <w:t>، واحتمال انصراف ذلك لغير المتعدّي والمفرّط فيبقيان على حكم الأصل وقاعدة أنّ البيّنة على المدّعي واليمين على مَنْ أنكر، ضعيف، فإذا بقي على حكم الأمانة بقي على حكم الوكالة بطريق أولى، فتصرفه نافذ على الموكّل؛ استصحاباً للإذن، وعدم طروء ما يقضي بزوالها؛ لعدم المنافاة بين كونه وكيلاً وكونه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وكيلاً على بيع ما تعدى فيه فباعه وسلّمه إلى المشتري برئ بالتسليم قطعاً، وفي براءته من الضمان قبله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خروجه عن ملك الموكّل ودخوله في ملك المشتري فيكون ضمانه عليه، ومن أنّه ربما تلف قبل القبض فيكون ضمانه على الموكّل؛ لانفساخ العقد فيه فيعود ضمانه على الوكيل، وفي الأخير قوّة سيّما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تلف المبيع قبل قبضه انفساخ من أصله لا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وكيلاً على قبض ثمن ذلك المبيع فقبضه لم يكن ضامناً؛ لأنّه لم يتعد فيه وإن كان ثمن ما تعدى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تعدّى في الثمن فاشترى به شيئاً مأذوناً في شرائه، جاء فيه الكلام السابق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باع المضمون عليه أو اشترى به ثمّ ردّ عليه بعيب أو غبن أو غير ذلك، ففي بقاء ضمانه وعدمه وجهان من أنّها كانت مضمونةً عليه ولم تعد إلى المالك، وتوسط الانتقال المتزلزل لا يرفع حكم ضمانه ما دامت ملكاً للموكل، ومن انتقالها عن الموكّل إلى غيره، والضمان تابع لملك الموكّل وقد زال فعوده مفتقر إلى دليل، فيكون بمنزلة الأمانة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أقوى،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بالخيار فسخ من أصله لا من حينه</w:t>
      </w:r>
      <w:r>
        <w:rPr>
          <w:rFonts w:eastAsia="Amiri" w:cs="Amiri" w:ascii="Amiri" w:hAnsi="Amiri"/>
          <w:color w:val="111111"/>
          <w:sz w:val="28"/>
          <w:szCs w:val="28"/>
          <w:rtl w:val="true"/>
          <w:lang w:bidi="ar-SA"/>
        </w:rPr>
        <w:t xml:space="preserve">. </w:t>
      </w:r>
      <w:bookmarkStart w:id="389" w:name="pg19218_274054"/>
    </w:p>
    <w:p>
      <w:pPr>
        <w:pStyle w:val="Heading5"/>
        <w:numPr>
          <w:ilvl w:val="4"/>
          <w:numId w:val="1"/>
        </w:numPr>
        <w:rPr/>
      </w:pPr>
      <w:bookmarkStart w:id="390" w:name="__RefHeading___Toc13425043_1280447820"/>
      <w:bookmarkStart w:id="391" w:name="_Toc140"/>
      <w:bookmarkEnd w:id="389"/>
      <w:bookmarkEnd w:id="390"/>
      <w:r>
        <w:rPr>
          <w:rtl w:val="true"/>
        </w:rPr>
        <w:t>ثامنها</w:t>
      </w:r>
      <w:r>
        <w:rPr>
          <w:rtl w:val="true"/>
        </w:rPr>
        <w:t xml:space="preserve">: </w:t>
      </w:r>
      <w:r>
        <w:rPr>
          <w:rtl w:val="true"/>
        </w:rPr>
        <w:t>صحّة توكيل اثنين لواحد وتوكيل مَنْ يشتري لنفسه بنفسه</w:t>
      </w:r>
      <w:bookmarkEnd w:id="391"/>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توكيل اثنين لواحد وتوكيل مَنْ يشتري لنفسه بنفسه ويبيع من نفسه بنفسه، ولا مانع من ذلك سوى شبهة امتناع تولّي طرفي العقد الواحد، وهي غير مسموعةٍ في مقابلة عمومات الأدلّة وفتاوى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النكاح ما يقضي بالمنع منه عن الامرأة تكون في أهل بيت وتكره أن يعلم بها بيتها، أيحلّ لها أن توكّل رجلاً يريد أن يتزوجها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وكلتك فاشهد على تزويجي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لا يعارض ما قدمنا، فليحمل على الكراهة، أو على كراهة مباشرة الزوج؛ لأنّه شيء يكرهونه أهلها،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التنصيص، إمّا لو أطلق الموكّل البيع فالظاهر أنّه لا يجوز للوكيل البيع على نفسه، وكذا الشراء؛ لانصراف الإطلاق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ما يدلّ على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يبعث إلى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ثوباً فيطلب له في السوق، فيكون عنده مثل ما يجد في السوق فيعطيه من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يقربن هذا ولا يدنّس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آية عرض الأمانة،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عنده خير ممّا يجد في السوق فلا يعطيه من عنده</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أبيع الزيت يأتيني من الشام فآخذ لنفسي ممّا أبيع،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أنقص لنفسي شيئاً ممّا أبيع،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من غيرك ولا تأخذ منه شيئاً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لك الرجل اشتر لي فلا تعطه من عندك وإن كان الذي عندك خيراً منه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الأخبار أنّ المانع إمّا عدم دخول الوكيل في مفهوم الوكالة، أو أن المنع حكم شرعي مع الإطلاق؛ لمكان التهمة، أو لإرادة التنزيه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فلو قطع الوكيل بعدم تفاوت ما عنده وما في السوق رغبة وقيمة فلا يبعد الجواز، </w:t>
      </w:r>
      <w:bookmarkStart w:id="392" w:name="pg19218_274055"/>
    </w:p>
    <w:p>
      <w:pPr>
        <w:pStyle w:val="BookText"/>
        <w:rPr/>
      </w:pPr>
      <w:bookmarkEnd w:id="392"/>
      <w:r>
        <w:rPr>
          <w:rFonts w:ascii="Amiri" w:hAnsi="Amiri" w:eastAsia="Amiri" w:cs="Amiri"/>
          <w:color w:val="111111"/>
          <w:sz w:val="28"/>
          <w:sz w:val="28"/>
          <w:szCs w:val="28"/>
          <w:rtl w:val="true"/>
          <w:lang w:bidi="ar-SA"/>
        </w:rPr>
        <w:t>وليس المانع تولّي طرفي العقد كي يزول بتوكيل الوكيل غيره ببيع ماله عليه من قبل موكله كما قد يفعل اليوم تفصياً من الشبهة، بل المانع نفس نقل مال الوكيل إلى الموكّل ولا يزول بذلك</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3425045_1280447820"/>
      <w:bookmarkStart w:id="394" w:name="_Toc141"/>
      <w:bookmarkEnd w:id="393"/>
      <w:r>
        <w:rPr>
          <w:rtl w:val="true"/>
        </w:rPr>
        <w:t>تاسعها</w:t>
      </w:r>
      <w:r>
        <w:rPr>
          <w:rtl w:val="true"/>
        </w:rPr>
        <w:t xml:space="preserve">: </w:t>
      </w:r>
      <w:r>
        <w:rPr>
          <w:rtl w:val="true"/>
        </w:rPr>
        <w:t>ثبوت الوكالة بشاهدين عدلين وبالشياع المفيد للقطع وبإقرار الموكّل</w:t>
      </w:r>
      <w:bookmarkEnd w:id="394"/>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الوكالة بشاهدين عدلين، وبالشياع المفيد للقطع، وبإقرار الموكّل وبرد اليمين على الوكيل، وبنكول الموكّل عن اليمين في وجه، ولا تثبت بشهادة النساء، لا منفردات ولا منضمات إلى الرجال، ولا بشاهد ويمين، والإجماع منقول </w:t>
      </w:r>
      <w:r>
        <w:rPr>
          <w:rStyle w:val="FootnoteAnchor"/>
          <w:rtl w:val="true"/>
        </w:rPr>
        <w:footnoteReference w:id="411"/>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حكم الوكالة حكم الإذن ؟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عدم قبول شهادة النساء على الظاهر بين الشهادة على الوكالة ابتداء، وبين الشهادة على الفعل أنّه مستند مستند إليها إليها، مع احتمال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كون الوكالة وكالة مجانية، أو وكالة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شهدن بالوكالة المعوّض عنها ثبت العوض في ذمة الموكّل ولم تثبت الوكالة، مع احتمال أنّ الشهادة على الوكالة المعوّضة تُثبت نفس الوكالة؛ لثبوت الملزوم بثبوت اللازم وعدم انفكاكهما، وللشكّ في شمول الإجماع المنقول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إذا شهدت النساء بالسرقة؛ فإنّ الأقوى والأظهر قبول شهادتهن بالمال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أوجه من الحكم بقبولها مطلقاً، أو الحكم بردّها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أفاد الشياع ظنّاً، ففي إثبات الوكالة به؛ لحصول الظن به غالباً زيادة على الظن المستفاد من خبر العدلين أو عدمه؛ لمنع أنّ العلة في قبول شهادة العدلين هو الظن، بل هو إمّا تعبد أو خصوص ذلك الظنّ الناشئ منهما وجهان، والأخير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يفتقر ثبوتها بشهادة عدلين أن يشهدا عند الحاكم، أو يكفي عند من شهدا عنده مطلقاً؟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فهل يشترط أيضاً انضمام حكم الحاكم إلى شهادتهما، أم يكفي مجرد الشهادة عنده؟ وجهان، ولا يبعد الأخير أيضاً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حكم الحاكم ممّا يقطع الخصومة ويحسم مادة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تقبل شهادة الواحد في الوكالة ولا في العزل إجماعاً، وفائدة إخبار العدل في العزل عدم نفوذ تصرّفه بعد ذلك لو ثبت العزل ببينة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ويُصدَّق مدعي الوكالة في المال المعلوم مالكه، وفي غير المعلوم إذا لم يكن له منازع فيه حين الوكالة؛ حملاً لفعل المسلم على الصحّة، وللسيرة القاضية بصحّة تصرّف الوكلاء بمجرد دعواهم الوكالة في بيع وشراء وإطعام ودفع وإهداء ودفع حقّ وغير ذلك، ولما يظهر من كثيرٍ مر من الأخبار الحاكمة بتصديق من ادّعى حسباً أو نسباً، وتصديق الامرأة في موت الزوج أو انقضاء العدة أو نحو ذلك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يستثنى من ذلك ما لو كانت ذمّة الدافع لمدعي الوكالة مشغولة بحقِّ عام كزكاة أو خمس، أو بحق خاص كنذر له، أو دين له عليه، أو أمانة عنده أو وديعة، أو مضاربة له عنده، أو نحو ذلك؛ فإنّ جريان السيرة بجواز الدفع ممنوع إن لم تكن قاضيةً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فالفرق بين دفعه المال الذي تحت يده وبين الدفع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يعضد الأوّل أنّه ذو يد أيضاً فيُصدق قوله بما كان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الحال في المال الخارج، كالمطروح وشبهه الذي لا يد عليه فادّعى أحد الوكالة عليه، والمال المملوك للمحجور عليه لصغر أو جنون فادعى أحد الولاية عليه، أو الوكالة من قبل الولي، ونحو ذلك،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قبول شهادة الشاهدين في الوكالة اتفاقهما على ما شهدا به لفظاً إن ذكرا نفس اللفظ، أو معنى إن عدلا عنه إلى المعنى فلا يصحّ أن يشهد أحدهما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كردم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واتّفاقهما على صدورها في زمانٍ واحد إن ذكرا نفس الزمان، ومكان واحد إن ذكراه، فلو شهد أحدهما بصدور الوكالة يوم السبت أو في الكوفة فشهد الثاني يوم الجمعة أو في النجف لم تفد شهادتهما فائدة</w:t>
      </w:r>
      <w:r>
        <w:rPr>
          <w:rFonts w:eastAsia="Amiri" w:cs="Amiri" w:ascii="Amiri" w:hAnsi="Amiri"/>
          <w:color w:val="111111"/>
          <w:sz w:val="28"/>
          <w:szCs w:val="28"/>
          <w:rtl w:val="true"/>
          <w:lang w:bidi="ar-SA"/>
        </w:rPr>
        <w:t xml:space="preserve">. </w:t>
      </w:r>
      <w:bookmarkStart w:id="395" w:name="pg19218_274057"/>
    </w:p>
    <w:p>
      <w:pPr>
        <w:pStyle w:val="BookText"/>
        <w:rPr/>
      </w:pPr>
      <w:bookmarkEnd w:id="395"/>
      <w:r>
        <w:rPr>
          <w:rFonts w:ascii="Amiri" w:hAnsi="Amiri" w:eastAsia="Amiri" w:cs="Amiri"/>
          <w:color w:val="111111"/>
          <w:sz w:val="28"/>
          <w:sz w:val="28"/>
          <w:szCs w:val="28"/>
          <w:rtl w:val="true"/>
          <w:lang w:bidi="ar-SA"/>
        </w:rPr>
        <w:t xml:space="preserve">ويظهر من المحقق قبول شهادتهما مع الاختلاف في الوقت أو اللفظ أو المكان؛ لأنّها شهادة واحدة، ومثل هذا الاختلاف غير قادح، ولأنّ جمع الشهود غالباً في مكان أو زمان واحد متعسّر، ولأن تعدّد اللفظ الدال على معنى واحد غير مضرٍّ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شهادة العدلين على خلاف الأصل، فيقتصر فيها على مورد اليقين، وهو المتفق عليه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تعسّر الشهود ممنوعة، بل لم تزل السيرة على ذلك، كدعوى أن تعدّد العقد الواحد غير مضر، وذلك لأنّ العقد الأوّل إن أثر أثره فلا يقبل التعدد، وإن لم يؤثر اختلف مورد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في الإقرار ممكن؛ لأنّه إخبار عن نسبةٍ خارجيّة تطابقه أو لا تطابقه، فلا يضرّ تعدّده بتعدد الزمان أو المكان أو اللفظ، بخلاف العقد الدال على الإنشاء؛ فإنّه عند صدوره أولاً أثر أثره ويكون الإنشاء الآخر لغواً غير واقع موقعه، فعلى ذلك تقبل الشهادة مع الاختلاف في الإقرار وقتاً ومكاناً ولفظاً، دون الاختلاف في 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تعدّد الإقرار إنما كان لتعدد الإنشاء منفي بالأصل، كما أن الشهادة بإطلاق الوكالة مسموعة من غير افتقار إلى سؤال الشاهدين مع احتمال أن كلّ شاهد قد استند إلى غير ما استند إليه الآخر وقتاً أو مكاناً أو لفظاً، ولكنّه منفى بالأصل</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13425047_1280447820"/>
      <w:bookmarkStart w:id="397" w:name="_Toc142"/>
      <w:bookmarkEnd w:id="396"/>
      <w:r>
        <w:rPr>
          <w:rtl w:val="true"/>
        </w:rPr>
        <w:t>عاشرها</w:t>
      </w:r>
      <w:r>
        <w:rPr>
          <w:rtl w:val="true"/>
        </w:rPr>
        <w:t xml:space="preserve">: </w:t>
      </w:r>
      <w:r>
        <w:rPr>
          <w:rtl w:val="true"/>
        </w:rPr>
        <w:t>قضاء إطلاق الوكالة بلزوم الإشهاد على الوكيل في وفاء الدين أو دفع عين مضمونة على الموكّل</w:t>
      </w:r>
      <w:bookmarkEnd w:id="397"/>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الوكالة يقضي بلزوم الإشهاد على الوكيل في وفاء الدين، أو دفع عينٍ مضمونة على الموكّل، أو عين لا يُصدّق الموكّل في دفعها، أو إقراض شخص عنه، أو دفع مالٍ له كمضاربة أو عين مستأجرة أو غير ذلك في وجه؛ لأنّ ذلك مصلحة، وربما كان في تركها مفسدة على الموكّل فيلزم الوكيل اتّباعها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w:t>
      </w:r>
      <w:r>
        <w:rPr>
          <w:rStyle w:val="FootnoteAnchor"/>
          <w:rtl w:val="true"/>
        </w:rPr>
        <w:footnoteReference w:id="414"/>
      </w:r>
      <w:r>
        <w:rPr>
          <w:rFonts w:ascii="Amiri" w:hAnsi="Amiri" w:eastAsia="Amiri" w:cs="Amiri"/>
          <w:color w:val="111111"/>
          <w:sz w:val="28"/>
          <w:sz w:val="28"/>
          <w:szCs w:val="28"/>
          <w:rtl w:val="true"/>
          <w:lang w:bidi="ar-SA"/>
        </w:rPr>
        <w:t>إلى عدم اشتراط ذلك؛ أخذاً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ذكرناه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وكله على الإيداع لم يفتقر إلى الإشهاد؛ لعدم الفائدة فيه، لتصديق الودعيّ في التلف والردّ، فلا أثر للإشهاد</w:t>
      </w:r>
      <w:r>
        <w:rPr>
          <w:rFonts w:eastAsia="Amiri" w:cs="Amiri" w:ascii="Amiri" w:hAnsi="Amiri"/>
          <w:color w:val="111111"/>
          <w:sz w:val="28"/>
          <w:szCs w:val="28"/>
          <w:rtl w:val="true"/>
          <w:lang w:bidi="ar-SA"/>
        </w:rPr>
        <w:t xml:space="preserve">. </w:t>
      </w:r>
      <w:bookmarkStart w:id="398" w:name="pg19218_274058"/>
    </w:p>
    <w:p>
      <w:pPr>
        <w:pStyle w:val="BookText"/>
        <w:rPr/>
      </w:pPr>
      <w:bookmarkEnd w:id="398"/>
      <w:r>
        <w:rPr>
          <w:rFonts w:ascii="Amiri" w:hAnsi="Amiri" w:eastAsia="Amiri" w:cs="Amiri"/>
          <w:color w:val="111111"/>
          <w:sz w:val="28"/>
          <w:sz w:val="28"/>
          <w:szCs w:val="28"/>
          <w:rtl w:val="true"/>
          <w:lang w:bidi="ar-SA"/>
        </w:rPr>
        <w:t>وكذا لو وكله في ردّ الوديعة وكان قاطعاً بصدورها منه؛ لتصديق قوله في الردّ فلا حاجة إلى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بعضهم لزوم الإشهاد على الوكيل بما إذا لم يكن الدفع بحضرة الموكّل، فلو كان حاضراً كان التفريط منه </w:t>
      </w:r>
      <w:r>
        <w:rPr>
          <w:rStyle w:val="FootnoteAnchor"/>
          <w:rtl w:val="true"/>
        </w:rPr>
        <w:footnoteReference w:id="415"/>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Heading5"/>
        <w:numPr>
          <w:ilvl w:val="4"/>
          <w:numId w:val="1"/>
        </w:numPr>
        <w:rPr/>
      </w:pPr>
      <w:bookmarkStart w:id="399" w:name="__RefHeading___Toc13425049_1280447820"/>
      <w:bookmarkStart w:id="400" w:name="_Toc143"/>
      <w:bookmarkEnd w:id="399"/>
      <w:r>
        <w:rPr>
          <w:rtl w:val="true"/>
        </w:rPr>
        <w:t>حادي عشرها</w:t>
      </w:r>
      <w:r>
        <w:rPr>
          <w:rtl w:val="true"/>
        </w:rPr>
        <w:t xml:space="preserve">: </w:t>
      </w:r>
      <w:r>
        <w:rPr>
          <w:rtl w:val="true"/>
        </w:rPr>
        <w:t>حكم ما لو اختلفا في الوكالة ولا بينة</w:t>
      </w:r>
      <w:bookmarkEnd w:id="400"/>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الوكالة ولا بيّنة، فالقول قول منكرها مع يمينه، سواء وقع النزاع قبل فعل الوكيل أو بعده، وسواء كانت الوكالة مشروطة في عقد لازم ليتسلّط منكرها على الفسخ أم لا، وهذه من ثمرات إنكار الوكيل للوكالة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إنكار الموكّل للوكالة عزل له لو فرض تحققها واقعاً مطلقاً، أو ليس كذلك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عزل مع العلم بها دون النسيان وشبهه؟ وكذا إنكار الوكيل لها هل هو عزل لنفسه مطلقاً، أو ليس كذلك مطلقاً، أو عزل مع العلم؟ وجوه، وفي الأخير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العزل أو الإعلام به أو الانعزال قبل صدور موجب الوكالة، فالقول قول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موجب الانعزال واختلفا في سبقه على تصرّف الوكيل أو لحوقه به، قدّم قول الوكيل؛ لأصالة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الرجوع إلى علم التأريخ وجهله،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عزلت أخاها بمحضر الشهود وادعت إعلامه بالعزل فأنكر فأتت بالشهود فشهدوا بالعزل دون الإعلام، فلم يقبل قولها وأمضى تزويج الأخ</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اختلفا في التفريط أو التعدّي أو قيمة التالف أو التلف، كان القول قول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وقوع فعل الوكيل كان القول قوله؛ لأنّه أدرى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التصرّف والإنفاق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الردّ وكان وكيلاً على الردّ فكذلك، وإن لم يكن فقد نقل الإجماع على قبول قوله؛ لأنّه محسن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ذلك اختصاصه بما إذا لم تكن الوكالة بجُعْلٍ، ومع ذلك ففي الإجماع المنقول هنا وهن</w:t>
      </w:r>
      <w:r>
        <w:rPr>
          <w:rFonts w:eastAsia="Amiri" w:cs="Amiri" w:ascii="Amiri" w:hAnsi="Amiri"/>
          <w:color w:val="111111"/>
          <w:sz w:val="28"/>
          <w:szCs w:val="28"/>
          <w:rtl w:val="true"/>
          <w:lang w:bidi="ar-SA"/>
        </w:rPr>
        <w:t xml:space="preserve">. </w:t>
      </w:r>
      <w:bookmarkStart w:id="401" w:name="pg19218_274059"/>
    </w:p>
    <w:p>
      <w:pPr>
        <w:pStyle w:val="Heading5"/>
        <w:numPr>
          <w:ilvl w:val="4"/>
          <w:numId w:val="1"/>
        </w:numPr>
        <w:rPr/>
      </w:pPr>
      <w:bookmarkStart w:id="402" w:name="__RefHeading___Toc13425051_1280447820"/>
      <w:bookmarkStart w:id="403" w:name="_Toc144"/>
      <w:bookmarkEnd w:id="401"/>
      <w:bookmarkEnd w:id="402"/>
      <w:r>
        <w:rPr>
          <w:rtl w:val="true"/>
        </w:rPr>
        <w:t>ثاني عشرها</w:t>
      </w:r>
      <w:r>
        <w:rPr>
          <w:rtl w:val="true"/>
        </w:rPr>
        <w:t xml:space="preserve">: </w:t>
      </w:r>
      <w:r>
        <w:rPr>
          <w:rtl w:val="true"/>
        </w:rPr>
        <w:t>حكم ما لو عقد على امرأة بادعائه الوكالة عن شخص</w:t>
      </w:r>
      <w:bookmarkEnd w:id="403"/>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امرأةٍ بادعائه الوكالة عن شخص، فإن كان كاذباً في دعواه وعلمت الامرأة كذبه كان العقد فضولياً، فإن أجاز صارت زوجته، وإلا بطل النكاح ولا شيء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صادقاً ولم ينكر الموكّل الوكالة صارت زوجته أيضاً وثبت لها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صادقاً وعلمت الامرأة صدقه ولكن أنكر الوكالة فحلف على نفيها، فهي زوجته بينه وبين اللّه تعالى وإن انتفت الزوجية ظاهراً، ويجب عليه باطناً ما يجب على الزوج، وإلا وجب عليه طلاقها؛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ويجب عليه دفع نصف المسمّى إن فرض لها مهراً، وإلا فالمتعة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يطلق ولم يمسك بمعروف فهل يلزم عليها البقاء إلى أن يطلّق أو يموت وتكون ممّا ابتليت فلتصبر، ويجوز لها الاقتصاص من ماله عوض المهر والنفقة، أو يجوز لها الفسخ؛ دفعاً للضرر المنفي، أو يتولى الحاكم طلاقها بأن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الحال كما تقولين فأنتِ طالق، وليس من التعليق في شيء؛ لتعليقه على المحقق؟ وجوه والأوّل موافق للاحتياط، وفي الثاني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تعلم صدقه فحلف على نفي الوكالة انتفت ظاهراً، وجاز لها التزويج بغيره، وكان حكمه بينه وبين اللّه تعالى ما تقدّم من الإمساك بمعروف أو التسريح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للوكيل أن يتزوجها قبل الطلاق إلّا إذا قلنا لها الفسخ، أو للحاكم طلاقها فتفسخ، أو يطلقها الحاكم على تقدير أنّها زوجته واقعاً، فتبين على ذلك التقدير ويتزوجها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فليس لها على الوكيل شيء من المهر في الصور، إلّا إذا ضمن المهر عن الموكّل فإنّها لها عليه النصف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جرياً على القواعد، ولكن ورد في الصحيح فيمن زوج امرأة بأمر رجل وبعد أن زوجه أنكر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لها على الوكيل نصف الصداق إن كان فرض لها صداقاً وإلا فلا شيء لها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آخر كذلك، وزاد فيه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ضيّع حقها بترك الإشهاد </w:t>
      </w:r>
      <w:r>
        <w:rPr>
          <w:rStyle w:val="FootnoteAnchor"/>
          <w:rtl w:val="true"/>
        </w:rPr>
        <w:footnoteReference w:id="420"/>
      </w:r>
      <w:r>
        <w:rPr>
          <w:rFonts w:ascii="Amiri" w:hAnsi="Amiri" w:eastAsia="Amiri" w:cs="Amiri"/>
          <w:color w:val="111111"/>
          <w:sz w:val="28"/>
          <w:sz w:val="28"/>
          <w:szCs w:val="28"/>
          <w:rtl w:val="true"/>
          <w:lang w:bidi="ar-SA"/>
        </w:rPr>
        <w:t xml:space="preserve">، ونُسب للمشهور الحكم بمضمونهما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404" w:name="pg19218_274060"/>
    </w:p>
    <w:p>
      <w:pPr>
        <w:pStyle w:val="BookText"/>
        <w:rPr/>
      </w:pPr>
      <w:bookmarkEnd w:id="404"/>
      <w:r>
        <w:rPr>
          <w:rFonts w:ascii="Amiri" w:hAnsi="Amiri" w:eastAsia="Amiri" w:cs="Amiri"/>
          <w:color w:val="111111"/>
          <w:sz w:val="28"/>
          <w:sz w:val="28"/>
          <w:szCs w:val="28"/>
          <w:rtl w:val="true"/>
          <w:lang w:bidi="ar-SA"/>
        </w:rPr>
        <w:t>وظاهرهما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تغريم الوكيل، سواء علمت بصدقه أم لم تعلم، إلّا إذا علمت بكذبه فإنّ الظاهر منهما أنّه ليس عليه شيء؛ لورودهما مورد الشكّ أو العلم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فتغريم الوكيل مخالف للضوابط؛ لدورانه مدار صحّة العقد، والمفروض أنّه مع الشكّ ونفي الموكّل الوكالة محكوم بفساده، ولأنّ الغرامة لو قلنا بثبوتها فهي على صاحب العقد لا على الوكيل، وسببية عدم الإشهاد لتغريمه ممنوعة، ولو سلمناها فهي مقصورة على حالة تقصيره وقد لا يحصل منه التقصير؛ لعدم تمكنه، أو لموت الشهود أو جنونهم، أو نحو ذلك، فيدور الأمر بين الأخذ بالقواعد وطرح الروايتين، أو تنزيلهما على حالة ضمان الوكيل أو الندب، وبين الأخذ بهما؛ لمكان الشهرة المنقولة، وصحة إحداهما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أوفق بمقتضى القواعد الأصولية، والأوّل أوفق بمقتضى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القدماء إلى لزوم المهر على الوكيل كملاً </w:t>
      </w:r>
      <w:r>
        <w:rPr>
          <w:rStyle w:val="FootnoteAnchor"/>
          <w:rtl w:val="true"/>
        </w:rPr>
        <w:footnoteReference w:id="422"/>
      </w:r>
      <w:r>
        <w:rPr>
          <w:rFonts w:ascii="Amiri" w:hAnsi="Amiri" w:eastAsia="Amiri" w:cs="Amiri"/>
          <w:color w:val="111111"/>
          <w:sz w:val="28"/>
          <w:sz w:val="28"/>
          <w:szCs w:val="28"/>
          <w:rtl w:val="true"/>
          <w:lang w:bidi="ar-SA"/>
        </w:rPr>
        <w:t>لأنّ التنصيف على خلاف الأصل، والطلاق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لمخالفته القواعد وعدم الدليل عليه، وغاية ما خرجنا عن القواعد بلزوم النصف لو قلنا به فللدليل، فالزيادة على النصف حكم لا دليل عليه، والتعليل بتضييع حقها بترك الإشهاد عليل ووارد في الحكم بالتنصيف، فلا يصلح أن يكون دليلاً لثبوت الكل</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3425053_1280447820"/>
      <w:bookmarkStart w:id="406" w:name="_Toc145"/>
      <w:bookmarkEnd w:id="405"/>
      <w:r>
        <w:rPr>
          <w:rtl w:val="true"/>
        </w:rPr>
        <w:t>ثالث عشرها</w:t>
      </w:r>
      <w:r>
        <w:rPr>
          <w:rtl w:val="true"/>
        </w:rPr>
        <w:t xml:space="preserve">: </w:t>
      </w:r>
      <w:r>
        <w:rPr>
          <w:rtl w:val="true"/>
        </w:rPr>
        <w:t>قضاء إطلاق الوكالة في البيع بتسليم المبيع لو كان بيد الوكيل</w:t>
      </w:r>
      <w:bookmarkEnd w:id="406"/>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الوكالة في البيع يقضي بتسليم المبيع لو كان بيد الوكيل، وكذا الوكالة في الشراء، ولو لم يكن المبيع أو الثمن بيد الوكيل فالظاهر عدم الاقتضاء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قبض الثمن في التوكيل على المبيع، وقبض المبيع في التوكيل على الشراء فلا ينصرف إليهما الإطلاق، وينصرف إطلاق الوكالة إلى البيع بثمن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يعين الموكّل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اختلفا في الثمن، كان القول قول الموكّل في نفي ما يدعيه الوكيل من الثمن، سواء كان ما يدعيه الوكيل أقل أو أكثر لرجوعه إلى الاختلاف في صفة الوكالة الراجع إلى الاختلاف في وقوعها على أي نحو ما اختلفا، والقول في ذلك قول الموكّل؛ لرجوعه إلى نفي الوكالة التي يدعيها الموكّل، ولو فرضنا أنّهما متداعيان فيتحالفان لعاد أيضاً إلى ما ذكرناه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تقديم قول الوكيل هنا؛ لأنّه أمين، والموكّل يدعي عليه الخيانة، والقول قول </w:t>
      </w:r>
      <w:bookmarkStart w:id="407" w:name="pg19218_274061"/>
    </w:p>
    <w:p>
      <w:pPr>
        <w:pStyle w:val="BookText"/>
        <w:rPr/>
      </w:pPr>
      <w:bookmarkEnd w:id="407"/>
      <w:r>
        <w:rPr>
          <w:rFonts w:ascii="Amiri" w:hAnsi="Amiri" w:eastAsia="Amiri" w:cs="Amiri"/>
          <w:color w:val="111111"/>
          <w:sz w:val="28"/>
          <w:sz w:val="28"/>
          <w:szCs w:val="28"/>
          <w:rtl w:val="true"/>
          <w:lang w:bidi="ar-SA"/>
        </w:rPr>
        <w:t>الأمين، لا وجه له؛ لعدم ثبوت أمانته على الوجه الذي يدعيه كي يكون القول قوله، بل هو مدع للأمانة، فالقول قول منكرها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عليه الموكّل أنّه تعدّى فيما وكل فيه، كما إذا اشترى وقبض الثمن وتصرف فيه أو أتلفه أو نحو ذلك، كان القول قول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حلف الموكّل على نفي ما ادعاه الوكيل ولم يرد اليمين عليه ولم ينكل بطل البيع بالنسبة إلى الوكيل، وأما المشتري فإن صادق على الوكالة ثبت في حقه كذلك، وإلا كان للموكل إحلافه على نفي العلم، فإن نكل رُدّت على الموكّل، وتوقف ثبوت البطلان بالنسبة إليه إلى يمين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العين باقيةً وثبت قول الموكّل بالنسبة إلى المشتري استرجعها، ورجع المشتري بالثمن إن لم يصدق الوكيل في دعواه، وإلا رجع بأقل الأمرين من الثمن وقيمة المبيع؛ لأنّه ليس له إلّا ما دفعه إليه؛ لاعترافه بظلمه إن كان الثمن أقل، وإن كان أزيد فليس له أن يقاص إلّا بقدر ما غرمه للموكل، ويبقى الزائد إمّا أن يدسه في مال الموكّل، أو يجري عليه حكم مجهول المالك؛ لأن الصدقة نوع 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تالفةً، تخيّر الموكّل في الرجوع على أيهما شاء، فإن رجع على الوكيل رجع الوكيل على المشتري بالأقل من ثمنه أو ما اغترمه؛ لأنّ الثمن إن كان أقل فالموكّل لا يستحق سواه، وهو ظالم بزعمه؛ لأخذه الزائد، وإن كانت القيمة أقل فلعدم غرامته سواها، ويبقى الزائد يدس في ماله أو يجري عليه حكم مجهول المالك؛ لإنكار المالك له، ولخروج الوكيل عن الوكالة فليس له قبضه بعد إنكار الموكّل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على المشتري بالقيمة وكان مصدّقاً للوكيل في الوكالة له لم يرجع المشتري على الوكيل؛ لأنّه مظلوم بزعمه، إلّا إذا كان الوكيل قد قبض الثمن فيرجع إليه مقاصةً إن كان بقدره، وإن كان الثمن أزيد دسّ الزائد في مال الموكّل، أو كان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المشتري مصدّقاً على الوكالة، رجع على الوكيل بما غرمه أجمع؛ لغروره، ولو كان الثمن أزيد وقد دفعه إلى الوكيل رجع به؛ لفساد البيع ظاهراً</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3425055_1280447820"/>
      <w:bookmarkStart w:id="409" w:name="_Toc146"/>
      <w:bookmarkEnd w:id="408"/>
      <w:r>
        <w:rPr>
          <w:rtl w:val="true"/>
        </w:rPr>
        <w:t>رابع عشرها</w:t>
      </w:r>
      <w:r>
        <w:rPr>
          <w:rtl w:val="true"/>
        </w:rPr>
        <w:t xml:space="preserve">: </w:t>
      </w:r>
      <w:r>
        <w:rPr>
          <w:rtl w:val="true"/>
        </w:rPr>
        <w:t>حكم ما لو ادّعى شخص الوكالة عن غائب في قبض عين قبض عين ماله أو استيفاء دينه</w:t>
      </w:r>
      <w:bookmarkEnd w:id="40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شخص الوكالة عن غائب ولو عن الحاكم الشرعي في مقام الولاية </w:t>
      </w:r>
    </w:p>
    <w:p>
      <w:pPr>
        <w:pStyle w:val="BookText"/>
        <w:rPr/>
      </w:pPr>
      <w:r>
        <w:rPr>
          <w:rFonts w:ascii="Amiri" w:hAnsi="Amiri" w:eastAsia="Amiri" w:cs="Amiri"/>
          <w:color w:val="111111"/>
          <w:sz w:val="28"/>
          <w:sz w:val="28"/>
          <w:szCs w:val="28"/>
          <w:rtl w:val="true"/>
          <w:lang w:bidi="ar-SA"/>
        </w:rPr>
        <w:t>في قبض عين ماله أو استيفاء دينه، فإن أقام بيّنةً وجب دفع الحق إليه مطلقاً، وإلا فإن كان الموكّل عليه عيناً وأنكر الأمين الوكالة كان 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اليمين لو ادّعى عليه العلم بالوكالة؛ لثبوت اليمين على المنكر، أو لا يجب عليه؛ لأنّ فائدة يمين المنكر أنّه لو أقرّ لوجب عليه دفع الحق وهنا ليس كذلك؟ وجهان، ولعلّ 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أقرّ بالوكالة، جاز له تسليم العين، وجاز له الامتناع، ولا يؤمر بالتسليم؛ لأنّه إقرار في حقّ الغير فيحتمل كذبهما معاً، مع احتمال جواز أمره؛ للأمر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دفع المال إلى الوكيل فحضر الموكّل فأنكر، كان القول قوله مع يمينه، فإن كانت العين باقية استرجعها ممّن هي في يده، فإن لم يمكن أخذ بدلها ممّن شاء؛ لمكان الحيلولة، وإن كانت تالفة تخيّر في الرجوع على مَنْ شاء، فإن رجع إلى الوكيل وقد تلفت العين بيده لم يرجع إلى الدافع؛ لأنّه مظلوم بزعمه فلا يرجع إلى غير ظالمه، وإن رجع إلى الدافع لم يرجع إلى الوكيل أيضاً إذا لم يكن التلف مضموناً، وإلا رجع عليه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الموكّل عليه دَيْناً، فإن صدقه في الوكالة وجب دفع الدين إليه، ويؤمر بالتسليم إليه؛ لأن الدين ليس عين مال المالك كي يكون إقراراً في حقّ الغير، بل هو إقرار في حقّ نفسه؛ لأنَّ الدَّيْن كلّي في ذمته، فإذا دفعه وفاءً لتصديق الوكيل لم يبرأ منه حتّى يصدقه الموكّل فالمدفوع ليس مالاً للموكل بل هو مال له، فيجب دفعه بموجب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وجوب أمره بالتسليم؛ لأنّ إقراره بالتوكيل لا يُثبت عليه وجوب إيصال حقّ غيره لمن أقرّ له، ولأنّه لا يجب على المديون إلّا التسليم المبرئ له، ولهذا يجوز الامتناع عن تأدية الحق إلى مالكه إلى أن يشهد، وهذا التسليم ليس مبرئاً 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أظهر؛ لمنع عدم إثبات الإقرار لوجوب إيصال حقّ غيره لمن أقر له؛ لأن الإقرار بالتوكيل يكون مثبتاً إيصال حقّ الغير له؛ لأنّ الوكيل نفس الموكّل، وليس الحق عيناً كي يكون إقراراً في حقّ الغير، بل هو كلّي في الذمّة، فيجب دفعه على حسب إقراره، فالمدفوع مال من أمواله إلى أن تتحقق الوكالة، ولمنع تخصيص وجوب دفع الدين بالمبرئ فقط، على أن الدفع مبرئ بزعمه</w:t>
      </w:r>
      <w:r>
        <w:rPr>
          <w:rFonts w:eastAsia="Amiri" w:cs="Amiri" w:ascii="Amiri" w:hAnsi="Amiri"/>
          <w:color w:val="111111"/>
          <w:sz w:val="28"/>
          <w:szCs w:val="28"/>
          <w:rtl w:val="true"/>
          <w:lang w:bidi="ar-SA"/>
        </w:rPr>
        <w:t xml:space="preserve">. </w:t>
      </w:r>
      <w:bookmarkStart w:id="410" w:name="pg19218_274063"/>
    </w:p>
    <w:p>
      <w:pPr>
        <w:pStyle w:val="BookText"/>
        <w:rPr/>
      </w:pPr>
      <w:bookmarkEnd w:id="410"/>
      <w:r>
        <w:rPr>
          <w:rFonts w:ascii="Amiri" w:hAnsi="Amiri" w:eastAsia="Amiri" w:cs="Amiri"/>
          <w:color w:val="111111"/>
          <w:sz w:val="28"/>
          <w:sz w:val="28"/>
          <w:szCs w:val="28"/>
          <w:rtl w:val="true"/>
          <w:lang w:bidi="ar-SA"/>
        </w:rPr>
        <w:t>ثمّ إنّ الموكّل لو حضر فأنكر، لزم دفع الدين إليه، ويرجع بما دفعه المديون إلى الوكيل إن كانت عينه باقية أو كان مضموناً عليه مع التلف مقاصةً، وإلا فلا يرجع؛ لاعترافه بأمانته عن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يقاص المالك لو 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إحلاف مدعي الوكالة في الدين للمديون على نفي العلم بوكالته؛ لأنّه لو لم يحلف وأقرّ لزمه دفع الدين له، وهو من مقامات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الدفع بالبيّنة مبرئ بحسب الظاهر إلى أن يقدم الغائب فيبقى على حجته، فإذا أنكر وجرح الشاهدين رجع إلى مَنْ له عليه الحق، ويرجع الدافع حينئذٍ إلى الوكيل على نحو ما ذكرنا</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3425057_1280447820"/>
      <w:bookmarkStart w:id="412" w:name="_Toc147"/>
      <w:bookmarkEnd w:id="411"/>
      <w:r>
        <w:rPr>
          <w:rtl w:val="true"/>
        </w:rPr>
        <w:t>خامس عشرها</w:t>
      </w:r>
      <w:r>
        <w:rPr>
          <w:rtl w:val="true"/>
        </w:rPr>
        <w:t xml:space="preserve">: </w:t>
      </w:r>
      <w:r>
        <w:rPr>
          <w:rtl w:val="true"/>
        </w:rPr>
        <w:t>حكم ما لو طالب الموكّل الوكيل بردّ المال فأنكره أو أقرّ به وامتنع من إيصاله ثمّ ادّعى بعد ذلك تلف المال قبل الإنكار</w:t>
      </w:r>
      <w:bookmarkEnd w:id="412"/>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طالب الموكّل الوكيل برد المال فأنكره، أو أقر به وامتنع من إيصاله، ثمّ ادّعى بعد ذلك تلف المال قبل الإنكار أو الردّ قبل المطالبة، فإن كان امتناعه مجرد تقصير ومَطَلٍ وكان جحوده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يلزمني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دعواه وقبلت بينته؛ لأنّه لم يكذب دعواه وبينته بالامتناع عن الأداء، بل هو مؤكّد لها، وكذا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 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تلف المال 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امتناعه عن إنكار أصل الأمانة أو كان لفظه دالاً على ذلك، لم تسمع دعواه، ولم تُقبل بيّنته؛ لتكذيبه لها بإنكار أصل الأمانة؛ لأنّ الشهادة على تقدير وجودها، والمفروض أنّه قد نفاها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إلى صحّة سماع الدعوى والبيّنة </w:t>
      </w:r>
      <w:r>
        <w:rPr>
          <w:rStyle w:val="FootnoteAnchor"/>
          <w:rtl w:val="true"/>
        </w:rPr>
        <w:footnoteReference w:id="423"/>
      </w:r>
      <w:r>
        <w:rPr>
          <w:rFonts w:ascii="Amiri" w:hAnsi="Amiri" w:eastAsia="Amiri" w:cs="Amiri"/>
          <w:color w:val="111111"/>
          <w:sz w:val="28"/>
          <w:sz w:val="28"/>
          <w:szCs w:val="28"/>
          <w:rtl w:val="true"/>
          <w:lang w:bidi="ar-SA"/>
        </w:rPr>
        <w:t>لاحتمال السهو والغفلة والنسيان والخطأ والاشتباه، سيما لو أظهر لدعواه تأويلاً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الأخيرين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على الموكّل العلم كان له إحلافه على نفيه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التلف بعد الامتناع أو الردّ بعد الإنكار شمع قوله مع البيّنة، إلّا أنّه يكون ضامناً للقيمة في حالة التلف</w:t>
      </w:r>
      <w:r>
        <w:rPr>
          <w:rFonts w:eastAsia="Amiri" w:cs="Amiri" w:ascii="Amiri" w:hAnsi="Amiri"/>
          <w:color w:val="111111"/>
          <w:sz w:val="28"/>
          <w:szCs w:val="28"/>
          <w:rtl w:val="true"/>
          <w:lang w:bidi="ar-SA"/>
        </w:rPr>
        <w:t xml:space="preserve">. </w:t>
      </w:r>
      <w:bookmarkStart w:id="413" w:name="pg19218_274064"/>
    </w:p>
    <w:p>
      <w:pPr>
        <w:pStyle w:val="BookText"/>
        <w:rPr/>
      </w:pPr>
      <w:bookmarkEnd w:id="413"/>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الأمين لا يخرج عن الأمانة بالتعدّي وإن ضمن، شمع قوله من دون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بعض الأصحاب عدم سماع قوله وعدم سماع بيّنته في جميع الصور المتقدّمة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3425059_1280447820"/>
      <w:bookmarkStart w:id="415" w:name="_Toc148"/>
      <w:bookmarkEnd w:id="414"/>
      <w:r>
        <w:rPr>
          <w:rtl w:val="true"/>
        </w:rPr>
        <w:t>سادس عشرها</w:t>
      </w:r>
      <w:r>
        <w:rPr>
          <w:rtl w:val="true"/>
        </w:rPr>
        <w:t xml:space="preserve">: </w:t>
      </w:r>
      <w:r>
        <w:rPr>
          <w:rtl w:val="true"/>
        </w:rPr>
        <w:t>حكم ما إذا اشترى الوكيل شيئاً فأنكر الموكّل الوكالة فحلف على نفيها</w:t>
      </w:r>
      <w:bookmarkEnd w:id="415"/>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الوكيل شيئاً فأنكر الموكّل الوكالة فحلف على نفيها، فإمّا أن يشتري بالعين، أو بالذمّة، فإن اشترى بالعين وكان البائع غير عالم بالوكالة ولكنه عالم بأنّها للموكل كان فضوليّاً، فإن أجاز فلا كلام، وإن لم يُجز بطل البيع، واسترد المالك العين إن كانت موجودةً، وإن تلفت تخيّر في الرجوع ببدلها على مَنْ شاء، فإن رجع على الوكيل رجع هو إلى البائع؛ لاستقرار التلف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يعلم أنّها للموكل كان له عليه اليمين على نفي العلم، فإن حلف المشتري على نفيه لم يكن للموكل أخذها منه ولا أخذ بدلها، وإنّما له الرجوع على الوكيل، فإذا أخذ منه الثمن عاد الوكيل فأخذ من البائع المبيع مقاصةً، فإن كان مساوياً فلا كلام، وإن زاد ففي الزائد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البائع بالوكالة، فإن كانت العين موجودةً فأخذها الموكّل جاز للبائع أخذ المبيع مقاصةً، ولو زاد ففي الزائد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تالفةً، فإن أخذها من البائع لم يكن للبائع الرجوع للوكيل إلّا بالمبيع لو دفعه إليه، ولو أخذها من الوكيل لم يكن للوكيل الرجوع إلى المشتري، بل له أخذ المبيع 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الشراء بالذمّة وذكر الموكّل وقع له باطناً إن كان محقاً، وبطل ظاهراً، فيأخذه مقاصةً، وإن لم يذكره لفظاً ولا نيّة فالشراء للوكيل ظاهراً وباطناً، وإن كان مبطلاً وذكر الموكّل بطل البيع إن لم يجز، وإن نواء خاصّة فالسلعة للبائع باطناً فيشتريها منه بالثمن إن كان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دفعها إليه، ولا شيء عليه، وإن لم ينوه وقع الشراء للوكيل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التخلّص أن يقول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لي فقد بعته من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البيع ويتقاصان، ولا يكون تعليقاً؛ لتحقق المعلّق عليه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امتنع الموكّل من المبيع جاز أن يستوفي عوض ما أداه إلى البائع عن موكله من هذه </w:t>
      </w:r>
      <w:bookmarkStart w:id="416" w:name="pg19218_274065"/>
    </w:p>
    <w:p>
      <w:pPr>
        <w:pStyle w:val="BookText"/>
        <w:rPr/>
      </w:pPr>
      <w:bookmarkEnd w:id="416"/>
      <w:r>
        <w:rPr>
          <w:rFonts w:ascii="Amiri" w:hAnsi="Amiri" w:eastAsia="Amiri" w:cs="Amiri"/>
          <w:color w:val="111111"/>
          <w:sz w:val="28"/>
          <w:sz w:val="28"/>
          <w:szCs w:val="28"/>
          <w:rtl w:val="true"/>
          <w:lang w:bidi="ar-SA"/>
        </w:rPr>
        <w:t>السلعة، ولا يجوز له التصرّف في المبيع قبل أحد ذينك الأمرين؛ لخروج الملك عنه على كلّ حال؛ لأنّه إن كان صادقاً في دعوى الوكالة فهو للموكل، وإن كان كاذباً فهو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رفع أمره إلى الحاكم أمر مَنْ أخبره الوكيل على أنّه يبيعه منه برفق، وليس له إجباره على ذلك؛ لانتفاء الملك عنه ظاهراً، فإن كان الوكيل صادقاً فالموكّل ممتنع من إيفاء الحق فللحاكم البيع عليه، وإن كان كاذباً فالملك له فتلغو الصيغة</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3425061_1280447820"/>
      <w:bookmarkStart w:id="418" w:name="_Toc149"/>
      <w:bookmarkEnd w:id="417"/>
      <w:r>
        <w:rPr>
          <w:rtl w:val="true"/>
        </w:rPr>
        <w:t>سابع عشرها</w:t>
      </w:r>
      <w:r>
        <w:rPr>
          <w:rtl w:val="true"/>
        </w:rPr>
        <w:t xml:space="preserve">: </w:t>
      </w:r>
      <w:r>
        <w:rPr>
          <w:rtl w:val="true"/>
        </w:rPr>
        <w:t>حكم ما لو اختلف الموكّل والوكيل بعد الشراء أو البيع في مبلغهما</w:t>
      </w:r>
      <w:bookmarkEnd w:id="418"/>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الموكّل والوكيل بعد الشراء أو البيع،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بعشر، أو اشتريته بخمس، فقال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بخمس، أو اشتريته بعشر،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الوكيل؛ لأنّه أدرى بفعله، ولأنّه مؤتمن، مع احتمال أنّ القول في صورة الشراء قول الموكّل؛ لأنّه غارم، والأصل براءة ذمته من الزائد في دعوى الشراء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لموكله عيناً أو باع عنه كذلك،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الخيار للبائع أو المشتري في مطالبة الموكّل؛ لأنّ الحق عليه، وفي مطالبة الوكيل؛ لأنّ العقد معه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العلم بالوكالة فليس له إلّا مطالبة الموكّل، ومع الجهل ليس له إلّا مطالبة الوكيل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ويراد بالجهل الجهل المستمر من حين العقد إلى حين القبض فلو علم بعد العقد بالوكالة طالب الموكّل مع احتمال استحقاق مطالبته للوكيل إذا كان جاهلاً حين العقد بالوكالة استصحاباً، ولإمكان عدم رضاه بمطالبة الموكّل لو علم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 ثبوت الوكالة اعتراف الموكّل بها؛ لاحتمال تواطئهما على إسقاط حقّ المشتري عن مطالبة الوكيل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إن كان معيّناً وهو عالم بالوكالة فالمطالب به من كان في يده، ولو جهل مكانه وعلم بالوكالة طالب الموكّل وإن كان في الذمّة، فإن سلمه الموكّل إلى الوكيل طالب الوكيل وله أن يطالب الموكّل مع علمه بالوكالة؛ لعدم انحصار الثمن فيما سلّمه إلى وكيله، وإن لم يكن سلّمه إلى الوكيل طالب الموكّل مع علمه بالوكالة، وطالب الوكيل مع جهله</w:t>
      </w:r>
      <w:r>
        <w:rPr>
          <w:rFonts w:eastAsia="Amiri" w:cs="Amiri" w:ascii="Amiri" w:hAnsi="Amiri"/>
          <w:color w:val="111111"/>
          <w:sz w:val="28"/>
          <w:szCs w:val="28"/>
          <w:rtl w:val="true"/>
          <w:lang w:bidi="ar-SA"/>
        </w:rPr>
        <w:t xml:space="preserve">. </w:t>
      </w:r>
      <w:bookmarkStart w:id="419" w:name="pg19218_274066"/>
    </w:p>
    <w:p>
      <w:pPr>
        <w:pStyle w:val="BookText"/>
        <w:rPr/>
      </w:pPr>
      <w:bookmarkEnd w:id="419"/>
      <w:r>
        <w:rPr>
          <w:rFonts w:ascii="Amiri" w:hAnsi="Amiri" w:eastAsia="Amiri" w:cs="Amiri"/>
          <w:color w:val="111111"/>
          <w:sz w:val="28"/>
          <w:sz w:val="28"/>
          <w:szCs w:val="28"/>
          <w:rtl w:val="true"/>
          <w:lang w:bidi="ar-SA"/>
        </w:rPr>
        <w:t>ويحتمل أن له مطالبة الموكّل مع العلم مطلقاً عيناً أو ذمّةً؛ لوجوب تسليم المبيع أو الثمن عليه ابتداء، ولا يفرغ إلّا بعد دفع الوكيل له</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3425063_1280447820"/>
      <w:bookmarkStart w:id="421" w:name="_Toc150"/>
      <w:bookmarkEnd w:id="420"/>
      <w:r>
        <w:rPr>
          <w:rtl w:val="true"/>
        </w:rPr>
        <w:t xml:space="preserve">ثامن عشرها </w:t>
      </w:r>
      <w:r>
        <w:rPr>
          <w:rtl w:val="true"/>
        </w:rPr>
        <w:t xml:space="preserve">: </w:t>
      </w:r>
      <w:r>
        <w:rPr>
          <w:rtl w:val="true"/>
        </w:rPr>
        <w:t>حكم ما لو طالب الوكيل من عليه الحق فقال</w:t>
      </w:r>
      <w:r>
        <w:rPr>
          <w:rtl w:val="true"/>
        </w:rPr>
        <w:t xml:space="preserve">: </w:t>
      </w:r>
      <w:r>
        <w:rPr>
          <w:rtl w:val="true"/>
        </w:rPr>
        <w:t>لا يستحق المطالبة</w:t>
      </w:r>
      <w:bookmarkEnd w:id="421"/>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طالب الوكيل مَنْ عليه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المطالبة، لم يلتفت إلى قوله؛ لتكذيبه بينة الوكالة، مع احتمال سماع دعواه ببينته؛ لأن نفي الاستحقاق أعم من تكذيب البيّنة؛ لاحتمال استناده إلى طروء العزل أو الإبراء له أو الأداء إلى الموكّل أو وكيل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إحدى هذه المذكورات، فإن أقام بيّنةً قُبلت بينته، وإلا توجه له اليمين على الوكيل بنفي العلم عن الإبراء أو العزل أو الأداء</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3425065_1280447820"/>
      <w:bookmarkStart w:id="423" w:name="_Toc151"/>
      <w:bookmarkEnd w:id="422"/>
      <w:r>
        <w:rPr>
          <w:rtl w:val="true"/>
        </w:rPr>
        <w:t>تاسع عشرها</w:t>
      </w:r>
      <w:r>
        <w:rPr>
          <w:rtl w:val="true"/>
        </w:rPr>
        <w:t xml:space="preserve">: </w:t>
      </w:r>
      <w:r>
        <w:rPr>
          <w:rtl w:val="true"/>
        </w:rPr>
        <w:t>في أنّه تقبل شهادة الوكيل على موكله ولموكله فيما لا ولاية له فيه</w:t>
      </w:r>
      <w:bookmarkEnd w:id="423"/>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الوكيل على موكله ولموكله فيما لا ولاية له فيه؛ لارتفاع التهمة عنه فيه، ولو كانت له ولاية رُدّت عليه، إلّا أن يعزله الموكّل قبل الشهادة، فلو عزله في أثنائها لم يقبل إلّا أن يعيد الخصم الدعوى جديداً فيعيد الوكيل الشهادة بعد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الوكيل بعد مخاصمة الغريم لم تُقبل شهادته قبل العزل أو بعده</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3425067_1280447820"/>
      <w:bookmarkStart w:id="425" w:name="_Toc152"/>
      <w:bookmarkEnd w:id="424"/>
      <w:r>
        <w:rPr>
          <w:rtl w:val="true"/>
        </w:rPr>
        <w:t>العشرون</w:t>
      </w:r>
      <w:r>
        <w:rPr>
          <w:rtl w:val="true"/>
        </w:rPr>
        <w:t xml:space="preserve">: </w:t>
      </w:r>
      <w:r>
        <w:rPr>
          <w:rtl w:val="true"/>
        </w:rPr>
        <w:t>حكم ما لو وكل شخصاً على قبض دينه فأخبره بقبضه وصدقه المديون</w:t>
      </w:r>
      <w:bookmarkEnd w:id="425"/>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شخصاً على قبض دَيْنه فأخبره بقبضه وصدقه المديون، حكم على الموكّل بالوفاء، فلو أنكر لم يُسمع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قول الموكّل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فلو ادّعى الوكيل تلفه بعد قبضه صُدّق قوله وبرئ المديون والوكيل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أمره ببيع سلعة وتسليمها وقبض ثمنها فتلف من دون تفريط فأخبره بذلك وصدقه المشتري على القبض حكم بتصديق قول الوكيل ولا يُلتفت إلى إنكار الموكّل؛ لادعائه حينئذٍ التفريط على الوكيل؛ حيث إنّه سلّم المبيع ولم يتسلّم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أذن له في تسليم المبيع دون أن يتسلّم الثمن، أو كان الثمن مؤجلاً، فلا فرق بين المسألتين، إلّا بانضمام دعوى التلف، فإنّ الوكيل مصدق فيه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بأن دعوى التلف بعد الاتفاق على وصول المال إليه لا كلام في تصديقه بها، وأما مع الشكّ بالوصول كما إذا ترتبت على دعوى القبض فلزوم تصديقه بها محلّ كلام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ويبرأ المشتري هنا من الثمن؛ لإقرار الوكيل بوصوله إليه ويده كيد الموكّل، مع احتمال </w:t>
      </w:r>
      <w:bookmarkStart w:id="426" w:name="pg19218_274067"/>
    </w:p>
    <w:p>
      <w:pPr>
        <w:pStyle w:val="BookText"/>
        <w:rPr/>
      </w:pPr>
      <w:bookmarkEnd w:id="426"/>
      <w:r>
        <w:rPr>
          <w:rFonts w:ascii="Amiri" w:hAnsi="Amiri" w:eastAsia="Amiri" w:cs="Amiri"/>
          <w:color w:val="111111"/>
          <w:sz w:val="28"/>
          <w:sz w:val="28"/>
          <w:szCs w:val="28"/>
          <w:rtl w:val="true"/>
          <w:lang w:bidi="ar-SA"/>
        </w:rPr>
        <w:t>أن إقراره مسموع في حقه فقط، فتتوجه الدعوى على المشتري حينئذٍ إلى أن يثبت إيصاله إلى الوكيل</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3425069_1280447820"/>
      <w:bookmarkStart w:id="428" w:name="_Toc153"/>
      <w:bookmarkEnd w:id="427"/>
      <w:r>
        <w:rPr>
          <w:rtl w:val="true"/>
        </w:rPr>
        <w:t>الواحد والعشرون</w:t>
      </w:r>
      <w:r>
        <w:rPr>
          <w:rtl w:val="true"/>
        </w:rPr>
        <w:t xml:space="preserve">: </w:t>
      </w:r>
      <w:r>
        <w:rPr>
          <w:rtl w:val="true"/>
        </w:rPr>
        <w:t>حكم ما إذا وكله في شراء عين فاشتراها فظهرت مستحقةً للغير بعد تلفها في يد الوكيل</w:t>
      </w:r>
      <w:bookmarkEnd w:id="428"/>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وكله في شراء عين فاشتراها فظهرت مستحقة للغير بعد أن تلفت في يد الوكيل فللمالك الخيار في مطالبة كلّ من البائع والموكّل، وكذا الوكيل؛ لأن يد الوكيل يد الموكّل، فقبضه منسوب إليه، فإن كان الوكيل جاهلاً رجع الوكيل على الموكّل وإلا فلا رجوع له للموكل؛ لأنّه لم يأذن له في قبض المغصوب، ولو أذن له فلا اعتبار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المالك لو رجع إلى البائع وكان البائع عالماً لم يرجع على الوكيل ولا على الموكّل إذا كانا جاهلين؛ لإقدام الوكيل على عدم الضمان؛ ولعدم استيلاء يد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عالمين رجع البائع بعد الرجوع عليه إلى الوكيل؛ لاستقرار الضمان عليه؛ لتلف المال بيده، ولا يرجع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كلّ من الوكيل والبائع والموكّل جاهلاً فرجع المالك إلى الوكيل، جاز للوكيل أن يرجع على البائع؛ لغروره من قبله وإلى الموكّل فإن رجع إلى البائع لم يرجع إلى الموكّل وإن رجع إلى الموكّل كان له الرجوع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يخص الرجوع إلى البائع بما زاد عن مقابلة الثمن للإقدام عليه من المشتري مجاناً فلا يغرمه بخلاف ما قابل الثمن، فإنّ الوكيل قد أقدم على أنّه مضمون على الموكّل وقد أرجع إليه ثمنه فلا يرجع الموكّل فيه على البائع، فإذا غرم الوكيل ما زاد للمالك وأرجع ثمن الموكّل رجع به على الموكّل؛ لأنّ يده يده، فهو مغرور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بين الوكيل على قبض عين خاصّة فظهرت مستحقّة للغير، وبين التوكيل على قبض المبيع، فعلى الأوّل للوكيل الرجوع إلى الموكّل، وعلى الثاني ليس 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فقرار الضمان على البائع بما زاد على الثمن</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الوقف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9218_274070"/>
      <w:bookmarkStart w:id="430" w:name="pg19218_274070"/>
      <w:bookmarkEnd w:id="430"/>
    </w:p>
    <w:p>
      <w:pPr>
        <w:pStyle w:val="Heading2"/>
        <w:numPr>
          <w:ilvl w:val="1"/>
          <w:numId w:val="1"/>
        </w:numPr>
        <w:rPr/>
      </w:pPr>
      <w:bookmarkStart w:id="431" w:name="pg19218_274070"/>
      <w:bookmarkStart w:id="432" w:name="__RefHeading___Toc13425071_1280447820"/>
      <w:bookmarkStart w:id="433" w:name="_Toc154"/>
      <w:bookmarkEnd w:id="431"/>
      <w:bookmarkEnd w:id="432"/>
      <w:r>
        <w:rPr>
          <w:rtl w:val="true"/>
        </w:rPr>
        <w:t>كتاب الوقف</w:t>
      </w:r>
      <w:bookmarkEnd w:id="433"/>
    </w:p>
    <w:p>
      <w:pPr>
        <w:pStyle w:val="Heading3"/>
        <w:numPr>
          <w:ilvl w:val="2"/>
          <w:numId w:val="1"/>
        </w:numPr>
        <w:rPr/>
      </w:pPr>
      <w:bookmarkStart w:id="434" w:name="__RefHeading___Toc13425073_1280447820"/>
      <w:bookmarkStart w:id="435" w:name="_Toc155"/>
      <w:bookmarkEnd w:id="434"/>
      <w:r>
        <w:rPr>
          <w:rtl w:val="true"/>
        </w:rPr>
        <w:t>تعريف الوقف لغة وشرعاً</w:t>
      </w:r>
      <w:bookmarkEnd w:id="435"/>
    </w:p>
    <w:p>
      <w:pPr>
        <w:pStyle w:val="BookText"/>
        <w:rPr/>
      </w:pPr>
      <w:r>
        <w:rPr>
          <w:rFonts w:ascii="Amiri" w:hAnsi="Amiri" w:eastAsia="Amiri" w:cs="Amiri"/>
          <w:color w:val="111111"/>
          <w:sz w:val="28"/>
          <w:sz w:val="28"/>
          <w:szCs w:val="28"/>
          <w:rtl w:val="true"/>
          <w:lang w:bidi="ar-SA"/>
        </w:rPr>
        <w:t>وهو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w:t>
      </w:r>
      <w:r>
        <w:rPr>
          <w:rStyle w:val="FootnoteAnchor"/>
          <w:rtl w:val="true"/>
        </w:rPr>
        <w:footnoteReference w:id="428"/>
      </w:r>
      <w:r>
        <w:rPr>
          <w:rFonts w:ascii="Amiri" w:hAnsi="Amiri" w:eastAsia="Amiri" w:cs="Amiri"/>
          <w:color w:val="111111"/>
          <w:sz w:val="28"/>
          <w:sz w:val="28"/>
          <w:szCs w:val="28"/>
          <w:rtl w:val="true"/>
          <w:lang w:bidi="ar-SA"/>
        </w:rPr>
        <w:t>، من الوقوف عند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الحقيقة الشرعيّة 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لحبس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بعلاقة الإطلاق والتقييد، أو الجزء والكلّ، واحتمال الوضع الابتدائي 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بتحبيس المال عن التصرّف فيه أو تحبيس صاحبه عن التصرّف في المال، أو للعقد الدال على ذلك، والأوّل أقرب للاستعمال، والثاني أقرب لظاهر كلام الفقهاء؛ لكثرة إطلاقهم أسماء العقود على نفس العقد، فيحتمل كونه حقيقةً في الأوّل والثاني معاً، ويحتمل كونه مجازاً شرعياً في الثاني وإن صار في لسان الفقهاء حقيقةً تشرعيّة، ولا يبعد أن وضعه للصحيح؛ إجراء لأسماء العبادات عليه، لأنّه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مشروع بالنص والإجماع، ويشمله عموم الكتاب </w:t>
      </w:r>
      <w:r>
        <w:rPr>
          <w:rStyle w:val="FootnoteAnchor"/>
          <w:rtl w:val="true"/>
        </w:rPr>
        <w:footnoteReference w:id="429"/>
      </w:r>
      <w:r>
        <w:rPr>
          <w:rFonts w:ascii="Amiri" w:hAnsi="Amiri" w:eastAsia="Amiri" w:cs="Amiri"/>
          <w:color w:val="111111"/>
          <w:sz w:val="28"/>
          <w:sz w:val="28"/>
          <w:szCs w:val="28"/>
          <w:rtl w:val="true"/>
          <w:lang w:bidi="ar-SA"/>
        </w:rPr>
        <w:t xml:space="preserve">والسنّة </w:t>
      </w:r>
      <w:r>
        <w:rPr>
          <w:rStyle w:val="FootnoteAnchor"/>
          <w:rtl w:val="true"/>
        </w:rPr>
        <w:footnoteReference w:id="430"/>
      </w:r>
      <w:r>
        <w:rPr>
          <w:rFonts w:ascii="Amiri" w:hAnsi="Amiri" w:eastAsia="Amiri" w:cs="Amiri"/>
          <w:color w:val="111111"/>
          <w:sz w:val="28"/>
          <w:sz w:val="28"/>
          <w:szCs w:val="28"/>
          <w:rtl w:val="true"/>
          <w:lang w:bidi="ar-SA"/>
        </w:rPr>
        <w:t>، وقد جرت عليه الشرائع السالفة والأمم السابقة في المساجد والبيع والكنائس وإن لم يُسمّ عندهم باسم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أقسام الصدقات الملحوظ فيها القربات، كما يظهر من الفتاوى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مقوماته الدوام على ممر الليالي والأيام، ومن ذاتيّاته كونه من الأعيان القابلة للانتفاع بها مع بقائها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ما ذكره الفقهاء من حدوده ليست حدوداً تامةً بحيث تكون مطردةً منعكسة، وإنّما هي رسوم وتعريف ببعض الخواص، كما عرفه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الصدقة الجارية </w:t>
      </w:r>
      <w:r>
        <w:rPr>
          <w:rStyle w:val="FootnoteAnchor"/>
          <w:rtl w:val="true"/>
        </w:rPr>
        <w:footnoteReference w:id="431"/>
      </w:r>
      <w:r>
        <w:rPr>
          <w:rFonts w:ascii="Amiri" w:hAnsi="Amiri" w:eastAsia="Amiri" w:cs="Amiri"/>
          <w:color w:val="111111"/>
          <w:sz w:val="28"/>
          <w:sz w:val="28"/>
          <w:szCs w:val="28"/>
          <w:rtl w:val="true"/>
          <w:lang w:bidi="ar-SA"/>
        </w:rPr>
        <w:t xml:space="preserve">، تبعاً لما </w:t>
      </w:r>
      <w:bookmarkStart w:id="436" w:name="pg19218_274071"/>
    </w:p>
    <w:p>
      <w:pPr>
        <w:pStyle w:val="BookText"/>
        <w:rPr/>
      </w:pPr>
      <w:bookmarkEnd w:id="436"/>
      <w:r>
        <w:rPr>
          <w:rFonts w:ascii="Amiri" w:hAnsi="Amiri" w:eastAsia="Amiri" w:cs="Amiri"/>
          <w:color w:val="111111"/>
          <w:sz w:val="28"/>
          <w:sz w:val="28"/>
          <w:szCs w:val="28"/>
          <w:rtl w:val="true"/>
          <w:lang w:bidi="ar-SA"/>
        </w:rPr>
        <w:t xml:space="preserve">ورد في الحديث من إطلاقها عليه </w:t>
      </w:r>
      <w:r>
        <w:rPr>
          <w:rStyle w:val="FootnoteAnchor"/>
          <w:rtl w:val="true"/>
        </w:rPr>
        <w:footnoteReference w:id="432"/>
      </w:r>
      <w:r>
        <w:rPr>
          <w:rFonts w:ascii="Amiri" w:hAnsi="Amiri" w:eastAsia="Amiri" w:cs="Amiri"/>
          <w:color w:val="111111"/>
          <w:sz w:val="28"/>
          <w:sz w:val="28"/>
          <w:szCs w:val="28"/>
          <w:rtl w:val="true"/>
          <w:lang w:bidi="ar-SA"/>
        </w:rPr>
        <w:t xml:space="preserve">، وهو صادق على الوصيّة بالصدقة على الدوام، وعلى نذرها كذلك، وعلى وقوعها على نحو لم تستكمل شرائط الوقف، وكما عرفه غيره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ثمرته تحبيس الأصل وإطلاق المنفعة</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أو نفس تحبيس الأصل وإطلاق المنفعة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يبدل الإطلاق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فيهما واحد تبعاً للحديث الوارد في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عن التصرّف فيه بأحد النواقل الناقلة له عن الجهة المحبوس عليها، 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إباحتها للجهة الموقوف عليها على أن يتصرّف فيها بأي أنواع التصرّف شاء، وهو غير مانع لصدقه على السكني وأخويها، فإن قيد بالدوام أو قلنا بظهور وصف الدوام منه كان غير جامع؛ لخروج منقطع الآخر عنه، ويدخل فيه أيضاً نذر الشيء على ذلك الحال أو الوصيّة به، بل يردّ عليه كلّ مال قد منع المالك من التصرّف بعينه وأجاز التصرّف بمنافعه ابتداءً أو بشرط في عقد لازم، وعلى كلّ حال فالأمر في الحدود سهل</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3425075_1280447820"/>
      <w:bookmarkStart w:id="438" w:name="_Toc156"/>
      <w:bookmarkEnd w:id="437"/>
      <w:r>
        <w:rPr>
          <w:rtl w:val="true"/>
        </w:rPr>
        <w:t>وهنا أُمور</w:t>
      </w:r>
      <w:r>
        <w:rPr>
          <w:rtl w:val="true"/>
        </w:rPr>
        <w:t>:</w:t>
      </w:r>
      <w:bookmarkEnd w:id="438"/>
    </w:p>
    <w:p>
      <w:pPr>
        <w:pStyle w:val="Heading4"/>
        <w:numPr>
          <w:ilvl w:val="3"/>
          <w:numId w:val="1"/>
        </w:numPr>
        <w:rPr/>
      </w:pPr>
      <w:bookmarkStart w:id="439" w:name="__RefHeading___Toc13425077_1280447820"/>
      <w:bookmarkStart w:id="440" w:name="_Toc157"/>
      <w:bookmarkEnd w:id="439"/>
      <w:r>
        <w:rPr>
          <w:rtl w:val="true"/>
        </w:rPr>
        <w:t>أحدها</w:t>
      </w:r>
      <w:r>
        <w:rPr>
          <w:rtl w:val="true"/>
        </w:rPr>
        <w:t xml:space="preserve">: </w:t>
      </w:r>
      <w:r>
        <w:rPr>
          <w:rtl w:val="true"/>
        </w:rPr>
        <w:t>في أنّ الوقف من العبادات ومن العقود اللازمة</w:t>
      </w:r>
      <w:bookmarkEnd w:id="44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فيه أمران توقيفيان لا يجوز التعدّي فيهما على غير المقطوع به من نص أو إجماع،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العبادات الخاصّة المشروط بها القربة، وكونه من العقود اللازمة، وحينئذٍ فيجري عليه ما يجري على أسماء العبادات الموضوعة للصحيح عند الشكّ في أجزائه وشرائطه وموانعه؛ لإجمال معناه وعدم بيانه على وجه الحقيقة، ويجري عليه ما يجري على العقود اللازمة من الشرائط المعتبرة في صيغته وفي المتعاقدين وفي غيرهما ممّا يشترط فيها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من العبادات المبينة، وإنّ اسمه ليست من الأسماء المجملة، بل هو من المطلقات يتمسك بإطلاقه عند الشكّ في صحّة فردٍ منه أو فساده؛ لأن المشكوك في </w:t>
      </w:r>
    </w:p>
    <w:p>
      <w:pPr>
        <w:pStyle w:val="BookText"/>
        <w:rPr/>
      </w:pPr>
      <w:r>
        <w:rPr>
          <w:rFonts w:ascii="Amiri" w:hAnsi="Amiri" w:eastAsia="Amiri" w:cs="Amiri"/>
          <w:color w:val="111111"/>
          <w:sz w:val="28"/>
          <w:sz w:val="28"/>
          <w:szCs w:val="28"/>
          <w:rtl w:val="true"/>
          <w:lang w:bidi="ar-SA"/>
        </w:rPr>
        <w:t>إطلاقه وإجماله مجمل، والمشكوك بأنّه من العبادات الخاصّة أو غيرها نجعله منها؛ لرجوع الشكّ إلى الجزئية إلى الشكّ في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العبادات؛ لفساده، كما يأتي </w:t>
      </w:r>
      <w:r>
        <w:rPr>
          <w:rStyle w:val="FootnoteAnchor"/>
          <w:rtl w:val="true"/>
        </w:rPr>
        <w:footnoteReference w:id="436"/>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العقود، بل هو من قبيل الإيقاعات الدالّة على نقل الملك عن المالك وجعله اللّه، فهو أشبه شيءٍ بالتحرير، فلا يفتقر إلى قبول ولا إلى إيجاب خاص؛ لأنّ المشكوك في كونه عقداً أو إيقاعاً فالأصل كونه عقداً؛ لرجوع الشكّ إلى نفس الماهية والأصل عدم تحققها، وفي عد الأصحاب الوقف من العقود ما يؤذن بكونه عقداً، ولأصالة بقاء الملك على مالكه إلّا بما يقطع بخروجه، وللإجماع المنقول على لزوم القبول مطلقاً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على عدم افتقاره إلى القبول بالأصل، وبخلق 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القبول مع كثرتها عموماً وخصوصاً في العام والخاص، ضعيف؛ لانقطاع الأصل بما ذكرناه، ولأن الأخبار مسوقة مساق الطوامير والحجج في إثبات الوقوف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مساق بيان الوقف ومشروعيته وصيغه، أو إنشاء الوقف فيها أو نحو ذلك؛ كي يتمسك بعدم ذكر القبول فيها وعدم ذكر صيغةٍ خاصّة للإيجاب على نفي اشتراط القبول واشتراط الصيغة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الوقف كالإباحة فيكفي فيه الإيجاب مصادرة على المطلوب، وممنوعة أيضاً في الوقف الخاص؛ لكونه نقلاً للملك، ولا يدخل الملك للمالك في الأسباب الاختيارية من 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فبطل بما ذكرنا قول من ادّعى استغناء الوقف عن ذكر القبول مطلقاً </w:t>
      </w:r>
      <w:r>
        <w:rPr>
          <w:rStyle w:val="FootnoteAnchor"/>
          <w:rtl w:val="true"/>
        </w:rPr>
        <w:footnoteReference w:id="438"/>
      </w:r>
      <w:r>
        <w:rPr>
          <w:rFonts w:ascii="Amiri" w:hAnsi="Amiri" w:eastAsia="Amiri" w:cs="Amiri"/>
          <w:color w:val="111111"/>
          <w:sz w:val="28"/>
          <w:sz w:val="28"/>
          <w:szCs w:val="28"/>
          <w:rtl w:val="true"/>
          <w:lang w:bidi="ar-SA"/>
        </w:rPr>
        <w:t xml:space="preserve">وقول مَن ادّعى استغناءه في الوقف العام فقط </w:t>
      </w:r>
      <w:r>
        <w:rPr>
          <w:rStyle w:val="FootnoteAnchor"/>
          <w:rtl w:val="true"/>
        </w:rPr>
        <w:footnoteReference w:id="439"/>
      </w:r>
      <w:r>
        <w:rPr>
          <w:rFonts w:ascii="Amiri" w:hAnsi="Amiri" w:eastAsia="Amiri" w:cs="Amiri"/>
          <w:color w:val="111111"/>
          <w:sz w:val="28"/>
          <w:sz w:val="28"/>
          <w:szCs w:val="28"/>
          <w:rtl w:val="true"/>
          <w:lang w:bidi="ar-SA"/>
        </w:rPr>
        <w:t>لأنّه كالتحرير دون الخاص، لأنّه كالتمليك، ولا يملك الشخص مال غيره قهراً في غير ما جعله الشارع سبباً، وكونه من تلك الأسباب ممنوع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الوقف الخاص حسن، وفي العام ضعيف</w:t>
      </w:r>
      <w:r>
        <w:rPr>
          <w:rFonts w:eastAsia="Amiri" w:cs="Amiri" w:ascii="Amiri" w:hAnsi="Amiri"/>
          <w:color w:val="111111"/>
          <w:sz w:val="28"/>
          <w:szCs w:val="28"/>
          <w:rtl w:val="true"/>
          <w:lang w:bidi="ar-SA"/>
        </w:rPr>
        <w:t xml:space="preserve">. </w:t>
      </w:r>
      <w:bookmarkStart w:id="441" w:name="pg19218_274073"/>
    </w:p>
    <w:p>
      <w:pPr>
        <w:pStyle w:val="BookText"/>
        <w:rPr/>
      </w:pPr>
      <w:bookmarkEnd w:id="441"/>
      <w:r>
        <w:rPr>
          <w:rFonts w:ascii="Amiri" w:hAnsi="Amiri" w:eastAsia="Amiri" w:cs="Amiri"/>
          <w:color w:val="111111"/>
          <w:sz w:val="28"/>
          <w:sz w:val="28"/>
          <w:szCs w:val="28"/>
          <w:rtl w:val="true"/>
          <w:lang w:bidi="ar-SA"/>
        </w:rPr>
        <w:t>وعلى اشتراط القبول فلا يشترط سوى قبول البطن الأوّل قطعاً؛ للاتفاق، والسيرة القطعية على ذلك،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البطن يتلقى من الواقف أو من الموقوف عليه، فمناقشة بعض المتأخرين </w:t>
      </w:r>
      <w:r>
        <w:rPr>
          <w:rStyle w:val="FootnoteAnchor"/>
          <w:rtl w:val="true"/>
        </w:rPr>
        <w:footnoteReference w:id="440"/>
      </w:r>
      <w:r>
        <w:rPr>
          <w:rFonts w:ascii="Amiri" w:hAnsi="Amiri" w:eastAsia="Amiri" w:cs="Amiri"/>
          <w:color w:val="111111"/>
          <w:sz w:val="28"/>
          <w:sz w:val="28"/>
          <w:szCs w:val="28"/>
          <w:rtl w:val="true"/>
          <w:lang w:bidi="ar-SA"/>
        </w:rPr>
        <w:t>في الحكم المذكور ليست في محلّها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ويتولى القبول في الوقف العام الناظر الشرعي، ب، كالحاكم وأمينه؛ لأنّه ولي الحقوق العامّة ووليّ أهاليها في القبض عنهم، والدفع إليهم في الزكوات والأخماس والنذور العامّة، فإن لم يوجد الحاكم تولّى ذلك أحد عدول المسلمين؛ لمكان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اخترناه فلا بدّ في الوقف من صيغةٍ لفظية صادرة من المالك نفسه، ولا يجزئ فيه الفضولي ؛ لمنافاة القربة له؛ لأنّها إن صدرت من العاقد فلا معنى لتقربه بمال شخص آخر سيما لو كان غاصباً، وإن صدرت من المالك حين الإجازة أشكل الحال فيه من جهة عدم المقارنة بين الصيغة وبينها فيحصل الشكّ في حصول سببية الوقف؛ في حصول سببية الوقف؛ للشكّ في كفاية القربة المتأخرة، وإن صدرت من المالك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لها وجه صحّة تنزيلاً لها منزلة الوكالة في الوقف؛ لبعد اشتراط كون الصيغة والقربة من فاعل واحد، بل هو أولى بالصحّة من وقف الوكيل؛ لتولّي القربة هنا من المالك بنفسه، ولا ينافيه تولّي العقد من غيره؛ لأن شأن العقد ذلك، بخلاف ما لو تولّى القربة غير المالك، فإنّه إن تقرب بنفسه فلا معنى له، وإن تقرب عن المالك احتاج تعقل ذلك وصحته إلى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الأصحاب والسيرة عدم منع التوكيل فيما شرط صحّته القربة حال الدفع في خمس أو زكاة أو صدقةٍ أو وقف، وإنّ حكمه حكم النيابة في العبادات البدنية وإن كان بينهما فرق من جهة</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3425079_1280447820"/>
      <w:bookmarkStart w:id="443" w:name="_Toc158"/>
      <w:bookmarkEnd w:id="442"/>
      <w:r>
        <w:rPr>
          <w:rtl w:val="true"/>
        </w:rPr>
        <w:t>ثانيها</w:t>
      </w:r>
      <w:r>
        <w:rPr>
          <w:rtl w:val="true"/>
        </w:rPr>
        <w:t xml:space="preserve">: </w:t>
      </w:r>
      <w:r>
        <w:rPr>
          <w:rtl w:val="true"/>
        </w:rPr>
        <w:t>في أنّه لا يكفي في الوقف الفعل في إيجاب أو قبول</w:t>
      </w:r>
      <w:bookmarkEnd w:id="44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الوقف الفعلُ في إيجاب أو قبول في خاص أو عام، معاطاةً كان الفعل أو غيرها، إلّا فيما كان فعله بمنزلة قوله كالأخرس وجواز المعاطاة في عقود المعاوضات لا يستلزم جوازها ها هنا؛ لأنّ الوقف من العقود المجانية، ومن أقسام العبادات التوقيفية المفتقرة إلى الأخذ بالمقطوع به، فما يوضع اليوم في المساجد أو الحضرات من فرش وأسباب </w:t>
      </w:r>
    </w:p>
    <w:p>
      <w:pPr>
        <w:pStyle w:val="BookText"/>
        <w:rPr/>
      </w:pPr>
      <w:r>
        <w:rPr>
          <w:rFonts w:ascii="Amiri" w:hAnsi="Amiri" w:eastAsia="Amiri" w:cs="Amiri"/>
          <w:color w:val="111111"/>
          <w:sz w:val="28"/>
          <w:sz w:val="28"/>
          <w:szCs w:val="28"/>
          <w:rtl w:val="true"/>
          <w:lang w:bidi="ar-SA"/>
        </w:rPr>
        <w:t>وأسلحة أو بناء، أو ما يبنى من الخانات والرباطات والمدارس من دون التلفظ بصيغة الوقف ليس وقفاً؛ لعدم الإيجاب القولي فيها، وعدم القبول فيها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كفاية الإيجاب الفعلي فيها، وكفاية القبول الفعلي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غير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صلاة واحدٍ من المسلمين، أو عبور واحدٍ منهم على القنطرة، أو دخول واحدٍ منهم إلى الخان، بعيد لا وجه له، ومخالف للضوابط وارتكابه ليس بأولى من ارتكاب أن ما نفذ من المالك إلى جهة عامة وتحقق الإعراض عنه لها انصرف إليها، وخرج عن ملكه بحكم الشارع؛ لدلالة السيرة القطعية عليه، ولاستمرار عمل المسلمين على ذلك، وعدم إجراء حكم الأملاك على ذلك من مواريث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فارتكاب أنّه وقف ارتكاب أمر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واكتفى بعض المحقّقين </w:t>
      </w:r>
      <w:r>
        <w:rPr>
          <w:rStyle w:val="FootnoteAnchor"/>
          <w:rtl w:val="true"/>
        </w:rPr>
        <w:footnoteReference w:id="441"/>
      </w:r>
      <w:r>
        <w:rPr>
          <w:rFonts w:ascii="Amiri" w:hAnsi="Amiri" w:eastAsia="Amiri" w:cs="Amiri"/>
          <w:color w:val="111111"/>
          <w:sz w:val="28"/>
          <w:sz w:val="28"/>
          <w:szCs w:val="28"/>
          <w:rtl w:val="true"/>
          <w:lang w:bidi="ar-SA"/>
        </w:rPr>
        <w:t xml:space="preserve">بالقبول الفعلي في الوقف العام دون الإيجاب؛ بناءً على اشتراط القبول، وبعضهم </w:t>
      </w:r>
      <w:r>
        <w:rPr>
          <w:rStyle w:val="FootnoteAnchor"/>
          <w:rtl w:val="true"/>
        </w:rPr>
        <w:footnoteReference w:id="442"/>
      </w:r>
      <w:r>
        <w:rPr>
          <w:rFonts w:ascii="Amiri" w:hAnsi="Amiri" w:eastAsia="Amiri" w:cs="Amiri"/>
          <w:color w:val="111111"/>
          <w:sz w:val="28"/>
          <w:sz w:val="28"/>
          <w:szCs w:val="28"/>
          <w:rtl w:val="true"/>
          <w:lang w:bidi="ar-SA"/>
        </w:rPr>
        <w:t>اكتفى بالقبول الفعلي حتّى في الوقف الخاص، وكلاهما مخالف للقواعد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والعاجز عن النطق تكفيه الإشارة وإن تمكن من التوكيل، والأحوط التوكيل، والعاجز عن الإشارة تكفيه الكتابة مع التمكن من التوكيل، ومع التمكن فالأحوط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صدور الصيغة على وجه محلل، فلو صدرت بلسان مغصوب أو على نحو محرم كغناء ونحوه فسد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صدرت في مكانٍ مغصوب، ففي الصحّة والفساد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الصيغة بلفظ عربي لعربي أو عجمي، والاكتفاء بها للعجمي مطلقاً لا يخلو من وجه، ومع عدم إمكان العربي فلا بأس بالعجمي وإن أمكن التوكيل، والأحوط الاقتصار على الجواز مع 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اختص العجز أو الفارسية أو عدم القدرة على النطق بجانب دون آخر، جرى على كل منهما حكمه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الصيغة العربية في البنية؛ اقتصاراً على مورد اليقين، إلّا مع العجز فجوازه غير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يبعد اشتراط عدم اللحن في الإعراب للاحتياط، إلّا أن عدم اشتراطه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الإيجاب والقبول الترتيب وعدم الفصل المخلّ بينهما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فعليتهما مع قصد الإنشاء، فلا تكفي الجملة الاسمية وإن كانت أقوى في الإنشاء، وإجزاؤها في الرهن للدليل أو لشبهه بالعقود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فيهما الماضوية، فلا يجزئ الأمر والمستقبل، وإجزاؤهما في النكاح والمزارعة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الصيغة الصراحة بحيث يدخل الوقف في مدلولها، أو تدخل في مدلوله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والصريح هو الموضوع له مطابقةً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لغة شاذة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الإيجاب،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القبول، أو الموضوع للأعمّ القريب من الخاص المستعمل فيه مع القرينة على إرادته منه،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الإيجاب،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القبول، أو الموضوع على جهة الاشتراك اللفظي مع القرينة، أو الموضوع للأخص إذا كان استعماله فيه استعمالاً شائعاً، وكذا الموضوع لمعنى آخر يقارب معناه وكان استعماله فيه غير بعيد، كـ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نصب القرينة على إرادة ذلك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يشترط التلفظ في القرائن، أو تكفي قرائن الأحوال؟ وجهان، 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بالألفاظ البعيدة عن الاستعمال وإن اقترنت بالقرائن الدالّة على المقصود؛ للشكّ في حصول النقل فيها، ولإعراض الأصحاب عن الحكم بجوازها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يفتقر عقد الوقف معه إلى قرينة، بل يُحكم على مَنْ صدرت منه بالوقف، إلّا إذا لم يقصد معناها، وغيرها من الألفاظ المقاربة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ينكر استعمالها فيها في الأخبار وفي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الحكم في الوقف معها إلى قرينة مصرحة بذلك، ومع عدمها يحتمل الحكم عليه باطناً بالوقف لو نواه وإن لم يحكم عليه ظاهراً، ويحتمل عدم الحكم عليه ظاهراً وباطناً؛ للشكّ في سببية مثل ذلك عند تجرده عن القرينة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الألفاظ البعيدة كـ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إيجاب وقبول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يُحكم عليها بالوقف، لا مع القرينة ولا بدونها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وللأصحاب هنا كلام مختلف فمنهم مَنْ جعل الصريح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ونقل عليه الإجماع، وجعل غيره موقوفاً على </w:t>
      </w:r>
    </w:p>
    <w:p>
      <w:pPr>
        <w:pStyle w:val="BookText"/>
        <w:rPr/>
      </w:pPr>
      <w:r>
        <w:rPr>
          <w:rFonts w:ascii="Amiri" w:hAnsi="Amiri" w:eastAsia="Amiri" w:cs="Amiri"/>
          <w:color w:val="111111"/>
          <w:sz w:val="28"/>
          <w:sz w:val="28"/>
          <w:szCs w:val="28"/>
          <w:rtl w:val="true"/>
          <w:lang w:bidi="ar-SA"/>
        </w:rPr>
        <w:t xml:space="preserve">القرينة، ونقل الإجماع على 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القرينة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يفتقر إلى قرينة ؛ لاستعمالهما في العرف مجرّدين، ولورودهما في الأخبار </w:t>
      </w:r>
      <w:r>
        <w:rPr>
          <w:rStyle w:val="FootnoteAnchor"/>
          <w:rtl w:val="true"/>
        </w:rPr>
        <w:footnoteReference w:id="444"/>
      </w:r>
      <w:r>
        <w:rPr>
          <w:rFonts w:ascii="Amiri" w:hAnsi="Amiri" w:eastAsia="Amiri" w:cs="Amiri"/>
          <w:color w:val="111111"/>
          <w:sz w:val="28"/>
          <w:sz w:val="28"/>
          <w:szCs w:val="28"/>
          <w:rtl w:val="true"/>
          <w:lang w:bidi="ar-SA"/>
        </w:rPr>
        <w:t>كذلك</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جعلهما مفتقرين إلى القرينة؛ لأنّ الاستعمال أعم من الحقيقة والمجاز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اجتماعهما في مورد واحد صريح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منهم مَنْ يظهر منه أنّ القرينة المصححة لا بدّ فيها من لفظ،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مؤبدة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حبستها تحبيساً لا بيع بعده ولا هبة ولا نقل ولا انتقال</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يظهر منه الإطلاق في القرينة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يظهر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في صيغة الوقف من دون انضمام قرينة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يظهر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تعلّقت بجهةٍ عامة كانت من الصريح، وإلا فمن غير الصريح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يظهر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واحدة فلا تغني الثانية عن الأُولى، وتغني الأولى مع القرينة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يظهر منه أنّ غير الصريح يجزئ في الوقف باطناً ويدان الواقف بنيته ويُصدق قوله فيه؛ لأنّه أبصر بنيته، وهو أمر لا يُعلم إلّا من قبله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444" w:name="pg19218_274077"/>
    </w:p>
    <w:p>
      <w:pPr>
        <w:pStyle w:val="BookText"/>
        <w:rPr/>
      </w:pPr>
      <w:bookmarkEnd w:id="444"/>
      <w:r>
        <w:rPr>
          <w:rFonts w:ascii="Amiri" w:hAnsi="Amiri" w:eastAsia="Amiri" w:cs="Amiri"/>
          <w:color w:val="111111"/>
          <w:sz w:val="28"/>
          <w:sz w:val="28"/>
          <w:szCs w:val="28"/>
          <w:rtl w:val="true"/>
          <w:lang w:bidi="ar-SA"/>
        </w:rPr>
        <w:t xml:space="preserve">ويظهر من آخرين أن انضمام القرينة شرط في الصحّة والإجزاء </w:t>
      </w:r>
      <w:r>
        <w:rPr>
          <w:rStyle w:val="FootnoteAnchor"/>
          <w:rtl w:val="true"/>
        </w:rPr>
        <w:footnoteReference w:id="453"/>
      </w:r>
      <w:r>
        <w:rPr>
          <w:rFonts w:ascii="Amiri" w:hAnsi="Amiri" w:eastAsia="Amiri" w:cs="Amiri"/>
          <w:color w:val="111111"/>
          <w:sz w:val="28"/>
          <w:sz w:val="28"/>
          <w:szCs w:val="28"/>
          <w:rtl w:val="true"/>
          <w:lang w:bidi="ar-SA"/>
        </w:rPr>
        <w:t>لأصالة عدم نفوذ المشكوك في تأثيره وصحته والعقود اللازمة والعبادات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الركون إلى الاقتصار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لاستعمالهما في </w:t>
      </w:r>
      <w:r>
        <w:rPr>
          <w:rStyle w:val="FootnoteAnchor"/>
          <w:rtl w:val="true"/>
        </w:rPr>
        <w:footnoteReference w:id="454"/>
      </w:r>
      <w:r>
        <w:rPr>
          <w:rFonts w:ascii="IRNazanin" w:hAnsi="IRNazanin" w:eastAsia="IRNazanin"/>
          <w:color w:val="111111"/>
          <w:sz w:val="28"/>
          <w:sz w:val="28"/>
          <w:szCs w:val="28"/>
          <w:rtl w:val="true"/>
          <w:lang w:bidi="fa-IR"/>
        </w:rPr>
        <w:t xml:space="preserve">الأخبار </w:t>
      </w:r>
      <w:r>
        <w:rPr>
          <w:rStyle w:val="FootnoteAnchor"/>
          <w:rtl w:val="true"/>
        </w:rPr>
        <w:footnoteReference w:id="455"/>
      </w:r>
      <w:r>
        <w:rPr>
          <w:rFonts w:ascii="Amiri" w:hAnsi="Amiri" w:eastAsia="Amiri" w:cs="Amiri"/>
          <w:color w:val="111111"/>
          <w:sz w:val="28"/>
          <w:sz w:val="28"/>
          <w:szCs w:val="28"/>
          <w:rtl w:val="true"/>
          <w:lang w:bidi="ar-SA"/>
        </w:rPr>
        <w:t xml:space="preserve">دون غيرهما، ولا سيما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الجملة الاسمية، وجعل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في النظر ما تقدّم ذكره</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3425081_1280447820"/>
      <w:bookmarkStart w:id="446" w:name="_Toc159"/>
      <w:bookmarkEnd w:id="445"/>
      <w:r>
        <w:rPr>
          <w:rtl w:val="true"/>
        </w:rPr>
        <w:t>ثالثها</w:t>
      </w:r>
      <w:r>
        <w:rPr>
          <w:rtl w:val="true"/>
        </w:rPr>
        <w:t xml:space="preserve">: </w:t>
      </w:r>
      <w:r>
        <w:rPr>
          <w:rtl w:val="true"/>
        </w:rPr>
        <w:t>في بيان ما يشترط في الصيغة</w:t>
      </w:r>
      <w:bookmarkEnd w:id="446"/>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الصيغة قصد لفظها بعينه، فلو أتى بصيغ متعددة وقصد التأثير بأحدها لا بعينه فالأظهر الفساد، ولو قصد التأثير بالجميع صحّ في الأوّل ولغا الباقي، ولو قصد التأثير في المجموع ففي الصحّة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صدر منه لفظ من غير قصدٍ لغلط أو ذهول أو دهشة لم يكن له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لفظاً فغلط بغيره وإن كان مرادفاً له، فالأقوى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كرّر اللفظ غير قاصد بواحدٍ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الوسواسية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بحكم غير القاصد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مقارنتها لقصد الإنشاء، فلو قصد الإخبار بطل، وكذا لو ردّد بين الإخبار والإنشاء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قصد معناها المطلوب من وقف أو حبس أو غيرهما، ولا يفتقر إلى معرفة التفصيل، فلو لم يقصد ذلك أو ردّد في قصده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قصد التأثير بها بما يريده من الأثر، فلو لم يقصد التأثير أو ردّد في قصده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استمرار هذه القصود إلى تمام العقد في كلّ من الإيجاب والقبول، فلو علم الموجب خلو القابل من أحدها أو العكس بطل، ويكفي في الحكم بوجودها التمسك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صدور هذه القصود عن اختيار من دون تقيّةٍ أو خوف وإن لم تبلغ حد الإلجاء</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المزيل للقصد بالكلية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وجود كلّ من الموجب والقابل ساعة العقد في مجلس الآخر، فلو أوجب والقابل غير حاضر فحضر بعد الإيجاب بلا فصل فقيل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سماع كلّ منهما لما يصدر من الآخر، فلا يكفي مجرّد العلم بوقوعه على الأوجه، ولو لم يمكن أحدهما السماع كفى إفهامه وإعلامه بوقوع الصيغة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يشترط قصد الإسماع والإفهام من كلّ منهما لكلِّ منهما،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تعيين كلّ من الموجب والقابل عند الآخر بالاسم أو الإشارة، فلو قصد أحدهما أو قصد مبهماً أو ردّد في قصده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تعيين المنوب عنه لو صدرت الصيغة من وليّ أو وكيل، فلو قصد واحداً لا بعينه من المولّى عليهم أو الموكّلين أو ردّد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الجزم بوقوع الأثر في وجه قويّ، فلو عقدا مع الشكّ في حصول الشرائط حين العقد ولكنّهما وطنا أنفسهما على حصولها فبان حصولها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عقد الوقف؛ لمكان القربة والأقوى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المتعاقدين البلوغ والعقل والرشد والاختيار مستمرّةً من ابتداء الإيجاب إلى انتهاء القبول لكلِّ منهما، حتّى لو عقد البالغ على غير البالغ فبلغ عند قبوله بطل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في عروض الجنون يبنى على عدمه، وفي عروض البلوغ يبنى على عدمه، فلو صدر عقد ممّن تلبس بوصف مبطل له فشكّ في زواله حين العقد بني على فساد العقد، ولا يجري 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حصل الشكّ عند التلبس بالعقد، ولو حصل بعد الدخول في عمل آخر احتمل البناء على الصحّة؛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وقد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صدر منه حال عقل أو جنون ولم يعلم السابق واللاحق وصدر منه عقد أيضاً ولم يعلم وقته، بني على أصل الصحّة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علم زمان الجنون ولم يعلم زمن العقد، حكم بفساده على الأظهر، وإن كان العكس حكم بصحّته</w:t>
      </w:r>
      <w:r>
        <w:rPr>
          <w:rFonts w:eastAsia="Amiri" w:cs="Amiri" w:ascii="Amiri" w:hAnsi="Amiri"/>
          <w:color w:val="111111"/>
          <w:sz w:val="28"/>
          <w:szCs w:val="28"/>
          <w:rtl w:val="true"/>
          <w:lang w:bidi="ar-SA"/>
        </w:rPr>
        <w:t xml:space="preserve">. </w:t>
      </w:r>
      <w:bookmarkStart w:id="447" w:name="pg19218_274079"/>
    </w:p>
    <w:p>
      <w:pPr>
        <w:pStyle w:val="BookText"/>
        <w:rPr/>
      </w:pPr>
      <w:bookmarkEnd w:id="447"/>
      <w:r>
        <w:rPr>
          <w:rFonts w:ascii="Amiri" w:hAnsi="Amiri" w:eastAsia="Amiri" w:cs="Amiri"/>
          <w:color w:val="111111"/>
          <w:sz w:val="28"/>
          <w:sz w:val="28"/>
          <w:szCs w:val="28"/>
          <w:rtl w:val="true"/>
          <w:lang w:bidi="ar-SA"/>
        </w:rPr>
        <w:t>ولو علم وقوعهما وشكّ في السابق واللاحق قام احتمال الصحّة والفساد، واحتمال الصحّة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علمنا بوقوع العقد والبلوغ وشككنا في السابق، ففيه الوجهان، واحتمال الصحّة هو الأقوى، سيما إذا وقع الشكّ بعد الفراغ والدخول في عمل آخر؛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وقد دخلت في غيره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يناقش في الحكم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الصحّة لا تحكم على وجود الشرط المشكوك في وجوده؛ لأصالة عدمه، ولعدم قيام دليل يقوّي تقديم أصل الصحّة على أصالة عدم إحراز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تحكم على عدم وجود المفسد، وعدم طروء المانع من جنون أو سفه أو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ويناقش في الرواية بظهورها في أجزاء العبادة الواردة في سياقها كما يساعدها الفتوى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التعدّي عن الظاهر وإن كان خصوص المورد لا يخصص الوارد</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3425083_1280447820"/>
      <w:bookmarkStart w:id="449" w:name="_Toc160"/>
      <w:bookmarkEnd w:id="448"/>
      <w:r>
        <w:rPr>
          <w:rtl w:val="true"/>
        </w:rPr>
        <w:t>رابعها</w:t>
      </w:r>
      <w:r>
        <w:rPr>
          <w:rtl w:val="true"/>
        </w:rPr>
        <w:t xml:space="preserve">: </w:t>
      </w:r>
      <w:r>
        <w:rPr>
          <w:rtl w:val="true"/>
        </w:rPr>
        <w:t>اشتراط القربة في صحّة الوقف</w:t>
      </w:r>
      <w:bookmarkEnd w:id="449"/>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الوقف القربة، بمعنى إيقاع الفعل لوجهه تعالى، ولا حاجة إلى نيّة الوجه كالندب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اقترانها بابتداء الصيغة واستمرار حكمها إلى آخر الإيجاب، والأحوط إلى آخر القبول، ويتولاها المباشر 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جواز توليها من الأصيل وجواز تولّي الصيغة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حالها في الفضولي وسيّما لو كان غاصباً، إلّا أن يكتفى بالنيّة الصورية الحاصلة منه، أو بالنيّة المقارنة للإجازة، وكلاهما جوازه محلّ نظرٍ وتأمل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اشتراطها ظواهر الأخبار </w:t>
      </w:r>
      <w:r>
        <w:rPr>
          <w:rStyle w:val="FootnoteAnchor"/>
          <w:rtl w:val="true"/>
        </w:rPr>
        <w:footnoteReference w:id="458"/>
      </w:r>
      <w:r>
        <w:rPr>
          <w:rFonts w:ascii="Amiri" w:hAnsi="Amiri" w:eastAsia="Amiri" w:cs="Amiri"/>
          <w:color w:val="111111"/>
          <w:sz w:val="28"/>
          <w:sz w:val="28"/>
          <w:szCs w:val="28"/>
          <w:rtl w:val="true"/>
          <w:lang w:bidi="ar-SA"/>
        </w:rPr>
        <w:t xml:space="preserve">المشعرة بأنّ الوقف اللّه، وأنّه يراد به وجهه وفي جملة من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الوقف بذلك </w:t>
      </w:r>
      <w:r>
        <w:rPr>
          <w:rStyle w:val="FootnoteAnchor"/>
          <w:rtl w:val="true"/>
        </w:rPr>
        <w:footnoteReference w:id="459"/>
      </w:r>
      <w:r>
        <w:rPr>
          <w:rFonts w:ascii="Amiri" w:hAnsi="Amiri" w:eastAsia="Amiri" w:cs="Amiri"/>
          <w:color w:val="111111"/>
          <w:sz w:val="28"/>
          <w:sz w:val="28"/>
          <w:szCs w:val="28"/>
          <w:rtl w:val="true"/>
          <w:lang w:bidi="ar-SA"/>
        </w:rPr>
        <w:t xml:space="preserve">، ولو أنّ الوقف كسائر العقود والأفعال الصادرة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صلح التعليل في خصوص الوقف دون غيره؛ لأن أفعالهم كلها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تصدر عنهم عن محض التقرب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القربة أمراً قلبيّاً فما الحاجة إلى ذكرها في اللفظ في تلك الأخبار؟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فائدتها بيان تأكيد الصحّة؛ تحرّزاً عن شبهة الوقف الفاسد، 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وقفاً مؤبداً لا يباع ولا يوهب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اشتراط القربة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ولا عتق إلّا ما أُريد به وجه اللّه تعالى</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وظاهر النفي نفي الصحّة؛ لأنّه الأقرب إلى نفي الذات، مع احتمال إرادة نفي الذات، كما أنّ الظاهر بل المقطوع به 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الشارع للوقف على سبيل الحقيقة؛ لاستعمالها في وقوف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على الإطلاق من دون نصب قرينة، وما تضمنته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ظاهر في كونه من القرائن المعينة لأحد فردي القدر المشترك، لا صارفة عن المعنى الحقيقي، ولئن سُلّم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مجازاً في الوقف لكان إطلاقها عليه من الاستعارة والتشبيه القاضيين بسريان حكم المستعار للمستعار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أنّ ما يُشكّ في كونه عبادةً بالمعنى الأخص أم لا فالأصل يقضي بأنّه عبادة بالمعنى الأخص؛ لرجوع الشكّ فيه إلى الجزئية الراجع إلى الشكّ في تحقق الماهية؛ لأنّ القربة جزء من العبادة بالمعنى الأخصّ</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الوقف معلوم المعنى وأنّه من العقود فالمشكوك في شرطيته ينفي بالأصل لإحراز صدق اسمه وإحراز كونه عقداً، فيشمله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والأصل عدم اشتراط شيءٍ آخر يدعيه الخصم، مردودة بمنع كون الوقف معلوم المعنى، بل هو مصادرة محضة، ومنع كونه عقداً، فلعله من الموضوعات الشرعيّة التي من جملة أجزائها العقد وليست نفس العقد على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يراد به العقود والشروط المعهودة، وكون الوقف الخالي عن القربة منها أوّل البحث، ولا يمكن إبقاء عمومها على حقيقته بعد أن علمنا أنّ الداخل مستهلك في جنب الخارج، وأنّ فقهاءنا قد أعرضوا عن عمومها، فلا بدّ من حملها على العهد، أو رميها بالإجمال، فيسقط بها في غير المعهود الاستدلال</w:t>
      </w:r>
      <w:r>
        <w:rPr>
          <w:rFonts w:eastAsia="Amiri" w:cs="Amiri" w:ascii="Amiri" w:hAnsi="Amiri"/>
          <w:color w:val="111111"/>
          <w:sz w:val="28"/>
          <w:szCs w:val="28"/>
          <w:rtl w:val="true"/>
          <w:lang w:bidi="ar-SA"/>
        </w:rPr>
        <w:t xml:space="preserve">. </w:t>
      </w:r>
      <w:bookmarkStart w:id="450" w:name="pg19218_274081"/>
    </w:p>
    <w:p>
      <w:pPr>
        <w:pStyle w:val="BookText"/>
        <w:rPr/>
      </w:pPr>
      <w:bookmarkEnd w:id="450"/>
      <w:r>
        <w:rPr>
          <w:rFonts w:ascii="Amiri" w:hAnsi="Amiri" w:eastAsia="Amiri" w:cs="Amiri"/>
          <w:color w:val="111111"/>
          <w:sz w:val="28"/>
          <w:sz w:val="28"/>
          <w:szCs w:val="28"/>
          <w:rtl w:val="true"/>
          <w:lang w:bidi="ar-SA"/>
        </w:rPr>
        <w:t xml:space="preserve">ويدلّ أيضاً على اشتراط القربة الإجماعُ المنقول على لسان الفحول </w:t>
      </w:r>
      <w:r>
        <w:rPr>
          <w:rStyle w:val="FootnoteAnchor"/>
          <w:rtl w:val="true"/>
        </w:rPr>
        <w:footnoteReference w:id="465"/>
      </w:r>
      <w:r>
        <w:rPr>
          <w:rFonts w:ascii="Amiri" w:hAnsi="Amiri" w:eastAsia="Amiri" w:cs="Amiri"/>
          <w:color w:val="111111"/>
          <w:sz w:val="28"/>
          <w:sz w:val="28"/>
          <w:szCs w:val="28"/>
          <w:rtl w:val="true"/>
          <w:lang w:bidi="ar-SA"/>
        </w:rPr>
        <w:t>، المؤيد بفتوى الأعاظم وبالاحتياط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يتجه الردّ على مَنْ نفي اشتراط القربة </w:t>
      </w:r>
      <w:r>
        <w:rPr>
          <w:rStyle w:val="FootnoteAnchor"/>
          <w:rtl w:val="true"/>
        </w:rPr>
        <w:footnoteReference w:id="466"/>
      </w:r>
      <w:r>
        <w:rPr>
          <w:rFonts w:ascii="Amiri" w:hAnsi="Amiri" w:eastAsia="Amiri" w:cs="Amiri"/>
          <w:color w:val="111111"/>
          <w:sz w:val="28"/>
          <w:sz w:val="28"/>
          <w:szCs w:val="28"/>
          <w:rtl w:val="true"/>
          <w:lang w:bidi="ar-SA"/>
        </w:rPr>
        <w:t xml:space="preserve">مستنداً للأصل، ولإطلاق أدلة الوقف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فالمشكوك في شرطيته منفي بالإطلاق، ويظهر ضعفه ممّا ذكرنا</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3425085_1280447820"/>
      <w:bookmarkStart w:id="452" w:name="_Toc161"/>
      <w:bookmarkEnd w:id="451"/>
      <w:r>
        <w:rPr>
          <w:rtl w:val="true"/>
        </w:rPr>
        <w:t xml:space="preserve">خامسها </w:t>
      </w:r>
      <w:r>
        <w:rPr>
          <w:rtl w:val="true"/>
        </w:rPr>
        <w:t xml:space="preserve">: </w:t>
      </w:r>
      <w:r>
        <w:rPr>
          <w:rtl w:val="true"/>
        </w:rPr>
        <w:t>اشتراط الدوام في صيغة الوقف</w:t>
      </w:r>
      <w:bookmarkEnd w:id="452"/>
    </w:p>
    <w:p>
      <w:pPr>
        <w:pStyle w:val="Heading5"/>
        <w:numPr>
          <w:ilvl w:val="4"/>
          <w:numId w:val="1"/>
        </w:numPr>
        <w:rPr/>
      </w:pPr>
      <w:bookmarkStart w:id="453" w:name="__RefHeading___Toc13425087_1280447820"/>
      <w:bookmarkStart w:id="454" w:name="_Toc162"/>
      <w:bookmarkEnd w:id="453"/>
      <w:r>
        <w:rPr>
          <w:rtl w:val="true"/>
        </w:rPr>
        <w:t>إشارة</w:t>
      </w:r>
      <w:r>
        <w:rPr>
          <w:rtl w:val="true"/>
        </w:rPr>
        <w:t>:</w:t>
      </w:r>
      <w:bookmarkEnd w:id="454"/>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صيغة الوقف الدوام، بمعنى أن لا يوقت إلى وقت معلوم أو مجهول وينقطع عليها، إمّا لو وقف على أشخاص سنة أو أكثر ثمّ من بعده على المساكين احتملت صحته، ونقل الإجماع على جواز مثله في التذكرة </w:t>
      </w:r>
      <w:r>
        <w:rPr>
          <w:rStyle w:val="FootnoteAnchor"/>
          <w:rtl w:val="true"/>
        </w:rPr>
        <w:footnoteReference w:id="468"/>
      </w:r>
      <w:r>
        <w:rPr>
          <w:rFonts w:ascii="IRNazanin" w:hAnsi="IRNazanin" w:eastAsia="IRNazanin"/>
          <w:color w:val="111111"/>
          <w:sz w:val="28"/>
          <w:sz w:val="28"/>
          <w:szCs w:val="28"/>
          <w:rtl w:val="true"/>
          <w:lang w:bidi="fa-IR"/>
        </w:rPr>
        <w:t>، وهو محل نظر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بتحديده إلى يوم القيامة، أو النفخ في الصور، أو إلى أن يرث اللّه تعالى الأرض ومَنْ عليها؛ لأنّه من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وشبههما، بل يكفي عدم ذكر التحديد، كما يظهر من إطلاقاتهم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اقترانه بمدةٍ يعلم زيادتها على بقاء المال الموقوف، أو لا يجوز؟ والأظهر عدم الجواز؛ لظاهر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يشترط الدوام بنفس الصيغة يشترط الدوام بنفس الموقوف عليه، بمعنى كونه ممّا يدوم ولا ينقرض غالباً، سواء كان لا ينقرض بمرتبة واحدة أو بمراتب متعددة لا تنقرض جميعها، أو لا ينقرض أخيرها، أو لا ينقرض أوّلها أو 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يشترط الدوام في الموقوف عليه يشترط الدوام بنفس الموقوف، بمعنى أن لا يكون مبنى الانتفاع به علی اضمحلاله، كالدهن والشمع والمأكول والمشروب لو كان الوقف فيها على تلك الجهة</w:t>
      </w:r>
      <w:r>
        <w:rPr>
          <w:rFonts w:eastAsia="IRNazanin" w:cs="IRNazanin"/>
          <w:color w:val="111111"/>
          <w:sz w:val="28"/>
          <w:szCs w:val="28"/>
          <w:rtl w:val="true"/>
          <w:lang w:bidi="fa-IR"/>
        </w:rPr>
        <w:t>.</w:t>
      </w:r>
    </w:p>
    <w:p>
      <w:pPr>
        <w:pStyle w:val="Heading5"/>
        <w:numPr>
          <w:ilvl w:val="4"/>
          <w:numId w:val="1"/>
        </w:numPr>
        <w:rPr/>
      </w:pPr>
      <w:bookmarkStart w:id="455" w:name="__RefHeading___Toc13425089_1280447820"/>
      <w:bookmarkStart w:id="456" w:name="_Toc163"/>
      <w:bookmarkEnd w:id="455"/>
      <w:r>
        <w:rPr>
          <w:rtl w:val="true"/>
        </w:rPr>
        <w:t>فهنا أحكام ثلاثة</w:t>
      </w:r>
      <w:r>
        <w:rPr>
          <w:rtl w:val="true"/>
        </w:rPr>
        <w:t>:</w:t>
      </w:r>
      <w:bookmarkEnd w:id="45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57" w:name="__RefHeading___Toc13425091_1280447820"/>
      <w:bookmarkStart w:id="458" w:name="_Toc164"/>
      <w:bookmarkEnd w:id="457"/>
      <w:r>
        <w:rPr>
          <w:rtl w:val="true"/>
        </w:rPr>
        <w:t>الأوّل منها</w:t>
      </w:r>
      <w:r>
        <w:rPr>
          <w:rtl w:val="true"/>
        </w:rPr>
        <w:t xml:space="preserve">: </w:t>
      </w:r>
      <w:r>
        <w:rPr>
          <w:rtl w:val="true"/>
        </w:rPr>
        <w:t>عدم جواز تحديد الوقف بنفس العقد</w:t>
      </w:r>
      <w:bookmarkEnd w:id="458"/>
    </w:p>
    <w:p>
      <w:p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تحديد الوقف بنفس العقد، ويدلّ عليه الإجماع المنقول </w:t>
      </w:r>
      <w:r>
        <w:rPr>
          <w:rStyle w:val="FootnoteAnchor"/>
          <w:rtl w:val="true"/>
        </w:rPr>
        <w:footnoteReference w:id="469"/>
      </w:r>
      <w:r>
        <w:rPr>
          <w:rFonts w:ascii="Amiri" w:hAnsi="Amiri" w:eastAsia="Amiri" w:cs="Amiri"/>
          <w:color w:val="111111"/>
          <w:sz w:val="28"/>
          <w:sz w:val="28"/>
          <w:szCs w:val="28"/>
          <w:rtl w:val="true"/>
          <w:lang w:bidi="ar-SA"/>
        </w:rPr>
        <w:t xml:space="preserve">، وظواهر الأخبار الواردة في وقوف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من نفي التحديد، بل المقيدة لها بالدوام والتأبيد، وفتوى المشهور بل كاد أن يكون إجماعاً، وتقضي به القواعد المتقدّمة والأصول السابقة القاضية بأصالة عدم حصول أثر الوقف بغير المقطوع به من النصوص والفتاوى، وقد بينا أن الاستناد لإدخال الفرد المشكوك في صحّته في الصحيح إلى عمومات أدلة العقود والشروط وإطلاقات أدلة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جابرٍ من شهرةٍ أو إجماع منقول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يرتضيه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يدعى أن الدوام 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وشرعاً فلا يقع غير المؤبد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لا ينافي التأبيد الوقف على أولاده سنةً أو أكثر، ثمّ على غيرهم كذلك، كذلك، ثمّ على المساكين، ونقل الإجماع على صحّة مثل ذلك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محلّ منع ؛ لمنافاته ظواهر الأدلّة، وقياسه على الوقف الدائر مدار الوصف أو الشرط المنتقل بانتقالهما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كلام آخر، وهو أنّه لو قرن عقد الوقف بأجل معيّن فهل يقع وقفاً باطلاً، أو حبساً؟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 في العقد إمّا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وشبههما، وعلى كلا التقديرين فإما أن يقصد بهما الوقف، أو يقصد الحبس، أو لا يقصد شيئاً، فإن قصد الحبس فالظاهر أنّه لا كلام في وقوعه حبساً، إمّا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فلوضعه له، وأما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فلصحة استعماله في الحبس استعمالاً شائعاً في الأخبار وفي العرف العام، وإن أطلق ولم يقصد شيئاً فالظاهر أنّه كذلك أيضاً في كلّ من الصيغتين؛ لانصراف اللفظ إلى المصحح مهما أمكن، ولأن الوقف والحبس متقاربان في المعنى، فإذا قرن الوقف بالمدة صار حبساً، كما إذا قرن الحبس بالدوام فإنّه يكون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الحكم بذلك إلى المشهور من أصحابنا، بل وإلى إجماع المتأخرين نقلاً </w:t>
      </w:r>
      <w:r>
        <w:rPr>
          <w:rStyle w:val="FootnoteAnchor"/>
          <w:rtl w:val="true"/>
        </w:rPr>
        <w:footnoteReference w:id="472"/>
      </w:r>
      <w:r>
        <w:rPr>
          <w:rFonts w:ascii="Amiri" w:hAnsi="Amiri" w:eastAsia="Amiri" w:cs="Amiri"/>
          <w:color w:val="111111"/>
          <w:sz w:val="28"/>
          <w:sz w:val="28"/>
          <w:szCs w:val="28"/>
          <w:rtl w:val="true"/>
          <w:lang w:bidi="ar-SA"/>
        </w:rPr>
        <w:t>، بناءً على تحققهما في المسألة الآتية، واتحاد المسألتين في الحكم من حيث اشتراكهما في عدم التأبيد المشترط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الاستناد في ذلك إلى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وقف إلى وقت معلوم فهو واجب على الورثة، وكلّ وقف إلى غير وقت جهل مجهول فهو باطل مردود على الورثة</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الوقف الذي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 ثمّ روى الرواية الأولى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الموقت هو الذي يذكر فيه أنّه وقف على فلان وعقبه، فإذا انقرضوا فهو للفقراء والمساكين إلى أن يرث اللّه تعالى الأرض ومَنْ عليها،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موقت إذا ذكر أنّه لفلان وعقبه ما بقوا، ولم يذكر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والمساكين إلى أن يرث اللّه تعالى الأرض ومَنْ عليها، والذي هو غير موقتٍ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ولم يذكر أحداً، فما الذي يصحّ من ذلك؟ وما الذي يبطل؟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حيث إنّه صحح الوقف الموقت في الأولى، وهو ظاهر في المحدود بغاية زمانية، أو المراد به ما ذكره في الرواية الأخيرة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يذكر أنّه لفلان وعقبه ما بقوا، ولم يذكر في آخره للفقراء والمساكين إلى أن يرث اللّه تعالى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فهو شاهد على جواز المحدود تصريحاً في الأُولى وتلويحاً في الثانية؛ لاشتراكهما في علّة المنع، ولا شكّ أنّ المراد بجوازه وقوعه حبساً لا وقفاً؛ لندور القائل بالوقف جداً هنا، بل لم نعثر على قائل به، ولكونه رجوعه إرثاً قرينة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إبطال غير الموقت فلا شك فيه على ما فسرته الرواية الثانية، وعلى ما هو الظاهر منه لا بأس بالتزامه في الحبس؛ لأنّ حكمه حكم الإجارة تفتقر إلى بيان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فالموقت قد صرّحت الرواية بصحّته، والمعنى الحقيقي له هو المغيّا بزمان خاص، فلا ينافيه المعنيان الآخران اللذان قد صرّحت الرواية الأخيرة </w:t>
      </w:r>
      <w:r>
        <w:rPr>
          <w:rStyle w:val="FootnoteAnchor"/>
          <w:rtl w:val="true"/>
        </w:rPr>
        <w:footnoteReference w:id="475"/>
      </w:r>
      <w:r>
        <w:rPr>
          <w:rFonts w:ascii="Amiri" w:hAnsi="Amiri" w:eastAsia="Amiri" w:cs="Amiri"/>
          <w:color w:val="111111"/>
          <w:sz w:val="28"/>
          <w:sz w:val="28"/>
          <w:szCs w:val="28"/>
          <w:rtl w:val="true"/>
          <w:lang w:bidi="ar-SA"/>
        </w:rPr>
        <w:t>بصحّتهما، سواء كان استعماله فيهما على وجه الحقيقة أو المجاز، مع أنّ المعنى الأوّل فيه دلالة على تصحيح الموقت الحقيقي على ما قدمنا وجهه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قصد نفس الوقف المشروع وقفاً والمترتب عليه ثمراته فالأقوى البطلان مطلقاً؛ لتبعية العقود للقصود، وقصد الوقف ينافيه التأجيل، فيعود عليه بالنقض فيبطله</w:t>
      </w:r>
      <w:r>
        <w:rPr>
          <w:rFonts w:eastAsia="Amiri" w:cs="Amiri" w:ascii="Amiri" w:hAnsi="Amiri"/>
          <w:color w:val="111111"/>
          <w:sz w:val="28"/>
          <w:szCs w:val="28"/>
          <w:rtl w:val="true"/>
          <w:lang w:bidi="ar-SA"/>
        </w:rPr>
        <w:t xml:space="preserve">. </w:t>
      </w:r>
      <w:bookmarkStart w:id="459" w:name="pg19218_274084"/>
    </w:p>
    <w:p>
      <w:pPr>
        <w:pStyle w:val="Heading6"/>
        <w:numPr>
          <w:ilvl w:val="5"/>
          <w:numId w:val="1"/>
        </w:numPr>
        <w:rPr/>
      </w:pPr>
      <w:bookmarkStart w:id="460" w:name="__RefHeading___Toc13425093_1280447820"/>
      <w:bookmarkStart w:id="461" w:name="_Toc165"/>
      <w:bookmarkEnd w:id="459"/>
      <w:bookmarkEnd w:id="460"/>
      <w:r>
        <w:rPr>
          <w:rtl w:val="true"/>
        </w:rPr>
        <w:t>الثاني منها</w:t>
      </w:r>
      <w:r>
        <w:rPr>
          <w:rtl w:val="true"/>
        </w:rPr>
        <w:t xml:space="preserve">: </w:t>
      </w:r>
      <w:r>
        <w:rPr>
          <w:rtl w:val="true"/>
        </w:rPr>
        <w:t>عدم جواز كون الموقوف عليه غير مبني على الدوام</w:t>
      </w:r>
      <w:bookmarkEnd w:id="461"/>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كون الموقوف عليه غير مبني على الدوام، فلو وقف على مَنْ ينقرض غالباً بطل الوقف؛ للأصل المتقدّم، ولأخبار وقوف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المشعرة بشرطية ذلك، وللمفهوم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وعرفاً المعهود من وقوعه كذلك بالنسبة إلى وقوف السالفين، ولاشتراطهم الدوام في الوقف عدا النادر منهم </w:t>
      </w:r>
      <w:r>
        <w:rPr>
          <w:rStyle w:val="FootnoteAnchor"/>
          <w:rtl w:val="true"/>
        </w:rPr>
        <w:footnoteReference w:id="477"/>
      </w:r>
      <w:r>
        <w:rPr>
          <w:rFonts w:ascii="Amiri" w:hAnsi="Amiri" w:eastAsia="Amiri" w:cs="Amiri"/>
          <w:color w:val="111111"/>
          <w:sz w:val="28"/>
          <w:sz w:val="28"/>
          <w:szCs w:val="28"/>
          <w:rtl w:val="true"/>
          <w:lang w:bidi="ar-SA"/>
        </w:rPr>
        <w:t>، وهو مشعر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والاستناد إلى عموم أدلّة العقود </w:t>
      </w:r>
      <w:r>
        <w:rPr>
          <w:rStyle w:val="FootnoteAnchor"/>
          <w:rtl w:val="true"/>
        </w:rPr>
        <w:footnoteReference w:id="478"/>
      </w:r>
      <w:r>
        <w:rPr>
          <w:rFonts w:ascii="IRNazanin" w:hAnsi="IRNazanin" w:eastAsia="IRNazanin"/>
          <w:color w:val="111111"/>
          <w:sz w:val="28"/>
          <w:sz w:val="28"/>
          <w:szCs w:val="28"/>
          <w:rtl w:val="true"/>
          <w:lang w:bidi="fa-IR"/>
        </w:rPr>
        <w:t xml:space="preserve">والشروط </w:t>
      </w:r>
      <w:r>
        <w:rPr>
          <w:rStyle w:val="FootnoteAnchor"/>
          <w:rtl w:val="true"/>
        </w:rPr>
        <w:footnoteReference w:id="479"/>
      </w:r>
      <w:r>
        <w:rPr>
          <w:rFonts w:ascii="Amiri" w:hAnsi="Amiri" w:eastAsia="Amiri" w:cs="Amiri"/>
          <w:color w:val="111111"/>
          <w:sz w:val="28"/>
          <w:sz w:val="28"/>
          <w:szCs w:val="28"/>
          <w:rtl w:val="true"/>
          <w:lang w:bidi="ar-SA"/>
        </w:rPr>
        <w:t xml:space="preserve">، تبين ضعفها، كالاستناد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فإنّ التمسك بعمومه موقوف على بيانية مفرده، وأنّه ليس على حد غيره من المجملات، وهو أول الكلام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فلو نوى الوقف المشروع وقفاً كان باطلاً؛ لأن العقود تابعة للقصود، فما قصده إذا لم يقع فلا يقع ما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قصد الحبس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أطلق في نيته فيهما صحّ حبساً؛ لقابلية الصادر منه لذلك من غير معارض فيُحمل عليه، ولأن استعمال الوقف في الحبس غير منكور في الشرع، وقد ورد استعماله كثيراً في الأخبار </w:t>
      </w:r>
      <w:r>
        <w:rPr>
          <w:rStyle w:val="FootnoteAnchor"/>
          <w:rtl w:val="true"/>
        </w:rPr>
        <w:footnoteReference w:id="481"/>
      </w:r>
      <w:r>
        <w:rPr>
          <w:rFonts w:ascii="Amiri" w:hAnsi="Amiri" w:eastAsia="Amiri" w:cs="Amiri"/>
          <w:color w:val="111111"/>
          <w:sz w:val="28"/>
          <w:sz w:val="28"/>
          <w:szCs w:val="28"/>
          <w:rtl w:val="true"/>
          <w:lang w:bidi="ar-SA"/>
        </w:rPr>
        <w:t xml:space="preserve">وكلام الأصحاب، وقد صرّحت الرواية الأخيرة </w:t>
      </w:r>
      <w:r>
        <w:rPr>
          <w:rStyle w:val="FootnoteAnchor"/>
          <w:rtl w:val="true"/>
        </w:rPr>
        <w:footnoteReference w:id="482"/>
      </w:r>
      <w:r>
        <w:rPr>
          <w:rFonts w:ascii="Amiri" w:hAnsi="Amiri" w:eastAsia="Amiri" w:cs="Amiri"/>
          <w:color w:val="111111"/>
          <w:sz w:val="28"/>
          <w:sz w:val="28"/>
          <w:szCs w:val="28"/>
          <w:rtl w:val="true"/>
          <w:lang w:bidi="ar-SA"/>
        </w:rPr>
        <w:t xml:space="preserve">بصحّة ذلك تصريحاً مرّةً وتلويحاً أُخرى، على أن الحكم بكونه حبساً هو المشهور نقلاً </w:t>
      </w:r>
      <w:r>
        <w:rPr>
          <w:rStyle w:val="FootnoteAnchor"/>
          <w:rtl w:val="true"/>
        </w:rPr>
        <w:footnoteReference w:id="483"/>
      </w:r>
      <w:r>
        <w:rPr>
          <w:rFonts w:ascii="Amiri" w:hAnsi="Amiri" w:eastAsia="Amiri" w:cs="Amiri"/>
          <w:color w:val="111111"/>
          <w:sz w:val="28"/>
          <w:sz w:val="28"/>
          <w:szCs w:val="28"/>
          <w:rtl w:val="true"/>
          <w:lang w:bidi="ar-SA"/>
        </w:rPr>
        <w:t xml:space="preserve">بل تحصيلاً، ونُسب لعامة المتأخرين </w:t>
      </w:r>
      <w:r>
        <w:rPr>
          <w:rStyle w:val="FootnoteAnchor"/>
          <w:rtl w:val="true"/>
        </w:rPr>
        <w:footnoteReference w:id="48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فالأقوى عدم بطلانه، وصحته حبساً، وهو أحد الأقوال في المسألة، والقول ببطلانه مطلقاً ضعيف، والتعليل بأنّه يكون من الوقف على المجهول أضعف؛ لأنّه بعد الانقراض لا موقوف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يتّجه القول به فيما إذا كان القصد نفس الوقف المؤبد، وهو الثاني من الأقوال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وقفاً، ونُسب لجملة من أصحابنا </w:t>
      </w:r>
      <w:r>
        <w:rPr>
          <w:rStyle w:val="FootnoteAnchor"/>
          <w:rtl w:val="true"/>
        </w:rPr>
        <w:footnoteReference w:id="485"/>
      </w:r>
      <w:r>
        <w:rPr>
          <w:rFonts w:ascii="Amiri" w:hAnsi="Amiri" w:eastAsia="Amiri" w:cs="Amiri"/>
          <w:color w:val="111111"/>
          <w:sz w:val="28"/>
          <w:sz w:val="28"/>
          <w:szCs w:val="28"/>
          <w:rtl w:val="true"/>
          <w:lang w:bidi="ar-SA"/>
        </w:rPr>
        <w:t>، ويظهر منهم صحّته وقفاً مع قصد الوقف ومع الإطلاق، وحينئذٍ فالوقف دائم منه ومنه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ويحتج 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نوع تمليك وصدقة فيتبع اختيار المالك في التخصيص وغيره، ولأصالة الصحّة، وعموم الأمر بالوفاء بالعقد </w:t>
      </w:r>
      <w:r>
        <w:rPr>
          <w:rStyle w:val="FootnoteAnchor"/>
          <w:rtl w:val="true"/>
        </w:rPr>
        <w:footnoteReference w:id="486"/>
      </w:r>
      <w:r>
        <w:rPr>
          <w:rFonts w:ascii="Amiri" w:hAnsi="Amiri" w:eastAsia="Amiri" w:cs="Amiri"/>
          <w:color w:val="111111"/>
          <w:sz w:val="28"/>
          <w:sz w:val="28"/>
          <w:szCs w:val="28"/>
          <w:rtl w:val="true"/>
          <w:lang w:bidi="ar-SA"/>
        </w:rPr>
        <w:t xml:space="preserve">، ولأنّ تمليك الأخير لو كان شرطاً في تمليك الأوّل لزم تقدّم المعلول على العلّة،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ما يوقفها أهلها</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ولعموم لزوم الوفاء بالعقد، ولزوم القيام بالشرط، وللتوقيع المتقدّم </w:t>
      </w:r>
      <w:r>
        <w:rPr>
          <w:rStyle w:val="FootnoteAnchor"/>
          <w:rtl w:val="true"/>
        </w:rPr>
        <w:footnoteReference w:id="488"/>
      </w:r>
      <w:r>
        <w:rPr>
          <w:rFonts w:ascii="Amiri" w:hAnsi="Amiri" w:eastAsia="Amiri" w:cs="Amiri"/>
          <w:color w:val="111111"/>
          <w:sz w:val="28"/>
          <w:sz w:val="28"/>
          <w:szCs w:val="28"/>
          <w:rtl w:val="true"/>
          <w:lang w:bidi="ar-SA"/>
        </w:rPr>
        <w:t xml:space="preserve">، الدال على صحّة الوقف على مَنْ ينقرض، مستدلاً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وللخبر في 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بحوائطها السبعة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الأكبر من ولدها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نظر؛ لمنع جواز التوقيت في التمليك والصدقة؛ لأن المعهود من مشروعيتهما بناؤهما على الدوام، فلا يتبع فيهما اختيار المالك، والحبس إنما جاء الدليل بجواز التوقيت في التمليك به، ولولاه لما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تمشية أصالة الصحّة فيما يقع الشكّ في اشتراط شيءٍ فيه وعدمه؛ للشكّ في اجتماع شرائط الصحّة والأصل عدمها، ولمنع شمول العمومات وشمول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المتنازع فيه؛ لأن صدق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الفرد المتنازع فيه وكذا اندراجه تحت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البحث، ومجرد تسميته عقداً لا يكفي في اندراجه في عموم الأدلّة؛ لأنّها مجملة أو منصرفة إلى المعهود، ولجواز كون تمليك الأخير شر شرطاً في تمليك الأوّل، فيقع التمليكان معاً إن قلنا بملكية البطن الأخير حين العقد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بامتناع تمليك المعدوم، وكان شرط تمليك الأوّل ذكر الأخير لبيان المصرف، وبيان أنّهم يملكون بعد وجودهم، بحيث إنّهم يتلقون الملك عن الواقف فيقعان دفعةً، وليس فيه تقدّم معلول على علّته، ولمنع كون ما وقع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وقفاً، بل وصيّة، ولئن سلّمنا كونه وقفاً فما ذكرتهم فيه تريد به النظارة على الوقف، لا أنّهم هم الموقوف عليهم، ولئن سلّمنا كونهم كذلك فهي عالمة ببقائهم إلى أن يرث اللّه تعالى الأرض ومَنْ عليها،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حبلان متصلان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فإنّه ظاهر ببقائهما ما دام اللّه على الناس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افتراقهما لازم من بعد الموت إلى البعث، فعدم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الاجتماع باعتبار بقاء النفوس الناطقة، أو على ضرب من المجاز، ومعهما لا يفيد المطلوب </w:t>
      </w:r>
      <w:r>
        <w:rPr>
          <w:rStyle w:val="FootnoteAnchor"/>
          <w:rtl w:val="true"/>
        </w:rPr>
        <w:footnoteReference w:id="491"/>
      </w:r>
      <w:r>
        <w:rPr>
          <w:rFonts w:ascii="Amiri" w:hAnsi="Amiri" w:eastAsia="Amiri" w:cs="Amiri"/>
          <w:color w:val="111111"/>
          <w:sz w:val="28"/>
          <w:sz w:val="28"/>
          <w:szCs w:val="28"/>
          <w:rtl w:val="true"/>
          <w:lang w:bidi="ar-SA"/>
        </w:rPr>
        <w:t>لأنّ الرواية ظاهرة في المبالغة باتصالهما، وطول زمان وجودهما، ولزوم التمسك بهما، واستمرارهما على الأعصار، وهذا كافٍ في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من صحّته ووقوعه حبساً فلا بدّ من إجراء أحكام الحبس عليه من الالتزام بفساده لو نوى مقامه الوقف؛ لأنّ العقود تابعة للقصود، ومن بقاء المحبوس على ملك مالكه في كثير من الأحوال، ومن بقائه على جوازه فيما إذا حبس على معيّن، ومن رجوعه إلى الحابس بعد موت المحبوس عليه أو إلى ورثته، إمّا ورثته حين انقراض الموقوف عليه كالولاء، أو وارثه حين موت الوارث مسترسلاً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مات الواقف عن ولدين، ثمّ مات أحدهما عن ولد قبل الانقراض، فعلى الأوّل يرجع إلى الولد الباقي خاصّة، وعلى الثاني يشترك هو مع ابن أخيه؛ لتلقيه عن أبيه كما لو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الأخير؛ لبقاء المال على ملك الواقف إلى موت الموقوف عليه وإن لم يجز له التصرّف فيه قبل الانقراض؛ عملاً بمقتضى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بعض أصحابنا عدم الخلاف في انتقاله إلى ورثة الواقف على القول بالحبس </w:t>
      </w:r>
      <w:r>
        <w:rPr>
          <w:rStyle w:val="FootnoteAnchor"/>
          <w:rtl w:val="true"/>
        </w:rPr>
        <w:footnoteReference w:id="492"/>
      </w:r>
      <w:r>
        <w:rPr>
          <w:rFonts w:ascii="IRNazanin" w:hAnsi="IRNazanin" w:eastAsia="IRNazanin"/>
          <w:color w:val="111111"/>
          <w:sz w:val="28"/>
          <w:sz w:val="28"/>
          <w:szCs w:val="28"/>
          <w:rtl w:val="true"/>
          <w:lang w:bidi="fa-IR"/>
        </w:rPr>
        <w:t xml:space="preserve">، وقطع به بعض أصحابنا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بوقوعه وقفاً فلأصحابنا فيه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برجوعه إلى ورثة الموقوف عليه حين الانقراض </w:t>
      </w:r>
      <w:r>
        <w:rPr>
          <w:rStyle w:val="FootnoteAnchor"/>
          <w:rtl w:val="true"/>
        </w:rPr>
        <w:footnoteReference w:id="494"/>
      </w:r>
      <w:r>
        <w:rPr>
          <w:rFonts w:ascii="Amiri" w:hAnsi="Amiri" w:eastAsia="Amiri" w:cs="Amiri"/>
          <w:color w:val="111111"/>
          <w:sz w:val="28"/>
          <w:sz w:val="28"/>
          <w:szCs w:val="28"/>
          <w:rtl w:val="true"/>
          <w:lang w:bidi="ar-SA"/>
        </w:rPr>
        <w:t>، بمعنى كونه ميراثاً يرثه وارث المنقرض الأخير؛ لأنّه قد ملك وبه انتهى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أنّه يرثه وارث الموقوف عليه ابتداء ويسترسل،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لهذا القول بأنّ الوقف خرج عن ملكه فلا يعود، وبأن الموقوف عليه يملك الوقف فينتقل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لمنع خروج كلّ وقف عن ملك صاحبه، ولمنع ملكية الموقوف عليه له؛ لاحتمال كونه ملكاً اللّه تعالى، ولمنع كون كلّ مملوك لا بدّ من انتقاله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انتقاله إلى وجوه البرّ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بانتقاله إلى ورثة الواقف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أنّه لم يخرج عن ملكه بالكلية، وإنّما تناول أشخاصاً، فلا يتعدّى إلى غيرهم، وإلى أن الوقف على حسب ما يوقفه أهله، وإنّما وقفوه هنا على مَنْ ذكر فلا يتعدّى، ويبقى أصل الملك لهم كالحبس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أوقف غلة له على قرابة من أبيه وقرابة من أُمه، وأوصى لرجل ولعقبه من تلك الغلة ليس بينه وبينه قرابة بثلاثمائة درهم في كلّ سنة، ويقسم الباقي على قرابته من أبيه وأُمه؟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للذي أوصى 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 الذي أوصى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كانت الثلاثمائة درهم لورثته يتوارثونها بينهم ما بقي أحد منهم، فإذا انقطع ورثته ولم يبق منهم أحد كانت الثلاثمائة درهم لقرابة الميّت ترد إلى ما يخرج من الوقف</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جيد؛ للاستصحاب، ولما تقدّم من منع خروج الوقف الغير المؤبد عن الملك، ولهذه الرواية المجبورة بالشهرة المحكية </w:t>
      </w:r>
      <w:r>
        <w:rPr>
          <w:rStyle w:val="FootnoteAnchor"/>
          <w:rtl w:val="true"/>
        </w:rPr>
        <w:footnoteReference w:id="498"/>
      </w:r>
      <w:r>
        <w:rPr>
          <w:rFonts w:ascii="Amiri" w:hAnsi="Amiri" w:eastAsia="Amiri" w:cs="Amiri"/>
          <w:color w:val="111111"/>
          <w:sz w:val="28"/>
          <w:sz w:val="28"/>
          <w:szCs w:val="28"/>
          <w:rtl w:val="true"/>
          <w:lang w:bidi="ar-SA"/>
        </w:rPr>
        <w:t xml:space="preserve">بل المحصلة سنداً ودلالةً، والمعتبرة بوجود صفوان في سندها، وبنقل ابن زهرة بأنّ على مذهبهم روايةً </w:t>
      </w:r>
      <w:r>
        <w:rPr>
          <w:rStyle w:val="FootnoteAnchor"/>
          <w:rtl w:val="true"/>
        </w:rPr>
        <w:footnoteReference w:id="499"/>
      </w:r>
      <w:r>
        <w:rPr>
          <w:rFonts w:ascii="Amiri" w:hAnsi="Amiri" w:eastAsia="Amiri" w:cs="Amiri"/>
          <w:color w:val="111111"/>
          <w:sz w:val="28"/>
          <w:sz w:val="28"/>
          <w:szCs w:val="28"/>
          <w:rtl w:val="true"/>
          <w:lang w:bidi="ar-SA"/>
        </w:rPr>
        <w:t xml:space="preserve">، وبنقل الخلاف بأنّ عليه روايات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462" w:name="pg19218_274088"/>
    </w:p>
    <w:p>
      <w:pPr>
        <w:pStyle w:val="BookText"/>
        <w:rPr/>
      </w:pPr>
      <w:bookmarkEnd w:id="462"/>
      <w:r>
        <w:rPr>
          <w:rFonts w:ascii="Amiri" w:hAnsi="Amiri" w:eastAsia="Amiri" w:cs="Amiri"/>
          <w:color w:val="111111"/>
          <w:sz w:val="28"/>
          <w:sz w:val="28"/>
          <w:szCs w:val="28"/>
          <w:rtl w:val="true"/>
          <w:lang w:bidi="ar-SA"/>
        </w:rPr>
        <w:t>وبمجموع ذلك يحصل الظن بأنّ الثلاثمائة درهم وقعت شرطاً في الوقف، فعند انقطاع المشروط له عادت لورثة المشترط دون ورثة المشروط له، ودون الموقوف عليهم، ولا فرق بين المال المشترط من الموقوف وبين الموقوف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تقدّم كلّه فيما إذا انقرض الموقوف عليه، ولو لم ينقرض فلا شك ببقائه،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حبس أو وقف، إلّا إذا قلنا ببطلانه ابتداءً فلا شكّ في بقائه على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بكونه وقفاً يشكل عليهم بما إذا قصد الواقف الوقف المؤبد، فإنّ صيرورته وقفاً قهراً مشكل جداً؛ لأنّ الوقف يكون عندهم قسمين منقطع، وغير منقطع، فتعين أحدهما ممّا ينافي وقوع الآخر</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3425095_1280447820"/>
      <w:bookmarkStart w:id="464" w:name="_Toc166"/>
      <w:bookmarkEnd w:id="463"/>
      <w:r>
        <w:rPr>
          <w:rtl w:val="true"/>
        </w:rPr>
        <w:t>الثالث منها</w:t>
      </w:r>
      <w:r>
        <w:rPr>
          <w:rtl w:val="true"/>
        </w:rPr>
        <w:t xml:space="preserve">: </w:t>
      </w:r>
      <w:r>
        <w:rPr>
          <w:rtl w:val="true"/>
        </w:rPr>
        <w:t>كون العين ممّا ينتفع بها مع بقائها</w:t>
      </w:r>
      <w:bookmarkEnd w:id="464"/>
    </w:p>
    <w:p>
      <w:pPr>
        <w:pStyle w:val="BookText"/>
        <w:rPr/>
      </w:pPr>
      <w:r>
        <w:rPr>
          <w:rFonts w:ascii="Amiri" w:hAnsi="Amiri" w:eastAsia="Amiri" w:cs="Amiri"/>
          <w:color w:val="111111"/>
          <w:sz w:val="28"/>
          <w:sz w:val="28"/>
          <w:szCs w:val="28"/>
          <w:rtl w:val="true"/>
          <w:lang w:bidi="ar-SA"/>
        </w:rPr>
        <w:t xml:space="preserve">والثالث منها كون العين ممّا يُنتفع بها مع بقائها؛ لفتوى الأصحاب، والإجماع المنقول </w:t>
      </w:r>
      <w:r>
        <w:rPr>
          <w:rStyle w:val="FootnoteAnchor"/>
          <w:rtl w:val="true"/>
        </w:rPr>
        <w:footnoteReference w:id="501"/>
      </w:r>
      <w:r>
        <w:rPr>
          <w:rFonts w:ascii="Amiri" w:hAnsi="Amiri" w:eastAsia="Amiri" w:cs="Amiri"/>
          <w:color w:val="111111"/>
          <w:sz w:val="28"/>
          <w:sz w:val="28"/>
          <w:szCs w:val="28"/>
          <w:rtl w:val="true"/>
          <w:lang w:bidi="ar-SA"/>
        </w:rPr>
        <w:t xml:space="preserve">في الباب، وللشك في صدق الوقف على ما لا ينتفع به إلّا بذهاب عينه، ولأخبار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المشعرة بإعراضهم عن وقف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والفرد المشكوك في كونه ما يبقى كذلك وعدمه احتمل البطلان به؛ لعدم إحراز الشرط واحتملت الصحّة؛ استصحاباً لبقائه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ممّا ينتفع به مع بقائه إلّا أنّه قصير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كوقف بعض النباتات للشمّ مع سرعة 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الشيء ممّا يضمحل بالانتفاع تدريجاً ولكن ليس المقصود ابتداء إتلافه جاز وقفه</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3425097_1280447820"/>
      <w:bookmarkStart w:id="466" w:name="_Toc167"/>
      <w:bookmarkEnd w:id="465"/>
      <w:r>
        <w:rPr>
          <w:rtl w:val="true"/>
        </w:rPr>
        <w:t>سادسها</w:t>
      </w:r>
      <w:r>
        <w:rPr>
          <w:rtl w:val="true"/>
        </w:rPr>
        <w:t xml:space="preserve">: </w:t>
      </w:r>
      <w:r>
        <w:rPr>
          <w:rtl w:val="true"/>
        </w:rPr>
        <w:t>اشتراط التنجيز في الوقف</w:t>
      </w:r>
      <w:bookmarkEnd w:id="466"/>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الوقف التنجيز، بمعنى أن لا يعلق على أمر مشكوك بوقوعه وعدمه، كقدوم الحاجّ، أو إدراك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 مقارنة أثره لوقوع صيغته،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أهل الهلال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فلا بدّ من مقارنة الإنشاء والمنشأ من الملك والتمليك والأثر والتأثير لنفس الصيغة، فلو أخر واحداً منها فسد الوقف؛ للشكّ في صحته، واندراجه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 واندراجه تحت المعهود من العقود</w:t>
      </w:r>
      <w:r>
        <w:rPr>
          <w:rFonts w:eastAsia="IRNazanin" w:cs="IRNazanin"/>
          <w:color w:val="111111"/>
          <w:sz w:val="28"/>
          <w:szCs w:val="28"/>
          <w:rtl w:val="true"/>
          <w:lang w:bidi="fa-IR"/>
        </w:rPr>
        <w:t xml:space="preserve">. </w:t>
      </w:r>
      <w:bookmarkStart w:id="467" w:name="pg19218_274089"/>
    </w:p>
    <w:p>
      <w:pPr>
        <w:pStyle w:val="BookText"/>
        <w:rPr/>
      </w:pPr>
      <w:bookmarkEnd w:id="467"/>
      <w:r>
        <w:rPr>
          <w:rFonts w:ascii="Amiri" w:hAnsi="Amiri" w:eastAsia="Amiri" w:cs="Amiri"/>
          <w:color w:val="111111"/>
          <w:sz w:val="28"/>
          <w:sz w:val="28"/>
          <w:szCs w:val="28"/>
          <w:rtl w:val="true"/>
          <w:lang w:bidi="ar-SA"/>
        </w:rPr>
        <w:t>ولا بدّ فيه من الجزم، فلو علّق على شرط أو صفةٍ متوقعين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ردّد بين وقفين، أو إيجابين، أو قبولين، أو بين موقوف عليهما اثنين، أو بين موقوفين، أو بين موقوفين على موقوف عليهما اثنين على تقديرين، أو بين حبس ووقف، فسد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علّق على شرط واقع حين العقد أو صفةٍ كذلك وكان العاقد عالماً بوقوعه، صحّ،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عليك إن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عالم بطلوعها؛ لعموم الأدلّة وخصوصها من غير معارض، وربما يدعى الاتفاق على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اشتراط الخيار في عقد الوقف، فلو اشترط فيه الخيار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يدخله خيار فوات الشرط؛ لأنّه من العبادات النافذة، فلا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يلزم الشرط؛ لعموم الأدلّة، كما سيجيء </w:t>
      </w:r>
      <w:r>
        <w:rPr>
          <w:rStyle w:val="FootnoteAnchor"/>
          <w:rtl w:val="true"/>
        </w:rPr>
        <w:footnoteReference w:id="504"/>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4"/>
        <w:numPr>
          <w:ilvl w:val="3"/>
          <w:numId w:val="1"/>
        </w:numPr>
        <w:rPr/>
      </w:pPr>
      <w:bookmarkStart w:id="468" w:name="__RefHeading___Toc13425099_1280447820"/>
      <w:bookmarkStart w:id="469" w:name="_Toc168"/>
      <w:bookmarkEnd w:id="468"/>
      <w:r>
        <w:rPr>
          <w:rtl w:val="true"/>
        </w:rPr>
        <w:t>سابعها</w:t>
      </w:r>
      <w:r>
        <w:rPr>
          <w:rtl w:val="true"/>
        </w:rPr>
        <w:t xml:space="preserve">: </w:t>
      </w:r>
      <w:r>
        <w:rPr>
          <w:rtl w:val="true"/>
        </w:rPr>
        <w:t>في أنّه يشترط في صحّة الوقف القبض للموقوف من الموقوف عليه</w:t>
      </w:r>
      <w:bookmarkEnd w:id="469"/>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الوقف القبضُ للموقوف من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بوكيله، بدفع الواقف أو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قبض البيع إمساكاً ونقلاً وكيلاً ووزناً وتخليةً، على وجه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منهي عنه، ويشترط استمرار نيّة التقرب إليه؛ لأنّه به يتم الوقف، وهو جزء السبب الناقل عن الملك، فلا ينتقل الملك قبله، ويجوز الرجوع به، ويبطل الوقف بالموت أو الجنون أو الفسخ قبله، وليس شرطاً في اللزوم، كما قد يُتخيّل، ولا أنّ عدمه فاسخ من حينه، فالنماء حينئذٍ قبله للموقوف عليه، ولا أنّ حصوله كاشف عن وقوع العقد صحيحاً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الحكم بذلك غير مختلف فيه على نحو ما ذكرناه، وقواعد الشرائط تقضي به وإجمال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السببية في غير المقطوع به تقتضيه أيضاً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ما يؤذن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يوقف الضيعة ثمّ يبدو له أن يحدث في ذلك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وقفها لولده ولغيرهم ثمّ جعل لها قيماً لم يكن له أن يرجع فيها، وإن كانوا صغاراً فيحوزها لهم لم يكن له أن يرجع فيها، وإن كانوا كباراً لم يسلّمها إليهم ولم يخاصموا حتّى يحوزوها عنه فله أن يرجع فيها؛ لأنّهم لا يحوزونها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470" w:name="pg19218_274090"/>
    </w:p>
    <w:p>
      <w:pPr>
        <w:pStyle w:val="BookText"/>
        <w:rPr/>
      </w:pPr>
      <w:bookmarkEnd w:id="470"/>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الوقوف على ناحيتنا وما يجعل لنا ثمّ يحتاج إليه صاحبه، فكلّ ما لم يسلّم فصاحبه فيه بالخيار، وكلّ ما سلّم فلا خيار فيه لصاحبه، احتاج أو لم يحتج، افتقر إليه أو استغنى</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ومورده الصدقة وهو ظاهر في الوقف أو شامل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تصدق على ولد له قد أدركوا،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الوالد هو الذي يلي أمره</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موت الموقوف عليه مبطل للوقف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كموت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قبل القبض، ولا يصحّ قيام البطن الثاني مقامه مع احتمال قيام وارثه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 بينهما بأن موت الواقف ينقل المال إلى وارثه بخلاف موت الموقوف عليه، فإنّ المال بحاله لم ينتقل إلى غيره؛ لعدم تماميّة الملك، وهو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اشتراط القبض في الصحّة فهل يشترط تعقيبه للعقد فوراً؛ لأنّه ركن كالقبول، وللشك في الصحّة بدونه، أو لا يعتبر؛ لأنّ الشرط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كالقبض في بيع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فوريته، ولأنّ اعتبار الفورية في القبول قضى بها العقد؛ لارتباط القبول بالإيجاب، ولابتنائه عليه حتّى کأنّه كلمة لا استقلال لها، بخلاف الفورية في القبض، فإنّه لا يقضي بها شيء؟</w:t>
      </w:r>
    </w:p>
    <w:p>
      <w:pPr>
        <w:pStyle w:val="BookText"/>
        <w:rPr/>
      </w:pPr>
      <w:r>
        <w:rPr>
          <w:rFonts w:ascii="Amiri" w:hAnsi="Amiri" w:eastAsia="Amiri" w:cs="Amiri"/>
          <w:color w:val="111111"/>
          <w:sz w:val="28"/>
          <w:sz w:val="28"/>
          <w:szCs w:val="28"/>
          <w:rtl w:val="true"/>
          <w:lang w:bidi="ar-SA"/>
        </w:rPr>
        <w:t xml:space="preserve">وفي الروايتين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الدالّتين على تعليق البطلان بعدم القبض إلى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بعدم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القبض إنما يعتبر في البطن الأوّل خاصّة، كما هو اللائح من الأخبار، وعليه ظاهر اتّفاق الأصحاب، والسيرة أيضاً قاضية به، فلا عبرة بالبطون اللاحقة قبضت أو لم تقبض</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3425101_1280447820"/>
      <w:bookmarkStart w:id="472" w:name="_Toc169"/>
      <w:bookmarkEnd w:id="471"/>
      <w:r>
        <w:rPr>
          <w:rtl w:val="true"/>
        </w:rPr>
        <w:t xml:space="preserve">ثامنها </w:t>
      </w:r>
      <w:r>
        <w:rPr>
          <w:rtl w:val="true"/>
        </w:rPr>
        <w:t xml:space="preserve">: </w:t>
      </w:r>
      <w:r>
        <w:rPr>
          <w:rtl w:val="true"/>
        </w:rPr>
        <w:t>قيام الولي مقام المولّى عليه في قبول الوقف وقبضه</w:t>
      </w:r>
      <w:bookmarkEnd w:id="47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الولي مقام المولّى عليه في قبول الوقف وقبضه؛ لأن يده يده، سواء كان الولي إجبارياً كالأب والجد، أو جعليّاً كالمنصوب من قبل الواقف كالنظار، أو المنصوب وليّاً على اليتيم كالوصي والحاكم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والتردد في ولاية الوصيّ هنا؛ لضعفها، ضعيف، وذلك لأنّ يد الوصي بالنسبة إلى الطفل كيد الموصي في قبض ومنع وقبول لعقد معاوضةٍ أو مجاني، وتضعيفها بعد قيام الدليل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المال لو كان بيد الولي فوقفه على المولّى عليه فإن نوى قبضاً جديداً عن المولّى عليه فلا كلام، وإن لم يَنْوِ القبض عنه فإن نوى العدم فلا كلام ببطلانه، ولا يقع قهراً كما قد يُتخيّل، وإن لم يَنْوِ شيئاً احتملت صحّة القبض؛ لأن الشرط تحقق القبض بعد الوقف وقد حصل الشرط، وعدمها؛ لأنّ الشرط وقوع القبض عن الوقف ولم يحصل فلا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أنّه إن نوى القبض لغير الوقف لم يجز للوقف، كما إذا اتهب على المولّى عليه وأوقف وباع صرفاً فعين القبض عن أحدها، فلا إشكال في انصرافه للمعين ابتداء واستدامةً وبطلان غيره، وإن لم يعيّن فإن نوى العدم كان قبضه بمنزلة العدم، وإن لم ينو فلا يبعد إجزاء القبض من دون نيّة كونه للقبض، ومن دون تجديد فعلي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الواقف على مَنْ بيده الموقوف، فإن كان لا يعلم بكونه بيد الموقوف عليه فلا يجزئ القبض قطعاً؛ لتوقفه على الإذن ولم يحصل، وإن علم به فإن كان مقبوضاً سابقاً للوقف أجزأ ولم يحتج إلى قبض جديد ولا إلى إذنٍ جديدة، وإن كان مقبوضاً على وجه آخر من رهن أو عارية أو وديعة احتمل إجزاؤه؛ تنزيلاً للعلم به والوقف بعده منزلة الإذن، واحتمل العدم؛ لأنّ الوقف مع العلم لازم أعمّ فلا يدلّ على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جعلنا ذلك بمنزلة الإذن فهل يفتقر إلى تجديد قبض ليكون القبض عن الوقف؟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نيّة كون القبض للوقف في الاستدامة وإن اشترط ذلك في الابتداء بالنسبة إلى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مقبوضاً من غير إذن كغصبٍ ونحوه، فالظاهر عدم إجزاء إجراء صيغة الوقف في الإذن، وافتقار الغاصب إلى إذن في القبض للوقف، ولا يكفي مجرّد القبض الأوّل؛ لأنّه قبض منهي عنه، وقد وقع من دون إذن المالك فلا يترتب عليه السبب الشرعي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على الغاصب رضى له بقبضه له وتسليط له عليه، اتجه كفاية استمرار القبض الأوّل وإن كان في الابتداء منهياً عنه؛ لارتفاع النهي بقرائن الرضى التي صدور الوقف أحدها</w:t>
      </w:r>
      <w:r>
        <w:rPr>
          <w:rFonts w:eastAsia="Amiri" w:cs="Amiri" w:ascii="Amiri" w:hAnsi="Amiri"/>
          <w:color w:val="111111"/>
          <w:sz w:val="28"/>
          <w:szCs w:val="28"/>
          <w:rtl w:val="true"/>
          <w:lang w:bidi="ar-SA"/>
        </w:rPr>
        <w:t xml:space="preserve">. </w:t>
      </w:r>
      <w:bookmarkStart w:id="473" w:name="pg19218_274092"/>
    </w:p>
    <w:p>
      <w:pPr>
        <w:pStyle w:val="BookText"/>
        <w:rPr/>
      </w:pPr>
      <w:bookmarkEnd w:id="473"/>
      <w:r>
        <w:rPr>
          <w:rFonts w:ascii="Amiri" w:hAnsi="Amiri" w:eastAsia="Amiri" w:cs="Amiri"/>
          <w:color w:val="111111"/>
          <w:sz w:val="28"/>
          <w:sz w:val="28"/>
          <w:szCs w:val="28"/>
          <w:rtl w:val="true"/>
          <w:lang w:bidi="ar-SA"/>
        </w:rPr>
        <w:t>وهل يشترط فيما يكون القبض فيه التخلية مضيّ زمان يمكن وصول الموقوف عليه أو وكيله إليه، أم لا؟ وكذا فيما قبضه غير التخلية وكان تحت يد الودعيّ أو المستعير، فهل يشترط مضي زمان يمكن إمساكه فيه أو نقله إليه أو كيله أو وزنه أو غير ذلك، أو لا يشترط مضي الزمان، كما لا يشترط تجديد الإمساك والنقل والكيل والوزن؟</w:t>
      </w:r>
    </w:p>
    <w:p>
      <w:pPr>
        <w:pStyle w:val="Heading4"/>
        <w:numPr>
          <w:ilvl w:val="3"/>
          <w:numId w:val="1"/>
        </w:numPr>
        <w:rPr/>
      </w:pPr>
      <w:bookmarkStart w:id="474" w:name="__RefHeading___Toc13425103_1280447820"/>
      <w:bookmarkStart w:id="475" w:name="_Toc170"/>
      <w:bookmarkEnd w:id="474"/>
      <w:r>
        <w:rPr>
          <w:rtl w:val="true"/>
        </w:rPr>
        <w:t>تاسعها</w:t>
      </w:r>
      <w:r>
        <w:rPr>
          <w:rtl w:val="true"/>
        </w:rPr>
        <w:t xml:space="preserve">: </w:t>
      </w:r>
      <w:r>
        <w:rPr>
          <w:rtl w:val="true"/>
        </w:rPr>
        <w:t>فيما لو كان الوقف على جهة عامة كان القبض عنهم موكولاً للحاكم بنفسه أو بوكيله</w:t>
      </w:r>
      <w:bookmarkEnd w:id="475"/>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الوقف على جهةٍ عامة، كان القبض عنهم موكولاً للحاكم بنفسه أو بوكيله؛ لأنّه المتولّي للجهات العامّة نقلاً أو انتقالاً، ولا يكفي قبض واحد من أهل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بعض أصحابنا بقبض الحاكم قبض القيم المنصوب من طرف الواقف للقبض </w:t>
      </w:r>
      <w:r>
        <w:rPr>
          <w:rStyle w:val="FootnoteAnchor"/>
          <w:rtl w:val="true"/>
        </w:rPr>
        <w:footnoteReference w:id="508"/>
      </w:r>
      <w:r>
        <w:rPr>
          <w:rFonts w:ascii="Amiri" w:hAnsi="Amiri" w:eastAsia="Amiri" w:cs="Amiri"/>
          <w:color w:val="111111"/>
          <w:sz w:val="28"/>
          <w:sz w:val="28"/>
          <w:szCs w:val="28"/>
          <w:rtl w:val="true"/>
          <w:lang w:bidi="ar-SA"/>
        </w:rPr>
        <w:t>، فإنّه يقوم مقام قبض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بعضهم تحقق القبض في وقف المسجد والمقبرة بصلاة واحدٍ ودفن واحد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وقيده آخرون بوقوع ذلك بإذن الواقف؛ لاشتراط الإذن في القبض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وقيده ثالث بوقوع الصلاة والدفن بنيّة القبض للوقف، فلو وقع لا بنيته أو بنيّة الغصب أو مع عدم العلم لم يجز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كلّه لا يخلو من إشكال؛ لأنا بعد أن حكمنا بلزوم القبض من الموقوف عليه أو مَنْ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الوليّ العام أو الخاص، أو الحاكم الشرعي في الأوقاف على الجهات العامّة، أو على الأصناف الخاصّة أو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لتجويز الاكتفاء بقبض مَنْ نصبه الواقف قيماً للقبض، أو الاكتفاء بصلاة واحدٍ في المسجد فرضاً أو نفلاً، أو بدفن واحد، أو نزول واحدٍ في الرباط، أو قراءة واحدٍ في المدرسة، إلّا أن ينعقد إجماع على ذلك، وفي انعقاده كلام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الاكتفاء بقبض القيم المنصوب من الواقف بما ورد في الرواية السابقة </w:t>
      </w:r>
      <w:r>
        <w:rPr>
          <w:rStyle w:val="FootnoteAnchor"/>
          <w:rtl w:val="true"/>
        </w:rPr>
        <w:footnoteReference w:id="512"/>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وقفها على ولده وعلى غيرهم ثمّ جعل لها قيماً لم يكن له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إرادة </w:t>
      </w:r>
    </w:p>
    <w:p>
      <w:pPr>
        <w:pStyle w:val="BookText"/>
        <w:rPr/>
      </w:pPr>
      <w:r>
        <w:rPr>
          <w:rFonts w:ascii="Amiri" w:hAnsi="Amiri" w:eastAsia="Amiri" w:cs="Amiri"/>
          <w:color w:val="111111"/>
          <w:sz w:val="28"/>
          <w:sz w:val="28"/>
          <w:szCs w:val="28"/>
          <w:rtl w:val="true"/>
          <w:lang w:bidi="ar-SA"/>
        </w:rPr>
        <w:t xml:space="preserve">الولد الكبار؛ لأنّ الصغار ذكرهم بعد ذلك، والظاهر أنّ نصب القيم للقبض؛ لعدم مدخلية غيره في عدم جواز الرجوع، وقد يشير إليه خبر التوقيع </w:t>
      </w:r>
      <w:r>
        <w:rPr>
          <w:rStyle w:val="FootnoteAnchor"/>
          <w:rtl w:val="true"/>
        </w:rPr>
        <w:footnoteReference w:id="51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الاكتفاء بالفعل أيضاً فيما لو كان الوقف على الجهة؛ لأنّ قبض الجهة غير معقول بغير هذا النحو، فقبضها صدور الفعل من واحد أو أكثر على ذلك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هذا الأخير نظر؛ لأنّ الوقف على الجهة وقف على المسلمين، فيتولى القبض وليهم كما يتولى القبول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العام مطلقاً أو الوقف على الجهات بمنزلة التحرير غير مفتقر إلى قبول أو إلى قبض لاتجه ذلك، ولما احتجنا أيضاً إلى صلاة واحد أو دفنه بالكلية، ولكن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هو التخلية فى أمثال هذه، ولا شكّ أنّ القابض قد خلّى بين الموقوف وبين الموقوف عليه وهو سائر المسلمين، ولما لم يمكن إعلامهم كفى قبض العالم منهم،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رئيسهم ووليّهم وإمامهم عالم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إلى فعل فرد من أفراد تلك الجهة من صلاةٍ أو دفن أو غيرهما؛ لحصول التخلية وكفايتها في القبض عن صدور الفعل عن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القبض هنا قد يقوى كفاية التخلية فيه مطلقاً، وكفاية صدوره بإذن المالك ولو بالإجازة المتأخرة، من دون حاجة إلى انضمام نيّة القربة إليه، بل لو وقع على وجه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قبض بآلةٍ محرَّمة أو في مكانٍ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ولكن الأظهر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والناظر إذا جعله الواقف ناظراً في الوقف كان قبضه كافياً في الوقف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الخاص، كما تشعر به الرواية </w:t>
      </w:r>
      <w:r>
        <w:rPr>
          <w:rStyle w:val="FootnoteAnchor"/>
          <w:rtl w:val="true"/>
        </w:rPr>
        <w:footnoteReference w:id="514"/>
      </w:r>
      <w:r>
        <w:rPr>
          <w:rFonts w:ascii="Amiri" w:hAnsi="Amiri" w:eastAsia="Amiri" w:cs="Amiri"/>
          <w:color w:val="111111"/>
          <w:sz w:val="28"/>
          <w:sz w:val="28"/>
          <w:szCs w:val="28"/>
          <w:rtl w:val="true"/>
          <w:lang w:bidi="ar-SA"/>
        </w:rPr>
        <w:t>، ولا يفتقر إلى قبض من الموقوف عليهم بعد ذلك، ولا يكفي قبوله عن الموقوف عليه في الخاص والعام؛ للأصل، وعدم الدليل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جعل الواقف قيماً لمجرد القبض لا لغيره من مصالح، ففي صحّة ذلك وكفاية قبضه وجهان</w:t>
      </w:r>
      <w:r>
        <w:rPr>
          <w:rFonts w:eastAsia="Amiri" w:cs="Amiri" w:ascii="Amiri" w:hAnsi="Amiri"/>
          <w:color w:val="111111"/>
          <w:sz w:val="28"/>
          <w:szCs w:val="28"/>
          <w:rtl w:val="true"/>
          <w:lang w:bidi="ar-SA"/>
        </w:rPr>
        <w:t xml:space="preserve">. </w:t>
      </w:r>
      <w:bookmarkStart w:id="476" w:name="pg19218_274094"/>
    </w:p>
    <w:p>
      <w:pPr>
        <w:pStyle w:val="Heading4"/>
        <w:numPr>
          <w:ilvl w:val="3"/>
          <w:numId w:val="1"/>
        </w:numPr>
        <w:rPr/>
      </w:pPr>
      <w:bookmarkStart w:id="477" w:name="__RefHeading___Toc13425105_1280447820"/>
      <w:bookmarkStart w:id="478" w:name="_Toc171"/>
      <w:bookmarkEnd w:id="476"/>
      <w:bookmarkEnd w:id="477"/>
      <w:r>
        <w:rPr>
          <w:rtl w:val="true"/>
        </w:rPr>
        <w:t>عاشرها</w:t>
      </w:r>
      <w:r>
        <w:rPr>
          <w:rtl w:val="true"/>
        </w:rPr>
        <w:t xml:space="preserve">: </w:t>
      </w:r>
      <w:r>
        <w:rPr>
          <w:rtl w:val="true"/>
        </w:rPr>
        <w:t>في أنّه يشترط في الوقف إخراجه عن نفسه وتخليتها عنه ملكاً وانتفاعاً وعوداً إليه وقت الحاجة</w:t>
      </w:r>
      <w:bookmarkEnd w:id="478"/>
    </w:p>
    <w:p>
      <w:pPr>
        <w:pStyle w:val="Heading5"/>
        <w:numPr>
          <w:ilvl w:val="4"/>
          <w:numId w:val="1"/>
        </w:numPr>
        <w:rPr/>
      </w:pPr>
      <w:bookmarkStart w:id="479" w:name="__RefHeading___Toc13425107_1280447820"/>
      <w:bookmarkStart w:id="480" w:name="_Toc172"/>
      <w:bookmarkEnd w:id="479"/>
      <w:r>
        <w:rPr>
          <w:rtl w:val="true"/>
        </w:rPr>
        <w:t>إشارة</w:t>
      </w:r>
      <w:r>
        <w:rPr>
          <w:rtl w:val="true"/>
        </w:rPr>
        <w:t>:</w:t>
      </w:r>
      <w:bookmarkEnd w:id="480"/>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الوقف إخراجه عن نفسه، وتخليتها عنه ملكاً وانتفاعاً وعوداً إليه وقت الحاجة على وجه الشرطية، أو على وجه الركنية فيما يصحّ جعله ركناً، فها هنا أُمور</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3425109_1280447820"/>
      <w:bookmarkStart w:id="482" w:name="_Toc173"/>
      <w:bookmarkEnd w:id="481"/>
      <w:r>
        <w:rPr>
          <w:rtl w:val="true"/>
        </w:rPr>
        <w:t>هنا أُمور</w:t>
      </w:r>
      <w:r>
        <w:rPr>
          <w:rtl w:val="true"/>
        </w:rPr>
        <w:t>:</w:t>
      </w:r>
      <w:bookmarkEnd w:id="482"/>
    </w:p>
    <w:p>
      <w:pPr>
        <w:pStyle w:val="Heading6"/>
        <w:numPr>
          <w:ilvl w:val="5"/>
          <w:numId w:val="1"/>
        </w:numPr>
        <w:rPr/>
      </w:pPr>
      <w:bookmarkStart w:id="483" w:name="__RefHeading___Toc13425111_1280447820"/>
      <w:bookmarkStart w:id="484" w:name="_Toc174"/>
      <w:bookmarkEnd w:id="483"/>
      <w:r>
        <w:rPr>
          <w:rtl w:val="true"/>
        </w:rPr>
        <w:t>الأوّل</w:t>
      </w:r>
      <w:r>
        <w:rPr>
          <w:rtl w:val="true"/>
        </w:rPr>
        <w:t xml:space="preserve">: </w:t>
      </w:r>
      <w:r>
        <w:rPr>
          <w:rtl w:val="true"/>
        </w:rPr>
        <w:t>عدم صحّة وقف الإنسان على نفسه شيئاً</w:t>
      </w:r>
      <w:bookmarkEnd w:id="48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وقف الإنسان على نفسه شيئاً؛ إجماعاً وشهرةً منقولتين </w:t>
      </w:r>
      <w:r>
        <w:rPr>
          <w:rStyle w:val="FootnoteAnchor"/>
          <w:rtl w:val="true"/>
        </w:rPr>
        <w:footnoteReference w:id="515"/>
      </w:r>
      <w:r>
        <w:rPr>
          <w:rFonts w:ascii="Amiri" w:hAnsi="Amiri" w:eastAsia="Amiri" w:cs="Amiri"/>
          <w:color w:val="111111"/>
          <w:sz w:val="28"/>
          <w:sz w:val="28"/>
          <w:szCs w:val="28"/>
          <w:rtl w:val="true"/>
          <w:lang w:bidi="ar-SA"/>
        </w:rPr>
        <w:t xml:space="preserve">بل محصّلتين، ولأن الوقف إزالة ملك وإدخاله على الموقوف عليه، كما نقل عليه الإجماع </w:t>
      </w:r>
      <w:r>
        <w:rPr>
          <w:rStyle w:val="FootnoteAnchor"/>
          <w:rtl w:val="true"/>
        </w:rPr>
        <w:footnoteReference w:id="516"/>
      </w:r>
      <w:r>
        <w:rPr>
          <w:rFonts w:ascii="Amiri" w:hAnsi="Amiri" w:eastAsia="Amiri" w:cs="Amiri"/>
          <w:color w:val="111111"/>
          <w:sz w:val="28"/>
          <w:sz w:val="28"/>
          <w:szCs w:val="28"/>
          <w:rtl w:val="true"/>
          <w:lang w:bidi="ar-SA"/>
        </w:rPr>
        <w:t>، والملك متحقق ها هنا، فلا يمكن إدخاله وتحديده بالنسبة إلى المالك؛ ولأنّه تمليك منفعة، أو عين ومنفعة، ولا يعقل بالنسبة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شرط في الوقف أن لا يخرج الوقف عن ملكه، أو لا يدخل في ملك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الوقف يملكه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 ذلك بطل الوقف؛ لمنافاته مقتضى الوقف، وفي الأخبار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يؤذن بمنع وقف الإنسان على نفسه</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13425113_1280447820"/>
      <w:bookmarkStart w:id="486" w:name="_Toc175"/>
      <w:bookmarkEnd w:id="485"/>
      <w:r>
        <w:rPr>
          <w:rtl w:val="true"/>
        </w:rPr>
        <w:t>الثاني</w:t>
      </w:r>
      <w:r>
        <w:rPr>
          <w:rtl w:val="true"/>
        </w:rPr>
        <w:t xml:space="preserve">: </w:t>
      </w:r>
      <w:r>
        <w:rPr>
          <w:rtl w:val="true"/>
        </w:rPr>
        <w:t>بطلان الوقف فيما لو وقف الإنسان على نفسه أو أشرك مع نفسه غيره في الوقف</w:t>
      </w:r>
      <w:bookmarkEnd w:id="48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لو وقف الإنسان على نفسه فقط بطل؛ لأنّه منقطع الأوّل والأخير والوسط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أشرك مع نفسه غيره في الوقف بطلا معاً؛ لأنّ تبعيض الصفقة على خلاف الأصل، ولأنّ القصد إلى وقف المجموع فما لم يسلم المجموع لم ينفذ في البعض؛ لأنّه لا يقع ما لم يقصد، ولتعلّق النهي الأصلي والتشريعي به فلا يجامع القربة المشروطة به؛ لأنّه 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الصحّة فيما يصحّ والبطلان فيما يبطل؛ لأنّ العقد وإن لم يتبعض بنفسه إلّا أنّه يتبعض أثره، فيؤثر في القابل وينصب عليه دون غير القابل، ولأن القصد إلى الجميع لا المجموع بشرط المجموعيّة، فإذا بطل شيء منه لا يبطل الجميع؛ وللمنع من اجتماع القربة مع النهي لحيثيتين مختلفتين، فتصح القربة فيما تصحّ فيه وتفسد فيما تفسد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الأخير تأمل، والأقرب الأوّل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الصحّة فيما تصحّ فيه فلو أوقف على نفسه وعلى زيد احتملت الصحّة بالتنصيف، واحتملت الصحّة بالكلّ فيعود كلّه لزيدٍ؛ تغليباً لجانب الصحّة في قصده، ولأنّه قد أخرجه عن نفسه فينصب على ما يمكن انصبابه عليه</w:t>
      </w:r>
      <w:r>
        <w:rPr>
          <w:rFonts w:eastAsia="Amiri" w:cs="Amiri" w:ascii="Amiri" w:hAnsi="Amiri"/>
          <w:color w:val="111111"/>
          <w:sz w:val="28"/>
          <w:szCs w:val="28"/>
          <w:rtl w:val="true"/>
          <w:lang w:bidi="ar-SA"/>
        </w:rPr>
        <w:t xml:space="preserve">. </w:t>
      </w:r>
      <w:bookmarkStart w:id="487" w:name="pg19218_274095"/>
    </w:p>
    <w:p>
      <w:pPr>
        <w:pStyle w:val="BookText"/>
        <w:rPr/>
      </w:pPr>
      <w:bookmarkEnd w:id="487"/>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توزيع الموقوف على الموقوف عليه، فانحصاره في واحد خلاف قصده، والعقود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وقفه على نفسه والفقراء، احتملت الصحّة بالتنصيف، أو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وبالثلاثة أرباع للفقراء؛ لأن الجمع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نفسه والمسجد، احتملت الصحّة بالتنصيف، واحتمل كونه بمنزلة الجمع؛ لأنّه وقف على المصلين من المسلمين</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13425115_1280447820"/>
      <w:bookmarkStart w:id="489" w:name="_Toc176"/>
      <w:bookmarkEnd w:id="488"/>
      <w:r>
        <w:rPr>
          <w:rtl w:val="true"/>
        </w:rPr>
        <w:t>الثالث</w:t>
      </w:r>
      <w:r>
        <w:rPr>
          <w:rtl w:val="true"/>
        </w:rPr>
        <w:t xml:space="preserve">: </w:t>
      </w:r>
      <w:r>
        <w:rPr>
          <w:rtl w:val="true"/>
        </w:rPr>
        <w:t>حكم ما لو وقف على نفسه ثمّ على غيره</w:t>
      </w:r>
      <w:bookmarkEnd w:id="48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الإنسان على نفسه ثمّ على غيره كان منقطع الأوّل، فيبطل في الأوّل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صحّته بالنسبة إلى ما بعده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بالبطلان </w:t>
      </w:r>
      <w:r>
        <w:rPr>
          <w:rStyle w:val="FootnoteAnchor"/>
          <w:rtl w:val="true"/>
        </w:rPr>
        <w:footnoteReference w:id="517"/>
      </w:r>
      <w:r>
        <w:rPr>
          <w:rFonts w:ascii="Amiri" w:hAnsi="Amiri" w:eastAsia="Amiri" w:cs="Amiri"/>
          <w:color w:val="111111"/>
          <w:sz w:val="28"/>
          <w:sz w:val="28"/>
          <w:szCs w:val="28"/>
          <w:rtl w:val="true"/>
          <w:lang w:bidi="ar-SA"/>
        </w:rPr>
        <w:t>للشكّ في دليل الصحّة، ولمنافاته للتقرب بالصيغة، وللزوم أحد أُمور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صحّة الوقف على نفسه إن صححناه في الجميع، أو صحّة الوقف المعلق إن صححناه بعد مضي زمن وجوده في الباقي، أو وقوع الوقف المشروط على غير ما شرط الواقف إن صححناه في الباقي في الحال، والمفروض أنّ 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الأقوى، ونُسب للأكثر </w:t>
      </w:r>
      <w:r>
        <w:rPr>
          <w:rStyle w:val="FootnoteAnchor"/>
          <w:rtl w:val="true"/>
        </w:rPr>
        <w:footnoteReference w:id="518"/>
      </w:r>
      <w:r>
        <w:rPr>
          <w:rFonts w:ascii="IRNazanin" w:hAnsi="IRNazanin" w:eastAsia="IRNazanin"/>
          <w:color w:val="111111"/>
          <w:sz w:val="28"/>
          <w:sz w:val="28"/>
          <w:szCs w:val="28"/>
          <w:rtl w:val="true"/>
          <w:lang w:bidi="fa-IR"/>
        </w:rPr>
        <w:t xml:space="preserve">ولمذهب أصحابنا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بالصحّة </w:t>
      </w:r>
      <w:r>
        <w:rPr>
          <w:rStyle w:val="FootnoteAnchor"/>
          <w:rtl w:val="true"/>
        </w:rPr>
        <w:footnoteReference w:id="520"/>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نظر ؛ لضعف العمومات وانصرافها إلى المعهود، وإجمال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كلّه بتمامه، فهو المأمور بالوفاء به، وتمامه لا يجب الوفاء به هنا إجماعاً، والبعض غير مأمور بالوفاء به، فلا يصلح التمسك بالعمومات لإثبات الصحّة في البعض المشكوك به</w:t>
      </w:r>
      <w:r>
        <w:rPr>
          <w:rFonts w:eastAsia="Amiri" w:cs="Amiri" w:ascii="Amiri" w:hAnsi="Amiri"/>
          <w:color w:val="111111"/>
          <w:sz w:val="28"/>
          <w:szCs w:val="28"/>
          <w:rtl w:val="true"/>
          <w:lang w:bidi="ar-SA"/>
        </w:rPr>
        <w:t xml:space="preserve">. </w:t>
      </w:r>
      <w:bookmarkStart w:id="490" w:name="pg19218_274096"/>
    </w:p>
    <w:p>
      <w:pPr>
        <w:pStyle w:val="BookText"/>
        <w:rPr/>
      </w:pPr>
      <w:bookmarkEnd w:id="490"/>
      <w:r>
        <w:rPr>
          <w:rFonts w:ascii="Amiri" w:hAnsi="Amiri" w:eastAsia="Amiri" w:cs="Amiri"/>
          <w:color w:val="111111"/>
          <w:sz w:val="28"/>
          <w:sz w:val="28"/>
          <w:szCs w:val="28"/>
          <w:rtl w:val="true"/>
          <w:lang w:bidi="ar-SA"/>
        </w:rPr>
        <w:t>وعلى القول بالصحّة في الأخير فهل يُحكم بها بعد إجراء صيغة الوقف؛ لصدور صيغة الوقف وعدم قبول محلّ لها سوى ما بعد نفسه، فيؤثر العقد في القابل دون غيره، أو يُحكم بها بعد موت الواقف وذهاب نفسه؛ لأنّ القصد في الوقف ذلك، والعقود تتبع القصود، والوقوف على حسب ما بوقفها أهلها؟</w:t>
      </w:r>
    </w:p>
    <w:p>
      <w:pPr>
        <w:pStyle w:val="BookText"/>
        <w:rPr/>
      </w:pPr>
      <w:r>
        <w:rPr>
          <w:rFonts w:ascii="Amiri" w:hAnsi="Amiri" w:eastAsia="Amiri" w:cs="Amiri"/>
          <w:color w:val="111111"/>
          <w:sz w:val="28"/>
          <w:sz w:val="28"/>
          <w:szCs w:val="28"/>
          <w:rtl w:val="true"/>
          <w:lang w:bidi="ar-SA"/>
        </w:rPr>
        <w:t>وهذا الأخير أوجه لو لا لزوم بقاء العقد معلقاً من دون تأثير إلى ما عد انقضاء الأوّل، وهو في العقود غير معقول؛ لاشتراط التنجيز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بالوقف على نفسه ابتداء كلّ وقف غير صحيح ابتداء، كالوقف على الملك والجنّ والبهائم والطيور والمعدوم والميت والمملوك وما يحرم الوقف عليه، وكما أن هذه لو وقعت في الابتداء كان من منقطع الأوّل، فكذلك لو وقعت في الأثناء كان من منقطع الوسط، وجاء الكلام في صحّة ما بعده وفساده كالكلام في منقطع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صححنا الآخر بعد انقطاع زمن الأوّل، ففي تقديره في الملك والجن والجمادات والميت التي لا يعقل ذهابها وعود الوقف إلى مَنْ بعدها إشكال، ولا يبعد هنا الحكم بالبطلان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الإشكال في تقدير زمن البهائم والطيور، فلا بدّ من التأمل، وسيجيء إن شاء اللّه تعالى تمام الكلام</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13425117_1280447820"/>
      <w:bookmarkStart w:id="492" w:name="_Toc177"/>
      <w:bookmarkEnd w:id="491"/>
      <w:r>
        <w:rPr>
          <w:rtl w:val="true"/>
        </w:rPr>
        <w:t>الرابع</w:t>
      </w:r>
      <w:r>
        <w:rPr>
          <w:rtl w:val="true"/>
        </w:rPr>
        <w:t xml:space="preserve">: </w:t>
      </w:r>
      <w:r>
        <w:rPr>
          <w:rtl w:val="true"/>
        </w:rPr>
        <w:t>حكم ما لو وقف واقف على جهة من الجهات وقفاً عاماً</w:t>
      </w:r>
      <w:bookmarkEnd w:id="49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واقف على جهةٍ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كوقف مسجد أو قنطرة أو مدرسة أو دار على المسلمين أو الفقهاء أو العلماء، أو وقف على نفس المسجد شيئاً، أو على نفس القنطرة، أو على نفس الدار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عاماً، فإن أطلق ولم يلاحظ نفسه بإدخال أو بإخراج صحّ الوقف قطعاً، وعلى ذلك جرت طريقة الأوقاف خلفاً وسلفاً، وجاز للواقف أن يشارك الموقوف عليه بالمنافع والنماء والانتفاع، ويكون حاله حالهم، بل ويختص به عند انحصاره فيه، ولا يكون من الجهة التي يبطل مصرفها، والظاهر أنّه يكون من الأفراد الموقوف عليهم بحكم الشارع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على ذلك بالسيرة وعمل المسلمين المستمر على ذلك، وبفتوى المشهور، والإجماع المنقول </w:t>
      </w:r>
      <w:r>
        <w:rPr>
          <w:rStyle w:val="FootnoteAnchor"/>
          <w:rtl w:val="true"/>
        </w:rPr>
        <w:footnoteReference w:id="524"/>
      </w:r>
      <w:r>
        <w:rPr>
          <w:rFonts w:ascii="Amiri" w:hAnsi="Amiri" w:eastAsia="Amiri" w:cs="Amiri"/>
          <w:color w:val="111111"/>
          <w:sz w:val="28"/>
          <w:sz w:val="28"/>
          <w:szCs w:val="28"/>
          <w:rtl w:val="true"/>
          <w:lang w:bidi="ar-SA"/>
        </w:rPr>
        <w:t>على جواز المشاركة الظاهرة في كونه واحداً منهم، ولا يتفاوت الحال بين اتصافه بالوصف حين الوقف أو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يؤيد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على مثل ذلك ليس وقفاً على الأشخاص المتّصفين بتلك الصفة أولاً وبالذات، بل على الجهة المخصوصة لانتفاع المتصف منهم بذلك الوصف به، ولذا لا يعتبر قبولهم ولا قبول بعضهم ولا قبضهم، ولا يجب صرف النماء إلى جميعهم، ولا ينتقل الملك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فالواقف يدخل تبعاً باعتبار اتصافه، فلا يكون ملحوظاً ابتداء، ودخول الواقف تبعاً على هذا النحو لا دليل على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على هذا التأييد بأن الوقف على الجهة وقف على الأشخاص بالحقيقة؛ لعدم معقولية الوقف على ما لا يملك وما لا يعقل، وأخذ الجهة في الوقف إنما كان عنواناً للتوصل به إلى أفراد ذلك النوع في مثل الوقف على العلماء والفقهاء، أو للتوصل به إلى المصلين والزائرين والمدرّسين في مثل الوقف على المسجد والمدرسة والخان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تقدير فأفراد ذلك النوع ملحوظة للواقف في الجملة، ودعوى عدم انتقال الملك إليهم وعدم اعتبار قبولهم وقبضهم، حيّز المنع، فيعود الكلام إلى أنّ الواقف قد دخل في الوقف على الجهة ويعود المحذور، فإذن العمدة في الاستدلال ما قدّمناه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ما ذهب إليه الحلّي من منع المشاركة؛ للإجماع على لزوم إخراج الواقف نفسه، ولا يمكن ذلك مع بقاء المشاركة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الإجماع ظاهر في لزوم ذلك في الوقف الخاص أو العام مع ذكر نفسه صريحاً أو القصد إليها ضمناً، لا مطلقاً؛ لفتوى مشهورهم وإجماعهم المنقول بجواز المشاركة عند اتصاف الواقف بصفة الموقوف عليه ابتداءً أو استدامة، فلا يمكن الاستناد إلى ما ذكره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لو أدخل نفسه صريحاً أو قصد إدخال نفسه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وإن ظهر من فتاوى المشهور وإطلاقاتهم جواز المشاركة مطلقاً ولو مع ذكر نفسه أو قصد إدخالها معهم؛ لإمكان صرف إطلاقاتهم إلى صورة عدم ذكر نفسه وعدم القصد إلى إدخالها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القصد إلى إدخالها العلم بدخوله شرعاً بعد إجراء صيغة الوقف على الإطلاق، كما هو الظاهر من الفتوى وسيرة المسلمين</w:t>
      </w:r>
      <w:r>
        <w:rPr>
          <w:rFonts w:eastAsia="Amiri" w:cs="Amiri" w:ascii="Amiri" w:hAnsi="Amiri"/>
          <w:color w:val="111111"/>
          <w:sz w:val="28"/>
          <w:szCs w:val="28"/>
          <w:rtl w:val="true"/>
          <w:lang w:bidi="ar-SA"/>
        </w:rPr>
        <w:t xml:space="preserve">. </w:t>
      </w:r>
      <w:bookmarkStart w:id="493" w:name="pg19218_274098"/>
    </w:p>
    <w:p>
      <w:pPr>
        <w:pStyle w:val="BookText"/>
        <w:rPr/>
      </w:pPr>
      <w:bookmarkEnd w:id="493"/>
      <w:r>
        <w:rPr>
          <w:rFonts w:ascii="Amiri" w:hAnsi="Amiri" w:eastAsia="Amiri" w:cs="Amiri"/>
          <w:color w:val="111111"/>
          <w:sz w:val="28"/>
          <w:sz w:val="28"/>
          <w:szCs w:val="28"/>
          <w:rtl w:val="true"/>
          <w:lang w:bidi="ar-SA"/>
        </w:rPr>
        <w:t>أما لو شرط خروجه وعدم المشاركة فلا يبعد صحّة الشرط، وعدم جواز مشاركته لهم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فساد الوقف؛ لمنافاة الشرط لمقتضاه، أو فساد الشرط فقط، فتجوز له المشاركة قهراً بعيدان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الوقف على المصالح العامّة كالمساجد والقناطر وبين الوقف على أرباب الصفة كالفقراء والعلماء، فأجاز المشاركة في الأوّل دون الثاني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لأنّه إن أراد بالأوّل ما يوقف على المسلمين من المساجد والقناطر وشبههما، فيتجه عليه عدم الفرق بينه وبين الأخير، سوى أن الأوّل أعم والثاني أقل منه عموماً، وهو لا يصلح للفرق، وإن أراد به ما يوقف على نحو المساجد والقناطر، فيتجه عليه أن كلا منهما وقف على الأشخاص وإن أُخذت المساجد والقناطر عنواناً في الأوّل دون الثاني، واختلاف العناوين لا يصلح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نُقل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ما ينتقل فيه الوقف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فتصح للواقف المشاركة؛ لأنّ مال اللّه تعالى تتساوى جميع خلقه فيه، ولأنّه ليس وقفاً على أحد من خلقه، وبين ما لا ينتقل إليه بل إلى المخلوقين فلا تصحّ فيه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جيّد؛ بناءً على انتقال الملك لله تعالى في المساجد</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13425119_1280447820"/>
      <w:bookmarkStart w:id="495" w:name="_Toc178"/>
      <w:bookmarkEnd w:id="494"/>
      <w:r>
        <w:rPr>
          <w:rtl w:val="true"/>
        </w:rPr>
        <w:t>الخامس</w:t>
      </w:r>
      <w:r>
        <w:rPr>
          <w:rtl w:val="true"/>
        </w:rPr>
        <w:t xml:space="preserve">: </w:t>
      </w:r>
      <w:r>
        <w:rPr>
          <w:rtl w:val="true"/>
        </w:rPr>
        <w:t>بطلان الوقف فيما إذا شرط الواقف قضاء ديونه منه أو إدرار مؤونته منه</w:t>
      </w:r>
      <w:bookmarkEnd w:id="495"/>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الوقف إذا شرط الواقف قضاء ديونه منه أو إدرار مؤونته منه، أو أن له حصةً من نمائه، أو أنّه ينتفع به بسكنى أو لباس أو نحوهما، ونُقل عن الأصحاب القطع به في الجملة </w:t>
      </w:r>
      <w:r>
        <w:rPr>
          <w:rStyle w:val="FootnoteAnchor"/>
          <w:rtl w:val="true"/>
        </w:rPr>
        <w:footnoteReference w:id="528"/>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ويستدلّ عليه بالأصل وعدم انصراف أدلّة الوقف لمثل ذلك؛ لعدم معهوديته، فلا يدخل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له بالخبرين في أحدهما رجل تصدق بدار له وهو ساكن فيها،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منها</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ولم يسأله عن أنّه اشترط له السكنى أم لا، وفي الثاني بعد أن سئل عن </w:t>
      </w:r>
      <w:bookmarkStart w:id="496" w:name="pg19218_274099"/>
    </w:p>
    <w:p>
      <w:pPr>
        <w:pStyle w:val="BookText"/>
        <w:rPr/>
      </w:pPr>
      <w:bookmarkEnd w:id="496"/>
      <w:r>
        <w:rPr>
          <w:rFonts w:ascii="Amiri" w:hAnsi="Amiri" w:eastAsia="Amiri" w:cs="Amiri"/>
          <w:color w:val="111111"/>
          <w:sz w:val="28"/>
          <w:sz w:val="28"/>
          <w:szCs w:val="28"/>
          <w:rtl w:val="true"/>
          <w:lang w:bidi="ar-SA"/>
        </w:rPr>
        <w:t>أكل الواقف من الضيعة التي وقفها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أن تأكل منها، فإن أنت أكلت منها لم ينفذ، إن كان لك ورثة فيع وتصدق ببعض ثمنها في حياتك، فإن تصدقت أمسك ما يقوتك مثل ما صنع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فإن ظاهر عدم النفوذ هو اشتراط عدم الأكل منها؛ إذ الأكل بمجرده لا يصلح لإبطال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الواقف أكل أضيافه أو عياله الغير واجبي النفقة فلا بأس، وكذا لو شرط أكل واجبي النفقة لا من حيثية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شرط خروج نفقة عياله الواجبة من الوقف أو خروج نفقة مملوكه أو دابّته، فسد الشرط والوقف؛ لعود الاشتراط إلى نفع نفسه وإدرار مؤونته فيدخل تحت 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أكل عياله وكانوا أرحاماً فاستغنوا به فسقطت عنه النفقة لاستغنائهم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ويشعر بجواز ذلك 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وقف على الزائرين له أو المصلين عنه أو الصائمين، صحّ لو قصد الوصف، حتّى لو كان هو الداعي له للوقف ولهم للعمل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وقف لأن يصلّى عنه أو يصوم </w:t>
      </w:r>
      <w:r>
        <w:rPr>
          <w:rStyle w:val="FootnoteAnchor"/>
          <w:rtl w:val="true"/>
        </w:rPr>
        <w:footnoteReference w:id="534"/>
      </w:r>
      <w:r>
        <w:rPr>
          <w:rFonts w:ascii="Amiri" w:hAnsi="Amiri" w:eastAsia="Amiri" w:cs="Amiri"/>
          <w:color w:val="111111"/>
          <w:sz w:val="28"/>
          <w:sz w:val="28"/>
          <w:szCs w:val="28"/>
          <w:rtl w:val="true"/>
          <w:lang w:bidi="ar-SA"/>
        </w:rPr>
        <w:t xml:space="preserve">عنه في حياته أو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صرف منافعه في وجوه القربات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الوقف على الأظهر؛ لأنّه في معنى عود الوقف إليه وصرفه على منافع نفسه من دون تفاوت بين الموت والحياة على الأظهر</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13425121_1280447820"/>
      <w:bookmarkStart w:id="498" w:name="_Toc179"/>
      <w:bookmarkEnd w:id="497"/>
      <w:r>
        <w:rPr>
          <w:rtl w:val="true"/>
        </w:rPr>
        <w:t>السادس</w:t>
      </w:r>
      <w:r>
        <w:rPr>
          <w:rtl w:val="true"/>
        </w:rPr>
        <w:t xml:space="preserve">: </w:t>
      </w:r>
      <w:r>
        <w:rPr>
          <w:rtl w:val="true"/>
        </w:rPr>
        <w:t>حكم ما لو وقف الواقف وشرط عود الوقف إليه عند الحاجة</w:t>
      </w:r>
      <w:bookmarkEnd w:id="49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الواقف وشرط عوده إليه عند الحاجة، فالأظهر البطلان؛ لمنافاة هذا الشرط لمقتضى عقد الوقف عرفاً وشرعاً؛ لابتنائه على الدوام وعلى خروج الملك منه بحيث لا يعود إليه، وللإجماع المنقول </w:t>
      </w:r>
      <w:r>
        <w:rPr>
          <w:rStyle w:val="FootnoteAnchor"/>
          <w:rtl w:val="true"/>
        </w:rPr>
        <w:footnoteReference w:id="535"/>
      </w:r>
      <w:r>
        <w:rPr>
          <w:rFonts w:ascii="IRNazanin" w:hAnsi="IRNazanin" w:eastAsia="IRNazanin"/>
          <w:color w:val="111111"/>
          <w:sz w:val="28"/>
          <w:sz w:val="28"/>
          <w:szCs w:val="28"/>
          <w:rtl w:val="true"/>
          <w:lang w:bidi="fa-IR"/>
        </w:rPr>
        <w:t>المعتضد بالقواعد والأصول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ولظاهر الخبرين المعتبرين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يتصدق ببعض ماله في حياته في كلّ وجه من وجوه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إلى شيءٍ من المال فأنا أحق به ترى ذلك له وقد جعله اللّه سبحانه يكون له في حياته، فإذا هلك الرجل يرجع ميراثاً أو يمضي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أوقف أرضاً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إليها فأنا أحق بها، ثمّ مات الرجل فإنّها ترجع إلى الميراث</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التفاوت بين اشتراط عود عينه إليه على وجه الملك أو الوقف، وبين عود منفعته، وبين اشتراط عوده وقفاً بعد الاستغناء وبين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بالصحّة </w:t>
      </w:r>
      <w:r>
        <w:rPr>
          <w:rStyle w:val="FootnoteAnchor"/>
          <w:rtl w:val="true"/>
        </w:rPr>
        <w:footnoteReference w:id="538"/>
      </w:r>
      <w:r>
        <w:rPr>
          <w:rFonts w:ascii="Amiri" w:hAnsi="Amiri" w:eastAsia="Amiri" w:cs="Amiri"/>
          <w:color w:val="111111"/>
          <w:sz w:val="28"/>
          <w:sz w:val="28"/>
          <w:szCs w:val="28"/>
          <w:rtl w:val="true"/>
          <w:lang w:bidi="ar-SA"/>
        </w:rPr>
        <w:t xml:space="preserve">، فيكون وقفاً إلى وقت الحاجة فيعود طلقاً، ونُقل عليه الإجماع </w:t>
      </w:r>
      <w:r>
        <w:rPr>
          <w:rStyle w:val="FootnoteAnchor"/>
          <w:rtl w:val="true"/>
        </w:rPr>
        <w:footnoteReference w:id="539"/>
      </w:r>
      <w:r>
        <w:rPr>
          <w:rFonts w:ascii="Amiri" w:hAnsi="Amiri" w:eastAsia="Amiri" w:cs="Amiri"/>
          <w:color w:val="111111"/>
          <w:sz w:val="28"/>
          <w:sz w:val="28"/>
          <w:szCs w:val="28"/>
          <w:rtl w:val="true"/>
          <w:lang w:bidi="ar-SA"/>
        </w:rPr>
        <w:t xml:space="preserve">، ونُسب للأكثر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عليه بعموم الوفاء بالعقود </w:t>
      </w:r>
      <w:r>
        <w:rPr>
          <w:rStyle w:val="FootnoteAnchor"/>
          <w:rtl w:val="true"/>
        </w:rPr>
        <w:footnoteReference w:id="541"/>
      </w:r>
      <w:r>
        <w:rPr>
          <w:rFonts w:ascii="Amiri" w:hAnsi="Amiri" w:eastAsia="Amiri" w:cs="Amiri"/>
          <w:color w:val="111111"/>
          <w:sz w:val="28"/>
          <w:sz w:val="28"/>
          <w:szCs w:val="28"/>
          <w:rtl w:val="true"/>
          <w:lang w:bidi="ar-SA"/>
        </w:rPr>
        <w:t>، وأدلّة لزوم الشروط</w:t>
      </w:r>
      <w:r>
        <w:rPr>
          <w:rStyle w:val="FootnoteAnchor"/>
          <w:rtl w:val="true"/>
        </w:rPr>
        <w:footnoteReference w:id="542"/>
      </w:r>
      <w:r>
        <w:rPr>
          <w:rFonts w:ascii="Amiri" w:hAnsi="Amiri" w:eastAsia="Amiri" w:cs="Amiri"/>
          <w:color w:val="111111"/>
          <w:sz w:val="28"/>
          <w:sz w:val="28"/>
          <w:szCs w:val="28"/>
          <w:rtl w:val="true"/>
          <w:lang w:bidi="ar-SA"/>
        </w:rPr>
        <w:t>،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وبالصحيحين المتقدّمين </w:t>
      </w:r>
      <w:r>
        <w:rPr>
          <w:rStyle w:val="FootnoteAnchor"/>
          <w:rtl w:val="true"/>
        </w:rPr>
        <w:footnoteReference w:id="544"/>
      </w:r>
      <w:r>
        <w:rPr>
          <w:rFonts w:ascii="Amiri" w:hAnsi="Amiri" w:eastAsia="Amiri" w:cs="Amiri"/>
          <w:color w:val="111111"/>
          <w:sz w:val="28"/>
          <w:sz w:val="28"/>
          <w:szCs w:val="28"/>
          <w:rtl w:val="true"/>
          <w:lang w:bidi="ar-SA"/>
        </w:rPr>
        <w:t xml:space="preserve">لاشتمالهما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صيرورته وقفاً ثمّ يرجع بعد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نظر ؛ لضعف التمسك بالعمومات كما تقدّم غير مرّة، وضعف الإجماع المنقول بمعارضته بمثله </w:t>
      </w:r>
      <w:r>
        <w:rPr>
          <w:rStyle w:val="FootnoteAnchor"/>
          <w:rtl w:val="true"/>
        </w:rPr>
        <w:footnoteReference w:id="545"/>
      </w:r>
      <w:r>
        <w:rPr>
          <w:rFonts w:ascii="Amiri" w:hAnsi="Amiri" w:eastAsia="Amiri" w:cs="Amiri"/>
          <w:color w:val="111111"/>
          <w:sz w:val="28"/>
          <w:sz w:val="28"/>
          <w:szCs w:val="28"/>
          <w:rtl w:val="true"/>
          <w:lang w:bidi="ar-SA"/>
        </w:rPr>
        <w:t xml:space="preserve">، ومخالفته للقواعد والضوابط المتقدّمة في شرائط الوقف، وضعف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 لأنّ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حقيقته غير ممكن هنا قطعاً؛ فإنّ المرجوع إليه هو كونه ميراثاً، وهو شيء لم يكن في حال حياة الواقف أصلاً، فإذا لم يمكن إرادة الحقيقة تعيّن المجاز، فيُحمل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يجتمع مع البطلان؛ بقرينة السؤال في الأوّل، حيث سأل عن صحّة هذا الوقف مع ما هو عليه من كونه صدقةً، فلا بدّ من حمل الجواب على ذلك ليطابق السؤال</w:t>
      </w:r>
      <w:r>
        <w:rPr>
          <w:rFonts w:eastAsia="Amiri" w:cs="Amiri" w:ascii="Amiri" w:hAnsi="Amiri"/>
          <w:color w:val="111111"/>
          <w:sz w:val="28"/>
          <w:szCs w:val="28"/>
          <w:rtl w:val="true"/>
          <w:lang w:bidi="ar-SA"/>
        </w:rPr>
        <w:t xml:space="preserve">. </w:t>
      </w:r>
      <w:bookmarkStart w:id="499" w:name="pg19218_274101"/>
    </w:p>
    <w:p>
      <w:pPr>
        <w:pStyle w:val="BookText"/>
        <w:rPr/>
      </w:pPr>
      <w:bookmarkEnd w:id="499"/>
      <w:r>
        <w:rPr>
          <w:rFonts w:ascii="Amiri" w:hAnsi="Amiri" w:eastAsia="Amiri" w:cs="Amiri"/>
          <w:color w:val="111111"/>
          <w:sz w:val="28"/>
          <w:sz w:val="28"/>
          <w:szCs w:val="28"/>
          <w:rtl w:val="true"/>
          <w:lang w:bidi="ar-SA"/>
        </w:rPr>
        <w:t>والمرجع في الحاجة إلى العرف ويتحقق بعدم ملك قوت يومه وليلته، وبعدم وجود ما يحتاج إليه من لباس وفراش وآنية، ويتحقق بافتقاره إلى السؤال فيما لا يمكنه الاستغناء عنه عادةً، وليس كلّ فقير محتاجاً عرفاً، فلا يتحقق الاحتياج بمجرد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بعوده إليه بمجرد الحاجة فهل يعود بمجرد ذلك، أو يتوقف على اختياره؟ وجهان، وظاهر الشرط الأوّل، إلّا أنّه اشتراط للغاية، وهو بعيد عن قواعد الشرط، فالأقرب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الواقف ولم يحتج، فهل يكون وقفاً؛ لعموم دليل الوفاء بالعقود </w:t>
      </w:r>
      <w:r>
        <w:rPr>
          <w:rStyle w:val="FootnoteAnchor"/>
          <w:rtl w:val="true"/>
        </w:rPr>
        <w:footnoteReference w:id="546"/>
      </w:r>
      <w:r>
        <w:rPr>
          <w:rFonts w:ascii="IRNazanin" w:hAnsi="IRNazanin" w:eastAsia="IRNazanin"/>
          <w:color w:val="111111"/>
          <w:sz w:val="28"/>
          <w:sz w:val="28"/>
          <w:szCs w:val="28"/>
          <w:rtl w:val="true"/>
          <w:lang w:bidi="fa-IR"/>
        </w:rPr>
        <w:t xml:space="preserve">والشروط </w:t>
      </w:r>
      <w:r>
        <w:rPr>
          <w:rStyle w:val="FootnoteAnchor"/>
          <w:rtl w:val="true"/>
        </w:rPr>
        <w:footnoteReference w:id="547"/>
      </w:r>
      <w:r>
        <w:rPr>
          <w:rFonts w:ascii="Amiri" w:hAnsi="Amiri" w:eastAsia="Amiri" w:cs="Amiri"/>
          <w:color w:val="111111"/>
          <w:sz w:val="28"/>
          <w:sz w:val="28"/>
          <w:szCs w:val="28"/>
          <w:rtl w:val="true"/>
          <w:lang w:bidi="ar-SA"/>
        </w:rPr>
        <w:t xml:space="preserve">، أم يكون حبساً، فيرجع إلى ورثة الواقف بعد موته وموت المحبوس عليه؛ لظاهر الخبرين المتقدّمين </w:t>
      </w:r>
      <w:r>
        <w:rPr>
          <w:rStyle w:val="FootnoteAnchor"/>
          <w:rtl w:val="true"/>
        </w:rPr>
        <w:footnoteReference w:id="548"/>
      </w:r>
      <w:r>
        <w:rPr>
          <w:rFonts w:ascii="Amiri" w:hAnsi="Amiri" w:eastAsia="Amiri" w:cs="Amiri"/>
          <w:color w:val="111111"/>
          <w:sz w:val="28"/>
          <w:sz w:val="28"/>
          <w:szCs w:val="28"/>
          <w:rtl w:val="true"/>
          <w:lang w:bidi="ar-SA"/>
        </w:rPr>
        <w:t>، ولأن الوقف إذا بطل يكون حبساً والحبس من خواصه ذلك؟</w:t>
      </w:r>
    </w:p>
    <w:p>
      <w:pPr>
        <w:pStyle w:val="BookText"/>
        <w:rPr/>
      </w:pPr>
      <w:r>
        <w:rPr>
          <w:rFonts w:ascii="Amiri" w:hAnsi="Amiri" w:eastAsia="Amiri" w:cs="Amiri"/>
          <w:color w:val="111111"/>
          <w:sz w:val="28"/>
          <w:sz w:val="28"/>
          <w:szCs w:val="28"/>
          <w:rtl w:val="true"/>
          <w:lang w:bidi="ar-SA"/>
        </w:rPr>
        <w:t xml:space="preserve">وفي ذلك نظر؛ لأن الحبس يبطل بموت المحبوس عليه، فيرجع إلى الحابس أو إلى ورثته، لا بموت الحابس، كما دلّت عليه الروايتان </w:t>
      </w:r>
      <w:r>
        <w:rPr>
          <w:rStyle w:val="FootnoteAnchor"/>
          <w:rtl w:val="true"/>
        </w:rPr>
        <w:footnoteReference w:id="549"/>
      </w:r>
      <w:r>
        <w:rPr>
          <w:rFonts w:ascii="IRNazanin" w:hAnsi="IRNazanin" w:eastAsia="IRNazanin"/>
          <w:color w:val="111111"/>
          <w:sz w:val="28"/>
          <w:sz w:val="28"/>
          <w:szCs w:val="28"/>
          <w:rtl w:val="true"/>
          <w:lang w:bidi="fa-IR"/>
        </w:rPr>
        <w:t>، فحملها على بطلان الوقف من أصله أولى من حملها على صحّته حبساً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نهاية الحبس حصول الحاجة، فإذا مات قبل أن تحصل الحاجة فيرجع بما حبس، لزم بقاؤه محبوساً دائماً؛ لعدم حصول الغاية، وحينئذٍ فتحديده بالموت يؤول إلى جعل ما ليس بغاية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قد تتحقق بالموت؛ لأنّه فقير بالموت وقد يحتاج إلى صلة أو مبرة من ثلثه فيعود إليه، وقد يكون الموت غايةٌ أُخرى قهرية لانفكاك الحبس بعد فوات الانفكاك الاختياري؛ لأن المال ينتقل بالموت إلى الوارث فيزول الحبس عنه بانتقاله إلى الوارث</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13425123_1280447820"/>
      <w:bookmarkStart w:id="501" w:name="_Toc180"/>
      <w:bookmarkEnd w:id="500"/>
      <w:r>
        <w:rPr>
          <w:rtl w:val="true"/>
        </w:rPr>
        <w:t>السابع</w:t>
      </w:r>
      <w:r>
        <w:rPr>
          <w:rtl w:val="true"/>
        </w:rPr>
        <w:t xml:space="preserve">: </w:t>
      </w:r>
      <w:r>
        <w:rPr>
          <w:rtl w:val="true"/>
        </w:rPr>
        <w:t>فيما لو صحّ اشتراط العود إليه فلابد من الاقتصار فيه على مورد النصّ والفتوى</w:t>
      </w:r>
      <w:bookmarkEnd w:id="50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اشتراط العود إليه عند الحاجة لا بدّ من الاقتصار فيه على مورد النصّ والفتوى، فلا يصحّ اشتراط عوده إليه عند حصول أمرٍ آخر أو دخول زمانٍ آخر أو غاية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يصحّ اشتراط أن يكون له الخيار فيه في وقتٍ خاص أو على وصف خاص، أو له الخيار مطلقاً؛ للأصل، ولعدم دليل على ثبوت خيار الشرط في الوقف، وصحة اشتراط عوده إليه عند الحاجة لا تدلّ على صحّة اشتراط الخيار في عقد الوقف؛ لأنّه لازم أعمّ، والعام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اشتراط الخيار اشتراط إخراج مَنْ يريد من الوقف إذا شاء، فإنّ هذا الشرط فاسد مفسد؛ لمنافاته مقتضى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وقف على قومٍ واشترط عليهم القيام بعمل أو الاتصاف بوصف، وأنهم متى قاموا أو اتصفوا دخلوا ومتى لم يقوموا ولم يتصفوا خرجوا جاز الشرط، وصح المشروط، وكان من أفراد الوقوف التي على حسب ما يوقفها أهلها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وقف على قوم وشرط إدخال مَنْ سيولد له أو لهم معهم على وجه التشريك في المنفعة والنماء، فإنّه جائز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لو شرط دخول مَنْ سيولد على أنّه موقوف عليه، فهو مبني على أن الشرط يقوم مقام صيغة الوقف أم لا؟</w:t>
      </w:r>
    </w:p>
    <w:p>
      <w:pPr>
        <w:pStyle w:val="BookText"/>
        <w:rPr/>
      </w:pPr>
      <w:r>
        <w:rPr>
          <w:rFonts w:ascii="Amiri" w:hAnsi="Amiri" w:eastAsia="Amiri" w:cs="Amiri"/>
          <w:color w:val="111111"/>
          <w:sz w:val="28"/>
          <w:sz w:val="28"/>
          <w:szCs w:val="28"/>
          <w:rtl w:val="true"/>
          <w:lang w:bidi="ar-SA"/>
        </w:rPr>
        <w:t>نعم، يصحّ ذلك عند الإتيان بصيغة الوقف فيصح الوقف على المعدوم تبعاً للموجود ومنضماً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صحّته مع الشرط بحث، إلّا أنّ ظاهر الأصحاب على جوازه، ونُقل عليه الإجماع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شرط الواقف إدخال مَنْ يريد دخوله بعد الوقف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أدخلتُ فلاناً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 صيغته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احتملت صحّة ذلك؛ لعموم أدلّة الشروط </w:t>
      </w:r>
      <w:r>
        <w:rPr>
          <w:rStyle w:val="FootnoteAnchor"/>
          <w:rtl w:val="true"/>
        </w:rPr>
        <w:footnoteReference w:id="55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ولأنّه في قوة اشتراط دخول مَنْ يريد؛ لأنّه عند إرادة دخوله استحق الدخول باتصافه بتلك الصفة، واحتمل البطلان؛ لما قدّمنا من فقدان صيغة الوقف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أجرى عليهم صيغة الوقف وشرط الإدخال والإخراج على نحو يصحّ فلا بأس</w:t>
      </w:r>
      <w:r>
        <w:rPr>
          <w:rFonts w:eastAsia="Amiri" w:cs="Amiri" w:ascii="Amiri" w:hAnsi="Amiri"/>
          <w:color w:val="111111"/>
          <w:sz w:val="28"/>
          <w:szCs w:val="28"/>
          <w:rtl w:val="true"/>
          <w:lang w:bidi="ar-SA"/>
        </w:rPr>
        <w:t xml:space="preserve">. </w:t>
      </w:r>
      <w:bookmarkStart w:id="502" w:name="pg19218_274103"/>
    </w:p>
    <w:p>
      <w:pPr>
        <w:pStyle w:val="BookText"/>
        <w:rPr/>
      </w:pPr>
      <w:bookmarkEnd w:id="502"/>
      <w:r>
        <w:rPr>
          <w:rFonts w:ascii="Amiri" w:hAnsi="Amiri" w:eastAsia="Amiri" w:cs="Amiri"/>
          <w:color w:val="111111"/>
          <w:sz w:val="28"/>
          <w:sz w:val="28"/>
          <w:szCs w:val="28"/>
          <w:rtl w:val="true"/>
          <w:lang w:bidi="ar-SA"/>
        </w:rPr>
        <w:t xml:space="preserve">ولو شرط نقله عن الموقوف عليهم إلى مَنْ سيوجد، فإن أراد ترتيب الوقف على المذكورين على حسب الصفة، بأن يكون الوقف على الأوّلين ما داموا منفردين، فإذا ولد لهم ولد وكانوا خارجين عن الوقف فينتقل الوقف إلى ولدهم صحّ، ويدخل تحت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 ولأنّه بمنزلة الوقف على متصفين بأوصاف ينتقل الوقف من أحدهم إلى الآخر على حسب الوصف، ولجواز الوقف على أولاده سنةً ثمّ على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صحّته الإجماع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فجواز هذا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أراد انتقال الوقف عنهم إلى مَنْ سيوجد بعد ثبوته بطل الوقف؛ لمنافاة ذلك للدوام، وعلى ذلك يُنزل إجماع الشيخ المنقول على البطلان </w:t>
      </w:r>
      <w:r>
        <w:rPr>
          <w:rStyle w:val="FootnoteAnchor"/>
          <w:rtl w:val="true"/>
        </w:rPr>
        <w:footnoteReference w:id="555"/>
      </w:r>
      <w:r>
        <w:rPr>
          <w:rFonts w:ascii="Amiri" w:hAnsi="Amiri" w:eastAsia="Amiri" w:cs="Amiri"/>
          <w:color w:val="111111"/>
          <w:sz w:val="28"/>
          <w:sz w:val="28"/>
          <w:szCs w:val="28"/>
          <w:rtl w:val="true"/>
          <w:lang w:bidi="ar-SA"/>
        </w:rPr>
        <w:t xml:space="preserve">، وليس هذا كالوقف على أولاده سنةً ثمّ على المساكين لو سلّمنا جوازه، وإلا فقد نقل الرجوع عن الإجماع المنقول عن العلامة في القواعد إلى الإشكال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13425125_1280447820"/>
      <w:bookmarkStart w:id="504" w:name="_Toc181"/>
      <w:bookmarkEnd w:id="503"/>
      <w:r>
        <w:rPr>
          <w:rtl w:val="true"/>
        </w:rPr>
        <w:t>حادي عشرها</w:t>
      </w:r>
      <w:r>
        <w:rPr>
          <w:rtl w:val="true"/>
        </w:rPr>
        <w:t xml:space="preserve">: </w:t>
      </w:r>
      <w:r>
        <w:rPr>
          <w:rtl w:val="true"/>
        </w:rPr>
        <w:t>حكم ما إذا وقف على أولاده الأصاغر</w:t>
      </w:r>
      <w:bookmarkEnd w:id="504"/>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أولاده الأصاغر فحكمهم كحكم الأكابر وغيرهم، لا يجوز أن يشترك معهم غيرهم بعد حصول الوقف والقبض، ولا يتفاوت الحال بين اشتراط قصره على الأصاغر، وبين إطلاق الوقف عليهم، كلّ ذلك للأصل، والاستصحاب، ولفتوى مشهور الأصحاب، بل قد يدعى فهم الإجماع من بعضهم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يتصدق على ولده بصدقةٍ وهُمْ صغار، ألَهُ أن يرجع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الصدقة اللّه تعالى</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وإشراك غيرهم معهم بعد أن كان لهم نوع رجوع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يتصدق ببعض ماله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ويبينه لهم، </w:t>
      </w:r>
    </w:p>
    <w:p>
      <w:pPr>
        <w:pStyle w:val="BookText"/>
        <w:rPr/>
      </w:pPr>
      <w:r>
        <w:rPr>
          <w:rFonts w:ascii="Amiri" w:hAnsi="Amiri" w:eastAsia="Amiri" w:cs="Amiri"/>
          <w:color w:val="111111"/>
          <w:sz w:val="28"/>
          <w:sz w:val="28"/>
          <w:szCs w:val="28"/>
          <w:rtl w:val="true"/>
          <w:lang w:bidi="ar-SA"/>
        </w:rPr>
        <w:t>أله أن يدخل معهم من ولده غيرهم بعد أن أبانهم بصدقةٍ؟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ذلك إلّا أن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تصدق عليه، فذلك له</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بالصدقة هنا الوقف أو ما يشمله، كما هو الظاهر من استعمالها في الأخبار وفي كلام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النهاية والقاضي جواز أن يشرك الواقف على أولاده الصغار غيرهم معهم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وقيّده القاضي بما إذا لم يشترط قصره على الموجودين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مستندهما صحيحة عبد الرحمن في الرجل يجعل لولده شيئاً وهم صغار، ثمّ يبدو له أن يجعل معهم غيرهم من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محمد بن سهل عن الرجل يتصدّق على بعض ولده بطرف من ماله، ثمّ يبدو له بعد ذلك أن يدخل معه غيره من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ومثلهما رواية علي بن يقطين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إعراض الأصحاب عن العمل بمضمونهما، ومخالفتهما الأصول والقواعد، واشتمال سند الأوّل على محمّد بن إسماعيل عن الفضل وفيه كلام، واشتمال الثاني على محمد بن سهل ولا يخلو عن ضعف، ممّا يوجب طرحهما، أو تأويلهما بإرادة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وقوع ذلك، أو بوقوع ذلك من دون اجتماع شرائط الوقف والصدقة من تمييز الموقوف أو الإقباض أو نحوهما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قوله في الرواية المتقدّمة </w:t>
      </w:r>
      <w:r>
        <w:rPr>
          <w:rStyle w:val="FootnoteAnchor"/>
          <w:rtl w:val="true"/>
        </w:rPr>
        <w:footnoteReference w:id="565"/>
      </w:r>
      <w:r>
        <w:rPr>
          <w:rFonts w:ascii="Amiri" w:hAnsi="Amiri" w:eastAsia="Amiri" w:cs="Amiri"/>
          <w:color w:val="111111"/>
          <w:sz w:val="28"/>
          <w:sz w:val="28"/>
          <w:szCs w:val="28"/>
          <w:rtl w:val="true"/>
          <w:lang w:bidi="ar-SA"/>
        </w:rPr>
        <w:t>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ويبينه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أبانهم بصدقةٍ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رتب المنع على الإبانة، فيترتب الجواز في الروايات الأخر على عدمها</w:t>
      </w:r>
      <w:r>
        <w:rPr>
          <w:rFonts w:eastAsia="Amiri" w:cs="Amiri" w:ascii="Amiri" w:hAnsi="Amiri"/>
          <w:color w:val="111111"/>
          <w:sz w:val="28"/>
          <w:szCs w:val="28"/>
          <w:rtl w:val="true"/>
          <w:lang w:bidi="ar-SA"/>
        </w:rPr>
        <w:t xml:space="preserve">. </w:t>
      </w:r>
      <w:bookmarkStart w:id="505" w:name="pg19218_274105"/>
    </w:p>
    <w:p>
      <w:pPr>
        <w:pStyle w:val="BookText"/>
        <w:rPr/>
      </w:pPr>
      <w:bookmarkEnd w:id="505"/>
      <w:r>
        <w:rPr>
          <w:rFonts w:ascii="Amiri" w:hAnsi="Amiri" w:eastAsia="Amiri" w:cs="Amiri"/>
          <w:color w:val="111111"/>
          <w:sz w:val="28"/>
          <w:sz w:val="28"/>
          <w:szCs w:val="28"/>
          <w:rtl w:val="true"/>
          <w:lang w:bidi="ar-SA"/>
        </w:rPr>
        <w:t xml:space="preserve">وأما تفصيل القاضي بين اشتراط قصره على الموجودين فلا يصحّ، وبين عدمه فيصح، فهو وإن كان أقل مخالفة للقواعد إلّا أنّه لا شاهد عليه سوى ما يتخيل من الجمع بين الروايات المجوّزة والمانعة، وما يتخيّل من إرادة اشتراط قصره على الموجودين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المانعة، وكلُّ منهما محل نظر ؛ لأنّ الجمع فرع المقاومة،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اشتراط قصره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ظاهر الروايات المجوّزة ينبغي الاقتصار على خصوص اشتراك ولده الباقين مع ولده الأصاغر، دون اشتراك غير ولده مع ولده، أو اشتراك ولده مع غيرهم، أو غيرهم مع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بعض العبارات </w:t>
      </w:r>
      <w:r>
        <w:rPr>
          <w:rStyle w:val="FootnoteAnchor"/>
          <w:rtl w:val="true"/>
        </w:rPr>
        <w:footnoteReference w:id="566"/>
      </w:r>
      <w:r>
        <w:rPr>
          <w:rFonts w:ascii="Amiri" w:hAnsi="Amiri" w:eastAsia="Amiri" w:cs="Amiri"/>
          <w:color w:val="111111"/>
          <w:sz w:val="28"/>
          <w:sz w:val="28"/>
          <w:szCs w:val="28"/>
          <w:rtl w:val="true"/>
          <w:lang w:bidi="ar-SA"/>
        </w:rPr>
        <w:t>من جواز إدخال الغير مع الولد مطلقاً نقلاً عن الشيخ، ومن بعض الروايات كرواية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يتصدّق على ولده بصدقةٍ ثمّ بدا له أن يدخل غيره فيه مع ولده أيصلح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يصنع الوالد بمال ولده ما أحبّ</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فتوى ونقلاً </w:t>
      </w:r>
      <w:r>
        <w:rPr>
          <w:rStyle w:val="FootnoteAnchor"/>
          <w:rtl w:val="true"/>
        </w:rPr>
        <w:footnoteReference w:id="568"/>
      </w:r>
      <w:r>
        <w:rPr>
          <w:rFonts w:ascii="IRNazanin" w:hAnsi="IRNazanin" w:eastAsia="IRNazanin"/>
          <w:color w:val="111111"/>
          <w:sz w:val="28"/>
          <w:sz w:val="28"/>
          <w:szCs w:val="28"/>
          <w:rtl w:val="true"/>
          <w:lang w:bidi="fa-IR"/>
        </w:rPr>
        <w:t>ومخالف للفتاوى والنصوص</w:t>
      </w:r>
      <w:r>
        <w:rPr>
          <w:rFonts w:eastAsia="IRNazanin" w:cs="IRNazanin"/>
          <w:color w:val="111111"/>
          <w:sz w:val="28"/>
          <w:szCs w:val="28"/>
          <w:rtl w:val="true"/>
          <w:lang w:bidi="fa-IR"/>
        </w:rPr>
        <w:t>.</w:t>
      </w:r>
    </w:p>
    <w:p>
      <w:pPr>
        <w:pStyle w:val="Heading4"/>
        <w:numPr>
          <w:ilvl w:val="3"/>
          <w:numId w:val="1"/>
        </w:numPr>
        <w:rPr/>
      </w:pPr>
      <w:bookmarkStart w:id="506" w:name="__RefHeading___Toc13425127_1280447820"/>
      <w:bookmarkStart w:id="507" w:name="_Toc182"/>
      <w:bookmarkEnd w:id="506"/>
      <w:r>
        <w:rPr>
          <w:rtl w:val="true"/>
        </w:rPr>
        <w:t>ثاني عشرها</w:t>
      </w:r>
      <w:r>
        <w:rPr>
          <w:rtl w:val="true"/>
        </w:rPr>
        <w:t xml:space="preserve">: </w:t>
      </w:r>
      <w:r>
        <w:rPr>
          <w:rtl w:val="true"/>
        </w:rPr>
        <w:t>فيما لو وقف الواقف على أشخاص على الإطلاق وقبضهم لم يصحّ إدخال غيرهم معهم</w:t>
      </w:r>
      <w:bookmarkEnd w:id="507"/>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الواقف على أشخاص على الإطلاق وقبضهم، لم يصحّ إدخال غيرهم معهم، ولا تغيير الوقف أو تبديله أو الرجوع فيه فيما عدا ما اختلف فيه في الصورة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الاستصحاب، واتفاق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النادر الذي لا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وعموماتُ الأدلّة وخصوصاتها المشعرة بأن الوقف بعد حصوله لا يُغيّر ولا يُبدل، والإجماع المنقول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نقل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جواز التغيير في الوقف والإدخال فيه لو حدث في الموقوف عليه حدث يمنع الشارع من صلته والتقرب إليه به والصدقة عليه من كفر أو فسق يستعين بالوقف عليهما </w:t>
      </w:r>
      <w:r>
        <w:rPr>
          <w:rStyle w:val="FootnoteAnchor"/>
          <w:rtl w:val="true"/>
        </w:rPr>
        <w:footnoteReference w:id="570"/>
      </w:r>
      <w:r>
        <w:rPr>
          <w:rFonts w:ascii="Amiri" w:hAnsi="Amiri" w:eastAsia="Amiri" w:cs="Amiri"/>
          <w:color w:val="111111"/>
          <w:sz w:val="28"/>
          <w:sz w:val="28"/>
          <w:szCs w:val="28"/>
          <w:rtl w:val="true"/>
          <w:lang w:bidi="ar-SA"/>
        </w:rPr>
        <w:t xml:space="preserve">، ونفى عنه البُعْدَ بعضُهم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مخالف للأدلة المتقدّمة، ولو أنّ </w:t>
      </w:r>
    </w:p>
    <w:p>
      <w:pPr>
        <w:pStyle w:val="BookText"/>
        <w:rPr/>
      </w:pPr>
      <w:r>
        <w:rPr>
          <w:rFonts w:ascii="Amiri" w:hAnsi="Amiri" w:eastAsia="Amiri" w:cs="Amiri"/>
          <w:color w:val="111111"/>
          <w:sz w:val="28"/>
          <w:sz w:val="28"/>
          <w:szCs w:val="28"/>
          <w:rtl w:val="true"/>
          <w:lang w:bidi="ar-SA"/>
        </w:rPr>
        <w:t>حدوث ما ذكر مناف للوقف لكان منافياً لسائر ما يملكه الموقوف عليه فينبغي جواز تغييرها، وهو ظاهر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مذهبهم اختصاص الحكم بحدوث الحادث، فلا يسري لما كان حاصلاً في ابتداء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الواقف في الوقف إدخال غير الموقوف عليه معه إذا وُجد أو اتصف بالصفة الخاصّة، فالظاهر صحّة ذلك ولو بلفظ الشرط، كما يظهر من المشهور، وربما نُقل عليه الإجماع </w:t>
      </w:r>
      <w:r>
        <w:rPr>
          <w:rStyle w:val="FootnoteAnchor"/>
          <w:rtl w:val="true"/>
        </w:rPr>
        <w:footnoteReference w:id="572"/>
      </w:r>
      <w:r>
        <w:rPr>
          <w:rFonts w:ascii="Amiri" w:hAnsi="Amiri" w:eastAsia="Amiri" w:cs="Amiri"/>
          <w:color w:val="111111"/>
          <w:sz w:val="28"/>
          <w:sz w:val="28"/>
          <w:szCs w:val="28"/>
          <w:rtl w:val="true"/>
          <w:lang w:bidi="ar-SA"/>
        </w:rPr>
        <w:t xml:space="preserve">تمسكاً بعموم دليل الشروط </w:t>
      </w:r>
      <w:r>
        <w:rPr>
          <w:rStyle w:val="FootnoteAnchor"/>
          <w:rtl w:val="true"/>
        </w:rPr>
        <w:footnoteReference w:id="573"/>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شرط إدخال من يريد بعد الوقف إدخاله فأراد دخول أحدٍ، صحّ الشرط، ودخل مَنْ أراد على ما قطع به بعض الأصحاب، حيث إنّه جعله كالأوّل في الحكم؛ لرجوعه إلى اشتراط دخول مَنْ تعلّقت الإرادة بدخوله، فكما صحّ الأوّل اتفاقاً صحّ الثاني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فساده بأنّه يكون في قوّة نقل حصة الموقوف عليه لتقليلها بدخول الثاني وارد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ليس إلى ذلك ابتداء وإن لزمه أخيراً، كالوقف التشريكي على البطون المتلاحقة، ولا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ففي صحّة ذلك مع الشرط بل بنفس الوقف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عليك وعلى كلّ من أريد دخوله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إخراج مَنْ يريد من أهل الوقف بعد تمامه ومضيّه بطل، اتفاقاً منقولاً </w:t>
      </w:r>
      <w:r>
        <w:rPr>
          <w:rStyle w:val="FootnoteAnchor"/>
          <w:rtl w:val="true"/>
        </w:rPr>
        <w:footnoteReference w:id="576"/>
      </w:r>
      <w:r>
        <w:rPr>
          <w:rFonts w:ascii="Amiri" w:hAnsi="Amiri" w:eastAsia="Amiri" w:cs="Amiri"/>
          <w:color w:val="111111"/>
          <w:sz w:val="28"/>
          <w:sz w:val="28"/>
          <w:szCs w:val="28"/>
          <w:rtl w:val="true"/>
          <w:lang w:bidi="ar-SA"/>
        </w:rPr>
        <w:t>بل محصلاً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جعله بصورة الوصف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عليكم ما دمت مريداً لدخولكم، فإذا انقرضتم أو كنتُ مريداً لخروجكم فعلى الفقراء ففي صحّته وجه، إلّا أنّ ظاهر الأصحاب منعه مطلقاً</w:t>
      </w:r>
      <w:r>
        <w:rPr>
          <w:rFonts w:eastAsia="Amiri" w:cs="Amiri" w:ascii="Amiri" w:hAnsi="Amiri"/>
          <w:color w:val="111111"/>
          <w:sz w:val="28"/>
          <w:szCs w:val="28"/>
          <w:rtl w:val="true"/>
          <w:lang w:bidi="ar-SA"/>
        </w:rPr>
        <w:t xml:space="preserve">. </w:t>
      </w:r>
      <w:bookmarkStart w:id="508" w:name="pg19218_274107"/>
    </w:p>
    <w:p>
      <w:pPr>
        <w:pStyle w:val="BookText"/>
        <w:rPr/>
      </w:pPr>
      <w:bookmarkEnd w:id="508"/>
      <w:r>
        <w:rPr>
          <w:rFonts w:ascii="Amiri" w:hAnsi="Amiri" w:eastAsia="Amiri" w:cs="Amiri"/>
          <w:color w:val="111111"/>
          <w:sz w:val="28"/>
          <w:sz w:val="28"/>
          <w:szCs w:val="28"/>
          <w:rtl w:val="true"/>
          <w:lang w:bidi="ar-SA"/>
        </w:rPr>
        <w:t>ولو شرط نقله عن الموقوف عليه إلى مَنْ سيوجد، فإن جعله بصورة الوصف فللصحة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جعله بصورة الشرط،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هذا عليكم بشرط أن ينتقل عنكم إلى مَنْ يوجد من أولادكم، قيل ببطلانه </w:t>
      </w:r>
      <w:r>
        <w:rPr>
          <w:rStyle w:val="FootnoteAnchor"/>
          <w:rtl w:val="true"/>
        </w:rPr>
        <w:footnoteReference w:id="577"/>
      </w:r>
      <w:r>
        <w:rPr>
          <w:rFonts w:ascii="IRNazanin" w:hAnsi="IRNazanin" w:eastAsia="IRNazanin"/>
          <w:color w:val="111111"/>
          <w:sz w:val="28"/>
          <w:sz w:val="28"/>
          <w:szCs w:val="28"/>
          <w:rtl w:val="true"/>
          <w:lang w:bidi="fa-IR"/>
        </w:rPr>
        <w:t xml:space="preserve">، ونُسب للمشهور </w:t>
      </w:r>
      <w:r>
        <w:rPr>
          <w:rStyle w:val="FootnoteAnchor"/>
          <w:rtl w:val="true"/>
        </w:rPr>
        <w:footnoteReference w:id="578"/>
      </w:r>
      <w:r>
        <w:rPr>
          <w:rFonts w:ascii="Amiri" w:hAnsi="Amiri" w:eastAsia="Amiri" w:cs="Amiri"/>
          <w:color w:val="111111"/>
          <w:sz w:val="28"/>
          <w:sz w:val="28"/>
          <w:szCs w:val="28"/>
          <w:rtl w:val="true"/>
          <w:lang w:bidi="ar-SA"/>
        </w:rPr>
        <w:t xml:space="preserve">وحكي عليه الإجماع </w:t>
      </w:r>
      <w:r>
        <w:rPr>
          <w:rStyle w:val="FootnoteAnchor"/>
          <w:rtl w:val="true"/>
        </w:rPr>
        <w:footnoteReference w:id="579"/>
      </w:r>
      <w:r>
        <w:rPr>
          <w:rFonts w:ascii="Amiri" w:hAnsi="Amiri" w:eastAsia="Amiri" w:cs="Amiri"/>
          <w:color w:val="111111"/>
          <w:sz w:val="28"/>
          <w:sz w:val="28"/>
          <w:szCs w:val="28"/>
          <w:rtl w:val="true"/>
          <w:lang w:bidi="ar-SA"/>
        </w:rPr>
        <w:t>، واستند فيه للأصل في محلّ الشكّ، ولعدم دخوله تحت العقود المعهودة، أو الوقوف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بصحّته </w:t>
      </w:r>
      <w:r>
        <w:rPr>
          <w:rStyle w:val="FootnoteAnchor"/>
          <w:rtl w:val="true"/>
        </w:rPr>
        <w:footnoteReference w:id="580"/>
      </w:r>
      <w:r>
        <w:rPr>
          <w:rFonts w:ascii="Amiri" w:hAnsi="Amiri" w:eastAsia="Amiri" w:cs="Amiri"/>
          <w:color w:val="111111"/>
          <w:sz w:val="28"/>
          <w:sz w:val="28"/>
          <w:szCs w:val="28"/>
          <w:rtl w:val="true"/>
          <w:lang w:bidi="ar-SA"/>
        </w:rPr>
        <w:t xml:space="preserve">، ونُقل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ادّعى على ذلك الإجماع </w:t>
      </w:r>
      <w:r>
        <w:rPr>
          <w:rStyle w:val="FootnoteAnchor"/>
          <w:rtl w:val="true"/>
        </w:rPr>
        <w:footnoteReference w:id="581"/>
      </w:r>
      <w:r>
        <w:rPr>
          <w:rFonts w:ascii="Amiri" w:hAnsi="Amiri" w:eastAsia="Amiri" w:cs="Amiri"/>
          <w:color w:val="111111"/>
          <w:sz w:val="28"/>
          <w:sz w:val="28"/>
          <w:szCs w:val="28"/>
          <w:rtl w:val="true"/>
          <w:lang w:bidi="ar-SA"/>
        </w:rPr>
        <w:t xml:space="preserve">، واستقربها في الدروس </w:t>
      </w:r>
      <w:r>
        <w:rPr>
          <w:rStyle w:val="FootnoteAnchor"/>
          <w:rtl w:val="true"/>
        </w:rPr>
        <w:footnoteReference w:id="582"/>
      </w:r>
      <w:r>
        <w:rPr>
          <w:rFonts w:ascii="Amiri" w:hAnsi="Amiri" w:eastAsia="Amiri" w:cs="Amiri"/>
          <w:color w:val="111111"/>
          <w:sz w:val="28"/>
          <w:sz w:val="28"/>
          <w:szCs w:val="28"/>
          <w:rtl w:val="true"/>
          <w:lang w:bidi="ar-SA"/>
        </w:rPr>
        <w:t>بناءً على أنّه مثل الوقف على ذي الوصف المنتقل من صنف إلى صنفٍ، وربما جعل بمنزلة الوقف على أولاده سنةً ثمّ من بعدها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الإجماع بالإجماع المتقدّم </w:t>
      </w:r>
      <w:r>
        <w:rPr>
          <w:rStyle w:val="FootnoteAnchor"/>
          <w:rtl w:val="true"/>
        </w:rPr>
        <w:footnoteReference w:id="583"/>
      </w:r>
      <w:r>
        <w:rPr>
          <w:rFonts w:ascii="Amiri" w:hAnsi="Amiri" w:eastAsia="Amiri" w:cs="Amiri"/>
          <w:color w:val="111111"/>
          <w:sz w:val="28"/>
          <w:sz w:val="28"/>
          <w:szCs w:val="28"/>
          <w:rtl w:val="true"/>
          <w:lang w:bidi="ar-SA"/>
        </w:rPr>
        <w:t>المعتضد بفتوى المشهور، ورُدّ القياس على الوصف بأنّه مع الفارق؛ لأنّ الوقف على المتصف وقف على الجهة فيدور مدارها الوقف وجوداً وعدماً، بخلاف الوقف على قوم واشتراط نقله فإنّه وقف ونقل، وهو ممّا ينافي اللزوم والدوام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القياس على الوقف على أولاده سنةً ثمّ من بعدها على المساكين بمنع المقيس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وتسليمه وكونه مع الفارق ثانياً؛ لأن الوقف مدّة معيّنةً ثمّ من بعدها على مَنْ لا ينقرض وقف ينتقل من وقت إلى وقتٍ ومن حال إلى حالٍ، بخلاف اشتراط النقل فإنّه وقف ونقل عن الموقوف عليه بعد كونه وقفاً، فهو منافٍ للدوام ولوضع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الأخير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حصل النقل بصورة الوصف في الوقف فيصح، وبين ما يجعله بصورة الشرط؛ للشكّ في تأثير الشرط النقل عن أهل الوقف ما لم يدخل في الوصف وشبهه، ولا يبعد حمل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3425129_1280447820"/>
      <w:bookmarkStart w:id="510" w:name="_Toc183"/>
      <w:bookmarkEnd w:id="509"/>
      <w:r>
        <w:rPr>
          <w:rtl w:val="true"/>
        </w:rPr>
        <w:t>ثالث عشرها</w:t>
      </w:r>
      <w:r>
        <w:rPr>
          <w:rtl w:val="true"/>
        </w:rPr>
        <w:t xml:space="preserve">: </w:t>
      </w:r>
      <w:r>
        <w:rPr>
          <w:rtl w:val="true"/>
        </w:rPr>
        <w:t>في بيان شرائط الموقوف</w:t>
      </w:r>
      <w:bookmarkEnd w:id="510"/>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الموقوف أُمور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عيناً، لا دَيْناً ولا كلّيّاً وإن وصف بصفات السَّلَم، ولا مبهماً مردّداً ولا منفعةً </w:t>
      </w:r>
    </w:p>
    <w:p>
      <w:pPr>
        <w:pStyle w:val="BookText"/>
        <w:rPr/>
      </w:pPr>
      <w:r>
        <w:rPr>
          <w:rFonts w:ascii="Amiri" w:hAnsi="Amiri" w:eastAsia="Amiri" w:cs="Amiri"/>
          <w:color w:val="111111"/>
          <w:sz w:val="28"/>
          <w:sz w:val="28"/>
          <w:szCs w:val="28"/>
          <w:rtl w:val="true"/>
          <w:lang w:bidi="ar-SA"/>
        </w:rPr>
        <w:t xml:space="preserve">ولا حقاً؛ للأصل في محلّ الشكّ، ولانصراف أدلّة الوقف عموماً وخصوصاً للعين المقابلة لجميع ما ذكرناه، وللإجماع المنقول </w:t>
      </w:r>
      <w:r>
        <w:rPr>
          <w:rStyle w:val="FootnoteAnchor"/>
          <w:rtl w:val="true"/>
        </w:rPr>
        <w:footnoteReference w:id="584"/>
      </w:r>
      <w:r>
        <w:rPr>
          <w:rFonts w:ascii="Amiri" w:hAnsi="Amiri" w:eastAsia="Amiri" w:cs="Amiri"/>
          <w:color w:val="111111"/>
          <w:sz w:val="28"/>
          <w:sz w:val="28"/>
          <w:szCs w:val="28"/>
          <w:rtl w:val="true"/>
          <w:lang w:bidi="ar-SA"/>
        </w:rPr>
        <w:t xml:space="preserve">على اشتراط أن لا يكون دَيْناً ولا منفعةً ولا مبهماً، بل قد يدعى الإجماع المحصل على اشتراط أن لا يكون الوقف من أحدها، على أن الوقف المتلقى من الشارع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تحبيس الأصل وإطلاق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المنفعة منافٍ لذلك؛ لأنّها ممّا تنقضي شيئاً فشيئاً، وكذلك وقف المبهم؛ لأنّه لا وجود 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وقف الدين والكلّي وإن أمكن القول بصحّتهما كما يصحّ بيعهما، ويكون قبض الفرد قبضاً لهما، وكما تصحّ هبة ما في الذمّة لغير مَنْ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أجازه بعضهم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قبض الفرد قبضاً له، سيّما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المقبوض ينصب العقد عليه ويكون هو المعقود عليه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المانع من وقفهما كونهما معدومين ولا يصحّ وقف المعدوم، أو كون مقتضاهما التعليق والوقف شرطه التنجيز، ضعيف؛ لأنّ الكلّي ليس من الأمور المعدومة قطعاً؛ لتعلق الأحكام الوضعية والتكليفية به ولجواز جعله ثمناً ومثمناً ومهراً، وكذا الدين، وليسا أيضاً من الأمور المقتضية للتعليق؛ لتنجيز ما تعلّق بهما في بيع ومهر وشبههما، فيملكان في الذمّة منجزاً وإن توقف تعينهما على قبض فردهما في الخارج، وحينئذٍ فلا مانع من تعلّق وقف الكلي أو الدين في الذمّة منجزاً، إلّا أنّه لا يتعيّن إلّا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 الاتفاق على منع وقفهما واشتراط القبض والتسليم في الوقف ممّا يشعر بذلك وإن لم يكن بينهما</w:t>
      </w:r>
    </w:p>
    <w:p>
      <w:pPr>
        <w:pStyle w:val="BookText"/>
        <w:rPr/>
      </w:pPr>
      <w:r>
        <w:rPr>
          <w:rFonts w:ascii="Amiri" w:hAnsi="Amiri" w:eastAsia="Amiri" w:cs="Amiri"/>
          <w:color w:val="111111"/>
          <w:sz w:val="28"/>
          <w:sz w:val="28"/>
          <w:szCs w:val="28"/>
          <w:rtl w:val="true"/>
          <w:lang w:bidi="ar-SA"/>
        </w:rPr>
        <w:t>ممانعة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العين مقدوراً على تسليمها أو تسلّمها عرفاً، فلا يصحّ وقف غير المقدور على تسليمه كالطير في الهواء، ونُقل على ذلك الإجماع </w:t>
      </w:r>
      <w:r>
        <w:rPr>
          <w:rStyle w:val="FootnoteAnchor"/>
          <w:rtl w:val="true"/>
        </w:rPr>
        <w:footnoteReference w:id="586"/>
      </w:r>
      <w:r>
        <w:rPr>
          <w:rFonts w:ascii="Amiri" w:hAnsi="Amiri" w:eastAsia="Amiri" w:cs="Amiri"/>
          <w:color w:val="111111"/>
          <w:sz w:val="28"/>
          <w:sz w:val="28"/>
          <w:szCs w:val="28"/>
          <w:rtl w:val="true"/>
          <w:lang w:bidi="ar-SA"/>
        </w:rPr>
        <w:t>، والظاهر أنّه اتفاقي، واشتراط القبض ممّا يشعر به، وإن لم يكن بين اشتراط القبض وتعذر التسليم منافاة؛ لبقاء عقد الوقف موقوفاً إلى إمكان تسليمه، فإن أمكن صحّ الوقف، وإلا فلا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معلومة، فلا يصحّ وقف المجهول عند الواقف بل وعند الموقوف عليه إذا لم يكن له تميّز في الجملة؛ لعدم انصراف أدلّة الوقف لمثله، وللشك في اندراج الوقف </w:t>
      </w:r>
    </w:p>
    <w:p>
      <w:pPr>
        <w:pStyle w:val="BookText"/>
        <w:rPr/>
      </w:pPr>
      <w:r>
        <w:rPr>
          <w:rFonts w:ascii="Amiri" w:hAnsi="Amiri" w:eastAsia="Amiri" w:cs="Amiri"/>
          <w:color w:val="111111"/>
          <w:sz w:val="28"/>
          <w:sz w:val="28"/>
          <w:szCs w:val="28"/>
          <w:rtl w:val="true"/>
          <w:lang w:bidi="ar-SA"/>
        </w:rPr>
        <w:t xml:space="preserve">المجهول تحت أدلّة الوقف وإلا فلا ممانعة بين المجهول ووقفه؛ لأن الوقف ليس من عقود المعاوضات التي قد نهى فيها عن الغرر </w:t>
      </w:r>
      <w:r>
        <w:rPr>
          <w:rStyle w:val="FootnoteAnchor"/>
          <w:rtl w:val="true"/>
        </w:rPr>
        <w:footnoteReference w:id="587"/>
      </w:r>
      <w:r>
        <w:rPr>
          <w:rFonts w:ascii="Amiri" w:hAnsi="Amiri" w:eastAsia="Amiri" w:cs="Amiri"/>
          <w:color w:val="111111"/>
          <w:sz w:val="28"/>
          <w:sz w:val="28"/>
          <w:szCs w:val="28"/>
          <w:rtl w:val="true"/>
          <w:lang w:bidi="ar-SA"/>
        </w:rPr>
        <w:t>، سيما لو كانت الجهالة ممّا تؤول إلى العلم، وسيّما لو كانت من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للعين منفعة ظاهرة مقصودة للعقلاء، وأن تكون محللة، وأن تكون ممّا يمكن الانتفاع بها مع بقائها بحيث لا يؤدي الانتفاع بها إلى 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للشيء منفعتان محلة ومحرمة فقصد المحلل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المحلَّل مقصوداً للواقف إلّا أنّه غير مقصود للعقلاء، بطل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المنفعة دوامها ولا وجودها فعلاً، فيصح وقف ريحان يسرع الفساد إليه، ووقف تفاحة للشم على الأظهر، وإن أمكن المناقشة فيه بعدم انصراف الأدلّة إليه، وعدم كونه معهوداً، ومنافاته للدوام المبني عليه الوقف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وقف ما تتوقع منفعته وإن لم تكن له منفعة فعلية، كالدابة الصغيرة قبل إمكان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المنفعة أمراً لا يؤدي إلى تلف العين بحيث يتوقف الانتفاع على التلف، كوقف الخبز والماء، وكونها متموّلةً عرفاً على وجه،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لأنّه ليس من عقود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الموقوف نجساً أو متنجساً لا يقبل التطهير؛ للشكّ في شمول أدلّة الوقف لمثله، ولا يبعد جواز وقف كلب الصيد بعد القول بملكه، وأن لا يكون ممّا لا يملك كالسنانير والوحوش والسباع، وأن لا يكون معيناً على معصية، كوقف السلاح على أعداء الدين والحرب قائمة، أو وقف ما يتوصل به إلى محرَّمٍ من حيثية التوصل، كلّ ذلك لمكان النهي المنافي للقربة، ولما فيه من الإعانة على الإثم والعدوان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وقف كلّ مشترك بين المسلمين، كالأراضي المباحة والخراجية والطرق النافذة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لا يملكه الواقف ففي صحّته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الوقف عقداً فيشمله ما دلّ على صحّة الفضولي من العقود، ومن عدم كونه عقداً مجرّداً؛ لاشتراط القربة في صحته، وهي بملك الغير غير حاصلة، سيما في الغاصب، وسيّما فيما وقف على نفسه؛ لأن القربة الصادرة </w:t>
      </w:r>
    </w:p>
    <w:p>
      <w:pPr>
        <w:pStyle w:val="BookText"/>
        <w:rPr/>
      </w:pPr>
      <w:r>
        <w:rPr>
          <w:rFonts w:ascii="Amiri" w:hAnsi="Amiri" w:eastAsia="Amiri" w:cs="Amiri"/>
          <w:color w:val="111111"/>
          <w:sz w:val="28"/>
          <w:sz w:val="28"/>
          <w:szCs w:val="28"/>
          <w:rtl w:val="true"/>
          <w:lang w:bidi="ar-SA"/>
        </w:rPr>
        <w:t>من الفضولي لا أثر لها، والقربة الصادرة من المجيز حين الإجازة مشكوك في تأثيرها، إمّا لاشتراط مقارنة القربة للصيغة بنفسها، أو للشكّ في تحقق القربة المشترطة في الوقف في القربة الصادرة من المجيز بعد وقوع العقد مع أنّ الأصل عدم النقل وبقاء الملكية، إلّا أن يفرض صدور القربة من الفضولي جهلاً وصدور القربة من المالك حين الإجازة وأن يقع الوقف عن مالكه وتكون الإجازة على طبقه، فلا يبعد حينئذٍ صحّة الوقف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الفضولي الوقف عن نفسه فأجاز المالك كذلك، كان تمليكاً له ووقفاً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أجاز المالك عن نفسه، أو نوى الفضولي عن المالك فأجاز المالك عن الفضولي ففي الصحّة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الصادر من الفضولي مع الإجازة بطل الوقف، فلو وقف خاصاً أو تشريكاً، أو مقيداً بقيد أو مشروطاً بشرط، فأجاز عاماً، أو مرتباً، أو مطلقاً، أو غير مشروط، أو مشروطاً بشرط آخر بطل الوقف، إلّا أن يجيز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فالفضولي في الوقف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فضولي القبض كفضولي العقد ؟ يحتمل ذلك؛ لاشتراط استمرار القربة معه، فيجري عليه ما يجري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كفاية القربة المقارنة للصيغة من المالك مع القربة المقارنة لإجازة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فضولي القبول كفضولي الإيجاب فيجري فيه الإشكال المتقدّم، أو أنّه ماضٍ عند الإجازة من غير إشكال؛ لعدم منافاة القربة له؟ وجهان،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ما يملك وما لا يملك صحّ في المملوك دون غيره، وتفرّقت الصفقة، وانصب العقد إلى القابل دون غير القابل؛ لأنّ الأسباب الشرعيّة معرّفات لا علل عقلية، ونفذت القربة فيما يصحّ وفسدت فيما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لاحظ الوقف على الجميع، فلو لاحظ المجموع من حيث هو مجموع ففي صحّة الوقف إشكال، ولا يبعد عدم صحته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وقف الأسلحة والذهب والفضة على الحضرات والمشاهد المشرفة للتزيين والتعظيم لها، وبالحقيقة هو وقف على المسلمين؛ لانتفاعهم فيه بتعظيم مساجدهم وحضراتهم، ولكيد أعدائهم وإغماض عيون حسادهم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ويصحّ وقف الدراهم والدنانير للتزيين والتعظيم، ولجلب المال والاعتبار ولمنافع أُخر، كما ورد في الأخبار </w:t>
      </w:r>
      <w:r>
        <w:rPr>
          <w:rStyle w:val="FootnoteAnchor"/>
          <w:rtl w:val="true"/>
        </w:rPr>
        <w:footnoteReference w:id="588"/>
      </w:r>
      <w:r>
        <w:rPr>
          <w:rFonts w:ascii="Amiri" w:hAnsi="Amiri" w:eastAsia="Amiri" w:cs="Amiri"/>
          <w:color w:val="111111"/>
          <w:sz w:val="28"/>
          <w:sz w:val="28"/>
          <w:szCs w:val="28"/>
          <w:rtl w:val="true"/>
          <w:lang w:bidi="ar-SA"/>
        </w:rPr>
        <w:t xml:space="preserve">من جواز الانتفاع بها مع بقاء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إن شاء اللّه في كتاب العارية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تحت ما يصحّ وقفه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جماعة </w:t>
      </w:r>
      <w:r>
        <w:rPr>
          <w:rStyle w:val="FootnoteAnchor"/>
          <w:rtl w:val="true"/>
        </w:rPr>
        <w:footnoteReference w:id="590"/>
      </w:r>
      <w:r>
        <w:rPr>
          <w:rFonts w:ascii="Amiri" w:hAnsi="Amiri" w:eastAsia="Amiri" w:cs="Amiri"/>
          <w:color w:val="111111"/>
          <w:sz w:val="28"/>
          <w:sz w:val="28"/>
          <w:szCs w:val="28"/>
          <w:rtl w:val="true"/>
          <w:lang w:bidi="ar-SA"/>
        </w:rPr>
        <w:t xml:space="preserve">من وقفها، 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الاتفاق على المنع إلّا ممّن شد وندر </w:t>
      </w:r>
      <w:r>
        <w:rPr>
          <w:rStyle w:val="FootnoteAnchor"/>
          <w:rtl w:val="true"/>
        </w:rPr>
        <w:footnoteReference w:id="591"/>
      </w:r>
      <w:r>
        <w:rPr>
          <w:rFonts w:ascii="Amiri" w:hAnsi="Amiri" w:eastAsia="Amiri" w:cs="Amiri"/>
          <w:color w:val="111111"/>
          <w:sz w:val="28"/>
          <w:sz w:val="28"/>
          <w:szCs w:val="28"/>
          <w:rtl w:val="true"/>
          <w:lang w:bidi="ar-SA"/>
        </w:rPr>
        <w:t>، ولعله بذلك يحصل الإشكال في صحّة وقفها وشمول أدلة الوقف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الموقوف موجوداً، فلا يصحّ وقف المعدوم ابتداء، سواء كانت له مادة وأصل أو لم يكن له؛ لعدم دخوله تحت دليل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وقف المعدوم تبعاً بالشرط، كما يقف الأمة بشرط أن يكون ولدها وقفاً، ويقف الشجرة على أن يكون ثمرها وقفاً، وهو وإن لم يكن وقفاً حقيقةً ففائدته فائدة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يجري ذلك في المعدوم من غير توابع الأصل، فلا يصحّ وقف كتاب بشرط أن ما تحمله الأمة وقف؛ لعدم دليل على صحته، وعموم دليل الشرط </w:t>
      </w:r>
      <w:r>
        <w:rPr>
          <w:rStyle w:val="FootnoteAnchor"/>
          <w:rtl w:val="true"/>
        </w:rPr>
        <w:footnoteReference w:id="592"/>
      </w:r>
      <w:r>
        <w:rPr>
          <w:rFonts w:ascii="Amiri" w:hAnsi="Amiri" w:eastAsia="Amiri" w:cs="Amiri"/>
          <w:color w:val="111111"/>
          <w:sz w:val="28"/>
          <w:sz w:val="28"/>
          <w:szCs w:val="28"/>
          <w:rtl w:val="true"/>
          <w:lang w:bidi="ar-SA"/>
        </w:rPr>
        <w:t>لا يقضي بجوازه، كما تقدّم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معدوماً فبان موجوداً، فالأقرب الفساد، مع احتمال الصحّة لو قارن القربة على 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موجوداً ومعدوماً، صحّ في الموجود دون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مذكوراً بلفظه أو بالإشارة إليه من قرينة حالٍ أو مقال، فلو لم يذكر فسد الوقف</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ذكر شيئاً فبان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زعم أنّه جارية فبانَ عبداً كان من تعارض الاسم والإشارة، فإن كان القصد أوّلاً وبالذات نفس المسمّى ووقع التعبير بالاسم زعماً صحّ في المستى، وإن كان القصد الاسم ووقع صدقه على المسمّى منه زعماً صحّ في الاسم، وإن لم يكن له قصد أوّلاً وبالذات فسد الوقف، وكذا لو قصد المسمّى والاسم فبان خلافه</w:t>
      </w:r>
      <w:r>
        <w:rPr>
          <w:rFonts w:eastAsia="Amiri" w:cs="Amiri" w:ascii="Amiri" w:hAnsi="Amiri"/>
          <w:color w:val="111111"/>
          <w:sz w:val="28"/>
          <w:szCs w:val="28"/>
          <w:rtl w:val="true"/>
          <w:lang w:bidi="ar-SA"/>
        </w:rPr>
        <w:t xml:space="preserve">. </w:t>
      </w:r>
      <w:bookmarkStart w:id="511" w:name="pg19218_274112"/>
    </w:p>
    <w:p>
      <w:pPr>
        <w:pStyle w:val="BookText"/>
        <w:rPr/>
      </w:pPr>
      <w:bookmarkEnd w:id="511"/>
      <w:r>
        <w:rPr>
          <w:rFonts w:ascii="Amiri" w:hAnsi="Amiri" w:eastAsia="Amiri" w:cs="Amiri"/>
          <w:color w:val="111111"/>
          <w:sz w:val="28"/>
          <w:sz w:val="28"/>
          <w:szCs w:val="28"/>
          <w:rtl w:val="true"/>
          <w:lang w:bidi="ar-SA"/>
        </w:rPr>
        <w:t>ولو وقف شيئاً بزعم أنّه صغير أو معيب أو بقيمة دنيا، فبان كبيراً أو صحيحاً أو بقيمة عليا تضرّ بحاله، فالظاهر صحّة الوقف ومضيه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البطلان لتبعية العقود للقصود، أو الصحّة متزلزلاً فله الخيار بين الإمضاء والفسخ احتمالان قويان، إلّا أن الأوّل أقوى</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3425131_1280447820"/>
      <w:bookmarkStart w:id="513" w:name="_Toc184"/>
      <w:bookmarkEnd w:id="512"/>
      <w:r>
        <w:rPr>
          <w:rtl w:val="true"/>
        </w:rPr>
        <w:t>رابع عشرها</w:t>
      </w:r>
      <w:r>
        <w:rPr>
          <w:rtl w:val="true"/>
        </w:rPr>
        <w:t xml:space="preserve">: </w:t>
      </w:r>
      <w:r>
        <w:rPr>
          <w:rtl w:val="true"/>
        </w:rPr>
        <w:t>في أنّه يصحّ وقف المشاع كما يصحّ وقف المقسوم</w:t>
      </w:r>
      <w:bookmarkEnd w:id="513"/>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وقف المشاع كما يصحّ وقف المقسوم؛ لعمومات الأدلّة وإطلاقاتها، والإجماع المنقول </w:t>
      </w:r>
      <w:r>
        <w:rPr>
          <w:rStyle w:val="FootnoteAnchor"/>
          <w:rtl w:val="true"/>
        </w:rPr>
        <w:footnoteReference w:id="593"/>
      </w:r>
      <w:r>
        <w:rPr>
          <w:rFonts w:ascii="Amiri" w:hAnsi="Amiri" w:eastAsia="Amiri" w:cs="Amiri"/>
          <w:color w:val="111111"/>
          <w:sz w:val="28"/>
          <w:sz w:val="28"/>
          <w:szCs w:val="28"/>
          <w:rtl w:val="true"/>
          <w:lang w:bidi="ar-SA"/>
        </w:rPr>
        <w:t>، بل قد يدعى المحصل، ولإمكان القبض في المشترك مطلقاً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التخلية مطلقاً، أو ما يكون القبض فيه هو التخلية، وإمكان القبض بإذن الشريك والواقف في مقام لا يكون القبض هو التخلية، فإن لم يأذن الشريك جبر على القسمة، وقبضه الموقوف عليه مقسوماً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بطلان القبض هنا؛ لأنّ المقبوض حينئذٍ غير الموقوف ضعيف؛ لأن القسمة هنا مميزة ومثبتة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الحال فيما لو امتنع الشريك من التقبيض ولم يكن الموقوف ممّا يجبر الممتنع على قسمته، فهنا يحتمل البطلان ويحتمل الصحّة مراعاة بالقبض ولو بعد حين، ويحتمل أن للحاكم نصب ثالث عند امتناع الشريك للقبض عن الموقوف عليه بإذن الواقف، ويحتمل أنّ القبض يكون ها هنا هو التخلية لتعسّر غيرها، بل قد يجعل القبض كلّه هو التخلية في باب الوقوف والصدقات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عصى الشريك فقبض المال المشترك من دون إذن الشريك، فالأقرب فساد القبض؛ لمنافاته للقربة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الأخبار ما يدلّ على جواز الوقف المشاع،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في سهام خیبر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وقد كانت السهام مشاعةٌ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وكالأخبار الواردة في الصدقة الظاهرة جملة منها في الوقف أو الشاملة له بترك الاستفصال</w:t>
      </w:r>
      <w:r>
        <w:rPr>
          <w:rFonts w:eastAsia="Amiri" w:cs="Amiri" w:ascii="Amiri" w:hAnsi="Amiri"/>
          <w:color w:val="111111"/>
          <w:sz w:val="28"/>
          <w:szCs w:val="28"/>
          <w:rtl w:val="true"/>
          <w:lang w:bidi="ar-SA"/>
        </w:rPr>
        <w:t xml:space="preserve">. </w:t>
      </w:r>
      <w:bookmarkStart w:id="514" w:name="pg19218_274113"/>
    </w:p>
    <w:p>
      <w:pPr>
        <w:pStyle w:val="BookText"/>
        <w:rPr/>
      </w:pPr>
      <w:bookmarkEnd w:id="514"/>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يتصدق بالصدقة المشتركة،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 عن صدقة ما لم تُقبض ولم تُقسم،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لم تُقسّم فيتصدق بعض أهل الدار بنصيبه،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بصحّته كذلك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سابع عن صدقة ما لم يُقسم ولم يُقبض،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جائزة</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فيها الصدقة بالشيء قبل القبض من المتصدق وقبل تقبيضه له، وليس المراد أن الصدقة لا تفتقر إلى قبض وتقبيض، كما هو ظاهر</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3425133_1280447820"/>
      <w:bookmarkStart w:id="516" w:name="_Toc185"/>
      <w:bookmarkEnd w:id="515"/>
      <w:r>
        <w:rPr>
          <w:rtl w:val="true"/>
        </w:rPr>
        <w:t>خامس عشرها</w:t>
      </w:r>
      <w:r>
        <w:rPr>
          <w:rtl w:val="true"/>
        </w:rPr>
        <w:t xml:space="preserve">: </w:t>
      </w:r>
      <w:r>
        <w:rPr>
          <w:rtl w:val="true"/>
        </w:rPr>
        <w:t>حكم وقف من بلغ عشراً</w:t>
      </w:r>
      <w:bookmarkEnd w:id="516"/>
    </w:p>
    <w:p>
      <w:pPr>
        <w:pStyle w:val="BookText"/>
        <w:rPr/>
      </w:pPr>
      <w:r>
        <w:rPr>
          <w:rFonts w:ascii="IRNazanin" w:hAnsi="IRNazanin" w:eastAsia="IRNazanin"/>
          <w:color w:val="111111"/>
          <w:sz w:val="28"/>
          <w:sz w:val="28"/>
          <w:szCs w:val="28"/>
          <w:rtl w:val="true"/>
          <w:lang w:bidi="fa-IR"/>
        </w:rPr>
        <w:t>خامس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Style w:val="FootnoteAnchor"/>
          <w:rtl w:val="true"/>
        </w:rPr>
        <w:footnoteReference w:id="601"/>
      </w:r>
      <w:r>
        <w:rPr>
          <w:rFonts w:ascii="Amiri" w:hAnsi="Amiri" w:eastAsia="Amiri" w:cs="Amiri"/>
          <w:color w:val="111111"/>
          <w:sz w:val="28"/>
          <w:sz w:val="28"/>
          <w:szCs w:val="28"/>
          <w:rtl w:val="true"/>
          <w:lang w:bidi="ar-SA"/>
        </w:rPr>
        <w:t>اشتراط اجتماع شرائط التكليف في الواقف من البلوغ والعقل والرشد وعدم الحجر عليه بفلس أو مرض، أو نذر لما ينافي الوقف أو عهد أو يمين؛ للأدلة الدالّة على منع أُولئك من التصرّف كتاباً وسنّة وإجماعاً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في صحّة وقف مَنْ بلغ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بصحّته </w:t>
      </w:r>
      <w:r>
        <w:rPr>
          <w:rStyle w:val="FootnoteAnchor"/>
          <w:rtl w:val="true"/>
        </w:rPr>
        <w:footnoteReference w:id="602"/>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في ماله إذا أعتق أو تصدق على وجه معروف</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وصدقته ووصيته وإن لم يحتلم</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517" w:name="pg19218_274114"/>
    </w:p>
    <w:p>
      <w:pPr>
        <w:pStyle w:val="BookText"/>
        <w:rPr/>
      </w:pPr>
      <w:bookmarkEnd w:id="517"/>
      <w:r>
        <w:rPr>
          <w:rFonts w:ascii="Amiri" w:hAnsi="Amiri" w:eastAsia="Amiri" w:cs="Amiri"/>
          <w:color w:val="111111"/>
          <w:sz w:val="28"/>
          <w:sz w:val="28"/>
          <w:szCs w:val="28"/>
          <w:rtl w:val="true"/>
          <w:lang w:bidi="ar-SA"/>
        </w:rPr>
        <w:t>وفي ثالث عن صدقة الغلام ما لم يحتلم،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وضعها موضع الصدقة</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والوقف الصدقة، كما تدلّ عليه النصوص </w:t>
      </w:r>
      <w:r>
        <w:rPr>
          <w:rStyle w:val="FootnoteAnchor"/>
          <w:rtl w:val="true"/>
        </w:rPr>
        <w:footnoteReference w:id="606"/>
      </w:r>
      <w:r>
        <w:rPr>
          <w:rFonts w:ascii="IRNazanin" w:hAnsi="IRNazanin" w:eastAsia="IRNazanin"/>
          <w:color w:val="111111"/>
          <w:sz w:val="28"/>
          <w:sz w:val="28"/>
          <w:szCs w:val="28"/>
          <w:rtl w:val="true"/>
          <w:lang w:bidi="fa-IR"/>
        </w:rPr>
        <w:t>والفتاوى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وللأخبار الدالّة على جواز وصيّته </w:t>
      </w:r>
      <w:r>
        <w:rPr>
          <w:rStyle w:val="FootnoteAnchor"/>
          <w:rtl w:val="true"/>
        </w:rPr>
        <w:footnoteReference w:id="607"/>
      </w:r>
      <w:r>
        <w:rPr>
          <w:rFonts w:ascii="Amiri" w:hAnsi="Amiri" w:eastAsia="Amiri" w:cs="Amiri"/>
          <w:color w:val="111111"/>
          <w:sz w:val="28"/>
          <w:sz w:val="28"/>
          <w:szCs w:val="28"/>
          <w:rtl w:val="true"/>
          <w:lang w:bidi="ar-SA"/>
        </w:rPr>
        <w:t>، فتدل على جواز وقفه؛ لاتحادهما في التصرّف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بالبطلان </w:t>
      </w:r>
      <w:r>
        <w:rPr>
          <w:rStyle w:val="FootnoteAnchor"/>
          <w:rtl w:val="true"/>
        </w:rPr>
        <w:footnoteReference w:id="608"/>
      </w:r>
      <w:r>
        <w:rPr>
          <w:rFonts w:ascii="Amiri" w:hAnsi="Amiri" w:eastAsia="Amiri" w:cs="Amiri"/>
          <w:color w:val="111111"/>
          <w:sz w:val="28"/>
          <w:sz w:val="28"/>
          <w:szCs w:val="28"/>
          <w:rtl w:val="true"/>
          <w:lang w:bidi="ar-SA"/>
        </w:rPr>
        <w:t xml:space="preserve">للأخبار الدالّة على الحجر على الصبي حتّى يبلغ </w:t>
      </w:r>
      <w:r>
        <w:rPr>
          <w:rStyle w:val="FootnoteAnchor"/>
          <w:rtl w:val="true"/>
        </w:rPr>
        <w:footnoteReference w:id="609"/>
      </w:r>
      <w:r>
        <w:rPr>
          <w:rFonts w:ascii="Amiri" w:hAnsi="Amiri" w:eastAsia="Amiri" w:cs="Amiri"/>
          <w:color w:val="111111"/>
          <w:sz w:val="28"/>
          <w:sz w:val="28"/>
          <w:szCs w:val="28"/>
          <w:rtl w:val="true"/>
          <w:lang w:bidi="ar-SA"/>
        </w:rPr>
        <w:t xml:space="preserve">، والمراد به الاحتلام، أو بلوغ خمس عشر سنة، أو أربعة عشر سنةً، وهي أخبار معتبرة معتمدة موافقة للأصحاب وللمشهور بل المجمع عليه نقلاً </w:t>
      </w:r>
      <w:r>
        <w:rPr>
          <w:rStyle w:val="FootnoteAnchor"/>
          <w:rtl w:val="true"/>
        </w:rPr>
        <w:footnoteReference w:id="610"/>
      </w:r>
      <w:r>
        <w:rPr>
          <w:rFonts w:ascii="Amiri" w:hAnsi="Amiri" w:eastAsia="Amiri" w:cs="Amiri"/>
          <w:color w:val="111111"/>
          <w:sz w:val="28"/>
          <w:sz w:val="28"/>
          <w:szCs w:val="28"/>
          <w:rtl w:val="true"/>
          <w:lang w:bidi="ar-SA"/>
        </w:rPr>
        <w:t xml:space="preserve">بل تحصيلاً بين الأصحاب، فلا تعارضها تلك الأخبار الضعيفة سنداً، القليلة عدداً، الخالية عن ذكر العشر فيما عدا رواية ضعيفة </w:t>
      </w:r>
      <w:r>
        <w:rPr>
          <w:rStyle w:val="FootnoteAnchor"/>
          <w:rtl w:val="true"/>
        </w:rPr>
        <w:footnoteReference w:id="611"/>
      </w:r>
      <w:r>
        <w:rPr>
          <w:rFonts w:ascii="Amiri" w:hAnsi="Amiri" w:eastAsia="Amiri" w:cs="Amiri"/>
          <w:color w:val="111111"/>
          <w:sz w:val="28"/>
          <w:sz w:val="28"/>
          <w:szCs w:val="28"/>
          <w:rtl w:val="true"/>
          <w:lang w:bidi="ar-SA"/>
        </w:rPr>
        <w:t>غير قابلة لحمل الباقي عليها، المشتملة على جواز طلاقه، وهو مردود متروك المقيس مضمونها على أخبار جواز الوصيّة، وكلٌّ من المقيس عليه والقياس ممنوع، فطرحها لمخالفتها الجمهور أحرى وأجدر</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3425135_1280447820"/>
      <w:bookmarkStart w:id="519" w:name="_Toc186"/>
      <w:bookmarkEnd w:id="518"/>
      <w:r>
        <w:rPr>
          <w:rtl w:val="true"/>
        </w:rPr>
        <w:t>سادس عشرها</w:t>
      </w:r>
      <w:r>
        <w:rPr>
          <w:rtl w:val="true"/>
        </w:rPr>
        <w:t xml:space="preserve">: </w:t>
      </w:r>
      <w:r>
        <w:rPr>
          <w:rtl w:val="true"/>
        </w:rPr>
        <w:t>في أنّ للواقف أن يطلق الوقف بحسب النظارة</w:t>
      </w:r>
      <w:bookmarkEnd w:id="519"/>
    </w:p>
    <w:p>
      <w:pPr>
        <w:pStyle w:val="Heading5"/>
        <w:numPr>
          <w:ilvl w:val="4"/>
          <w:numId w:val="1"/>
        </w:numPr>
        <w:rPr/>
      </w:pPr>
      <w:bookmarkStart w:id="520" w:name="__RefHeading___Toc13425137_1280447820"/>
      <w:bookmarkStart w:id="521" w:name="_Toc187"/>
      <w:bookmarkEnd w:id="520"/>
      <w:r>
        <w:rPr>
          <w:rtl w:val="true"/>
        </w:rPr>
        <w:t>إشارة</w:t>
      </w:r>
      <w:r>
        <w:rPr>
          <w:rtl w:val="true"/>
        </w:rPr>
        <w:t>:</w:t>
      </w:r>
      <w:bookmarkEnd w:id="521"/>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للواقف أن يطلق الوقف بحسب النظارة فلا يتعرّض لها، عاماً كان الوقف أو خاصاً، وله أن يعين ناظراً له، عاماً كان أو خاصاً؛ لعموم أدلّة الشروط </w:t>
      </w:r>
      <w:r>
        <w:rPr>
          <w:rStyle w:val="FootnoteAnchor"/>
          <w:rtl w:val="true"/>
        </w:rPr>
        <w:footnoteReference w:id="6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ولأن الناس 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أن يجعل الناظر نفسه لفتوى المشهور بل كاد أن يكون إجماعاً، وللإجماع المنقول </w:t>
      </w:r>
      <w:r>
        <w:rPr>
          <w:rStyle w:val="FootnoteAnchor"/>
          <w:rtl w:val="true"/>
        </w:rPr>
        <w:footnoteReference w:id="614"/>
      </w:r>
      <w:r>
        <w:rPr>
          <w:rFonts w:ascii="IRNazanin" w:hAnsi="IRNazanin" w:eastAsia="IRNazanin"/>
          <w:color w:val="111111"/>
          <w:sz w:val="28"/>
          <w:sz w:val="28"/>
          <w:szCs w:val="28"/>
          <w:rtl w:val="true"/>
          <w:lang w:bidi="fa-IR"/>
        </w:rPr>
        <w:t>، المعتضد بالعمومات وبفتوى الأصحاب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يجعل الناظر غيره؛ لما مر من الأدلّة، ولما ورد في صدقة مولاتنا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حوائطها السبعة، وأنها جعلت النظر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ورد في صدقة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على 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صدقة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بأرضه، وقد جعل الولاية فيها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إبراهيم، ثمّ من بعدهم على الترتيب المذكور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سألت عن أمر الرجل الذي يجعل لناحيتنا ضيعة، يسلّمها من قيم يقوم بها ويعمرها ويؤدّي من دخلها خراجها ومؤونتها، ويجعل ما بقي من الدخل لناحيتنا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جعله صاحب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لا يجوز ذلك لغيره</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يجعل الواقف ناظراً، كان النظر للموقوف عليهم في الخاص، وللحاكم الشرعي في العام؛ لأنّه الولي للمصالح العامّة، وعليه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النظر للمسلمين كفاية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بنى المسألة على انتقال الوقف عن الواقف وعدمه، فإن قلنا بعدم الانتقال، فالنظر إليه، وإن قلنا بالانتقال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إلى الموقوف عليهم، فالنظر إليهم مطلقاً عاماً أو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في العام إلى اللّه تعالى، كان النظر إلى الحاكم الشرعي، والأولى ما ذكرنا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الواقف إن اشترط النظر لنفسه، فالظاهر أنّه كالولي الإجباري، فلا يشترط عدالته ابتداءً ولا استدامة بحيث إنّه ينعزل لو كان عدلاً ففسق كلّ ذلك للأصل، وتنزيله منزلة المالك من حيث صدور الوقف عنه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اشترطه لغيره، فالظاهر اشتراط عدالته ابتداءً، وانعزاله بالفسق المتجدّد، وذلك لأنّه أمين عند نصبه من الواقف على مال الغير، فلا يصحّ تولية غير العدل على مال الغير، سيما وإنّ حقّ البطون اللاحقة متعلقة بالوقف، فلا بدّ من ملاحظة عدالة مَنْ يتولاها، مضافاً إلى أن الاتفاق محكي على ذلك </w:t>
      </w:r>
      <w:r>
        <w:rPr>
          <w:rStyle w:val="FootnoteAnchor"/>
          <w:rtl w:val="true"/>
        </w:rPr>
        <w:footnoteReference w:id="620"/>
      </w:r>
      <w:r>
        <w:rPr>
          <w:rFonts w:ascii="Amiri" w:hAnsi="Amiri" w:eastAsia="Amiri" w:cs="Amiri"/>
          <w:color w:val="111111"/>
          <w:sz w:val="28"/>
          <w:sz w:val="28"/>
          <w:szCs w:val="28"/>
          <w:rtl w:val="true"/>
          <w:lang w:bidi="ar-SA"/>
        </w:rPr>
        <w:t>، والشهرة المحصلة، فالحكم لا إشكال فيه، وفي الأخبار ما يشعر بذلك</w:t>
      </w:r>
      <w:r>
        <w:rPr>
          <w:rFonts w:eastAsia="Amiri" w:cs="Amiri" w:ascii="Amiri" w:hAnsi="Amiri"/>
          <w:color w:val="111111"/>
          <w:sz w:val="28"/>
          <w:szCs w:val="28"/>
          <w:rtl w:val="true"/>
          <w:lang w:bidi="ar-SA"/>
        </w:rPr>
        <w:t xml:space="preserve">. </w:t>
      </w:r>
      <w:bookmarkStart w:id="522" w:name="pg19218_274116"/>
    </w:p>
    <w:p>
      <w:pPr>
        <w:pStyle w:val="BookText"/>
        <w:rPr/>
      </w:pPr>
      <w:bookmarkEnd w:id="522"/>
      <w:r>
        <w:rPr>
          <w:rFonts w:ascii="Amiri" w:hAnsi="Amiri" w:eastAsia="Amiri" w:cs="Amiri"/>
          <w:color w:val="111111"/>
          <w:sz w:val="28"/>
          <w:sz w:val="28"/>
          <w:szCs w:val="28"/>
          <w:rtl w:val="true"/>
          <w:lang w:bidi="ar-SA"/>
        </w:rPr>
        <w:t xml:space="preserve">ففي النصّ المتضمّن لصدقة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نظارة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حدث بهما حدث فإنّ الآخر منهما ينظر في 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فيهم مَنْ يرضى بهديه وإسلامه وأمانته فإنّه يجعله إليه إن شاء اللّه، وإن لم يرَ فيهم بعض الذي يريد فإنّه يجعله إلى رجل يرضى به من بني هاشم</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13425139_1280447820"/>
      <w:bookmarkStart w:id="524" w:name="_Toc188"/>
      <w:bookmarkEnd w:id="523"/>
      <w:r>
        <w:rPr>
          <w:rtl w:val="true"/>
        </w:rPr>
        <w:t>في ذكر أُمور متعلّقة بالناظر للوقف</w:t>
      </w:r>
      <w:bookmarkEnd w:id="524"/>
    </w:p>
    <w:p>
      <w:pPr>
        <w:pStyle w:val="BookText"/>
        <w:rPr/>
      </w:pP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العدالة هل هو ظاهري بنظر الواقف أو واقعي؟ وجهان، ومقتضى قواعد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الواقف عدالة الناظر فلا شك في عدم إجزاء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القبول على المنصوب من قِبَل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وجوب القبول كفايةً، أو وجوب القبول عيناً ما لم يعلم الواقف بالرد، فيكون بمنزلة الوصيّة، بعيدان؛ لمخالفتهما الأصل من غير دليل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ذلك فيمن نصبه الحاكم الشرعي للنظارة؛ لوجوب اتباعه في سياسة المصالح العامّة، ولحرمة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النظارة كالوصاية لا تفتقر إلى إيجاب يواجه به، ولو قلنا بافتقارها إلى ذلك فلا تفتقر إلى إيجاب لفظي، ولا إلى قبول لفظي وإن لزم القبول والرضى من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الالتزام بالنظارة بمجرّد جَعل الواقف بعيد، ولا يتفاوت الحال بين إمكان الردّ عليه وبين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يلتزم الناظر فيما إذا أوصى إليه ناظر مأذون له بالوصاية ولم يردّها عليه حتّى تعذر عليه نصب غيره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قبل الناظر النظارة فهل له ردّها بعد ذلك؛ لأنّه بمعنى التوكيل، أو ليس له ردها؛ للاستصحاب؟ وجهان، ولا يبعد الأخير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فإذا ردّها عاد الوقف بلا ناظر فيكون بمنزلة الوقف الذي لا ناظر له ابتداء، مع احتمال أنّ النظارة تكون للحاكم الشرعي هنا لا للموقوف عليهم؛ لأن الواقف لم يرضَ بنظرهم ابتداء فترجع النظارة لولي المال الذي لا ولي له؛ لتعلق حقّ البطون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للواقف عزله بعد قبوله؛ لأنّه بمعنى الوكالة، أو ليس له؟ وجهان والأقوى العدم؛ قضاء لحق الشرطية والاستصحاب، إلّا إذا شرط أن له عزله فإنّه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للواقف نصب ناظر بعد تمام صيغة الوقف والقبض حيث لم يكن ناصباً قبل، أو كان ناصباً فيعزل الأوّل وينصب غيره، أو يضمّ إلى الأوّل غيره؟ وجهان، ولا يبعد العدم؛ لانتقال الوقف عنه ومضي سلطنته عنه، إلّا إذا شرط أن ينصب 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رتب النظارة فجعلها أوّلاً للموجودين ثمّ إلى البطون اللاحقة، فهل يشترط في لزومها عليهم قبولهم ورضاهم، أو لا يشترط بل يلتزمون به كالوصيّة سيما بعد موت الواقف؟ وجهان،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يجعل النظر لنفسه فينصب ناظراً أو وكيلاً عنه بعد ذلك، فيجوز له عزله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يشترط في الوقف نصب ناظر على حسب ما يريده بعد الوقف، فينصبه بعد الوقف فيلتزم به، وليس له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ينصب ناظراً ويشترط أن له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يشترط نصب ناظر أمره إليه نصباً وعزلاً وتبديلاً، فينصب مَنْ شَاء ويعزل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فسق الناظر المنصوب من قبل الواقف أو جنّ أو أُغمي عليه، انعزل، وعاد أمر الوقف إلى أهله، أو إلى الحاكم مطلقاً؛ لأنّه الولي على مال الغائب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 إلى العدالة أو الكمال، ففي عود النظارة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كالوكالة فلا تعود، وللاستصحاب، ومن أنّها كالولاية قد منع من نفوذها مانع فإذا زال عادت، والأخير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لومات الناظر فهل تعود النظارة لأهل الوقف، أو للحاكم؟ وجهان، والأحوط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إن شرط له شيء عوض عمله كان له، وليس له غيره ولو كان دون أجرة المثل إن رضي به ابتداء، وإن لم يرضَ به ابتداءً وكان دون أجرة المثل، احتمل أنّه ليس له سواه، واحتمل أن له أجرة المثل قهراً سيما فيما لو كان المسمّى قليلاً جداً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يشترط له شيء فإن أقدم متبرّعاً فليس له شيء، وإن أقدم على عوض وكان العمل ممّا له أُجرة عادةً لزم أُجرة المثل له من الوقف لا من مال الواقف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لا شيء له؛ لوجوب النظارة عليه من الواقف، والمفروض أنّه لا يستحق على الواقف شيئاً من ماله؛ للاتفاق على ذلك، فلا يستحق من الموقوف شيئاً؛ لانتقاله عن ملك الواقف، فلا سلطان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شرط الواقف النظارة لنفسه، ففي استحقاق أُجرة المثل له إشكال، وأشكل منه ما لو شرط له شيئاً في مقابل النظارة في عقد الوقف ولم يكن زائداً عن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التصرّف لغير الناظر فيما له النظر فيه، إلّا مع غيبته وامتناعه فيرجع إلى الحاكم الشرعي، فإن فقد رجع لعدول المسلمين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لزوم الرجوع للناظر الخاص أو العام في الأوقاف العامّة من مدارس وقناطر ومساجد؛ للزوم تفويت كثير من أغراض الواقف عند لزوم الرجوع إليهم في رفع ووضع وتعمير وإصلاح وسكنى وغيرها،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يضطر إليه سائغ بالإذن الفحوائية بالسيرة القطعية، وما لا يضطر إليه فإن قضت به الإذن الفحوائية من نزول وسكنى وعبور فلا بأس به، وإن لم تقض به الإذن لزم الرجوع فيه إلى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قضت به السيرة القطعية من التصرفات في الأوقاف العامّة من دون سؤال عن وجود ناظر لها أو عن رضاه بعد العلم بوجوده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الإنسان في نصب ناظر على الوقف من الواقف، فالأصل عدمه، ولو شك في اشتراط شيءٍ زائد من توابع النظارة فالأصل عدمه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تصرّف أحد بالوقوف العامّة من دون إذن الناظر له، أو أكل من ثمرها، فهل يقع التصرّف فضوليّاً موقوفاً على إجازته، أو يقع صحيحاً إلّا أن المتصرف آثم بترك الاستئذان؟ وجهان، ولا يبعد الأخير فيما إذا قطع بعدم الاحتياج إلى الثمرة في تعمير أو دفع خراج أو نحو ذلك، والأوّل في غير 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من الواقف إن صرح له بشيءٍ خاص من الأعمال، كان ناظراً عليه، وإن أطلق كان له مع الإطلاق تولّي مصالح الموقوف ورفع المفاسد عنه، فله تعمير الوقف من نمائه ومن غيره، ورفع القذرات عنه، ومنع الداخلين من المفسدين إليه، وله الإجارة وتحصيل الغلة وقسمتها على أربابها، وله فتح الباب المحتاج إليها وسد الأخرى، وله هدم ما يضرّ بقاؤه، وله قلع ما يضر غرسه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للموقوف عليهم التصرّف في شيء من ذلك من دون إذنه إلّا ما قضت به السيرة، أو الإذن الفحوائية، أو كان الموقوف عليه متحداً وكان للوقف غلة لا يحتاج إليها في الوقف قطعاً، إمّا لو احتمل الموقوف عليه الاحتياج إليها لتعمير أو دفع خراج أو إصلاح حرم عليه التصرّف من دون إذن الناظر، ولا يملك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 لو اشترط عدم الناظر في الوقف العام وأجاز لكلّ أحدٍ التصرّف من دون رجوع إلى الحاكم، فالظاهر أنّه لا عبرة بقوله؛ لخروج الوقف عن ملكه وانتقاله إلى غيره، فلا يُسمع قوله فيما يعود إلى الوقف ضرر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أجاز أكل كلّ أحدٍ من دون استئذان الحاكم ولم يتعلّق به ضرر على الوقف فلا يبعد الجواز من دون 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يشترط كون الناظر المنصوب من قبل الواقف عدلاً يشترط كونه له اهتداء في التصرّف، فلو لم يكن له اهتداء بطلت نظارته ابتداءً حتّى لو كان المشروط نظارته هو الواقف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نصب الواقف ناظراً عدلاً وغيره، صحّ في العدل وفسد في غيره، ولكن لا يجوز للعدل التصرّف حتّى يضم الحاكم إليه آخر بدلاً عن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نصب ناظرين فجنّ أحدهما أو أغمي عليه أو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جعل النظارة للموجودين فقط، ولهم مع المعدومين إذا وجدوا مشتركاً، أو لهما مرتباً، الموجود أوّلاً ثمّ المعدوم،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عدد النظار فله أن يصرح بالاستقلال، فيجوز لكل منهما الاستقلال، ومع فقد أحدهما فلا يبعد عدم لزوم ضمّ واحدٍ بدله إلى الآخر من الحاكم، وله أن يصرح بالاجتماع، وهنا لا بدّ من الانضمام وله أن يصرّح باستقلال واحد دون الآخر، وإن أطلق فالظاهر إرادة الاجتماع، فإن عطف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إرادة التشريك، وإن كان العطف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عدد النظار وجعل لكلّ واحدٍ عملاً اختص به، وإن أطلق فالظاهر اشتراكهم في كلّ الأعمال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تشاح النظار المستقلون اقترعوا بينهم، فإن عطّلوا المال جبرهم الحاكم أو قام مقامهم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تشاح المجتمعون جبرهم الحاكم، فإن أدّى التشاح إلى الفسق عزلهم، وإن عرف الفساد من واحدٍ بعينه عزله ونصب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شخص النظارة في الوقف العام وكان صاحب يد، فلا يبعد لزوم تصديقه، وليس للحاكم رفع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من دون استيلاء يد، كان للحاكم منعه؛ لأنّه الولي حيث لا يثبت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في الوقف الخاص، كان مدعياً مطلقاً، وعليه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انعزل الناظر من قِبَل الواقف انعزلت وكلاؤه، ولو أذن له الواقف بأن ينصب ناظراً عن الواقف فنصب عنه لم ينعزل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صار الحاكم الشرعي ناظراً، لم يجز للحاكم الآخر عزله البتة ولا مزاحمته، ولو نصب ناظراً لم يجز للآخر عزله من دون مصلحة للوقف يراها الآخر، للزوم الفساد في تجويز ذلك وعدم استقرار وكلاء الحكام؛ لوقوعهم بين نصب وعزل فلا يستقيم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ينعزل الناظر المنصوب من قِبَل الحاكم بموته؟ الظاهر لا؛ لأنّه كالمنصوب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جعله وكيلاً عنه في النظارة انعزل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 منصوب الحاكم أو فسق، فالأظهر عدم عود نظارته بعود كماله وعدالته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رأى الحاكم صلاحاً بنصب الفاسق الأمين، فلا يبعد جواز نصبه، فإذا انقضت المصلحة منه انعزل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نصب العبد ناظراً بإذن مولاه، وفي نصب الحاكم له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نصب الطفل قبل بلوغه، ويجوز نصبه بأن يجعل له التصرّف بعد البلوغ، ويكون أمر الوقف ما بين الوقف وبلوغه راجعاً إلى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نصب المجنون إذا عقل والسفيه إذا رشد إشكال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الشرعي لو فُقد فالنظارة في الوقوف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أهلها بجنون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لعدول المؤمنين، فإن لم يمكن فلكلّ مَنْ له القابلية حسبةً؛ لأنّه إحسان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525" w:name="pg19218_274121"/>
    </w:p>
    <w:p>
      <w:pPr>
        <w:pStyle w:val="BookText"/>
        <w:rPr/>
      </w:pPr>
      <w:bookmarkEnd w:id="525"/>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يصحّ كونه خاصاً بعينه، ويصحّ كونه عاماً،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للتقي من أرحامي، أو للأرشد من أقاربي، أو لمن كان جار الموقوف، فإن اتحد كان له النظر وحده، وإن تعدد كان لهم جميعاً، والظاهر أنّه على جهة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جعل ناظرِ مردداً، مع احتمال جواز جعل أحد الرجلين ناظراً، فيكون كالواجب الكفائي على جهة الوجوب على الجميع، ويسقط بفعل أحدهما لا على جهة الإبهام، ويصحّ جعله على جهة التخيير بينهما، والخيار يكون بأيديهما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جعل الناظر ناظراً على حال دون آخر، أو على وصف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يقيد النظارة بمدةٍ معينة، ويجوز أن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يعدّد النظار على عدد المدد، أو الأوصاف، أو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يجعل الناظر نفس الموقوف عليه، فيكون شرطاً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يشرك نفسه وغيره مع الموقوف عليه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يجعل ناظراً على الناظر يرجع إليه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يجعل الرأي لواحد والعمل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على الناظر أنّه لو فعل كذا في الموقوف انعزل، ففي صحّة هذا الشرط إشكال، إلى غير ذلك من الفروع المتكثرة</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3425141_1280447820"/>
      <w:bookmarkStart w:id="527" w:name="_Toc189"/>
      <w:bookmarkEnd w:id="526"/>
      <w:r>
        <w:rPr>
          <w:rtl w:val="true"/>
        </w:rPr>
        <w:t>سابع عشرها</w:t>
      </w:r>
      <w:r>
        <w:rPr>
          <w:rtl w:val="true"/>
        </w:rPr>
        <w:t xml:space="preserve">: </w:t>
      </w:r>
      <w:r>
        <w:rPr>
          <w:rtl w:val="true"/>
        </w:rPr>
        <w:t>في بيان الوقف العام والخاص وما يتعلّق بهما</w:t>
      </w:r>
      <w:bookmarkEnd w:id="527"/>
    </w:p>
    <w:p>
      <w:pPr>
        <w:pStyle w:val="BookText"/>
        <w:rPr/>
      </w:pPr>
      <w:r>
        <w:rPr>
          <w:rFonts w:ascii="IRNazanin" w:hAnsi="IRNazanin" w:eastAsia="IRNazanin"/>
          <w:color w:val="111111"/>
          <w:sz w:val="28"/>
          <w:sz w:val="28"/>
          <w:szCs w:val="28"/>
          <w:rtl w:val="true"/>
          <w:lang w:bidi="fa-IR"/>
        </w:rPr>
        <w:t>سابع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عامّ وخاصّ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والعام هو الوقف على ما لا ينحصر عرفاً بحيث كان حصره متعذراً أو متعسّراً، ومن لوازمه أنّه لا ينقرض غالباً، وذلك كالوقف على المسلمين والفقراء والسادات والمؤمنين والزائرين والحجاج وأهل البلد الفلاني والقرية الفلانية من المتسعة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فيه الوقف على المطلق إذا أُريد بالوقف الوقف على الطبيعة، كالوقف على طبيعة الرجل، وعلى طبيعة المؤمن، وعلى طبيعة الزائر، ونحو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أقسام العام الوقف على المصالح، كالوقف على المدارس والمساجد والقناطر ونحوها، فإنّه يعود الوقف على أهلها من المدرّسين والمسلمين والمصلين والمستطرقين منهم، وهو بالحقيقة وقف عليهم؛ لأنّ المصالح لا تملك ولا تعقل فلا يصحّ الوقف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وعود الوقف عليهم إمّا قهري بحكم الشارع؛ لظاهر الاتفاق على جوازه وإن نوى الواقف أن الموقوف عليه هو المسجد مثلاً، أو قصدي، إمّا لانحلال قصد الواقف إلى ذلك عند التفصيل، وإما لإرادته من المسجد المصلين مجازاً بقرينة الحال والخطاب، أو تصحيحاً للوقف مهما أمكن، وجوه واحتمالات،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والوقف الخاص ما كان الموقوف عليه منحصراً عادةً، وينقرض غالباً، كالوقف على الأقارب والإخوة والأولاد، أو أهل قرية صغيرة، أو بيوت قليلة، ومن لوازم الأوّل عدم وجوب صرف نماء الوقف على جميعهم؛ لمكان التعذر والتعسّر، وكون تولية الوقف بيد الحاكم، ومن لوازم الثاني لزوم صرف النماء في جميعهم على نسبة القسمة الموظفة لهم، وكون تولية الوقف بأيديهم مع عدم جعل ناظر من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 الخاص عاماً بحيث انتشرت أفراده فكان لا ينحصر، احتمل إجراء حكم العام عليه، واحتمل بقاء حكم الخاص عليه، فيجب التوزيع عليهم مهما أمكن، وصرفه في جميعهم مهما تيسر، والأخير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 العام خاصاً بحيث انحصرت أفراده، فالأظهر بقاء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يقيد الواقف العام بصنفٍ خاص أو بوصفٍ خاص، فيجب اتباعه، فلو وقف القنطرة أو المدرسة على الفقراء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التقييد في المسجد كأن يقف المسجد على الفقراء؟ يحتمل الصحّة؛ لعموم أدلّة الشروط </w:t>
      </w:r>
      <w:r>
        <w:rPr>
          <w:rStyle w:val="FootnoteAnchor"/>
          <w:rtl w:val="true"/>
        </w:rPr>
        <w:footnoteReference w:id="6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ويحتمل العدم؛ لعدم معقولية الاختصاص بالمسجد؛ لأن وضعه شرعاً على عموم الانتفاع به في العبادة أو الصلاة، فالتخصيص منافٍ لعقد وقفه، وعلى ذلك فهل يبطل الوقف؛ لبطلان الشرط، أو يصح؛ لكونه فك ملك على وجه التبرع وقد حصل، فيبطل الشرط ويصحّ الوقف؟ وجوه، ولا يبعد أنّ خيرها أوسطها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الوقف قد يترتب خاصاً بعد خاص وهكذا، وقد يكون أوّله خاصاً ثمّ بعده عاماً، وقد يترتب بالعكس، وقد يترتب عاماً فعاماً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الوقف قد يكون وقف تشريك، وقد يكون وقف ترتيب، وقد يكون فيه تشريك وفيه ترتيب، وقد يترتب العام، وقد يشرك بين عامين، وقد يشرك بين عام وخاص، وقد يخص الترتيب أو التشريك بزمان دون زمان، أو بحال دون حالٍ، أو بمكان دون مكان، أو بنسبةٍ دون نسبةٍ في وجه، وقد يخص أحدهما ويطلق الآخر، إلى غير ذلك من الفروع المتكرّرة القاضي بجوازها ظواهر أدلّة الشروط والوقوف، وظاهر اتّفاق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أنّ الوقف عام أو خاص وكان الخاص داخلاً في العام، احتمل الحكم بالعموم؛ لخروج الوقف عن ملك الواقف، والأصل عدم اختصاصه بموضع خاص، واحتمل الحكم بالخصوص؛ لأنّه المتيقن، وينفى ما زاد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عرف الموقوف عليه وشكّ في اشتراط وصف زائد أو قيد زائد،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بين عام وخاص ولم يكن الخاص داخلاً في العام، أو بين خاصين، فالقرعة، أو التوزيع عليهما، أو بقاء العين 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حكم النماء حكم مجهول المالك، واحتمال رجوعه مع العين في حكم مجهول المالك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 الأمر بين الوقف التشريكي أو الترتيبي، احتمل الحكم بالتشريك؛ لانتفاء الترتيب بالأصل، واحتمل الحكم بالترتيب؛ لأنّه المتيقن، واحتمل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فيما يدور بين العام والخاص هو العام؛ لانتقال الملك عن الواقف، وأصالة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التشريك بالعطف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التقييد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الإتيان بلفظ جامع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الترتيب بالعطف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لظهورهما في الترتيب الحكمي دون الذكري، أو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الترتيب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أقاربي الأقرب فالأقرب، أو الأدنى فالأدنى، أو الأعلى فالأعلى، والأكبر فالأكبر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ذكر عدّة أسماء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فالأوّل، أو المقدّم فالمقدم، أو السابق فالسابق، أو واحد بعد واحد، أفاد الترتيب</w:t>
      </w:r>
      <w:r>
        <w:rPr>
          <w:rFonts w:eastAsia="Amiri" w:cs="Amiri" w:ascii="Amiri" w:hAnsi="Amiri"/>
          <w:color w:val="111111"/>
          <w:sz w:val="28"/>
          <w:szCs w:val="28"/>
          <w:rtl w:val="true"/>
          <w:lang w:bidi="ar-SA"/>
        </w:rPr>
        <w:t xml:space="preserve">. </w:t>
      </w:r>
      <w:bookmarkStart w:id="528" w:name="pg19218_274124"/>
    </w:p>
    <w:p>
      <w:pPr>
        <w:pStyle w:val="BookText"/>
        <w:rPr/>
      </w:pPr>
      <w:bookmarkEnd w:id="528"/>
      <w:r>
        <w:rPr>
          <w:rFonts w:ascii="Amiri" w:hAnsi="Amiri" w:eastAsia="Amiri" w:cs="Amiri"/>
          <w:color w:val="111111"/>
          <w:sz w:val="28"/>
          <w:sz w:val="28"/>
          <w:szCs w:val="28"/>
          <w:rtl w:val="true"/>
          <w:lang w:bidi="ar-SA"/>
        </w:rPr>
        <w:t>ولو لم يذكر عدّة أسماء،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أولادي واحداً بعد واحد، فالظاهر التشريك وإرادة أن المعدوم بعد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أولادي بطناً فبطناً وظهراً فظهراً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 بعد بطن وظهراً بعد ظهر، احتمل إرادة الترتيب، واحتمل إرادة التشريك، وبيان أنّ المعدوم مع الموجود فيفيد الاستغراق، والأوّل أظهر</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3425143_1280447820"/>
      <w:bookmarkStart w:id="530" w:name="_Toc190"/>
      <w:bookmarkEnd w:id="529"/>
      <w:r>
        <w:rPr>
          <w:rtl w:val="true"/>
        </w:rPr>
        <w:t>ثامن عشرها</w:t>
      </w:r>
      <w:r>
        <w:rPr>
          <w:rtl w:val="true"/>
        </w:rPr>
        <w:t xml:space="preserve">: </w:t>
      </w:r>
      <w:r>
        <w:rPr>
          <w:rtl w:val="true"/>
        </w:rPr>
        <w:t>حكم ما لو وكل في الوقف مطلقاً أو وكل على الإطلاق أو العموم</w:t>
      </w:r>
      <w:bookmarkEnd w:id="530"/>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في الوقف مطلقاً، بطل للجهالة، ولو وكل على الإطلاق أو العموم صح، وكان للوكيل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الواقف بوقف حكم عليه بوقوعه صحيحاً مقبوضاً، فيخرج من أصل ماله لو أقرّ بوقوعه حال الصحّة، ولو أقرّ بوقوع وقف منه لا يعلم وقوعه منه حال الصحّة أو المرض، ففي خروجه من الأصل أو الثلث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ونماء الوقف ليس بوقف، بل يملكه الموقوف عليه إلّا مع الشرط وكان بحيث يمكن وقفه، فإنّ الظاهر صيرورته وقفاً أو بحكم الوقف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قيمة الوقف إذا أتلفه متلف فاشترى بها شيئاً كان بمجرد الشراء وقفاً، ولا يحتاج إلى صيغة على الأظهر؛ لأنّه يغتفر في الثواني ما لا يغتفر في الأوائل، وفي التابع ما لا يغتفر في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ضمن بمثله كان مثله بعد قبضه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والمفصول من الأوقاف العامّة من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آخذه، كالمأخوذ من الطرق والأراضي الخراجيّة؛ لأنّه بمنزلة النماء، وللسيرة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جواز هدم الوقف الخاص وتغييره إلى موضوع آخر إذا تعلقت للموقوف عليهم بذلك مصلحة، ولم يكن اشتراط الواقف بقاؤه على وصف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اتباع شرطه؛ للأصل، ولملاحظة الواقف نفع الموقوف عليهم فيدور الحكم مدارها، ولأن الدارية والحمامية لم تؤخذ حين الوقف شرطاً كي يجب اتباعهما، وإنّما أُخذت عنواناً ولا يجب اتباع العناوين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العام فإن كان مسجداً فلا يجوز تغييره، وإن كان غيره فإن بطل الانتفاع به على </w:t>
      </w:r>
      <w:bookmarkStart w:id="531" w:name="pg19218_274125"/>
    </w:p>
    <w:p>
      <w:pPr>
        <w:pStyle w:val="BookText"/>
        <w:rPr/>
      </w:pPr>
      <w:bookmarkEnd w:id="531"/>
      <w:r>
        <w:rPr>
          <w:rFonts w:ascii="Amiri" w:hAnsi="Amiri" w:eastAsia="Amiri" w:cs="Amiri"/>
          <w:color w:val="111111"/>
          <w:sz w:val="28"/>
          <w:sz w:val="28"/>
          <w:szCs w:val="28"/>
          <w:rtl w:val="true"/>
          <w:lang w:bidi="ar-SA"/>
        </w:rPr>
        <w:t>هيئة الموقوف عليها فلا شك في جواز تغييره؛ لأنّ بقاءه منافٍ لغرض الواقف حينئذٍ، ولرجوع أمره إلى الحاكم الشرعي، فيفعل فيه ما فيه صلاح للموقوف عليهم؛ ولأن الواقف إذا لم يشترط وضعه على هيئة خاصّة يعود وقفه على تلك الهيئة من الأوصاف العنوانية، ولا يجب اتباعها؛ لأنّها لم تؤخذ قيداً إلّا إذا فهم من حاله 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يبطل الانتفاع به بتلك الجهة، فالأظهر عدم جواز تغييره مجاناً؛ لأن الظاهر من حال الواقف فى الأوقاف العامّة إرادة بقائه على الحالة الموقوف عليها، سيما لو كان الموقوف بستاناً أو خاناً أو مدرسة أو حمّاماً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يفهم ذلك جاز للحاكم التغيير مع المصلحة؛ لأنّه الولي على المصالح العامّة</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3425145_1280447820"/>
      <w:bookmarkStart w:id="533" w:name="_Toc191"/>
      <w:bookmarkEnd w:id="532"/>
      <w:r>
        <w:rPr>
          <w:rtl w:val="true"/>
        </w:rPr>
        <w:t>تاسع عشرها</w:t>
      </w:r>
      <w:r>
        <w:rPr>
          <w:rtl w:val="true"/>
        </w:rPr>
        <w:t xml:space="preserve">: </w:t>
      </w:r>
      <w:r>
        <w:rPr>
          <w:rtl w:val="true"/>
        </w:rPr>
        <w:t>ثبوت الوقف بالبيّنة وبإخبار العدل وصاحب اليد</w:t>
      </w:r>
      <w:bookmarkEnd w:id="533"/>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الوقف بالبيّنة، وبإخبار العدل في وجه قوي سيما مع عدم المعارض، وبإخبار صاحب اليد، وباستقلال الموقوف به، وكونه من توابعه كفرش المسجد وسرجه وآلاته وجميع ما هو بأيدي الموقوف عليهم من توابعه، وبالشياع المفيد للظنّ القوي، وباستعمال المسلمين له استعمال الأوقاف وإجراء حكمها عليه، وبحكم المجتهد به، وبوجود علائم الوقف المفيدة للظنّ الغالب عادةً به، كنصب محاريب ونحوها في المساجد، وكتابة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أسطر القرآن الشريف كتابةً يظهر منها الصدق، أو كتابة وقفية عليه يظهر منها الصحّة، أو كبناء القباب والمشاهد اليوم في المقامات التي يدعون أن أهلها أولياء،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العلائم الأخيرة لا تعارض اليد المدعية بالملكية النافية للوقفية، وإنما تثبت الوقفية حيث لا معارض</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3425147_1280447820"/>
      <w:bookmarkStart w:id="535" w:name="_Toc192"/>
      <w:bookmarkEnd w:id="534"/>
      <w:r>
        <w:rPr>
          <w:rtl w:val="true"/>
        </w:rPr>
        <w:t>العشرون</w:t>
      </w:r>
      <w:r>
        <w:rPr>
          <w:rtl w:val="true"/>
        </w:rPr>
        <w:t xml:space="preserve">: </w:t>
      </w:r>
      <w:r>
        <w:rPr>
          <w:rtl w:val="true"/>
        </w:rPr>
        <w:t>في أنّ الوقف عامه وخاصه ينتقل عن الواقف</w:t>
      </w:r>
      <w:bookmarkEnd w:id="535"/>
    </w:p>
    <w:p>
      <w:pPr>
        <w:pStyle w:val="Heading5"/>
        <w:numPr>
          <w:ilvl w:val="4"/>
          <w:numId w:val="1"/>
        </w:numPr>
        <w:rPr/>
      </w:pPr>
      <w:bookmarkStart w:id="536" w:name="__RefHeading___Toc13425149_1280447820"/>
      <w:bookmarkStart w:id="537" w:name="_Toc193"/>
      <w:bookmarkEnd w:id="536"/>
      <w:r>
        <w:rPr>
          <w:rtl w:val="true"/>
        </w:rPr>
        <w:t>إشارة</w:t>
      </w:r>
      <w:r>
        <w:rPr>
          <w:rtl w:val="true"/>
        </w:rPr>
        <w:t>:</w:t>
      </w:r>
      <w:bookmarkEnd w:id="53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عامه وخاصه ينتقل عن الواقف كما هو المشهور شهرة محصلة ومنقولة </w:t>
      </w:r>
      <w:r>
        <w:rPr>
          <w:rStyle w:val="FootnoteAnchor"/>
          <w:rtl w:val="true"/>
        </w:rPr>
        <w:footnoteReference w:id="625"/>
      </w:r>
      <w:r>
        <w:rPr>
          <w:rFonts w:ascii="Amiri" w:hAnsi="Amiri" w:eastAsia="Amiri" w:cs="Amiri"/>
          <w:color w:val="111111"/>
          <w:sz w:val="28"/>
          <w:sz w:val="28"/>
          <w:szCs w:val="28"/>
          <w:rtl w:val="true"/>
          <w:lang w:bidi="ar-SA"/>
        </w:rPr>
        <w:t xml:space="preserve">، وكما يشعر به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الأخبار </w:t>
      </w:r>
      <w:r>
        <w:rPr>
          <w:rStyle w:val="FootnoteAnchor"/>
          <w:rtl w:val="true"/>
        </w:rPr>
        <w:footnoteReference w:id="626"/>
      </w:r>
      <w:r>
        <w:rPr>
          <w:rFonts w:ascii="Amiri" w:hAnsi="Amiri" w:eastAsia="Amiri" w:cs="Amiri"/>
          <w:color w:val="111111"/>
          <w:sz w:val="28"/>
          <w:sz w:val="28"/>
          <w:szCs w:val="28"/>
          <w:rtl w:val="true"/>
          <w:lang w:bidi="ar-SA"/>
        </w:rPr>
        <w:t xml:space="preserve">، فإنّه لا يعقل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وشرعاً معنى سوى ما انتقل عن صاحبه لغيره ابتغاء وجه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لبني هاشم وبني المطلّب </w:t>
      </w:r>
      <w:r>
        <w:rPr>
          <w:rStyle w:val="FootnoteAnchor"/>
          <w:rtl w:val="true"/>
        </w:rPr>
        <w:footnoteReference w:id="627"/>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أخبار الوقف ما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بتاً بتلا</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وهما بحسب العرف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 عن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الانتقال أنّ الوقف يزيل التصرّف بالعين والمنفعة اللازمان للملك، وزوال اللازم يدلّ على زوال الملزوم، وأنّه لو لم ينتقل لرجع ضمانه إلى المالك ولا يلتزمه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 بعض الأصحاب عدم الانتقال </w:t>
      </w:r>
      <w:r>
        <w:rPr>
          <w:rStyle w:val="FootnoteAnchor"/>
          <w:rtl w:val="true"/>
        </w:rPr>
        <w:footnoteReference w:id="629"/>
      </w:r>
      <w:r>
        <w:rPr>
          <w:rFonts w:ascii="Amiri" w:hAnsi="Amiri" w:eastAsia="Amiri" w:cs="Amiri"/>
          <w:color w:val="111111"/>
          <w:sz w:val="28"/>
          <w:sz w:val="28"/>
          <w:szCs w:val="28"/>
          <w:rtl w:val="true"/>
          <w:lang w:bidi="ar-SA"/>
        </w:rPr>
        <w:t>لجواز إدخال مَنْ يريد مع أصاغر ولده، ولأنّ الوقف تحبيس ومن شأنه عدم الملك للمحبوس عليه، فلا ينافي ملك الحابس له، بل العدول عن الملك إلى التحبيس دليل على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لأنا لا نقول بالأوّل، ولو قلنا به فللدليل، ولأنّ المراد بالتحبيس التحبيس على الموقوف عليه من التصرّف فيه بنقل عنه أو انتقال، بمعنى أن لا ينتقل إليه مطلقاً بل على الوجه الذي نقله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كلّ حبس شأنه عدم الملك ممنوعة؛ لأنّ من أفراد الحبس هو الوقف، والعدول من الوقف إلى الحبس للدلالة على أن الموقوف محبوس عن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بانتقاله عن ملك الواقف فهل يعود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لجمع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انتقاله عن الواقف، وعدم ثبوت انتقاله إلى غيره استصحاباً ؟ ومعنى أنّه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يملكه أحد من الآدميين فيكون كالتحرير، وليس كسائر المباحات؛ لاختصاص الموقوف عليه به وعدم جواز مزاحمته في عينه ولا منفعته ولا في قيمته لو ضمن بقيمته بحيث لم يمكن جعل القيمة وقفاً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يعود ملكاً للموقوف عليه مطلقاً، كما نُسب للأكثر </w:t>
      </w:r>
      <w:r>
        <w:rPr>
          <w:rStyle w:val="FootnoteAnchor"/>
          <w:rtl w:val="true"/>
        </w:rPr>
        <w:footnoteReference w:id="631"/>
      </w:r>
      <w:r>
        <w:rPr>
          <w:rFonts w:ascii="Amiri" w:hAnsi="Amiri" w:eastAsia="Amiri" w:cs="Amiri"/>
          <w:color w:val="111111"/>
          <w:sz w:val="28"/>
          <w:sz w:val="28"/>
          <w:szCs w:val="28"/>
          <w:rtl w:val="true"/>
          <w:lang w:bidi="ar-SA"/>
        </w:rPr>
        <w:t>، وإن لم يجز بيعه ونقله كأم الولد؛ لأنّه مال مضمون بالمثل والقيمة، وليس ضمانه للواقف ولا لغيره، فيكون للموقوف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ونقض ذلك ببواري المسجد، وآلاته، فإنّهما تُضمن بالقيمة وملكها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النقض إنّما يتمّ لو جعلنا المضمون فى الوقف مطلقاً وقفاً، ولو جعلناه للموقوف عليهم مطلقاً لم يتم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فيه بأنّ جَعْله طلقاً ممّا يؤكد النقض، بخلاف جعله وقفاً؛ لبقاء أصل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النظر نظر؛ لأنّ الغرض الفرق بين بواري المسجد وغيرها؛ للزوم كون المضمون في الأوّل وقفاً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انتقاله للموقوف عليه 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سليمان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موقوفة على قوم منتشرين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لمن حضر البلد الذي فيه الملك</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لملك رقبة الأرض؛ لأنّها المسؤول عنها للحاضرين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يُنظر فيه بعدم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وبعدم تعلّق الملك بنفس رقبة الأرض؛ ضرورة أن الغائب له سهم فيها، لأنّه لو دفع إليه شيء من نمائها لاستحقه، غاية ما في الباب أنّه لا يجب التوزيع والدفع إلى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عدم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لظهورها فيه، وبجواز دفع شيء للغائب قبل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أصل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كونه للآدميين إن ثبت</w:t>
      </w:r>
    </w:p>
    <w:p>
      <w:pPr>
        <w:pStyle w:val="BookText"/>
        <w:rPr/>
      </w:pPr>
      <w:r>
        <w:rPr>
          <w:rFonts w:ascii="Amiri" w:hAnsi="Amiri" w:eastAsia="Amiri" w:cs="Amiri"/>
          <w:color w:val="111111"/>
          <w:sz w:val="28"/>
          <w:sz w:val="28"/>
          <w:szCs w:val="28"/>
          <w:rtl w:val="true"/>
          <w:lang w:bidi="ar-SA"/>
        </w:rPr>
        <w:t xml:space="preserve">اشتمال لفظ الرواية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يُفرّق بين كونه وقفاً على منحصر فيملكه الموقوف عليهم؛ لظاهر الأخبار الدالّة على أنّها لهم، ولثبوت جملةٍ من لوازم الملك فيه، ولعود النظارة فيه إليهم، ولعود قيمته أو مثله مع عدم إمكان جعلهما وقفاً إليهم قطعاً، وبين كونه وقفاً على غير منحصر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وقفاً على نوع أو صنفٍ أو على مصلحةٍ من مسجدٍ وقنطرة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اللّه تعالى؟ كما اختاره جماعة </w:t>
      </w:r>
      <w:r>
        <w:rPr>
          <w:rStyle w:val="FootnoteAnchor"/>
          <w:rtl w:val="true"/>
        </w:rPr>
        <w:footnoteReference w:id="635"/>
      </w:r>
      <w:r>
        <w:rPr>
          <w:rFonts w:ascii="Amiri" w:hAnsi="Amiri" w:eastAsia="Amiri" w:cs="Amiri"/>
          <w:color w:val="111111"/>
          <w:sz w:val="28"/>
          <w:sz w:val="28"/>
          <w:szCs w:val="28"/>
          <w:rtl w:val="true"/>
          <w:lang w:bidi="ar-SA"/>
        </w:rPr>
        <w:t>لتساوي نسبة كلّ واحدٍ من المستحقين إليه، واستحالة ملك كلّ واحدٍ أو واحد معين أو غير معيّن؛ للإجماع، واستحالة الترجيح، ولا المجموع من حيث هو؛ لاختصاص الحاضرين به</w:t>
      </w:r>
      <w:r>
        <w:rPr>
          <w:rFonts w:eastAsia="Amiri" w:cs="Amiri" w:ascii="Amiri" w:hAnsi="Amiri"/>
          <w:color w:val="111111"/>
          <w:sz w:val="28"/>
          <w:szCs w:val="28"/>
          <w:rtl w:val="true"/>
          <w:lang w:bidi="ar-SA"/>
        </w:rPr>
        <w:t xml:space="preserve">. </w:t>
      </w:r>
      <w:bookmarkStart w:id="538" w:name="pg19218_274128"/>
    </w:p>
    <w:p>
      <w:pPr>
        <w:pStyle w:val="BookText"/>
        <w:rPr/>
      </w:pPr>
      <w:bookmarkEnd w:id="538"/>
      <w:r>
        <w:rPr>
          <w:rFonts w:ascii="Amiri" w:hAnsi="Amiri" w:eastAsia="Amiri" w:cs="Amiri"/>
          <w:color w:val="111111"/>
          <w:sz w:val="28"/>
          <w:sz w:val="28"/>
          <w:szCs w:val="28"/>
          <w:rtl w:val="true"/>
          <w:lang w:bidi="ar-SA"/>
        </w:rPr>
        <w:t>وفيه نظر؛ لجواز كون الملك لكلّ واحدٍ كالطرق والشوارع، ولكن لا يجب توزيع النماء عليهم، وجواز كون المالك هو الطبيعة، ولا نسلّم كونها معدومة؛ لوجودها في ضمن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يُفرّق بين الوقف على الآدمي فيملكه الموقوف عليه، وبين الوقف على المصالح فيعود اللّه تعالی؟ كما اختاره بعضٌ </w:t>
      </w:r>
      <w:r>
        <w:rPr>
          <w:rStyle w:val="FootnoteAnchor"/>
          <w:rtl w:val="true"/>
        </w:rPr>
        <w:footnoteReference w:id="636"/>
      </w:r>
      <w:r>
        <w:rPr>
          <w:rFonts w:ascii="Amiri" w:hAnsi="Amiri" w:eastAsia="Amiri" w:cs="Amiri"/>
          <w:color w:val="111111"/>
          <w:sz w:val="28"/>
          <w:sz w:val="28"/>
          <w:szCs w:val="28"/>
          <w:rtl w:val="true"/>
          <w:lang w:bidi="ar-SA"/>
        </w:rPr>
        <w:t>، وذلك لعدم معقولية ملك الجهة، لعدم القابلية لذلك، ولأنّه بمنزلة التحرير كالعتق ولعدم اشتراط القبول والقبض فيها، بل يكفي فيها صلاة واحدٍ ودفن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لمنع عدم تملك الجهة، فلعلها تقبل الملك كما تقبل الوقف، ولمنع كون الوقف على الجهة وقفاً عليها، بل هو وقف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فيملكه المسلمون، ومنع عدم اشتراط القبض والقبول فيها ولو من الحاكم، بل هو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يُفرّق بين وقف المسجد بالخصوص فيعود اللّه تعالى؛ لأنّ المساجد اللّه تعالى، ولجريان أحكام كونه له عليه، ولا حترامه وإعظامه الظاهر في كونه له تعالى، ولظاهر الأخبار والسيرة والآثار، وبين غيره فيملكه الموقوف عليه مطلقاً؛ لما دلّ من الأخبار المشتملة على كون الوقف لهم، الشاملة للخاص والعام، ومن جملة العام صدقة بني هاشم وبني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الملكية؟</w:t>
      </w:r>
    </w:p>
    <w:p>
      <w:pPr>
        <w:pStyle w:val="BookText"/>
        <w:rPr/>
      </w:pPr>
      <w:r>
        <w:rPr>
          <w:rFonts w:ascii="Amiri" w:hAnsi="Amiri" w:eastAsia="Amiri" w:cs="Amiri"/>
          <w:color w:val="111111"/>
          <w:sz w:val="28"/>
          <w:sz w:val="28"/>
          <w:szCs w:val="28"/>
          <w:rtl w:val="true"/>
          <w:lang w:bidi="ar-SA"/>
        </w:rPr>
        <w:t>وهذا الأخير أقوى</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3425151_1280447820"/>
      <w:bookmarkStart w:id="540" w:name="_Toc194"/>
      <w:bookmarkEnd w:id="539"/>
      <w:r>
        <w:rPr>
          <w:rtl w:val="true"/>
        </w:rPr>
        <w:t>فروع</w:t>
      </w:r>
      <w:r>
        <w:rPr>
          <w:rtl w:val="true"/>
        </w:rPr>
        <w:t>:</w:t>
      </w:r>
      <w:bookmarkEnd w:id="540"/>
    </w:p>
    <w:p>
      <w:pPr>
        <w:pStyle w:val="Heading6"/>
        <w:numPr>
          <w:ilvl w:val="5"/>
          <w:numId w:val="1"/>
        </w:numPr>
        <w:rPr/>
      </w:pPr>
      <w:bookmarkStart w:id="541" w:name="__RefHeading___Toc13425153_1280447820"/>
      <w:bookmarkStart w:id="542" w:name="_Toc195"/>
      <w:bookmarkEnd w:id="541"/>
      <w:r>
        <w:rPr>
          <w:rtl w:val="true"/>
        </w:rPr>
        <w:t>الأوّل</w:t>
      </w:r>
      <w:r>
        <w:rPr>
          <w:rtl w:val="true"/>
        </w:rPr>
        <w:t xml:space="preserve">: </w:t>
      </w:r>
      <w:r>
        <w:rPr>
          <w:rtl w:val="true"/>
        </w:rPr>
        <w:t>ثبوت دعوى الوقف بشاهد ويمين</w:t>
      </w:r>
      <w:bookmarkEnd w:id="5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دعوى الوقف بشاهد ويمين لو قلنا بانتقاله إلى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بانتقاله إلى اللّه تعالى احتمل كونها كدعوى التحرير فلا تثبت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الأقوى ثبوته بهما؛ لأنّ المنافع مال يعود إلى الموقوف عليه فيصح إثباته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تجرّدت دعوى العين عن المنافع أشكل ثبوتها بهما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ويتولى الدعوى في المنحصر نفس الموقوف عليه، وفي غيره يتولاها الناظر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توجه اليمين عليهما مع الشاهد إشكال ينشأ من كونهما أولياء للوقف ولا يمين </w:t>
      </w:r>
      <w:bookmarkStart w:id="543" w:name="pg19218_274129"/>
    </w:p>
    <w:p>
      <w:pPr>
        <w:pStyle w:val="BookText"/>
        <w:rPr/>
      </w:pPr>
      <w:bookmarkEnd w:id="543"/>
      <w:r>
        <w:rPr>
          <w:rFonts w:ascii="Amiri" w:hAnsi="Amiri" w:eastAsia="Amiri" w:cs="Amiri"/>
          <w:color w:val="111111"/>
          <w:sz w:val="28"/>
          <w:sz w:val="28"/>
          <w:szCs w:val="28"/>
          <w:rtl w:val="true"/>
          <w:lang w:bidi="ar-SA"/>
        </w:rPr>
        <w:t>على الولي، ومن كونهما داخلين في الموقوف عليهم فلهم تشبّث بالملك في الجملة، فيصح منهما اليمين، والأوّل أوجه</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13425155_1280447820"/>
      <w:bookmarkStart w:id="545" w:name="_Toc196"/>
      <w:bookmarkEnd w:id="544"/>
      <w:r>
        <w:rPr>
          <w:rtl w:val="true"/>
        </w:rPr>
        <w:t>الثاني</w:t>
      </w:r>
      <w:r>
        <w:rPr>
          <w:rtl w:val="true"/>
        </w:rPr>
        <w:t xml:space="preserve">: </w:t>
      </w:r>
      <w:r>
        <w:rPr>
          <w:rtl w:val="true"/>
        </w:rPr>
        <w:t>عدم صحّة عتق العبد الموقوف</w:t>
      </w:r>
      <w:bookmarkEnd w:id="54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عتق العبد الموقوف؛ لتعلّق حقّ البطون به ولما يظهر من الأخبار من منع نقل الوقف والتصرف فيه على غير جهة الوقف وموردها وإن كان غير العتق من هبة وبيع وميراثٍ </w:t>
      </w:r>
      <w:r>
        <w:rPr>
          <w:rStyle w:val="FootnoteAnchor"/>
          <w:rtl w:val="true"/>
        </w:rPr>
        <w:footnoteReference w:id="638"/>
      </w:r>
      <w:r>
        <w:rPr>
          <w:rFonts w:ascii="Amiri" w:hAnsi="Amiri" w:eastAsia="Amiri" w:cs="Amiri"/>
          <w:color w:val="111111"/>
          <w:sz w:val="28"/>
          <w:sz w:val="28"/>
          <w:szCs w:val="28"/>
          <w:rtl w:val="true"/>
          <w:lang w:bidi="ar-SA"/>
        </w:rPr>
        <w:t>إلّا أنّه مثال،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قلنا بانتقاله إلى الموقوف عليه، وإن قلنا بانتقاله اللّه تعالى فوجه عدم صحّة عتقه ظاهر؛ لأنّ العتق فكّ الملك، فلو جاز في الوقف للزم تحصيل الحاصل، ولو قلنا ببقائه على ملك الواقف، فهو محجور عليه بالتصرّف فيه قطعاً؛ للأخبار </w:t>
      </w:r>
      <w:r>
        <w:rPr>
          <w:rStyle w:val="FootnoteAnchor"/>
          <w:rtl w:val="true"/>
        </w:rPr>
        <w:footnoteReference w:id="639"/>
      </w:r>
      <w:r>
        <w:rPr>
          <w:rFonts w:ascii="IRNazanin" w:hAnsi="IRNazanin" w:eastAsia="IRNazanin"/>
          <w:color w:val="111111"/>
          <w:sz w:val="28"/>
          <w:sz w:val="28"/>
          <w:szCs w:val="28"/>
          <w:rtl w:val="true"/>
          <w:lang w:bidi="fa-IR"/>
        </w:rPr>
        <w:t>والفتاوى</w:t>
      </w:r>
      <w:r>
        <w:rPr>
          <w:rFonts w:eastAsia="IRNazanin" w:cs="IRNazanin"/>
          <w:color w:val="111111"/>
          <w:sz w:val="28"/>
          <w:szCs w:val="28"/>
          <w:rtl w:val="true"/>
          <w:lang w:bidi="fa-IR"/>
        </w:rPr>
        <w:t>.</w:t>
      </w:r>
    </w:p>
    <w:p>
      <w:pPr>
        <w:pStyle w:val="Heading6"/>
        <w:numPr>
          <w:ilvl w:val="5"/>
          <w:numId w:val="1"/>
        </w:numPr>
        <w:rPr/>
      </w:pPr>
      <w:bookmarkStart w:id="546" w:name="__RefHeading___Toc13425157_1280447820"/>
      <w:bookmarkStart w:id="547" w:name="_Toc197"/>
      <w:bookmarkEnd w:id="546"/>
      <w:r>
        <w:rPr>
          <w:rtl w:val="true"/>
        </w:rPr>
        <w:t>الثالث</w:t>
      </w:r>
      <w:r>
        <w:rPr>
          <w:rtl w:val="true"/>
        </w:rPr>
        <w:t xml:space="preserve">: </w:t>
      </w:r>
      <w:r>
        <w:rPr>
          <w:rtl w:val="true"/>
        </w:rPr>
        <w:t>فيما لو كان العبد بين اثنين فوقف أحدهما نصفه وعتق الآخر فإنّه لا يسري العتق هنا</w:t>
      </w:r>
      <w:bookmarkEnd w:id="54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بين اثنين فوقف أحدهما نصفه وعتق الآخر، فالأقوى أنّه لا يسري العتق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بانتقال الوقف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بانتقاله للموقوف عليه فكذلك؛ للشكّ في شمول دليل السراية المخالفة للأصل لمثل ذلك، ولتعلق حقّ البطون اللاحقة به، ولعدم نفوذ العتق في الموقوف مباشرةً فلا ينفذ سرايةً بطريق أولى، ولظاهر الإجماع المنقول </w:t>
      </w:r>
      <w:r>
        <w:rPr>
          <w:rStyle w:val="FootnoteAnchor"/>
          <w:rtl w:val="true"/>
        </w:rPr>
        <w:footnoteReference w:id="640"/>
      </w:r>
      <w:r>
        <w:rPr>
          <w:rFonts w:ascii="IRNazanin" w:hAnsi="IRNazanin" w:eastAsia="IRNazanin"/>
          <w:color w:val="111111"/>
          <w:sz w:val="28"/>
          <w:sz w:val="28"/>
          <w:szCs w:val="28"/>
          <w:rtl w:val="true"/>
          <w:lang w:bidi="fa-IR"/>
        </w:rPr>
        <w:t xml:space="preserve">، وظاهر الأخبار </w:t>
      </w:r>
      <w:r>
        <w:rPr>
          <w:rStyle w:val="FootnoteAnchor"/>
          <w:rtl w:val="true"/>
        </w:rPr>
        <w:footnoteReference w:id="641"/>
      </w:r>
      <w:r>
        <w:rPr>
          <w:rFonts w:ascii="Amiri" w:hAnsi="Amiri" w:eastAsia="Amiri" w:cs="Amiri"/>
          <w:color w:val="111111"/>
          <w:sz w:val="28"/>
          <w:sz w:val="28"/>
          <w:szCs w:val="28"/>
          <w:rtl w:val="true"/>
          <w:lang w:bidi="ar-SA"/>
        </w:rPr>
        <w:t>أيضاً المشعرة بأن الوقف بعد وقوعه وصحته صار محجوراً عليه ولا ينفذ فيه شيء من التصرفات المزيلة لما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القول ببقائه على ملك الواقف، فإنّ الظاهر عدم السراية؛ للشكّ في شمول دليل السراية لمثل ذلك، ولتعلق حقّ الموقوف عليه به، فلا يقدم عليه حقّ العتق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يحتمل سراية العتق إلى نصيب الموقوف عليهم، ويضمن عوضه المعتق؛ لأنّه يكون بمنزلة الإتلاف ويشترى بعوضه ما يكون وقفاً، ويُفرّق بين العتق مباشرةً وبينه سرايةً؛ لأنّ </w:t>
      </w:r>
      <w:bookmarkStart w:id="548" w:name="pg19218_274130"/>
    </w:p>
    <w:p>
      <w:pPr>
        <w:pStyle w:val="BookText"/>
        <w:rPr/>
      </w:pPr>
      <w:bookmarkEnd w:id="548"/>
      <w:r>
        <w:rPr>
          <w:rFonts w:ascii="Amiri" w:hAnsi="Amiri" w:eastAsia="Amiri" w:cs="Amiri"/>
          <w:color w:val="111111"/>
          <w:sz w:val="28"/>
          <w:sz w:val="28"/>
          <w:szCs w:val="28"/>
          <w:rtl w:val="true"/>
          <w:lang w:bidi="ar-SA"/>
        </w:rPr>
        <w:t>السراية مع اجتماع شرائطها تكون بمنزلة الإتلاف القهري فتنفذ في المحل، بخلاف العتق الاختياري فإنّه بمنزلة التصرفات الاختيارية وهي محجور عليها في الوقف، ولتوقف صحّة العتق الاختياري على انحصار الملك في المباشر أو فيه وفي شريكه، دون عتق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جارٍ على جميع الأقوال؛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شركاً من عبد وله مال قوّم عليه الباقي</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إلّا أنّه يقوى على القول بانتقال الوقف إلى الموقوف عليه، بل خصه بعضهم </w:t>
      </w:r>
      <w:r>
        <w:rPr>
          <w:rStyle w:val="FootnoteAnchor"/>
          <w:rtl w:val="true"/>
        </w:rPr>
        <w:footnoteReference w:id="643"/>
      </w:r>
      <w:r>
        <w:rPr>
          <w:rFonts w:ascii="Amiri" w:hAnsi="Amiri" w:eastAsia="Amiri" w:cs="Amiri"/>
          <w:color w:val="111111"/>
          <w:sz w:val="28"/>
          <w:sz w:val="28"/>
          <w:szCs w:val="28"/>
          <w:rtl w:val="true"/>
          <w:lang w:bidi="ar-SA"/>
        </w:rPr>
        <w:t>بذلك، ولكنّ التخصيص منظور فيه، بل الأظهر ما قدمناه من الأقربيّة؛ لقوة ملك الموقوف عليه، وإن تلاحق فتقوى فيه الشركة فيقوى احتمال شمول العموم المتقدّم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هذا الاحتمال لو قلنا بعدم انتقاله عن الواقف؛ لضعف ملكيته على القول بها، لارتفاع سلطانه عنه، ولبعد تعلقه به، ولتعلّق حقّ الموقوف عليه به، فيضعف حينئذٍ احتمال دخوله تحت العموم المتقدّم، كما يزداد ضعفاً على القول بانتقال الوقف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دليل السراية معارض لدليل الوقف إلّا أنّه لا يقاومه؛ لظهوره في غيره، ولاعتضاد دليل الوقف بفتوى المشهور وظواهر كثير من الأخبار، فلا يُسمع دليل السراية بالنسبة إليه، ويصرف إلى غيره</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13425159_1280447820"/>
      <w:bookmarkStart w:id="550" w:name="_Toc198"/>
      <w:bookmarkEnd w:id="549"/>
      <w:r>
        <w:rPr>
          <w:rtl w:val="true"/>
        </w:rPr>
        <w:t>الرابع</w:t>
      </w:r>
      <w:r>
        <w:rPr>
          <w:rtl w:val="true"/>
        </w:rPr>
        <w:t xml:space="preserve">: </w:t>
      </w:r>
      <w:r>
        <w:rPr>
          <w:rtl w:val="true"/>
        </w:rPr>
        <w:t>في أنّ عمارة الوقف تخرج من غلته ونمائه مقدّماً على حقّ الموقوف عليه</w:t>
      </w:r>
      <w:bookmarkEnd w:id="55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الوقف تخرج من غلته ومن نمائه مقدّماً على حقّ الموقوف عليه؛ لأن غرض الواقف بقاء عين الوقف للانتفاع به، فما يتوقف عليه البقاء يُقدّم إخراجه على حقّ غيره، وحينئذٍ فالناظر له أخذ النماء وله أجرة الأرض لتعميرها، ولا يعارضه الموقوف عليهم، بل له إخراج الموقوف عليهم من سكنى الوقف وإيجارها لتعميرها، خاصاً كان الوقف أو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وتمضي إجارته على البطون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للوقف الخاص ناظر، آجره الموقوف عليهم أيضاً لذلك، وتمضي إجارتهم أيضاً على البطون اللاحقة؛ لكون مصلحة الإجارة لهم أيضاً، ولا يختص بها المؤجر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امتنع الموقوف عليهم من إيجار العقار لتعميره حتّى آل إلى الاضمحلال، ففي جبر الحاكم لهم على ذلك وجه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طلب أحدهم الإيجار للتعمير لزم الآخرين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نفقة الحيوان فتلزم الموقوف عليه؛ بناءً على ملكه أو مطلقاً؛ لانحصار منافعه فيه فتلزمه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 انتقاله عن الواقف احتمل كون النفقة عليه، وكونها على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بانتقاله اللّه تعالى احتمل كونها على الموقوف عليه، وكونها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الموقوف عليه عاماً، كانت نفقته على بيت مال المسلمين، فتخرج ممّا لهم من أخماس وزكوات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نفقة العبد فإن قلنا بملك الموقوف عليه له احتمل كونها على الموقوف عليه تبعاً للملك،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كونها في كسبه؛ لأن نفقته من شروط بقائه، كعمارة العقار، وهي مقدمة من غلته على حقّ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اللّه تعالى، احتمل كون نفقته على الموقوف عليهم؛ لأنّهم هم المستحقون للمنفعة، بناءً على أن مالك المنافع كالأجير الخاص، والموصى بخدمته تتعلّق بهم نفقة ما ملكوا منافعه، واحتمل كونها في بيت المال ابتداء، واحتمل تعلقها بكسبه أولاً، فإن لم يمكن ففي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انتقال الوقف عن المالك، احتمل كون النفقة على الموقوف عليه؛ لاستحقاقهم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كونها على الواقف، واحتمل كونها في كسبه، فإن قصر فعلى بيت المال، واحتمل كونها على بيت المال مطلقاً؛ لاستعداد بيت المال لعمل المصالح، وفي الأخبار ما يشعر بتقديم تعمير الموقوف من الغلة على حقّ الموقوف عليه </w:t>
      </w:r>
      <w:r>
        <w:rPr>
          <w:rStyle w:val="FootnoteAnchor"/>
          <w:rtl w:val="true"/>
        </w:rPr>
        <w:footnoteReference w:id="644"/>
      </w:r>
      <w:r>
        <w:rPr>
          <w:rFonts w:ascii="Amiri" w:hAnsi="Amiri" w:eastAsia="Amiri" w:cs="Amiri"/>
          <w:color w:val="111111"/>
          <w:sz w:val="28"/>
          <w:sz w:val="28"/>
          <w:szCs w:val="28"/>
          <w:rtl w:val="true"/>
          <w:lang w:bidi="ar-SA"/>
        </w:rPr>
        <w:t>، وعليه ظواهر كلام الأصحاب كما تقدّم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أقعد العبد الموقوف، أو از من انعتق العبد، وتسقط نفقته عن الواقف والموقوف عليه بالخصوص، وتثبت على المسلمين كفاية عند الاضطرار، والموقوف عليه والواقف أحد المسلمين</w:t>
      </w:r>
      <w:r>
        <w:rPr>
          <w:rFonts w:eastAsia="Amiri" w:cs="Amiri" w:ascii="Amiri" w:hAnsi="Amiri"/>
          <w:color w:val="111111"/>
          <w:sz w:val="28"/>
          <w:szCs w:val="28"/>
          <w:rtl w:val="true"/>
          <w:lang w:bidi="ar-SA"/>
        </w:rPr>
        <w:t xml:space="preserve">. </w:t>
      </w:r>
      <w:bookmarkStart w:id="551" w:name="pg19218_274132"/>
    </w:p>
    <w:p>
      <w:pPr>
        <w:pStyle w:val="Heading6"/>
        <w:numPr>
          <w:ilvl w:val="5"/>
          <w:numId w:val="1"/>
        </w:numPr>
        <w:rPr/>
      </w:pPr>
      <w:bookmarkStart w:id="552" w:name="__RefHeading___Toc13425161_1280447820"/>
      <w:bookmarkStart w:id="553" w:name="_Toc199"/>
      <w:bookmarkEnd w:id="551"/>
      <w:bookmarkEnd w:id="552"/>
      <w:r>
        <w:rPr>
          <w:rtl w:val="true"/>
        </w:rPr>
        <w:t>الخامس</w:t>
      </w:r>
      <w:r>
        <w:rPr>
          <w:rtl w:val="true"/>
        </w:rPr>
        <w:t xml:space="preserve">: </w:t>
      </w:r>
      <w:r>
        <w:rPr>
          <w:rtl w:val="true"/>
        </w:rPr>
        <w:t>فيما لو جنى العبد الموقوف عمداً فعليه القصاص</w:t>
      </w:r>
      <w:bookmarkEnd w:id="55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العبد الموقوف عمداً، فعليه القصاص؛ لعموم أدلّته </w:t>
      </w:r>
      <w:r>
        <w:rPr>
          <w:rStyle w:val="FootnoteAnchor"/>
          <w:rtl w:val="true"/>
        </w:rPr>
        <w:footnoteReference w:id="645"/>
      </w:r>
      <w:r>
        <w:rPr>
          <w:rFonts w:ascii="Amiri" w:hAnsi="Amiri" w:eastAsia="Amiri" w:cs="Amiri"/>
          <w:color w:val="111111"/>
          <w:sz w:val="28"/>
          <w:sz w:val="28"/>
          <w:szCs w:val="28"/>
          <w:rtl w:val="true"/>
          <w:lang w:bidi="ar-SA"/>
        </w:rPr>
        <w:t>الحاكمة على أدلّة دوام الوقف؛ لقوتها عليه، فإن كانت دون النفس بقي الباقي وقفاً، وإن كانت نفساً بطل الوقف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للمجني عليه الاسترقاق؛ لأنّ له القتل وإبطال الوقف به فله الاسترقاق بطريق أولى، ولأنّ الجمع بين حقّ المجني عليه وبين فضيلة العفو وبقاء النفس المحترمة إنما يحصل بالاسترقاق، أو ليس له ذلك؛ لأنّه إبطال لحق الوقف المقتضي للتأبيد والدوام فينافيه، وشمول أدلّة استرقاق المجني عليه للجاني </w:t>
      </w:r>
      <w:r>
        <w:rPr>
          <w:rStyle w:val="FootnoteAnchor"/>
          <w:rtl w:val="true"/>
        </w:rPr>
        <w:footnoteReference w:id="646"/>
      </w:r>
      <w:r>
        <w:rPr>
          <w:rFonts w:ascii="Amiri" w:hAnsi="Amiri" w:eastAsia="Amiri" w:cs="Amiri"/>
          <w:color w:val="111111"/>
          <w:sz w:val="28"/>
          <w:sz w:val="28"/>
          <w:szCs w:val="28"/>
          <w:rtl w:val="true"/>
          <w:lang w:bidi="ar-SA"/>
        </w:rPr>
        <w:t>في هذا المقام محلّ شكٍّ ؟</w:t>
      </w:r>
    </w:p>
    <w:p>
      <w:pPr>
        <w:pStyle w:val="BookText"/>
        <w:rPr/>
      </w:pPr>
      <w:r>
        <w:rPr>
          <w:rFonts w:ascii="Amiri" w:hAnsi="Amiri" w:eastAsia="Amiri" w:cs="Amiri"/>
          <w:color w:val="111111"/>
          <w:sz w:val="28"/>
          <w:sz w:val="28"/>
          <w:szCs w:val="28"/>
          <w:rtl w:val="true"/>
          <w:lang w:bidi="ar-SA"/>
        </w:rPr>
        <w:t xml:space="preserve">وبالجملة، فقد جاء ما دلّ على التأبيد في الوقف </w:t>
      </w:r>
      <w:r>
        <w:rPr>
          <w:rStyle w:val="FootnoteAnchor"/>
          <w:rtl w:val="true"/>
        </w:rPr>
        <w:footnoteReference w:id="647"/>
      </w:r>
      <w:r>
        <w:rPr>
          <w:rFonts w:ascii="Amiri" w:hAnsi="Amiri" w:eastAsia="Amiri" w:cs="Amiri"/>
          <w:color w:val="111111"/>
          <w:sz w:val="28"/>
          <w:sz w:val="28"/>
          <w:szCs w:val="28"/>
          <w:rtl w:val="true"/>
          <w:lang w:bidi="ar-SA"/>
        </w:rPr>
        <w:t>، وما دلّ على جواز استرقاق الجاني، وبينهما تعارض، ولا يبعد أنّ القوة لجانب أدلّة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خطأ، احتمل تعلّق الجناية بمال الموقوف عليه؛ بناء على أنّه يملكه؛ لتعذر استيفائها من رقبته؛ إذ لا يتعلّق الأرش إلّا برقبة من يباع، فيلزم على المالك التفدية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تعلّقها بكسبه؛ لأنّ المولى لا يعقل عبداً، ولا يجوز إهدار الجناية، ولا طريق إلى عتقه فيتوقع منه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تعلّقها برقبته؛ لما دلّ على جواز استرقاق المجني عليه للجاني مطلقاً فيقدّم حقّ الجناية على حقّ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التفصيل بين كونه كسوباً ففي كسبه، وبين كونه غير كسوبٍ ففي رقبته أو في مال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والأوجه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حقّ الموقوف عليه من الدوام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بانتقال الملك اللّه تعالى احتمل كون الجناية من بيت المال، واحتمل تعلّقها بكسبه، والأخير أوجه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بعدم انتقاله عن ملك الواقف، احتمل كون الجناية في مال الواقف، واحتمل تعلقها بكسبه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وثمرة التعلّق بالكسب هو أنّه وإن كان من مال المالك إلّا أنّه مال خاص لو لم يمكن الوفاء منه لم يرجع إلى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جني على العبد الموقوف، فإما أن تكون الجناية عمداً أو خطأ، وعلى أي التقديرين فإما في نفس أو طرفٍ، وعلى كلّ التقادير فالموقوف إمّا أن يملكه الموقوف عليهم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المالك إمّا أن يختار القصاص في صورة العمد، أو يختار الصلح بالمال، أو يختار العفو، وفي غير صورة العمد إمّا أن يختار المال أو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 النظر في هذه الأقسام هو أنّه لو كان الحق القصاص، فالقصاص بيد الموقوف عليه لو قلنا بانتقال الملك إليه، ولا يمنع من القصاص حقّ البطون اللاحقة؛ لأنّه شُرّع للتشفّي، فلكلّ واحدٍ من المُلّاك أن يفعله، وإن قلنا بانتقاله اللّه تعالى احتمل كون حقّ القصاص إلى الحاكم؛ لأنّه الوليّ، واحتمل كونه للموقوف عليهم؛ لرجوع منافع الوقف ونمائه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 انتقاله عن الواقف كان حقّ القصاص له مع احتمال كونه له وللموقوف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لو صار الحق مالاً كالدية في حال الخطا، أو المصالح عليه في حالة العمد، فهل يجب أن يشترى به عبد أو بعض عبدٍ يكون وقفاً، أو يختص به الموجود من الموقوف عليهم؛ لأنّه بمنزلة النماء؟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عوض الرقبة والرقبة لا يختص بها الموجودون، بل يشاركهم المعدومون بالقوة القريبة للفعل؛ لحصول السبب المملك والمعدات للملك، فلا سبيل إلى إبطال حقهم، فيجب أن يشترى عبداً أو بعض عبد فيكون وقفاً؛ إبقاء للوقف بحسب الإمكان وصيانةً له عن الإبطال، وتوصلاً إلى غرض الواقف مهما أمكن، ولأن الوقف تابع لبقاء المالية؛ ولهذا يجب الشراء بقيمة الوقف حيث يجوز بيع ما يكون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متعلّق بالعين المشخصة وقد بطل بإتلافها، فامتنع أن يكون لمن سيوجد من البطون حقّ متعلق به؛ لأنّهم حال الجناية غير مستحقين، ووقت استحقاقهم قد خرج التالف عن كونه وقفاً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يضعف الأخير بأن القيمة بدل عن العين، فيملكها مَنْ يملكها ويستحقها مَنْ يستحقها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والوقف وإن لم يتناول القيمة مطابقة لكنه يتناولها اقتضاء؛ من حيث إنّها قائمة مقام العين ولأنّ حقّ الوقف أقوى من حقّ الرهن وحق الرهن يتعلّق بالقيمة، فالأوّل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يُفرّق في المال بين الدية والأرش، فيجعل الأرش للموجودين قطعاً؛ لأنّه بمنزلة النماء، دون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قريب، وقطع به بعضهم </w:t>
      </w:r>
      <w:r>
        <w:rPr>
          <w:rStyle w:val="FootnoteAnchor"/>
          <w:rtl w:val="true"/>
        </w:rPr>
        <w:footnoteReference w:id="648"/>
      </w:r>
      <w:r>
        <w:rPr>
          <w:rFonts w:ascii="Amiri" w:hAnsi="Amiri" w:eastAsia="Amiri" w:cs="Amiri"/>
          <w:color w:val="111111"/>
          <w:sz w:val="28"/>
          <w:sz w:val="28"/>
          <w:szCs w:val="28"/>
          <w:rtl w:val="true"/>
          <w:lang w:bidi="ar-SA"/>
        </w:rPr>
        <w:t>، إلّا أن الظاهر أنّ الخلاف واقع فيهما معاً، والضابط إيجاب الجناية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المختار فيتولّى الشراء الموقوفُ عليهم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يملكون الموقوف، مع احتمال أن يتولاه الحاكم؛ لتعلّق حقّ البطون اللاحقة به، والحاكم ولي الغائب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للوقف ناظر قد صرّح بنظارته لمثل ذلك، تولّى الشراء ذلك الناظر، وإن لم يصرّح له بمثل ذلك ففي شمول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ذلك بحث، ولا يبعد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اللّه تعالى مطلقاً أو في مكانٍ خاص، كان المتولّي للشراء الحاكم الشرعي، مع احتمال كونه للموقوف عليهم؛ لعود نفعه إليهم، وهو احتمال ضعيف، ومع تعذر الحاكم تولاه الموقوف عليهم، مع احتمال تقديم عدول المؤمنين، وهو أقرب، ومع عدم إمكان تولّي الموقوف عليهم فلا شكّ في رجوع الولاية لعدول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انتقال الوقف عن الواقف ففي كون الولاية له، أو للحاكم، أو للموقوف عليه وجوه، أوجهها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يفتقر بعد الشراء إلى صيغة الوقف؛ للأصل، ولأن الوقف لا يكون وقفاً من دون الصيغة، أو لا يفتقر بل يصير بالشراء وقفاً، كما يصير الرهن بذلك رهناً؛ لأنّه يغتفر في الثواني والتوابع ما لا يغتفر في الأوائل والمتبوعات؟ وجهان، أحوطهما وأقربهما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فيتولّى الصيغة مَنْ يتولّى الشراء، ويكون حكم ما بين الشراء والصيغة حكم الوقف لا أنّه وقف، ويملكه مالك الوقف على الأقوال المتقدّمة، ولا يجوز التصرّف فيه قبل الشراء، بل يكون محجوراً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يف المال بشراء عبد تام، اشترى به شقصاً؛ امتثالاً للأمر بحسب الإمكان، ولو زاد عن عبد اشترى بالزائد شقصاً آخر، وهكذا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للموقوف عليهم العفو عن القصاص، بحيث إنّهم لو عفوا لم يكن للبطون اللاحقة </w:t>
      </w:r>
      <w:bookmarkStart w:id="554" w:name="pg19218_274135"/>
    </w:p>
    <w:p>
      <w:pPr>
        <w:pStyle w:val="BookText"/>
        <w:rPr/>
      </w:pPr>
      <w:bookmarkEnd w:id="554"/>
      <w:r>
        <w:rPr>
          <w:rFonts w:ascii="Amiri" w:hAnsi="Amiri" w:eastAsia="Amiri" w:cs="Amiri"/>
          <w:color w:val="111111"/>
          <w:sz w:val="28"/>
          <w:sz w:val="28"/>
          <w:szCs w:val="28"/>
          <w:rtl w:val="true"/>
          <w:lang w:bidi="ar-SA"/>
        </w:rPr>
        <w:t>فيه حقٌّ، وكذا لو عفوا عن الدية أو الأرش؟ يحتمل ذلك؛ لانحصار الحق الآن فيهم، وتجدد استحقاق البطون اللاحقة بعد سقوط الحق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العدم؛ لوجود سبب استحقاقهم حين الجناية، ولتعلّق حقهم على وجه الشركة مع الموجودين، ولا يسقط حقّ واحدٍ بعفو آخر وإسقاط حقه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للاحقين القصاص إذا عفا عنه الموجودون؛ لاشتراكهم في استحقاقه، أو ليس لهم إلّا الدية؛ تغليباً لجانب العفو وحفظاً للنفس المحترمة عن الإتلاف مهما أمكن؟ وجهان، وفي الأخير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فلو كان الجاني عبداً فاقتص الموجودون منه فلا كلام، وإن عفوا عنه كان للاحقين استرقاقه، ويثبت وقفاً بنفس الاسترقاق أو بالصيغة؟ وجهان على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لهم القصاص؟ وجهان، على ما تقدّم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استرقه الموجودون ففي اختصاصهم به، أو لزوم جعله وقفاً؛ لتعلّق حقّ البطون اللاحقة به، وجهان مبنيان على ما تقدّم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يفتقر بعد الاسترقاق إلى صيغة الوقف؟ وجهان مبنيان على ما تقدّم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13425163_1280447820"/>
      <w:bookmarkStart w:id="556" w:name="_Toc200"/>
      <w:bookmarkEnd w:id="555"/>
      <w:r>
        <w:rPr>
          <w:rtl w:val="true"/>
        </w:rPr>
        <w:t>الحادي والعشرون</w:t>
      </w:r>
      <w:r>
        <w:rPr>
          <w:rtl w:val="true"/>
        </w:rPr>
        <w:t xml:space="preserve">: </w:t>
      </w:r>
      <w:r>
        <w:rPr>
          <w:rtl w:val="true"/>
        </w:rPr>
        <w:t>في مباحث متعلقة في الموقوف عليه</w:t>
      </w:r>
      <w:r>
        <w:rPr>
          <w:rtl w:val="true"/>
        </w:rPr>
        <w:t>:</w:t>
      </w:r>
      <w:bookmarkEnd w:id="556"/>
    </w:p>
    <w:p>
      <w:pPr>
        <w:pStyle w:val="Heading5"/>
        <w:numPr>
          <w:ilvl w:val="4"/>
          <w:numId w:val="1"/>
        </w:numPr>
        <w:rPr/>
      </w:pPr>
      <w:bookmarkStart w:id="557" w:name="__RefHeading___Toc13425165_1280447820"/>
      <w:bookmarkStart w:id="558" w:name="_Toc201"/>
      <w:bookmarkEnd w:id="557"/>
      <w:r>
        <w:rPr>
          <w:rtl w:val="true"/>
        </w:rPr>
        <w:t>الأوّل</w:t>
      </w:r>
      <w:r>
        <w:rPr>
          <w:rtl w:val="true"/>
        </w:rPr>
        <w:t xml:space="preserve">: </w:t>
      </w:r>
      <w:r>
        <w:rPr>
          <w:rtl w:val="true"/>
        </w:rPr>
        <w:t>في أنّه يشترط في الموقوف عليه ذكره بنفسه أو بما ينوب عنه من جهةٍ أو مصرف</w:t>
      </w:r>
      <w:bookmarkEnd w:id="55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الموقوف عليه ذكره بنفسه أو بما ينوب عنه من جهة أو مصرف، فلو وقف ولم يذكر شيئاً من ذلك بطل الوقف؛ للأصل، ولظاهر الأخبار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 ولفتوى المشهور، ولظاهر الإجماع المنقول </w:t>
      </w:r>
      <w:r>
        <w:rPr>
          <w:rStyle w:val="FootnoteAnchor"/>
          <w:rtl w:val="true"/>
        </w:rPr>
        <w:footnoteReference w:id="653"/>
      </w:r>
      <w:r>
        <w:rPr>
          <w:rFonts w:ascii="Amiri" w:hAnsi="Amiri" w:eastAsia="Amiri" w:cs="Amiri"/>
          <w:color w:val="111111"/>
          <w:sz w:val="28"/>
          <w:sz w:val="28"/>
          <w:szCs w:val="28"/>
          <w:rtl w:val="true"/>
          <w:lang w:bidi="ar-SA"/>
        </w:rPr>
        <w:t>، ولأنّ الوقف تمليك، فما لم يذكر المالك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ولبطلان الوقف على المجهول فغير المذكور أولى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ابن الجنيد جواز هذه صدقة اللّه تعالى، ولم يذكر المتصدق عليه، وكانت في أهل الصدقات </w:t>
      </w:r>
      <w:r>
        <w:rPr>
          <w:rStyle w:val="FootnoteAnchor"/>
          <w:rtl w:val="true"/>
        </w:rPr>
        <w:footnoteReference w:id="654"/>
      </w:r>
      <w:r>
        <w:rPr>
          <w:rFonts w:ascii="Amiri" w:hAnsi="Amiri" w:eastAsia="Amiri" w:cs="Amiri"/>
          <w:color w:val="111111"/>
          <w:sz w:val="28"/>
          <w:sz w:val="28"/>
          <w:szCs w:val="28"/>
          <w:rtl w:val="true"/>
          <w:lang w:bidi="ar-SA"/>
        </w:rPr>
        <w:t>، وهو شاذّ متروك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ويشترط كونه موجوداً أو معدوماً ممكن الوجود تابعاً للموجود، كالوقف على أولاده الموجودين وما سيوجد منهم أو من غيرهم وقف تشريك، أو الوقف على أولاده ثمّ على ما سيوجد منهم أو من غيرهم وقف ترتيب، فلو كان معدوماً غير ممكن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على الميّت أو على ما تلده الأموات أو على العنقاء بطل، منضماً كان أو منفرداً، وقف تشريك أو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ممكن الوجود إلّا أنّه لم ينضم إلى موجود على وجه التشريك أو الترتيب، بل كان مستقلاً بالوقف فإنّه يبطل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كونه قابلاً للملك، فلا يصحّ الوقف على جماد ولا على حمل ولا على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الجماد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فإنّه وإن كان موجوداً حياً ويصحّ قبول وليه عنه إلّا أن الظاهر منهم أن الحمل لا قابلية له للملك المنجز قبل خروجه حيّاً، وإن صحّ تمليكه بغير التنجيز، كالوصيّة والنذر إذا خرج بعد ذلك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الخروج كاشفاً أو ناقلاً، والإجماع منقول على ذلك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العبد فظاهرهم على عدم صحّة الوقف عليه، ونُقل عليه الإجماع </w:t>
      </w:r>
      <w:r>
        <w:rPr>
          <w:rStyle w:val="FootnoteAnchor"/>
          <w:rtl w:val="true"/>
        </w:rPr>
        <w:footnoteReference w:id="656"/>
      </w:r>
      <w:r>
        <w:rPr>
          <w:rFonts w:ascii="IRNazanin" w:hAnsi="IRNazanin" w:eastAsia="IRNazanin"/>
          <w:color w:val="111111"/>
          <w:sz w:val="28"/>
          <w:sz w:val="28"/>
          <w:szCs w:val="28"/>
          <w:rtl w:val="true"/>
          <w:lang w:bidi="fa-IR"/>
        </w:rPr>
        <w:t xml:space="preserve">، وبناه جمع </w:t>
      </w:r>
      <w:r>
        <w:rPr>
          <w:rStyle w:val="FootnoteAnchor"/>
          <w:rtl w:val="true"/>
        </w:rPr>
        <w:footnoteReference w:id="657"/>
      </w:r>
      <w:r>
        <w:rPr>
          <w:rFonts w:ascii="Amiri" w:hAnsi="Amiri" w:eastAsia="Amiri" w:cs="Amiri"/>
          <w:color w:val="111111"/>
          <w:sz w:val="28"/>
          <w:sz w:val="28"/>
          <w:szCs w:val="28"/>
          <w:rtl w:val="true"/>
          <w:lang w:bidi="ar-SA"/>
        </w:rPr>
        <w:t>على القول بملكه وعدمه، فإن قلنا بملكيته صحّ الوقف عليه، وتولى القبول والقبضَ مولاه، وإن قلنا بالعدم، فلا يصحّ الوقف عليه، ولا ينصرف إلى سيده قهراً؛ لعدم 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ذلك الوقفُ على العبد المُعدّ لخدمة الحضرة والمسجد، وكذا الدابّة، كما يستثنى من الوقف على الجماد الوقفُ على القنطرة والمسجد والحضرة، فإنّ ذلك كلّه جائز؛ لرجوع الوقف في الحقيقة وقفاً على أهل تلك المصلحة من المسلمين رجوعاً قهريّاً أو قصدياً على ما تقدّم سابقاً </w:t>
      </w:r>
      <w:r>
        <w:rPr>
          <w:rStyle w:val="FootnoteAnchor"/>
          <w:rtl w:val="true"/>
        </w:rPr>
        <w:footnoteReference w:id="658"/>
      </w:r>
      <w:r>
        <w:rPr>
          <w:rFonts w:ascii="Amiri" w:hAnsi="Amiri" w:eastAsia="Amiri" w:cs="Amiri"/>
          <w:color w:val="111111"/>
          <w:sz w:val="28"/>
          <w:sz w:val="28"/>
          <w:szCs w:val="28"/>
          <w:rtl w:val="true"/>
          <w:lang w:bidi="ar-SA"/>
        </w:rPr>
        <w:t>، وعلى كلا التقديرين فجوازه لا إشكال فيه، والاتفاق عليه، والسيرة قاضية 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 ذلك ما ورد في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الوقوف على المساجد،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فإنّ المجوس وقفوا على بيوت النار</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وكذا ما ورد في الخبر الآخر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وهما ضعيفان سنداً، ويزيد الأخير بضعف الدلالة على ما ذكر، ومع ذلك شاذان متروكان، فطرحهما أو تنزيلهما على إرادة البيع والكنائس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يعين الوقف عليه على الإثم أو على إرادة الاستفهام الإنكاري من لفظ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المقصود من ذكر التعليل بيان جوازه على المساجد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وحملهما على الكراهة بعد اتفاق الأصحاب على الجواز والاستحباب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الكراهة على إرادة تجنّب صورة اللفظ في الوقف على المساجد؛ للبعد عما يفعله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الموقوف عليه ممّا لا يحرم عليه البر والصدقة، كالوقف على العصاة والزناة وقطاع الطريق وشاربي الخمر ؛ لكونهم كذلك، لا لكونهم من ولد آدم، أو غيرها من الجهات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كونه معلوماً غير مبهم ولا مردّداً فيه بين عام أو خاص أو تشريك أو ترتيب، أو بين شخصين، أو كلّيّ ملحوظ فيه نفس الطبيعة دون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ما لا يصحّ الوقف عليه أوّلاً كان منقطع الأوّل، ووسطاً كان منقطع الوسط، وأخيراً كان منقطع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منقطع الوسط بالنسبة إلى ما بعده كحكم منقطع الأوّل، وبالنسبة إلى ما قبله كحكم منقطع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صحّة منقطع الأخير مع إرادة الحبس أو الإطلاق، دون ما إذا أُريد نفس الوقف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الأقوى صحّة الوقف على ما يصحّ الوقف عليه إذا انضم إليه ما لا يصحّ الوقف عليه، كمعدوم لا يمكن وجوده، أو جماد، أو ما يحرم الوقف عليه، ويقضى عليه بالتنصيف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الأقوى فساد منقطع الأوّل للشكّ في شمول دليل الصحّة له، وللزومه إمّا صحّة الوقف مع عدم موقوف عليه إن أجرينا الوقف على إطلاقه، أو مخالفة شرط الواقف وقصده إن أجريناه على ما يصحّ الوقف عليه فقط، فيخالف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والعقود تتبع القصود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نلتزم أنّ هنالك موقوفاً عليه، فإن أمكن انقراضه اعتبر انقراضه، فيكون انقراضه شرطاً في تجويز الانتفاع لا في نفوذ الوقف، والنماء للواقف أو ورثته كمنقطع الوسط، </w:t>
      </w:r>
    </w:p>
    <w:p>
      <w:pPr>
        <w:pStyle w:val="BookText"/>
        <w:rPr/>
      </w:pPr>
      <w:r>
        <w:rPr>
          <w:rFonts w:ascii="Amiri" w:hAnsi="Amiri" w:eastAsia="Amiri" w:cs="Amiri"/>
          <w:color w:val="111111"/>
          <w:sz w:val="28"/>
          <w:sz w:val="28"/>
          <w:szCs w:val="28"/>
          <w:rtl w:val="true"/>
          <w:lang w:bidi="ar-SA"/>
        </w:rPr>
        <w:t xml:space="preserve">أو يساوي ما لا يمكن انقراضه، كما سيأتي </w:t>
      </w:r>
      <w:r>
        <w:rPr>
          <w:rStyle w:val="FootnoteAnchor"/>
          <w:rtl w:val="true"/>
        </w:rPr>
        <w:footnoteReference w:id="662"/>
      </w:r>
      <w:r>
        <w:rPr>
          <w:rFonts w:ascii="Amiri" w:hAnsi="Amiri" w:eastAsia="Amiri" w:cs="Amiri"/>
          <w:color w:val="111111"/>
          <w:sz w:val="28"/>
          <w:sz w:val="28"/>
          <w:szCs w:val="28"/>
          <w:rtl w:val="true"/>
          <w:lang w:bidi="ar-SA"/>
        </w:rPr>
        <w:t xml:space="preserve">إن شاء اللّه، وإن لم يمكن انقراضه كان شرط الواقف لغواً؛ لكونه محالاً، فلا يلزم اتباع شرط الواقف؛ لأنّه إنما يلزم اتباعه لو كان سائغاً، وإذا كان الشرط لغواً لم يبطل الوقف؛ لوجود الموقوف عليه فينصرف إليه </w:t>
      </w:r>
      <w:r>
        <w:rPr>
          <w:rStyle w:val="FootnoteAnchor"/>
          <w:rtl w:val="true"/>
        </w:rPr>
        <w:footnoteReference w:id="663"/>
      </w:r>
      <w:r>
        <w:rPr>
          <w:rFonts w:ascii="Amiri" w:hAnsi="Amiri" w:eastAsia="Amiri" w:cs="Amiri"/>
          <w:color w:val="111111"/>
          <w:sz w:val="28"/>
          <w:sz w:val="28"/>
          <w:szCs w:val="28"/>
          <w:rtl w:val="true"/>
          <w:lang w:bidi="ar-SA"/>
        </w:rPr>
        <w:t>، ضعيف جداً، وذلك ؛ لأنّ العقد إذا ابتنى على شرط فاسد فسد العقد بفساده، والحكم بأن الشرط إذا كان محالاً يكون لغواً فيفسد بنفسه مخالف لقواعد الشروط وقياسه على منقطع الوسط قياس باطل؛ لأن الكلام فيه كالكلام في منقطع الأوّل بالنسبة إلى ما بعده، ووجود الموقوف عليه على غير النحو المقصود من الواقف لا يصرف الوقف إليه؛ لأنّ الوقوف على حسب ما يوقفها أهلها، على أنّ ما يمكن انقراضه لو جعل شرطاً في انتفاع الثاني وجعل النماء للواقف مدّة وجوده كان بمنزلة عدم إخراج الواقف الوقف عن نفسه، وهو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منقطع الأوّل ليس بمنزلة الشرط الملغى كي يمكن إسقاطه وصحة الوقف، بل هو ركن من أركان الوقف؛ لأنّه موقوف عليه ابتداء، وإذا فسد ركن الوقف فسد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بمنزلة الوقف على ما يصحّ الوقف عليه وما لا يصح، فيصح في القابل دون غيره؛ للفرق بينهما من حيث إنّ الوقف في الأخير قد وقع دفعةً على ما يصحّ الوقف عليه وما لا يصح، فيمكن أن يؤثر في القابل دون غيره، بخلاف الأول؛ لأن الوقف قد انصب عليه أوّلاً ثمّ على القابل بعده فإذا بطل أثره في الابتداء لم يمكن أن يؤثر في الاستدامة؛ لابتنائها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ضعف من حكم بصحّة الوقف المنقطع الأوّل، استناداً للأصل، وإلى أنّه بمنزلة ضمّ صحيح إلى فاسد فيصح فيما يصحّ ويفسد فيما يفسد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الضعف ما عرفت من انقطاع الأصل، ومن الفرق بين الضميمتين من إمكان القول بالصحّة هناك دونه هنا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بالصحّة فهل تصرف منفعة الوقف في الحال إلى مَنْ يصحّ في حقه، أو ترجع </w:t>
      </w:r>
      <w:bookmarkStart w:id="559" w:name="pg19218_274139"/>
    </w:p>
    <w:p>
      <w:pPr>
        <w:pStyle w:val="BookText"/>
        <w:rPr/>
      </w:pPr>
      <w:bookmarkEnd w:id="559"/>
      <w:r>
        <w:rPr>
          <w:rFonts w:ascii="Amiri" w:hAnsi="Amiri" w:eastAsia="Amiri" w:cs="Amiri"/>
          <w:color w:val="111111"/>
          <w:sz w:val="28"/>
          <w:sz w:val="28"/>
          <w:szCs w:val="28"/>
          <w:rtl w:val="true"/>
          <w:lang w:bidi="ar-SA"/>
        </w:rPr>
        <w:t>إلى الواقف، أو تُصرف في وجوه البر، أو يُفرَّق بين ما يمكن انقراضه كالعبد وشبهه فتصرف إلى الواقف أو إلى الفقراء والمساكين؛ لخروجه عن ملك الواقف في الجملة، وبين ما لا يمكن انقراضه كالوقف على ميّتٍ أو مجهول ابتداءً فتصرف إلى مَنْ يصحّ الوقف في حقه؟ وجوه والتفصيل على القول بالصحّة قريب</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3425167_1280447820"/>
      <w:bookmarkStart w:id="561" w:name="_Toc202"/>
      <w:bookmarkEnd w:id="560"/>
      <w:r>
        <w:rPr>
          <w:rtl w:val="true"/>
        </w:rPr>
        <w:t>الثاني</w:t>
      </w:r>
      <w:r>
        <w:rPr>
          <w:rtl w:val="true"/>
        </w:rPr>
        <w:t xml:space="preserve">: </w:t>
      </w:r>
      <w:r>
        <w:rPr>
          <w:rtl w:val="true"/>
        </w:rPr>
        <w:t>حكم ما إذا وقف على ما لا ينقطع عادة فاتفق انقطاعه ولم يكن الواقف عالماً بانقطاعه ولا قصده</w:t>
      </w:r>
      <w:bookmarkEnd w:id="56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ما لا ينقطع عادةً فاتفق انقطاعه ولم يكن الواقف عالماً بانقطاعه ولا قصده، وكذا لو وقف على جهةٍ فبطل رسمها، كما إذا وقف على مدارس أو مساجد فاضمحلت اضمحلالاً لا يرجى عوده، وكذا لو وقف وقفاً امتنعت منفعته، كما إذا وقف مسجداً أو مدرسة فخربت البلد خراباً لا يرجى عوده، أو وقف قنطرةٌ فذهب الماء ذهاباً لا يرجى عوده، أو غير ذلك، فإنّه ذلك كلّه لا يبطل الوقف، ولا يعود إلى الواقف منه شيء، بل تُصرف منافعه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وللحاكم أن يؤجر المسجد والمدرسة لانتفاع آخر، ويأخذ الأجرة ويصرفها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له أن يأخذ نماء الوقف على كلّ مصلحة بطل رسمها فيصرفه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ذلك للمشهور </w:t>
      </w:r>
      <w:r>
        <w:rPr>
          <w:rStyle w:val="FootnoteAnchor"/>
          <w:rtl w:val="true"/>
        </w:rPr>
        <w:footnoteReference w:id="665"/>
      </w:r>
      <w:r>
        <w:rPr>
          <w:rFonts w:ascii="Amiri" w:hAnsi="Amiri" w:eastAsia="Amiri" w:cs="Amiri"/>
          <w:color w:val="111111"/>
          <w:sz w:val="28"/>
          <w:sz w:val="28"/>
          <w:szCs w:val="28"/>
          <w:rtl w:val="true"/>
          <w:lang w:bidi="ar-SA"/>
        </w:rPr>
        <w:t xml:space="preserve">، بل ربما يظهر من بعضهم نقل الاتفاق عليه، وأن غيره شاذّ نادر </w:t>
      </w:r>
      <w:r>
        <w:rPr>
          <w:rStyle w:val="FootnoteAnchor"/>
          <w:rtl w:val="true"/>
        </w:rPr>
        <w:footnoteReference w:id="666"/>
      </w:r>
      <w:r>
        <w:rPr>
          <w:rFonts w:ascii="Amiri" w:hAnsi="Amiri" w:eastAsia="Amiri" w:cs="Amiri"/>
          <w:color w:val="111111"/>
          <w:sz w:val="28"/>
          <w:sz w:val="28"/>
          <w:szCs w:val="28"/>
          <w:rtl w:val="true"/>
          <w:lang w:bidi="ar-SA"/>
        </w:rPr>
        <w:t xml:space="preserve">، وعُلل بخروجه عن ملك الواقف، وصرفه في وجوه البر أقرب للغرض الأصلي وأنسب إليه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يؤيّده ما ورد في الوصيّة والنذر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أوصى بوصيّة ولم يحفظ الوصيّ إلّا باباً واحداً كيف يصنع في الباقي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أوصى بمال يحجّ به عنه فلم يسع فتصدق به فسأل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 يبلغ أن يحجّ به من مكة فليس عليك ضمان</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جملة من الأخبار ما يدل على أنّ ما أوصى به للكعبة أو كان هدياً أو نذراً يباع إن كان جاريةً ونحوها، وإن كان دراهم صُرفت في المنقطعين من زوارها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كلّ حال فالحكم في الجملة لا إشكال فيه، إنما الإشكال في لزوم صرفه في الأقرب إلى تلك المصلحة من وجوه البرّ فالأقرب، فيُصرف وقف المسجد ونماؤه وأجرة المسجد ومنافعه في مسجدٍ آخر، وكذا المدرسة والقنطرة والحمّام وغيرها، أو عدمه،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مال الغير، وعدم جواز التصرّف فيه في غير المقطوع به؛ ولأنّه أقرب إلى غرض الواقف فينبغي اتباعه، ولأنّ الوقف كان الغرض منه القربة والمسجدية وكونه المسجد الخاص، فإذا انتفى كونه المسجد الخاص بقي إرادة المطلق؛ ولأنّه لا يُترك الميسور بالمعسور وما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إطلاقات الفقهاء بل ربما يدعى 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استواء القُرَب كلّها، وعدم تناول عقد الوقف لها، وعدم قصد الواقف إليها بالخصوص، ومجرّد المشابهة والقرب لا دخل لهما في تعلقه بها، وحينئذٍ فيبطل القيد ويبقى أصل الوقف من حيث القربة، ولأنّ الخاص إذا انتفى انتفى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بانتفائه، فلا يبقى ما يلزم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نماء الوقف على مصلحةٍ خاصّة فتبطل تلك المصلحة، فيُحكم فيه بلزوم صرفه في الأقرب فالأقرب، وبين أُجرة نفس الوقف إذا لم ينتفع به في تلك الجهة الموقوف عليها فيؤجر لغيرها مع ضبط حججه وطواميره، فيحكم فيه بجواز صرفه في وجوه البرّ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فيما لو كان الوقف على مصلحةٍ لا تنقطع غالباً فاتفق انقطاعها، إمّا لو كان على مصلحة تنقطع غالباً، فالأقوى كونه كمنقطع الأخير يعود ملكاً للواقف، مع احتمال صرفه في وجوه البر؛ لأنّ الوقف على المصلحة وقف على المسلمين فلا يزول عنه معنى الدوام، وذكر المصلحة الخاصّة المنقطعة بمنزلة اشتراط صرفه في الابتداء على جهةٍ خاصّة، فإذا بطلت لا يبطل أصل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الوقف على مصلحة مشكوك في انقطاعها وعدمه، قوي الحكم بتنزيلها منزلة المقطوع بدوامها؛ للاستصحاب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الحكم بتنزيلها منزلة ما ينقطع غالباً؛ لاشتراط الدوام في الوقف، والشكّ في الشرط شكّ في المشروط؛ لأن الأصل عدم تحقّقه</w:t>
      </w:r>
      <w:r>
        <w:rPr>
          <w:rFonts w:eastAsia="Amiri" w:cs="Amiri" w:ascii="Amiri" w:hAnsi="Amiri"/>
          <w:color w:val="111111"/>
          <w:sz w:val="28"/>
          <w:szCs w:val="28"/>
          <w:rtl w:val="true"/>
          <w:lang w:bidi="ar-SA"/>
        </w:rPr>
        <w:t xml:space="preserve">. </w:t>
      </w:r>
      <w:bookmarkStart w:id="562" w:name="pg19218_274141"/>
    </w:p>
    <w:p>
      <w:pPr>
        <w:pStyle w:val="Heading5"/>
        <w:numPr>
          <w:ilvl w:val="4"/>
          <w:numId w:val="1"/>
        </w:numPr>
        <w:rPr/>
      </w:pPr>
      <w:bookmarkStart w:id="563" w:name="__RefHeading___Toc13425169_1280447820"/>
      <w:bookmarkStart w:id="564" w:name="_Toc203"/>
      <w:bookmarkEnd w:id="562"/>
      <w:bookmarkEnd w:id="563"/>
      <w:r>
        <w:rPr>
          <w:rtl w:val="true"/>
        </w:rPr>
        <w:t>الثالث</w:t>
      </w:r>
      <w:r>
        <w:rPr>
          <w:rtl w:val="true"/>
        </w:rPr>
        <w:t xml:space="preserve">: </w:t>
      </w:r>
      <w:r>
        <w:rPr>
          <w:rtl w:val="true"/>
        </w:rPr>
        <w:t>في أنّه لا يجوز للموقوف عليه وطء الأمة الموقوفة إذا كان له شركاء في طبقته فيها</w:t>
      </w:r>
      <w:bookmarkEnd w:id="56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للموقوف عليه وطء الأمة الموقوفة إذا كان له شركاء في طبقته فيها، فإن فَعَل أثم، وعليه ما عدا نصيبه من العُقْر </w:t>
      </w:r>
      <w:r>
        <w:rPr>
          <w:rStyle w:val="FootnoteAnchor"/>
          <w:rtl w:val="true"/>
        </w:rPr>
        <w:footnoteReference w:id="671"/>
      </w:r>
      <w:r>
        <w:rPr>
          <w:rFonts w:ascii="Amiri" w:hAnsi="Amiri" w:eastAsia="Amiri" w:cs="Amiri"/>
          <w:color w:val="111111"/>
          <w:sz w:val="28"/>
          <w:sz w:val="28"/>
          <w:szCs w:val="28"/>
          <w:rtl w:val="true"/>
          <w:lang w:bidi="ar-SA"/>
        </w:rPr>
        <w:t>للشركاء، وكذا من قيمة الولد لو أولدها، وعليه الحدّ بنسبة 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انحصر الوقف فيه، فالذي يظهر من الأصحاب حرمة وطئه لها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الموقوف عليه يملك الوقف، وذلك لأن ملكه غير تام؛ لتعلّق حقّ البطون اللاحقة به، فلو وطأها فقد عرضها للإتلاف؛ لاحتمال صيرورتها أُمَّ ولد له، فيحرم وطؤه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تحرم باقي الانتفاعات من اللمس والتقبيل ؟ فيه وجهان، وظاهر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وطأها وفَعَل حراماً، كان الولد حُراً؛ لأنّه مالك، ووطؤه ليس من الزني، وليس عليه حد، ولا قيمة الولد؛ لأنّه من النماء ونماء الموقوف للموقوف عليه، ولا يكون الولد وقفاً كأُمه؛ بناءً على لحوق ولد المملوك به في الوقفية، فيجب على الواطئ حينئذٍ قيمته، ويشتري بها ما يكون وقفاً عبداً أو بعض عبد؛ لفساد المبني عليه، ولو قلنا به في المملوك لا نقول به ها هنا؛ تغليباً لجانب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الموقوف يملكه اللّه تعالى أو الواقف كان الولد رقاً مع الوطء عمداً، وفي صيرورته وقفاً وعدمه وجهان، أوجههما العدم، وعليه فيتحرّر؛ لانعتاقه على أبيه، لملكه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عليه الحدّ لكونه زانياً، أو ليس عليه؛ لأنّ الملكية وعدم الملكية شبهة حكم؛ لكونهما مورد خلاف فيدرأ بهما الحد؟</w:t>
      </w:r>
    </w:p>
    <w:p>
      <w:pPr>
        <w:pStyle w:val="BookText"/>
        <w:rPr/>
      </w:pPr>
      <w:r>
        <w:rPr>
          <w:rFonts w:ascii="Amiri" w:hAnsi="Amiri" w:eastAsia="Amiri" w:cs="Amiri"/>
          <w:color w:val="111111"/>
          <w:sz w:val="28"/>
          <w:sz w:val="28"/>
          <w:szCs w:val="28"/>
          <w:rtl w:val="true"/>
          <w:lang w:bidi="ar-SA"/>
        </w:rPr>
        <w:t>والأظهر ثبوت الحد؛ لأنّ الظاهر اختصاص الشبهة التي يدرأ بها الحد بشبهة الموضوع، دون شبهة الحكم الناشئة من وقوع الخلاف، وإلا لزم كون كلّ ما فيه خلاف شبهةٍ يسقط بها الحد وإن ترجّح أحد الطرفين عند المجتهد، 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الموقوف عليه المهر ولا قيمة الولد؛ لأنّهما من النماء الذي يعود إليه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تصير الأمة بوطء الموقوف عليه على القول بملكه أُمَّ ولد له؛ لعلوقها منه في ملكه، فيشملها حكم أُمهات الأولاد، أو لا تكون للشكّ في دخول هذا الفرد في أُمّ الولد؛ لأنّ الظاهر منها كون الموطوءة ملكاً تاماً لا يتعلّق بعينه حقّ آخر لا سابقاً ولا لاحقاً، ولأنها </w:t>
      </w:r>
    </w:p>
    <w:p>
      <w:pPr>
        <w:pStyle w:val="BookText"/>
        <w:rPr/>
      </w:pPr>
      <w:r>
        <w:rPr>
          <w:rFonts w:ascii="Amiri" w:hAnsi="Amiri" w:eastAsia="Amiri" w:cs="Amiri"/>
          <w:color w:val="111111"/>
          <w:sz w:val="28"/>
          <w:sz w:val="28"/>
          <w:szCs w:val="28"/>
          <w:rtl w:val="true"/>
          <w:lang w:bidi="ar-SA"/>
        </w:rPr>
        <w:t>تقوم كلها على الموقوف عليه ولا شيء من أُمهات الأولاد ما تقوم كلها على مولاها؛ بدليل الاستقراء، ولمنافاة الوقف للاستيلاد؟</w:t>
      </w:r>
    </w:p>
    <w:p>
      <w:pPr>
        <w:pStyle w:val="BookText"/>
        <w:rPr/>
      </w:pPr>
      <w:r>
        <w:rPr>
          <w:rFonts w:ascii="Amiri" w:hAnsi="Amiri" w:eastAsia="Amiri" w:cs="Amiri"/>
          <w:color w:val="111111"/>
          <w:sz w:val="28"/>
          <w:sz w:val="28"/>
          <w:szCs w:val="28"/>
          <w:rtl w:val="true"/>
          <w:lang w:bidi="ar-SA"/>
        </w:rPr>
        <w:t>والحق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ما دلّ على دوام الوقف وعدم تغييره وتبديله لما دلّ على انعتاق أُمّ الولد، فيحتمل ترجيح الأخير؛ لأنّ الاستيلاد مبنيّ على السراية والتغليب كالعتق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ترجيح الأول؛ لسبقه، فيستصحب إلى أن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ترجيح حكم الوقف؛ للشكّ في تحقق كونها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إجراء حكم أُمهات الأولاد عليها فهل يؤخذ من تركته قيمتها فيشترى بها وقفاً للبطون اللاحقة؛ بناءً على أنّ عوض الموقوف تشترك فيه جميع البطون، أو لا يؤخذ؛ بناءً على أن العوض لمن كان موجوداً من أهل الوقف حين ثبوته، فيستحيل ثبوت العوض على نفسه لنفسه؟</w:t>
      </w:r>
    </w:p>
    <w:p>
      <w:pPr>
        <w:pStyle w:val="BookText"/>
        <w:rPr/>
      </w:pPr>
      <w:r>
        <w:rPr>
          <w:rFonts w:ascii="Amiri" w:hAnsi="Amiri" w:eastAsia="Amiri" w:cs="Amiri"/>
          <w:color w:val="111111"/>
          <w:sz w:val="28"/>
          <w:sz w:val="28"/>
          <w:szCs w:val="28"/>
          <w:rtl w:val="true"/>
          <w:lang w:bidi="ar-SA"/>
        </w:rPr>
        <w:t>وقد يؤيّد الأوّل أن الواطئ متلف فيلزمه ضمانها في تركته، كما إذا أتلف مالاً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متى حكمنا بكونها أُمَّ ولد انعتقت بموته وأخذت قيمتها من تركته قولاً واحداً، والفرق بين القيمة هنا وبين القيمة في غيرها من عوض الوقف الذي يجري فيه الخلاف إذا باشره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الواطئ ها هنا قد أتلفها على البطون بعد موته، فحال الإتلاف لم تكن في ملكه، بخلاف ما إذا أتلفها في حياته؛ لأنّه أتلفها لنفسه، ولا يستحق وارثه في القيمة شيئاً؛ لأنّها حال الضمان لم تكن في ملكه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يجاب بأنّها إذا صارت أُمَّ ولدٍ حكم عليه بقيمتها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وطء أحد الشريكين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كان صرفها إلى البطون اللاحقة غير ممكن تأخر الدفع إلى إمكانه، وهو ما بعد الموت، ولا يلزم منه تأخر الحكم بنفوذ الاستيلاد ولزوم القيمة إلى ما بعد الموت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حكم الأصحاب بعتقها ولزوم القيمة إلى ما بعد موت الواطئ هو احتمال موت الولد في حياة الواطئ، فلا يتحقق سبب العتق المقتضي لبطلان الوقف بعد </w:t>
      </w:r>
      <w:bookmarkStart w:id="565" w:name="pg19218_274143"/>
    </w:p>
    <w:p>
      <w:pPr>
        <w:pStyle w:val="BookText"/>
        <w:rPr/>
      </w:pPr>
      <w:bookmarkEnd w:id="565"/>
      <w:r>
        <w:rPr>
          <w:rFonts w:ascii="Amiri" w:hAnsi="Amiri" w:eastAsia="Amiri" w:cs="Amiri"/>
          <w:color w:val="111111"/>
          <w:sz w:val="28"/>
          <w:sz w:val="28"/>
          <w:szCs w:val="28"/>
          <w:rtl w:val="true"/>
          <w:lang w:bidi="ar-SA"/>
        </w:rPr>
        <w:t xml:space="preserve">لزومه، وقد يجمع بين الحكمين بجعل موت الواطئ كاشفاً عن نفوذ الاستيلاد من حينه؛ جمعاً بين حقّ الوقف وحق الاستيلاد، وعليه فلا فرق بين كون الولد من أهل الوقف وعدمه؛ لنفوذ الاستيلاد حين الحمل، فتعود ملكاً للموقوف عليه فتعود طلقاً فتكون إرثاً فتنعتق من نصيب ولدها، ومتى قلنا بنفوذ الاستيلاد، لزم إخراج القيمة بعد الموت وشراء ما يكون وقفاً بدلاً عن الموطوءة مشابهة لها في الصفات مهما أمكن لأنّ ما لا يدرك كلّه لا يترك كله، وتنعتق هي من نصيب ولدها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تزويج الأمة الموقوفة ومتعتها، ويتولّى تزويجها الناظر، وإلا فالموقوف عليه إن قلنا بملكه، وإلا فالحاكم إن قلنا بأنّه لله تعالى، وإلا فالواقف إن قلنا ببقاء الوقف على ملكه، ولو كانت موقوفةً على جهة عامة فولاها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والمهر للموقوف عليهم على كلّ حالٍ؛ لأنّه من نماء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الأمة أيضاً للموقوف عليهم إذا كان من زنى أو من عبد أو من حُرِّ مشترط عليه الرقية على القول بجوازه؛ لأنّه نماؤها فيكون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لجمع من أصحابنا </w:t>
      </w:r>
      <w:r>
        <w:rPr>
          <w:rStyle w:val="FootnoteAnchor"/>
          <w:rtl w:val="true"/>
        </w:rPr>
        <w:footnoteReference w:id="675"/>
      </w:r>
      <w:r>
        <w:rPr>
          <w:rFonts w:ascii="Amiri" w:hAnsi="Amiri" w:eastAsia="Amiri" w:cs="Amiri"/>
          <w:color w:val="111111"/>
          <w:sz w:val="28"/>
          <w:sz w:val="28"/>
          <w:szCs w:val="28"/>
          <w:rtl w:val="true"/>
          <w:lang w:bidi="ar-SA"/>
        </w:rPr>
        <w:t>حيث جعلوه وقفاً، كالولد من المدبرة والمرهونة في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والمقيس عليه ممنوع، والأصل والقواعد تقضي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وطأها الحُرّ بشبهة، فالولد حُرِّ، وعلى الواطئ قيمته يوم سقط حياً لأهل الوقف الموجودين، ولا يلزم إقامة بدله وقفاً 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وطأها الواقف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يملكه، كان حكمه حكم الأجنبي</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3425171_1280447820"/>
      <w:bookmarkStart w:id="567" w:name="_Toc204"/>
      <w:bookmarkEnd w:id="566"/>
      <w:r>
        <w:rPr>
          <w:rtl w:val="true"/>
        </w:rPr>
        <w:t>الرابع</w:t>
      </w:r>
      <w:r>
        <w:rPr>
          <w:rtl w:val="true"/>
        </w:rPr>
        <w:t xml:space="preserve">: </w:t>
      </w:r>
      <w:r>
        <w:rPr>
          <w:rtl w:val="true"/>
        </w:rPr>
        <w:t>في أنّه يجوز للموقوف عليه إيجار الوقف ولكن ينفسخ العقد بموت المؤجر هنا</w:t>
      </w:r>
      <w:bookmarkEnd w:id="56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للموقوف عليه إيجار الوقف، ولكن ينفسخ العقد بموت المؤجر ها هنا وإن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 أحد الأجيرين ممّا تنفسخ به الإجارة، وذلك لتعلّق حقّ البطون بالموقوف ها هنا، وتلقيهم الوقف عن الواقف دون الموقوف عليه، فكان ملك الموقوف عليه كالموقت، فلا يجوز له التجاوز عنه، بخلاف الملك الحقيقي؛ فإنّ الوارث إنّما يتلقى عن الموروث فيرث ما كان ملكاً له بعد موته، وما نفذ من يده قبله أو خرج من ملكه لم يتعلّق للوارث فيه نصيب</w:t>
      </w:r>
      <w:r>
        <w:rPr>
          <w:rFonts w:eastAsia="Amiri" w:cs="Amiri" w:ascii="Amiri" w:hAnsi="Amiri"/>
          <w:color w:val="111111"/>
          <w:sz w:val="28"/>
          <w:szCs w:val="28"/>
          <w:rtl w:val="true"/>
          <w:lang w:bidi="ar-SA"/>
        </w:rPr>
        <w:t xml:space="preserve">. </w:t>
      </w:r>
      <w:bookmarkStart w:id="568" w:name="pg19218_274144"/>
    </w:p>
    <w:p>
      <w:pPr>
        <w:pStyle w:val="BookText"/>
        <w:rPr/>
      </w:pPr>
      <w:bookmarkEnd w:id="568"/>
      <w:r>
        <w:rPr>
          <w:rFonts w:ascii="Amiri" w:hAnsi="Amiri" w:eastAsia="Amiri" w:cs="Amiri"/>
          <w:color w:val="111111"/>
          <w:sz w:val="28"/>
          <w:sz w:val="28"/>
          <w:szCs w:val="28"/>
          <w:rtl w:val="true"/>
          <w:lang w:bidi="ar-SA"/>
        </w:rPr>
        <w:t>نعم، لو كان المؤجر للوقف الناظر فيه لمصلحة البطون اللاحقة، أو الموقوف عليه أيضاً ولكن لا لمصلحته، بل لمصلحة البطون اللاحقة حيث يكون ناظراً عليها، أو الحاكم الشرعي لمصلحة الوقف العام أو الخاص الذي هو ولي عليه، لا لمصلحة الموجودين من أرباب الوقف، مضى عقد الإجارة في جميع ما قدمنا على البطون اللاحقة ولم يكن لهم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بمضي الإجارة تنزيلاً للواقف منزلة المالك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الانفساخ هنا بمعنى التزلزل بالنسبة إلى البطون اللاحقة، فلهم أن يجيزوا العقد الأوّل فلا يكون باطلاً أصلاً، ولهم أن يردوا فيرد المستأجر حينئذٍ من الأجرة المسماة ممّا قابل المتخلف منها بنسبة أُجرة المثل للمتخلف من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وقعت أُجرة من الناظر ولم يعلم أنّها لمصلحة الوقف أو الموقوف عليهم الموجودين، فالاستصحاب يقضي بمضي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المانع من تصرّف البطون اللاحقة في ملكهم بعد انتقاله إليهم، وعدم انتقال ملكهم عنهم، وعدم نفوذ عقد غيرهم في ملكهم تقضي بعدم مضيها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لو كان المؤجر هو نفس الموقوف عليهم، ولم يعلم أنّهم أجروا لمصلحتهم أو لمصلحة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ترجيح عدم لزوم الإجارة سيما في الأخير</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3425173_1280447820"/>
      <w:bookmarkStart w:id="570" w:name="_Toc205"/>
      <w:bookmarkEnd w:id="569"/>
      <w:r>
        <w:rPr>
          <w:rtl w:val="true"/>
        </w:rPr>
        <w:t>الخامس</w:t>
      </w:r>
      <w:r>
        <w:rPr>
          <w:rtl w:val="true"/>
        </w:rPr>
        <w:t xml:space="preserve">: </w:t>
      </w:r>
      <w:r>
        <w:rPr>
          <w:rtl w:val="true"/>
        </w:rPr>
        <w:t>في أنّه لا يجوز للمسلم أو المؤمن الوقف على الكنائس والبيع لمصلحتهما</w:t>
      </w:r>
      <w:bookmarkEnd w:id="57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للمسلم أو المؤمن الوقف على الكنائس والبيع لمصلحتهما تعميراً وتنظيفاً، أو للفرش فيهما، أو للإسراج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الوقف على التوراة والإنجيل كتابةً وتصحيفاً، ولا على جميع كتبهم ومواضع عباداتهم، كلّ ذلك لما فيه من الإعانة على الإثم، ومن تقوية كلمة الكفر، ومن الموادة لمن حاد اللّه تعالى ورسوله، فلا يجامع القربة المشروطة في الوقف، ولما يظهر من الأصحاب بحيث قد يدعى إجماعاً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يتفاوت الحال بين القول بجواز الوقف على اليهود والنصارى، وبين القول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القول بجواز الوقف عليهم يصحّ الوقف على كنائسهم وبيعهم؛ لأنّه يكون في الحقيقة وقفاً عليهم، كما يكون الوقف على المساجد وقفاً على المسلمين، لا وجه له؛ </w:t>
      </w:r>
      <w:bookmarkStart w:id="571" w:name="pg19218_274145"/>
    </w:p>
    <w:p>
      <w:pPr>
        <w:pStyle w:val="BookText"/>
        <w:rPr/>
      </w:pPr>
      <w:bookmarkEnd w:id="571"/>
      <w:r>
        <w:rPr>
          <w:rFonts w:ascii="Amiri" w:hAnsi="Amiri" w:eastAsia="Amiri" w:cs="Amiri"/>
          <w:color w:val="111111"/>
          <w:sz w:val="28"/>
          <w:sz w:val="28"/>
          <w:szCs w:val="28"/>
          <w:rtl w:val="true"/>
          <w:lang w:bidi="ar-SA"/>
        </w:rPr>
        <w:t>للفرق بين الوقف على المساجد من حيث كونها مصلحة محلّلة من مصالح المسلمين، وبين الوقف على الكنائس من حيث كونها مصلحةً محرّمةً مشتملة على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يجدي رجوع الوقف على الكفّار فيها والوقف عليهم جائز؛ لاختلاف الحكم من حيث إنّ رجوعه إلى الكفّار كان على جهةٍ محرّمة، وهي تقوية دينهم وإعلاء كلمتهم فهو منهي عنه، ولا يجامع القربة، بخلاف الوقف عليهم؛ لإيصال النفع إليهم دنيوي أو أُخروي؛ لأنّهم من النفوس التي لا يحرم صلتها، لكونها من بني آدم،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ومن عباد اللّه تعالى، فإنّه لا بأس به، ولا يستلزم منع ذلك منع هذا، فإنّه يجوز الوقف على المسلمين، ولا يجوز الوقف على مواضع لهوهم وبيوت خمورهم، وعلى العصاة منهم لمعصيتهم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تعلّق غرض صحيح في الوقف على الكنائس والبيع والتوراة والإنجيل بحيث يعتدّ به ويكون راجحاً، جاز الوقف عليها</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3425175_1280447820"/>
      <w:bookmarkStart w:id="573" w:name="_Toc206"/>
      <w:bookmarkEnd w:id="572"/>
      <w:r>
        <w:rPr>
          <w:rtl w:val="true"/>
        </w:rPr>
        <w:t>السادس</w:t>
      </w:r>
      <w:r>
        <w:rPr>
          <w:rtl w:val="true"/>
        </w:rPr>
        <w:t xml:space="preserve">: </w:t>
      </w:r>
      <w:r>
        <w:rPr>
          <w:rtl w:val="true"/>
        </w:rPr>
        <w:t>جواز الوقف من الكافر والمخالف على المؤمن وعلى مَنْ كان مثلهما</w:t>
      </w:r>
      <w:bookmarkEnd w:id="57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الوقف من الكافر والمخالف على المؤمن وعلى مَنْ كان مثلهما، بل وعلى الجهات المحرّمة في شرعنا، كالوقف على البيع والكنائس والتوراة وشبهها، بل وعلى بيوت النار ونحوها ممّا كان راجحاً في شرعهم، كلّ ذلك لما ورد من إلزامهم بما ألزموا به أنفسهم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دلّ على تقريرهم على مذهبهم من رواية </w:t>
      </w:r>
      <w:r>
        <w:rPr>
          <w:rStyle w:val="FootnoteAnchor"/>
          <w:rtl w:val="true"/>
        </w:rPr>
        <w:footnoteReference w:id="678"/>
      </w:r>
      <w:r>
        <w:rPr>
          <w:rFonts w:ascii="Amiri" w:hAnsi="Amiri" w:eastAsia="Amiri" w:cs="Amiri"/>
          <w:color w:val="111111"/>
          <w:sz w:val="28"/>
          <w:sz w:val="28"/>
          <w:szCs w:val="28"/>
          <w:rtl w:val="true"/>
          <w:lang w:bidi="ar-SA"/>
        </w:rPr>
        <w:t>أو سيرة أو إجماع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يتفاوت الحال في ذلك بين صدور نيّة القربة منهم حين الوقف وبين عدمه بعد أن يكون الصادر منهم وقفاً في مذهبهم، ولا يبتنى صحّة وقفه وعدمه على صدور نيّة القربة منه وعدمه، كما يظهر من جملة من الفقهاء؛ حيث إنّ المانع من الصحّة علّل المنع بعدم إمكان نيّة القربة، والمجوّز علّل الجواز بإمكان ذلك إلّا من الدهرية والمعطلة </w:t>
      </w:r>
      <w:r>
        <w:rPr>
          <w:rStyle w:val="FootnoteAnchor"/>
          <w:rtl w:val="true"/>
        </w:rPr>
        <w:footnoteReference w:id="679"/>
      </w:r>
      <w:r>
        <w:rPr>
          <w:rFonts w:ascii="Amiri" w:hAnsi="Amiri" w:eastAsia="Amiri" w:cs="Amiri"/>
          <w:color w:val="111111"/>
          <w:sz w:val="28"/>
          <w:sz w:val="28"/>
          <w:szCs w:val="28"/>
          <w:rtl w:val="true"/>
          <w:lang w:bidi="ar-SA"/>
        </w:rPr>
        <w:t>لأن ابتناء ذلك على صدور نيّة القربة وعدمه ممّا يفسد الوقف منهم من أصله؛ لأنّ القربة الصادرة منهم فاسدة غير مقبولة؛ لاشتراط الإيمان في صحّة العبادات المشروطة بالقربة، فلا تكون مصححة للوقف المشروط بها</w:t>
      </w:r>
      <w:r>
        <w:rPr>
          <w:rFonts w:eastAsia="Amiri" w:cs="Amiri" w:ascii="Amiri" w:hAnsi="Amiri"/>
          <w:color w:val="111111"/>
          <w:sz w:val="28"/>
          <w:szCs w:val="28"/>
          <w:rtl w:val="true"/>
          <w:lang w:bidi="ar-SA"/>
        </w:rPr>
        <w:t xml:space="preserve">. </w:t>
      </w:r>
      <w:bookmarkStart w:id="574" w:name="pg19218_274146"/>
    </w:p>
    <w:p>
      <w:pPr>
        <w:pStyle w:val="BookText"/>
        <w:rPr/>
      </w:pPr>
      <w:bookmarkEnd w:id="574"/>
      <w:r>
        <w:rPr>
          <w:rFonts w:ascii="Amiri" w:hAnsi="Amiri" w:eastAsia="Amiri" w:cs="Amiri"/>
          <w:color w:val="111111"/>
          <w:sz w:val="28"/>
          <w:sz w:val="28"/>
          <w:szCs w:val="28"/>
          <w:rtl w:val="true"/>
          <w:lang w:bidi="ar-SA"/>
        </w:rPr>
        <w:t>ثمّ إنّا لو صححنا وقفهم على مذهبهم وألزمناهم به فهل يصحّ لنا الدخول إليه والعبور عليه في مثل كنائسهم وقناطرهم؟ الظاهر ذلك مع الإطلاق، ومع النصّ على كون الوقف على أهل نحلتهم أو انصراف الإطلاق إلى ذلك كانصراف الوقف منهم على العلماء أو الفقراء إلى علمائهم أو فقرائهم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الإشكال فيما إذا نص الواقف على إخراج المسلمين أو المؤمنين من الوقف وحينئذٍ فيحتمل حرمة ذلك علينا؛ للأصل القاضي بحرمة مال الغير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الجواز؛ لخروج الوقف في مثل ذلك عن ملكهم وصيرورته اللّه تعالى، ونحن أحق به به منهم، ولا يلزم اتباع شرطهم؛ لفساده، ولا يلزم من فساده فساد الوقف؛ لصحته عندهم مع الشرط فنلزمهم بما ألزموا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لو وقف على مثل المؤمنين والمطيعين والمصلين ونحوهم اختص الوقف بنا لإرادة الواقع، وليس غيرنا كذلك واقعاً، سواء صدر الوقف من كافر أو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 من تعارض الاسم والإشارة</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3425177_1280447820"/>
      <w:bookmarkStart w:id="576" w:name="_Toc207"/>
      <w:bookmarkEnd w:id="575"/>
      <w:r>
        <w:rPr>
          <w:rtl w:val="true"/>
        </w:rPr>
        <w:t>السابع</w:t>
      </w:r>
      <w:r>
        <w:rPr>
          <w:rtl w:val="true"/>
        </w:rPr>
        <w:t xml:space="preserve">: </w:t>
      </w:r>
      <w:r>
        <w:rPr>
          <w:rtl w:val="true"/>
        </w:rPr>
        <w:t>عدم جواز الوقف من المسلم على الكافر أو المخالف وحكم الوقف عليهما لغير جهة الكفر أو الخلاف</w:t>
      </w:r>
      <w:bookmarkEnd w:id="57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الوقف من المسلم على الكافر أو المخالف لكفره ولخلافه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الوقف على الكافر لغير ذلك من الجهات؟ قيل بالجواز مطلقاً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بالمنع مطلقاً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بالمنع في الحربي دون غيره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بالمنع في الحربي إذا لم يكن رحماً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بالمنع في غيره أيضاً إذا لم يكن رحماً، ولو كان رحماً جاز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بالمنع ما لم يكن أحد الوالدين، ولو كان أحدهما جاز</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والأقوى عدم جوازه في الحربي مطلقاً، رحماً أو غيره، أباً أو غيره، خاصاً كان الوقف عليهم أو عاماً على جميعهم، أو على جهةٍ من جهات مصالحهم، وفاقاً للمشهور، بل ربما يظهر من بعضهم دعوى الاتّفاق عليه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المنع ما دلّ على النهي عن موادة مَنْ يحاد اللّه تعالى وعن الركون إلى الظالمين وعن القرب إليهم </w:t>
      </w:r>
      <w:r>
        <w:rPr>
          <w:rStyle w:val="FootnoteAnchor"/>
          <w:rtl w:val="true"/>
        </w:rPr>
        <w:footnoteReference w:id="687"/>
      </w:r>
      <w:r>
        <w:rPr>
          <w:rFonts w:ascii="Amiri" w:hAnsi="Amiri" w:eastAsia="Amiri" w:cs="Amiri"/>
          <w:color w:val="111111"/>
          <w:sz w:val="28"/>
          <w:sz w:val="28"/>
          <w:szCs w:val="28"/>
          <w:rtl w:val="true"/>
          <w:lang w:bidi="ar-SA"/>
        </w:rPr>
        <w:t xml:space="preserve">، وما دلّ على الأمر بالبعد عنهم والتجنّب لهم وإظهار عداوتهم والبراءة منهم </w:t>
      </w:r>
      <w:r>
        <w:rPr>
          <w:rStyle w:val="FootnoteAnchor"/>
          <w:rtl w:val="true"/>
        </w:rPr>
        <w:footnoteReference w:id="688"/>
      </w:r>
      <w:r>
        <w:rPr>
          <w:rFonts w:ascii="Amiri" w:hAnsi="Amiri" w:eastAsia="Amiri" w:cs="Amiri"/>
          <w:color w:val="111111"/>
          <w:sz w:val="28"/>
          <w:sz w:val="28"/>
          <w:szCs w:val="28"/>
          <w:rtl w:val="true"/>
          <w:lang w:bidi="ar-SA"/>
        </w:rPr>
        <w:t>، والوقف عليهم منافٍ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جميع ذلك على كون القصد في القرب والموادة والركون هو علة أنّهم كفار ومحادون اللّه تعالى بعيد عن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المنع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مبني على الدوام وعدم جواز التغيير والتبديل، وهو ينا في كونه على الحربي ؛ لأنّ ماله فيء للمسلمين يصحّ نقله وبيعه بعد قبضه لهم، ولا أقل من الشكّ في صحّة مثل هذا الوقف على هذا النحو، والأصل يقضي بفساده، وشمول العمومات والإطلاقات لمثل هذا الفرد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فالمتيقن من صحّة الوقف هو ما كان الموقوف عليه قابلاً للملك الدائم والتمليك، كالحُرّ المسلم، وغيره مشكوك في صحته،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ضعف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جواز تغيير الوقف من حيث هو لا ينافي جواز تغييره من حيث كون الحربي وما يملك فيئاً للمسلمين يصحّ ملكه ونقله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ضعف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على الحربي مشمول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ومشمول لإطلاقات أدلّة الوقف، وللإجماع المنقول عن الطبرسي في جواز أن يبر الرجل إلى مَنْ يشاء من أهل الحرب قرابة أو غيرها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لانصراف جميع ذلك لغير الوقف المبني على التأبيد والدوام والقربة والرجحان، والأدلّة وإن كان بينها عموم من وجه، ويمكن الجمع بينها بحمل المنع على الموادة للمحادة، والجواز على الموادة لجهةٍ أخرى، إلّا أنّ عموم ما دلّ على الجواز غير شامل للوقف على الحربي إمّا لانصرافه إلى غيره، أو لتخصيصه بما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جوازه على الذمّي مطلقاً، ويزداد الجواز قوّةً لو كان الذمي قريباً، ويزيد عليه لو كان أحد الأبوين كلّ ذلك؛ لعموم الأدلّة، وإطلاقات الوقف من غير معارض؛ لأنّهم قابلون للتمليك، وقابلون للصلة والعطية، ومالهم محترم ونفوسهم معتصمة بالدمام،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وهم من بني آدم المكرمين، ولاحتمال تولد مسلم منهم،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بالمودة، ولما دلّ على الحثّ على صلة الأرحام والنهي عن قطيعة الرحم </w:t>
      </w:r>
      <w:r>
        <w:rPr>
          <w:rStyle w:val="FootnoteAnchor"/>
          <w:rtl w:val="true"/>
        </w:rPr>
        <w:footnoteReference w:id="694"/>
      </w:r>
      <w:r>
        <w:rPr>
          <w:rFonts w:ascii="Amiri" w:hAnsi="Amiri" w:eastAsia="Amiri" w:cs="Amiri"/>
          <w:color w:val="111111"/>
          <w:sz w:val="28"/>
          <w:sz w:val="28"/>
          <w:szCs w:val="28"/>
          <w:rtl w:val="true"/>
          <w:lang w:bidi="ar-SA"/>
        </w:rPr>
        <w:t xml:space="preserve">، وما دلّ على الحثّ على صلة الوالدين والرحمة لهما، والنهي عن الإعراض عنهما، والأمر بصلتهما وبرهما ومصاحبتهما في الدنيا معروفاً </w:t>
      </w:r>
      <w:r>
        <w:rPr>
          <w:rStyle w:val="FootnoteAnchor"/>
          <w:rtl w:val="true"/>
        </w:rPr>
        <w:footnoteReference w:id="695"/>
      </w:r>
      <w:r>
        <w:rPr>
          <w:rFonts w:ascii="IRNazanin" w:hAnsi="IRNazanin" w:eastAsia="IRNazanin"/>
          <w:color w:val="111111"/>
          <w:sz w:val="28"/>
          <w:sz w:val="28"/>
          <w:szCs w:val="28"/>
          <w:rtl w:val="true"/>
          <w:lang w:bidi="fa-IR"/>
        </w:rPr>
        <w:t xml:space="preserve">، بل قد نُقل على جواز الوقف على الأقارب مطلقاً الإجماع </w:t>
      </w:r>
      <w:r>
        <w:rPr>
          <w:rStyle w:val="FootnoteAnchor"/>
          <w:rtl w:val="true"/>
        </w:rPr>
        <w:footnoteReference w:id="696"/>
      </w:r>
      <w:r>
        <w:rPr>
          <w:rFonts w:ascii="Amiri" w:hAnsi="Amiri" w:eastAsia="Amiri" w:cs="Amiri"/>
          <w:color w:val="111111"/>
          <w:sz w:val="28"/>
          <w:sz w:val="28"/>
          <w:szCs w:val="28"/>
          <w:rtl w:val="true"/>
          <w:lang w:bidi="ar-SA"/>
        </w:rPr>
        <w:t xml:space="preserve">، ونُسب إلى رواية </w:t>
      </w:r>
      <w:r>
        <w:rPr>
          <w:rStyle w:val="FootnoteAnchor"/>
          <w:rtl w:val="true"/>
        </w:rPr>
        <w:footnoteReference w:id="697"/>
      </w:r>
      <w:r>
        <w:rPr>
          <w:rFonts w:ascii="Amiri" w:hAnsi="Amiri" w:eastAsia="Amiri" w:cs="Amiri"/>
          <w:color w:val="111111"/>
          <w:sz w:val="28"/>
          <w:sz w:val="28"/>
          <w:szCs w:val="28"/>
          <w:rtl w:val="true"/>
          <w:lang w:bidi="ar-SA"/>
        </w:rPr>
        <w:t>، بل وجميع ما دلّ على جواز الوقف على الأقارب شامل للمسلم، وغيره خرج الحربي بما تقدّم من الأدلّة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القدماء أن الخلاف منعاً وجوازاً مطلقاً، أو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على الكافر مطلقاً، من غير تقييد بكونه ذمّيّاً أو حربيّاً، ويؤيد ذلك إجماع الطبرسي المتقدّم </w:t>
      </w:r>
      <w:r>
        <w:rPr>
          <w:rStyle w:val="FootnoteAnchor"/>
          <w:rtl w:val="true"/>
        </w:rPr>
        <w:footnoteReference w:id="698"/>
      </w:r>
      <w:r>
        <w:rPr>
          <w:rFonts w:ascii="Amiri" w:hAnsi="Amiri" w:eastAsia="Amiri" w:cs="Amiri"/>
          <w:color w:val="111111"/>
          <w:sz w:val="28"/>
          <w:sz w:val="28"/>
          <w:szCs w:val="28"/>
          <w:rtl w:val="true"/>
          <w:lang w:bidi="ar-SA"/>
        </w:rPr>
        <w:t>، خرج منه الحربي وبقي الباقي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 ذلك سوى الآية المتقدّمة الناهية عن موادّة من حاد اللّه </w:t>
      </w:r>
      <w:r>
        <w:rPr>
          <w:rStyle w:val="FootnoteAnchor"/>
          <w:rtl w:val="true"/>
        </w:rPr>
        <w:footnoteReference w:id="699"/>
      </w:r>
      <w:r>
        <w:rPr>
          <w:rFonts w:ascii="Amiri" w:hAnsi="Amiri" w:eastAsia="Amiri" w:cs="Amiri"/>
          <w:color w:val="111111"/>
          <w:sz w:val="28"/>
          <w:sz w:val="28"/>
          <w:szCs w:val="28"/>
          <w:rtl w:val="true"/>
          <w:lang w:bidi="ar-SA"/>
        </w:rPr>
        <w:t xml:space="preserve">، وهي غير قابلة </w:t>
      </w:r>
      <w:bookmarkStart w:id="577" w:name="pg19218_274149"/>
    </w:p>
    <w:p>
      <w:pPr>
        <w:pStyle w:val="BookText"/>
        <w:rPr/>
      </w:pPr>
      <w:bookmarkEnd w:id="577"/>
      <w:r>
        <w:rPr>
          <w:rFonts w:ascii="Amiri" w:hAnsi="Amiri" w:eastAsia="Amiri" w:cs="Amiri"/>
          <w:color w:val="111111"/>
          <w:sz w:val="28"/>
          <w:sz w:val="28"/>
          <w:szCs w:val="28"/>
          <w:rtl w:val="true"/>
          <w:lang w:bidi="ar-SA"/>
        </w:rPr>
        <w:t>لمعارضة جميع ما تقدّم، فلا بدّ من حملها على خصوص الحربي، أو على خصوص الموادة للمحادة، بل ربما يدعى ظهور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فمتى حصل الرجحان وصح قصد القربة في الوقف على أهل الذمّة فكان مشمولاً لأدلة الوقف من غير معارض، سيما بالنسبة إلى الأقارب وخصوصاً الأبوين؛ لقوّة الأدلّة الدالّة على جواز صلتهما وبرهما، ورجحان ذلك وحصول ذلك في الوقف الخاص لا إشكال فيه، وإن أشكل حصوله في الوقف العام في الجملة؛ لبعد الرجحان والقربة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بالكافر كلّ من خرج عن طريقة الحق من المخالفين والفرق، غير الاثني عشرية على القول بالجواز، وعلى القول بالمنع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كثير من أدلّة المنع في الكافر، ومن شمول التعليل بعدم الرجحان وعدم حصول نيّة التقرّب، والنهي عن موادة مَنْ حاد اللّه تعالى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المرتد الفطري بالحربي؛ لعدم استقرار ملكه له على الأظهر</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3425179_1280447820"/>
      <w:bookmarkStart w:id="579" w:name="_Toc208"/>
      <w:bookmarkEnd w:id="578"/>
      <w:r>
        <w:rPr>
          <w:rtl w:val="true"/>
        </w:rPr>
        <w:t>الثامن</w:t>
      </w:r>
      <w:r>
        <w:rPr>
          <w:rtl w:val="true"/>
        </w:rPr>
        <w:t xml:space="preserve">: </w:t>
      </w:r>
      <w:r>
        <w:rPr>
          <w:rtl w:val="true"/>
        </w:rPr>
        <w:t>فيما يتعلّق بما لو وقف الواقف على ذي وصف بلفظ العموم</w:t>
      </w:r>
      <w:bookmarkEnd w:id="579"/>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الواقف على ذي وصف بلفظ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كالفقراء، والعلماء، والزوار، والحجاج، والمترددين، والصلحاء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ذلك العام إلى أهل نحلة الواقف وملّته، مسلماً كان الواقف أو كافراً؛ تخصيصاً للعام بالعرف والعادة القاضيين بإرادة المتكلم من ذلك العام خصوص ذلك الفرد، فيكونا بمنزلة القرينة وشاهد الحال على إرادة الخاص من العام، وليس من باب تعارض اللغة والعرف كي تبنى المسألة على تقديم أيهما فمَنْ قدّم اللغة أخذ بالعموم، ومَنْ قدم العرف أخذ بالخصوص؛ إذ لا ندعي أن العام صار حقيقةً عرفيةً في الخاص، بل قد ندعي أنّ العام قد تخصص بالعادة وشاهد الحال، وهذا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أنّه من ذلك الباب لحكمنا بتقديم العرف في مثل الوصيّة والوقف ونحوهما، والخلاف في تقديم أيهما إنما يختصّ بما إذا صدر في كلام الشارع، دون ما إذا صدر من أهل العرف نفسه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يسري الحكم بذلك لما إذا ذكر الموقوف عليه خالياً عن الوصف، كما إذا وقف على الرجال أو على بني تميم، وكان منهم من أهل نحلته ومنهم من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وقف على أولاده أو أرحامه، وكان منهم من أهل ملّته ومنهم مَنْ لم يكن كذلك؟ يحتمل الحكم بالتخصيص أيضاً؛ عملاً بشاهد الحال، ويحتمل العدم؛ لأصالة بقاء العموم، وقضاء شاهد الحال هناك لا يستلزم قضاءه هنا، وهذا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انعكس شاهد الحال فقضى بالعموم، كوقف القناطر وشبهها على المتردّدين أو الآبار على الحجاج ونحوهم، أو لم يقض شاهد الحال بشيءٍ، حكمنا بالعموم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غير جائز على الكافر أصالة فلا يبعد جوازه في مثل ذلك على الانضمام؛ وربما يدعى أن السيرة قاضية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يصلح الحكم بحرمة الوقف على الكافر أن يكون مخصصاً للعام فيما إذا صدر لفظ شامل للكافر والمسلم، وصارفاً للظاهر عن غيره؟ يحتمل ذلك؛ حملاً لفعل المسلم على الوجه الصحيح، وتمسكاً بصحّة الوقف مهما أمكن، أو لا يصلح؛ لأن الأصل لا يعارض ظاهر الخطاب، وإلا لا نفتح من ذلك ما لا نقول به من الأبواب؟ وجهان،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أهل المذهب الخاص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كالاثني عشرية ونحوهم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الوقف الصادر من أحدهم إلى أهل مذهبه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المسلم على الفقراء ولم يكن في بلده سوى الكفار وقلنا ببطلان الوقف على الكافر، احتمل البطلان تقديماً للظاهر من اللفظ، واحتمل الصحّة وصرف الفقراء لغير فقراء أهل بلده؛ تنزيلاً لفعل المسلم على الوجه الصحيح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واقف على المسلمين، انصرف إلى مَنْ صلّى إلى القبلة، أي اعتقد الصلاة إليها، 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بالشهادتين ولم ينكر ضرورياً، كالخوارج والغُلاة والمجسمة والنواصب، مع احتمال دخول أولئك في المسلمين وإن خرجوا عن حكمهم بإنكار ضروري من ضرورياته، ويدخل في ذلك المخالفون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حكم بكفرهم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والتاركون للواجبات الضرورية، والمرتكبون للمحرمات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جعل العمل جزءاً من الإسلام</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النساء والأطفال والمجانين؛ قضاء لحق العرف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صدر الوقف من أهل ملّة خاصّة كالمؤمن، فهل يختص بأهل ملّته،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نظراً للعرف والعادة، أو لا يختص؛ لمنع قضاء العرف بالاختصاص، ومنع شاهد الحال، وللفرق بين الفقراء والمسلمين من حيث إنّ الوقف على جميع الفقراء مع تباين مقالاتهم واختلاف آرائهم بعيد جداً، بخلاف الوقف على المسلمين، فإنّه أمر مرغوب فيه شرعاً وممكن عادةً؟ </w:t>
      </w:r>
      <w:bookmarkStart w:id="580" w:name="pg19218_274151"/>
    </w:p>
    <w:p>
      <w:pPr>
        <w:pStyle w:val="BookText"/>
        <w:rPr/>
      </w:pPr>
      <w:bookmarkEnd w:id="580"/>
      <w:r>
        <w:rPr>
          <w:rFonts w:ascii="Amiri" w:hAnsi="Amiri" w:eastAsia="Amiri" w:cs="Amiri"/>
          <w:color w:val="111111"/>
          <w:sz w:val="28"/>
          <w:sz w:val="28"/>
          <w:szCs w:val="28"/>
          <w:rtl w:val="true"/>
          <w:lang w:bidi="ar-SA"/>
        </w:rPr>
        <w:t>والأوّل أقوى نظراً إلى العرف لا لما علّلوه به من اختلاف الآراء وتباين المقالات، فإنّه شامل للمسلمين؛ لافتراقهم إلى نيف وسبعين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صدر الوقف ممّن يرى تحريم الوقف على غير أهل نحلته، احتمل انصرافه إلى أهل نحلته؛ تصحيحاً للوقف مهما أمكن، أو جعل ذلك بمنزلة القرينة</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3425181_1280447820"/>
      <w:bookmarkStart w:id="582" w:name="_Toc209"/>
      <w:bookmarkEnd w:id="581"/>
      <w:r>
        <w:rPr>
          <w:rtl w:val="true"/>
        </w:rPr>
        <w:t>التاسع</w:t>
      </w:r>
      <w:r>
        <w:rPr>
          <w:rtl w:val="true"/>
        </w:rPr>
        <w:t xml:space="preserve">: </w:t>
      </w:r>
      <w:r>
        <w:rPr>
          <w:rtl w:val="true"/>
        </w:rPr>
        <w:t>فيما يتعلّق بما لو وقف واقف على الإماميّة</w:t>
      </w:r>
      <w:bookmarkEnd w:id="582"/>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واقف على الإماميّة، انصرف إلى الاثني عشرية، كما هو ظاهر العرف، وعليه فتوى المشهور، ونقل الإجماع عليه </w:t>
      </w:r>
      <w:r>
        <w:rPr>
          <w:rStyle w:val="FootnoteAnchor"/>
          <w:rtl w:val="true"/>
        </w:rPr>
        <w:footnoteReference w:id="702"/>
      </w:r>
      <w:r>
        <w:rPr>
          <w:rFonts w:ascii="Amiri" w:hAnsi="Amiri" w:eastAsia="Amiri" w:cs="Amiri"/>
          <w:color w:val="111111"/>
          <w:sz w:val="28"/>
          <w:sz w:val="28"/>
          <w:szCs w:val="28"/>
          <w:rtl w:val="true"/>
          <w:lang w:bidi="ar-SA"/>
        </w:rPr>
        <w:t>، فلا يدخل فيه اجتناب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بوقوع الخلاف فيه </w:t>
      </w:r>
      <w:r>
        <w:rPr>
          <w:rStyle w:val="FootnoteAnchor"/>
          <w:rtl w:val="true"/>
        </w:rPr>
        <w:footnoteReference w:id="703"/>
      </w:r>
      <w:r>
        <w:rPr>
          <w:rFonts w:ascii="Amiri" w:hAnsi="Amiri" w:eastAsia="Amiri" w:cs="Amiri"/>
          <w:color w:val="111111"/>
          <w:sz w:val="28"/>
          <w:sz w:val="28"/>
          <w:szCs w:val="28"/>
          <w:rtl w:val="true"/>
          <w:lang w:bidi="ar-SA"/>
        </w:rPr>
        <w:t xml:space="preserve">ضعيف؛ لاختصاص أدلة مدعي دخول اجتنابها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Style w:val="FootnoteAnchor"/>
          <w:rtl w:val="true"/>
        </w:rPr>
        <w:footnoteReference w:id="704"/>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وقف على المؤمنين انصرف إلى الاثني عشرية، ولم يدخل فيه اجتناب الكبائر، كما نُسب </w:t>
      </w:r>
      <w:r>
        <w:rPr>
          <w:rStyle w:val="FootnoteAnchor"/>
          <w:rtl w:val="true"/>
        </w:rPr>
        <w:footnoteReference w:id="705"/>
      </w:r>
      <w:r>
        <w:rPr>
          <w:rFonts w:ascii="Amiri" w:hAnsi="Amiri" w:eastAsia="Amiri" w:cs="Amiri"/>
          <w:color w:val="111111"/>
          <w:sz w:val="28"/>
          <w:sz w:val="28"/>
          <w:szCs w:val="28"/>
          <w:rtl w:val="true"/>
          <w:lang w:bidi="ar-SA"/>
        </w:rPr>
        <w:t>، لكافة المتأخرين ولمختار الطوسي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عندنا كذلك </w:t>
      </w:r>
      <w:r>
        <w:rPr>
          <w:rStyle w:val="FootnoteAnchor"/>
          <w:rtl w:val="true"/>
        </w:rPr>
        <w:footnoteReference w:id="706"/>
      </w:r>
      <w:r>
        <w:rPr>
          <w:rFonts w:ascii="Amiri" w:hAnsi="Amiri" w:eastAsia="Amiri" w:cs="Amiri"/>
          <w:color w:val="111111"/>
          <w:sz w:val="28"/>
          <w:sz w:val="28"/>
          <w:szCs w:val="28"/>
          <w:rtl w:val="true"/>
          <w:lang w:bidi="ar-SA"/>
        </w:rPr>
        <w:t xml:space="preserve">، ويساعده العرف أيضاً، إلّا إذا قامت قرينة على خلافه، كما إذا كان مذهب الواقف خلاف ذلك، ونحوه، كما لو قامت قرينة على عدم ذلك فيما إذا صدر الوقف من مخالف، فإنّ الظاهر أنّه لا يريد سوى المعنى الأصلي، وهو التصديق القلبي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مصروفاً إلى أهل نحلته بزعمه؛ لاعتقاده أن لا يصدق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فالإيمان هو التصديق، واستعمل عرفاً وشرعاً بتصديقٍ خاص، وهو التصديق القلبي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يختلف باختلاف المستعملين، فإن كان المستعمل له إماميّاً كان الظاهر منه إرادة الإماميّة، وإن كان مخالفاً كان الظاهر منه إرادة أهل ملّته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لو صدر من إمامي كان منصرفاً إلى من اعتقد عصمة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وأفضليتهم وتقديمهم على غيرهم مع إمامتهم، ومع عدم إنكاره ضرورياً من ضروريات الإسلام أو الإيمان</w:t>
      </w:r>
      <w:r>
        <w:rPr>
          <w:rFonts w:eastAsia="Amiri" w:cs="Amiri" w:ascii="Amiri" w:hAnsi="Amiri"/>
          <w:color w:val="111111"/>
          <w:sz w:val="28"/>
          <w:szCs w:val="28"/>
          <w:rtl w:val="true"/>
          <w:lang w:bidi="ar-SA"/>
        </w:rPr>
        <w:t xml:space="preserve">. </w:t>
      </w:r>
      <w:bookmarkStart w:id="583" w:name="pg19218_274152"/>
    </w:p>
    <w:p>
      <w:pPr>
        <w:pStyle w:val="BookText"/>
        <w:rPr/>
      </w:pPr>
      <w:bookmarkEnd w:id="583"/>
      <w:r>
        <w:rPr>
          <w:rFonts w:ascii="Amiri" w:hAnsi="Amiri" w:eastAsia="Amiri" w:cs="Amiri"/>
          <w:color w:val="111111"/>
          <w:sz w:val="28"/>
          <w:sz w:val="28"/>
          <w:szCs w:val="28"/>
          <w:rtl w:val="true"/>
          <w:lang w:bidi="ar-SA"/>
        </w:rPr>
        <w:t xml:space="preserve">والظاهر دخول الإقرار اللساني فيه أيضاً، كما يظهر من العرف، ومن بعض الأخبار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دخول اجتناب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الإصرار على الصغائر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الإيمان، فهو وإن ذهب إليه جمع من أصحابنا </w:t>
      </w:r>
      <w:r>
        <w:rPr>
          <w:rStyle w:val="FootnoteAnchor"/>
          <w:rtl w:val="true"/>
        </w:rPr>
        <w:footnoteReference w:id="708"/>
      </w:r>
      <w:r>
        <w:rPr>
          <w:rFonts w:ascii="Amiri" w:hAnsi="Amiri" w:eastAsia="Amiri" w:cs="Amiri"/>
          <w:color w:val="111111"/>
          <w:sz w:val="28"/>
          <w:sz w:val="28"/>
          <w:szCs w:val="28"/>
          <w:rtl w:val="true"/>
          <w:lang w:bidi="ar-SA"/>
        </w:rPr>
        <w:t xml:space="preserve">ونطقت به الأخبار؛ حيث إنّها دلّت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إقرار باللسان واعتقاد بالجنان وعمل بالأركان</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فيكون العمل ثلثه، فالظاهر أنّه معنى مجازي، أو مشترك أظهر أفراده المعنى المعروف، أو مشكك وأعلى أفراده وأكملها الجامع للثلاثة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فالوقف يدور مدار متفاهم العرف واللغة بالنسبة إلى الواقف، والمعنى المذكور في الأخبار لا يعرفه إلّا الخواص، ولا يوجد مصداقه إلّا نادراً في أوحدي الناس، فلا يجوز ابتناء الأمور اللفظية الدائرة مدار العرف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جاء الحكم من الشارع معلّقاً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احتجنا إلى معرفة المراد منه؛ لاشتباهه في الأخبار؛ حيث إنّ منها ما دلّت على أنّه التصديق والإقرار، ومنها ما دلّت على أنّه هُما والعمل، والعرف يساعد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فتحقيق مفهومه شيء، وتمييز مصاديقه بالنسبة إلى المستعملين شيء آخر، وحينئذٍ فمتى صدر لفظة من أحدٍ وكان يزعم أن مصداقه أهل مذهب خاص انصرف الوقف فيه إلى ما زعم مع احتمال انصرافه إلى إرادة الواقع، فيكون المراد بالمؤمنين نحن فلو صدر الوقف على المؤمنين من مخالف كان وقفاً علينا قهراً، يجوز لنا التصرّف فيه ويحرم عليهم، مع احتمال أنّه من تعارض الاسم والإشارة</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3425183_1280447820"/>
      <w:bookmarkStart w:id="585" w:name="_Toc210"/>
      <w:bookmarkEnd w:id="584"/>
      <w:r>
        <w:rPr>
          <w:rtl w:val="true"/>
        </w:rPr>
        <w:t>العاشر</w:t>
      </w:r>
      <w:r>
        <w:rPr>
          <w:rtl w:val="true"/>
        </w:rPr>
        <w:t xml:space="preserve">: </w:t>
      </w:r>
      <w:r>
        <w:rPr>
          <w:rtl w:val="true"/>
        </w:rPr>
        <w:t>فيما يتعلّق بما لو وقف واقف على الشيعة</w:t>
      </w:r>
      <w:bookmarkEnd w:id="585"/>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واقف على الشيعة انصرف إلى مَنْ شايع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وقدمه على غيره وأقرّ بعصمته، سواء أقرّ بجميع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أم لا، ويدخل فيهم الإماميّة والفطحيّة والناووسيّة والجارودية، وأما غير الجارودية من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كالسليمانية والبترية والصالحية فإنّهم يقولون بإمامة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يكونون من الشيعة، وكذا الملاحدة من فرق الإسماعيلية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 بعضهم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المتأخر بالإماميّة فقط، حتّى ادّعى أنّه صار عرفيّةً خاصّة فيهم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يبعد ذلك، فكأنه صار علماً بالغلبة، فإن لم يكن حقيقة فلا ينصرف الإطلاق إلّا إليه؛ لأنّه لا يعرف من الشيعة سوى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إدريس إلى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أهل نحلة الواقف وملّته، فيصرف أهل مذهبه دون مَنْ عداهم، ولا يحمل اللفظ على عمومه مطلقاً؛ عملاً بشاهد الحال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عند قيام شاهد الحال، وإنما يكون فيه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واقف على الزيدية وقلنا بصحّة الوقف عليهم انصرف إلى القائلين بإمامة زيد بن عليّ؛ لأنّهم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خرج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داعياً إلى نفسه بالسيف، وكان عالماً زاهداً شجاعاً كان هو الإمام ؛ ولذا قالوا بإمامة زيد بن علي دون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وقف على الفطحيّة، انصرف إلى مَنْ قال بإمامة الأفطح عبد اللّه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سُمّي بذلك؛ لأنّه أفطح الرأس على ما قيل </w:t>
      </w:r>
      <w:r>
        <w:rPr>
          <w:rStyle w:val="FootnoteAnchor"/>
          <w:rtl w:val="true"/>
        </w:rPr>
        <w:footnoteReference w:id="712"/>
      </w:r>
      <w:r>
        <w:rPr>
          <w:rFonts w:ascii="Amiri" w:hAnsi="Amiri" w:eastAsia="Amiri" w:cs="Amiri"/>
          <w:color w:val="111111"/>
          <w:sz w:val="28"/>
          <w:sz w:val="28"/>
          <w:szCs w:val="28"/>
          <w:rtl w:val="true"/>
          <w:lang w:bidi="ar-SA"/>
        </w:rPr>
        <w:t>، أو أفطح الرجلين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سمّوا فطحيّةً لنسبتهم لرئيسهم عبد اللّه بن فطيح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وقف على الإسماعيلية، انصرف إلى مَنْ قال بإمامة إسماعيل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وقف على الناووسيّة، انصرف إلى مَنْ وقف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وادعوا أنّه حيّ لم يمت إلى أن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ونسبتهم إلى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ناووس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قرية يقال لها ذلك</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وقف على الواقفية، انصرف إلى مَنْ وقف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موته، ويُسمّون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 الشيعة والكلاب الممطورة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وقف على الكيسانيّة، انصرف إلى مَنْ قال بإمامة محمّد بن الحنفية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حيّ غائب في جبل رضوى، وهُمْ أصحاب المختار،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لقبه كان كيسان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كيس ياكيس، وهو طفل في حجره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586" w:name="pg19218_274154"/>
    </w:p>
    <w:p>
      <w:pPr>
        <w:pStyle w:val="BookText"/>
        <w:rPr/>
      </w:pPr>
      <w:bookmarkEnd w:id="586"/>
      <w:r>
        <w:rPr>
          <w:rFonts w:ascii="Amiri" w:hAnsi="Amiri" w:eastAsia="Amiri" w:cs="Amiri"/>
          <w:color w:val="111111"/>
          <w:sz w:val="28"/>
          <w:sz w:val="28"/>
          <w:szCs w:val="28"/>
          <w:rtl w:val="true"/>
          <w:lang w:bidi="ar-SA"/>
        </w:rPr>
        <w:t>ولو وقف على من اتصف بنسبةٍ إلى عالم كان انصرف إلى أتباعه ومَنْ قال بمقالته وقلّده في أمور دينه، كالحنفية والمالكية والشافعية والأوزاعية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من اتصف بنسبة علم، انصرف إلى أهله ومدرسته والآخذين به، كالأخباريّة والأصوليّة والنحويّة والصرفيّة والمنطقيّة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وقف على من اتصف بنسبة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كالهاشمية والعلوية والقرشية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المنتسب إليه بالأب دون الأُمّ؛ للعرف واللغة القاضيان بذلك،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أُمّه من بني هاشم وأبوه من سائر قريش فإنّ الصدقة تحلّ له</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بنوا أبنائنا وبناتنا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بنوهن أبناء الرجال الأباعد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ولفتوى أكثر الأصحاب وعملهم وسيرتهم المؤيَّدة باستعمالات أهل العرف وطرائقهم الانتساب وفي بيان الأنساب، إلى غير ذلك ممّا تقدّم في كتاب الخمس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للمرتضى، فجعله شاملاً لأبناء البنات؛ لاستعماله فيه، والأصل في الاستعمال الحقيقة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أعم من الحقيقة والمجاز، وسيجيء إن شاء اللّه تعالى تمام الكلام في الوقف على الأولاد </w:t>
      </w:r>
      <w:r>
        <w:rPr>
          <w:rStyle w:val="FootnoteAnchor"/>
          <w:rtl w:val="true"/>
        </w:rPr>
        <w:footnoteReference w:id="723"/>
      </w:r>
      <w:r>
        <w:rPr>
          <w:rFonts w:ascii="Amiri" w:hAnsi="Amiri" w:eastAsia="Amiri" w:cs="Amiri"/>
          <w:color w:val="111111"/>
          <w:sz w:val="28"/>
          <w:sz w:val="28"/>
          <w:szCs w:val="28"/>
          <w:rtl w:val="true"/>
          <w:lang w:bidi="ar-SA"/>
        </w:rPr>
        <w:t>على أنّ ما ورد أكثره ظاهر في المبالغة وإظهار المودة والاتحاد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في الوقف على هذا النحو الذكور والإناث، حتّى لو وقع بصيغة الذكور كالهاشميين والعلويين والقرشيين؛ وكأنّه حقيقة عرفية خاصّة، أو مجاز في التغليب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التناول في جميع الخطابات الواردة على ذلك النحو في الكتاب والسنّة بالاستقراء فيما عدا ما يخرجه الدليل، وربما يظهر الاتفاق عليه</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3425185_1280447820"/>
      <w:bookmarkStart w:id="588" w:name="_Toc211"/>
      <w:bookmarkEnd w:id="587"/>
      <w:r>
        <w:rPr>
          <w:rtl w:val="true"/>
        </w:rPr>
        <w:t>الحادي عشر</w:t>
      </w:r>
      <w:r>
        <w:rPr>
          <w:rtl w:val="true"/>
        </w:rPr>
        <w:t xml:space="preserve">: </w:t>
      </w:r>
      <w:r>
        <w:rPr>
          <w:rtl w:val="true"/>
        </w:rPr>
        <w:t>فيما يتعلّق بما إذا وقف على أولاده أو بنيه</w:t>
      </w:r>
      <w:bookmarkEnd w:id="58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أولاده أو بنيه، اختص بالصلبيين من الأولاد، وشمل الذكر والأُنثى والخنثى، مع احتمال اختصاصهم في العرف الغالب في الذكور،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p>
    <w:p>
      <w:pPr>
        <w:pStyle w:val="BookText"/>
        <w:rPr/>
      </w:pPr>
      <w:r>
        <w:rPr>
          <w:rFonts w:ascii="Amiri" w:hAnsi="Amiri" w:eastAsia="Amiri" w:cs="Amiri"/>
          <w:color w:val="111111"/>
          <w:sz w:val="28"/>
          <w:sz w:val="28"/>
          <w:szCs w:val="28"/>
          <w:rtl w:val="true"/>
          <w:lang w:bidi="ar-SA"/>
        </w:rPr>
        <w:t>ولا يشمل أولاد الأولاد وأولاد البنات، وكذا لو وقف على البنات، اختص بالصلبيات، دون بنات الأولاد وبنات البنات كلّ ذلك قضاء لحق العرف واللغة، ولصحة سلب الولد عن ولد الولد،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ولدي لا ولدي</w:t>
      </w:r>
    </w:p>
    <w:p>
      <w:pPr>
        <w:pStyle w:val="BookText"/>
        <w:rPr/>
      </w:pP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 بِهَا إِبْرَاهِيمُ بَنِيهِ وَيَعْقُوبُ</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فيمن قرأ بالنصب، فإنّ يعقوب ولد الولد، والعطف يقضي بالمغايرة ظاهراً، فلا ينافيه ما قيل من أنّه يجوز أن يكون العطف من باب عطف الجزء على الكلِّ،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اللّه وَمَلَائِكَتِهِ وَرُسُلِهِ وَجِبْرِيلَ</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حيث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بشمول الولد لولد الولد حقيقةً </w:t>
      </w:r>
      <w:r>
        <w:rPr>
          <w:rStyle w:val="FootnoteAnchor"/>
          <w:rtl w:val="true"/>
        </w:rPr>
        <w:footnoteReference w:id="727"/>
      </w:r>
      <w:r>
        <w:rPr>
          <w:rFonts w:ascii="Amiri" w:hAnsi="Amiri" w:eastAsia="Amiri" w:cs="Amiri"/>
          <w:color w:val="111111"/>
          <w:sz w:val="28"/>
          <w:sz w:val="28"/>
          <w:szCs w:val="28"/>
          <w:rtl w:val="true"/>
          <w:lang w:bidi="ar-SA"/>
        </w:rPr>
        <w:t>قضاء لحق الاستعمال، والأصل فيه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 وأن عيسى ابن آدم، مع أنّه ولد البنت من دون أب، ولإطلاق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الموجودين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وللإجماع على تحريم حليلة ولد الولد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وعلى تحريم بنت البنت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وعلى دفع السدس للأبوين مع ولد الولد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 لِكُلِّ وَاحِدٍ مِنْهُمَا السُّدُسُ ممّا تَرَكَ إِنْ كَانَ لَهُ وَلَدٌ</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وعلى قسمة أولاد الأولاد بالتفاوت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مسلَّم، ولكنّه أعم من الحقيقة والمجاز، وجميع ما جاء في الكتاب محتمل للاستعمال المجازي في الأعم، وتكون قرائنه حاليةً قد كشفت عنها الأخبار والإجماع، ومحتمل لإرادة الحقيقة، فيجيء الاشتراك في الحكم من دليل خارجي، كالسنة أو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القول بالحقيقة الشرعيّة؛ لما ورد في كثير من الأخبار الخاصّة في مقام المحاجة أن ولد البنت ولد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حملها على إرادة كونه بحكم الولد في الشرف والرفعة والمودّة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فهنا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ولد الولد هل يشمله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بل يختص بولد الصلب 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الشمول فهل ولد البنت كولد الابن ولد وابن أُمّ، أم لا؟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الانتساب إلى شخص كهاشمي وتميمي يختص بمن اتصل به من الآباء، أو يكفي في النسبة الاتصال به من طرف الأمهات؟</w:t>
      </w:r>
    </w:p>
    <w:p>
      <w:pPr>
        <w:pStyle w:val="BookText"/>
        <w:rPr/>
      </w:pPr>
      <w:r>
        <w:rPr>
          <w:rFonts w:ascii="Amiri" w:hAnsi="Amiri" w:eastAsia="Amiri" w:cs="Amiri"/>
          <w:color w:val="111111"/>
          <w:sz w:val="28"/>
          <w:sz w:val="28"/>
          <w:szCs w:val="28"/>
          <w:rtl w:val="true"/>
          <w:lang w:bidi="ar-SA"/>
        </w:rPr>
        <w:t>ونحن نقول في الجميع بما يحكم به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والمرتضى وجمع من الأخبارية خالفونا في الجميع، وادعوا صحّة الإطلاق على ولد البنت أنّه ولد وصحة النسبة إلى من اتصل به من طرف بناته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قال الواقف وقف على أولاد أولادي، اشترك أولاد البنين والبنات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والإناث والخنائى كلّهم بالسوية؛ لشمول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للجميع، فكذا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ويقضي بالاقتسام بالسوية حاقُ اللفظ مع عدم المرجح والقرينة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بالنسبة إلى الطبقة الأولى من أولاد الأولاد، وأما الطبقات الأُخر فيشكل الحال في شمولهم إلّا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تعاقبوا وتناسلوا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يشكل الحال في شمولهم لأولاد بنات أولاد الواقف؛ لأن ولد بنت ولد الواقف ليس من أولاد أولاده، إلّا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الأولاد من البنين والبنات ما تعاقبوا وتناسلوا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البنين أو البنات لم تدخل الخناثى، ولو جمعهما دخلت؛ لعدم خروجها عنهما، مع احتمال كون الخنثى المشكل صنف ثالث خارج عنهما، وقد يساعده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على من انتسب إليه، اختصّ بمن اتصل به من الأولاد دون البنات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وقف على أقاربه، انصرف إلى الأعمام والأخوال وأولادهم ما لم يبعدوا منه كثيراً، </w:t>
      </w:r>
      <w:bookmarkStart w:id="589" w:name="pg19218_274157"/>
    </w:p>
    <w:p>
      <w:pPr>
        <w:pStyle w:val="BookText"/>
        <w:rPr/>
      </w:pPr>
      <w:bookmarkEnd w:id="589"/>
      <w:r>
        <w:rPr>
          <w:rFonts w:ascii="Amiri" w:hAnsi="Amiri" w:eastAsia="Amiri" w:cs="Amiri"/>
          <w:color w:val="111111"/>
          <w:sz w:val="28"/>
          <w:sz w:val="28"/>
          <w:szCs w:val="28"/>
          <w:rtl w:val="true"/>
          <w:lang w:bidi="ar-SA"/>
        </w:rPr>
        <w:t>فلا يصدق عليهم الأقارب عرفاً، ويخرج عنهم بحسب العرف الآباء والأمهات والإخوة، مع احتمال دخول الإخوة، واحتمال دخول الجميع؛ نظراً لما في اللغة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أقرب الناس إليه، انصرف إلى الآباء والأولاد، فإن لم يكونوا انصرف إلى الإخوة والأجداد، فإن لم يكونوا انصرف إلى الأعمام والأخوال، فإن لم يكونوا انصرف إلى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المتقرب بسببين، كأخ من أب وأم يمنع المتقرب بسبب واحد؟ وجهان، ولا يبعد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الولد يمنع ولد الولد والجد القريب يمنع البعيد،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أعمامه وأخواله، تساووا في الاستحقاق، وكذا لو وقف على أولاده وإخوته، وكذا لو وقف على قراباته استوى الذكر والأنثى؛ كلّ ذلك لظاهر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عشيرته، انصرف إلى الخاص من قومه، وهم الأدنون منه والقريبون من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أوسع دائرةً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تفسير العشيرة بذلك للمشهور </w:t>
      </w:r>
      <w:r>
        <w:rPr>
          <w:rStyle w:val="FootnoteAnchor"/>
          <w:rtl w:val="true"/>
        </w:rPr>
        <w:footnoteReference w:id="735"/>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رواية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وقف على نسله وذرّيّته، اشترك فيه جميع من تولّد منه بواسطة وبغير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وقف على أرحامه، انصرف إلى قراباته الأدنون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دخول الآباء والأولاد إشكال، والعرف يبعّده</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3425187_1280447820"/>
      <w:bookmarkStart w:id="591" w:name="_Toc212"/>
      <w:bookmarkEnd w:id="590"/>
      <w:r>
        <w:rPr>
          <w:rtl w:val="true"/>
        </w:rPr>
        <w:t>الثاني عشر</w:t>
      </w:r>
      <w:r>
        <w:rPr>
          <w:rtl w:val="true"/>
        </w:rPr>
        <w:t xml:space="preserve">: </w:t>
      </w:r>
      <w:r>
        <w:rPr>
          <w:rtl w:val="true"/>
        </w:rPr>
        <w:t>فيما يتعلق بما لو وقف على جيرانه</w:t>
      </w:r>
      <w:bookmarkEnd w:id="591"/>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جيرانه انصرف إلى مَنْ كانت داره قريبةً لداره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يلي داره من جميع جوانبها إلى أربعين ذراعاً شرعياً، كما نُسب لجمع من الأساطين</w:t>
      </w:r>
      <w:r>
        <w:rPr>
          <w:rStyle w:val="FootnoteAnchor"/>
          <w:rtl w:val="true"/>
        </w:rPr>
        <w:footnoteReference w:id="737"/>
      </w:r>
      <w:r>
        <w:rPr>
          <w:rFonts w:ascii="Amiri" w:hAnsi="Amiri" w:eastAsia="Amiri" w:cs="Amiri"/>
          <w:color w:val="111111"/>
          <w:sz w:val="28"/>
          <w:sz w:val="28"/>
          <w:szCs w:val="28"/>
          <w:rtl w:val="true"/>
          <w:lang w:bidi="ar-SA"/>
        </w:rPr>
        <w:t xml:space="preserve">، وشهد به العرف، ونقل عليه الإجماع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إلى أربعين داراً </w:t>
      </w:r>
      <w:r>
        <w:rPr>
          <w:rStyle w:val="FootnoteAnchor"/>
          <w:rtl w:val="true"/>
        </w:rPr>
        <w:footnoteReference w:id="739"/>
      </w:r>
      <w:r>
        <w:rPr>
          <w:rFonts w:ascii="Amiri" w:hAnsi="Amiri" w:eastAsia="Amiri" w:cs="Amiri"/>
          <w:color w:val="111111"/>
          <w:sz w:val="28"/>
          <w:sz w:val="28"/>
          <w:szCs w:val="28"/>
          <w:rtl w:val="true"/>
          <w:lang w:bidi="ar-SA"/>
        </w:rPr>
        <w:t>، ودلّت عليه جملة من الروايات،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الجوار أربعون داراً من كلّ جانب من بين يديه ومن خلفه وعن يمينه وعن شماله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والقول به شاذ مطرح مخالف للعرف واللغة واللفظ في الوقف إنّما يُحمل على قصد الوقف التابع لعرفه، دون ما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أنّها كاشفة عن العرف مخالف لما نراه بديهة، وكونها كذلك في زمن الصدور بعيد جداً، على أنّ الروايات موافقة لمذهب عائشة على ما نُقل </w:t>
      </w:r>
      <w:r>
        <w:rPr>
          <w:rStyle w:val="FootnoteAnchor"/>
          <w:rtl w:val="true"/>
        </w:rPr>
        <w:footnoteReference w:id="741"/>
      </w:r>
      <w:r>
        <w:rPr>
          <w:rFonts w:ascii="Amiri" w:hAnsi="Amiri" w:eastAsia="Amiri" w:cs="Amiri"/>
          <w:color w:val="111111"/>
          <w:sz w:val="28"/>
          <w:sz w:val="28"/>
          <w:szCs w:val="28"/>
          <w:rtl w:val="true"/>
          <w:lang w:bidi="ar-SA"/>
        </w:rPr>
        <w:t>، ومن المحتمل إرادة بيان الحكم فيها لا الاسم، فلا يُحمل اللفظ عليه، أو أنّه حقيقة شرعيّة في ذلك، فيحمل عليه كلام الشارع دون كلام أهل العرف في وقف أو وصيّة، أو أنّه مجاز شرعيّ أُطلق عليه لعلاقة بينهما، فلا يجوز حمل اللفظ عليه، أو أنّه مشترك بينهما، فلا يلزم حمل اللفظ عليه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الدور إن كانت ملكاً لأربابها فكلُّ مجاور لكلِّ، وكذا لو كانت كلها مستأجرةً، أو كان بعضها ملكاً وبعضها مستأجراً، إمّا لو كان بعضها مستعاراً ففي تحقق الجارية إشكال والظاهر أنّه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كلّها مغصوبة أو بعضها، فإن كان مع الجهل فالأظهر التحقق، وإلا فالأظهر عدمه؛ لسقوط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ثبوت حقه وإن فَعَل حراماً ؛ لعدم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سقوط الحق منه، وعدم سقوطه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بالدور بيوت القصب والشعر إن كانت منفردةً، وإن استدار عليها شبه الحائط احتسب العدد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الجار فعليّة السكنى، فلو غاب بنيّة الرجوع لم يسقط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أعرض عن سكنى تلك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غيره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باعها، فالجوار للمشتري ولو قبل أن يسكن، ولكن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لزوم سكناه بعد الشراء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داران يتردّد إليهما في السكنى، كان له جاران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قسم السكنى عليهما مدّة فمدةً وكانت المدّة طويلة كان كلّ مدّة جاراً لهم 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وصلت الأربعون ذراعاً إلى باب داره وإلى حائطه خرج عن الوقف على الظاهر، ومَنْ وصلت إلى نصف داره أو ثلثيها بل وثلثها كان جاراً، ولو كان الكسر قليلاً خرج على الظاهر</w:t>
      </w:r>
      <w:r>
        <w:rPr>
          <w:rFonts w:eastAsia="Amiri" w:cs="Amiri" w:ascii="Amiri" w:hAnsi="Amiri"/>
          <w:color w:val="111111"/>
          <w:sz w:val="28"/>
          <w:szCs w:val="28"/>
          <w:rtl w:val="true"/>
          <w:lang w:bidi="ar-SA"/>
        </w:rPr>
        <w:t xml:space="preserve">. </w:t>
      </w:r>
      <w:bookmarkStart w:id="592" w:name="pg19218_274159"/>
    </w:p>
    <w:p>
      <w:pPr>
        <w:pStyle w:val="BookText"/>
        <w:rPr/>
      </w:pPr>
      <w:bookmarkEnd w:id="592"/>
      <w:r>
        <w:rPr>
          <w:rFonts w:ascii="Amiri" w:hAnsi="Amiri" w:eastAsia="Amiri" w:cs="Amiri"/>
          <w:color w:val="111111"/>
          <w:sz w:val="28"/>
          <w:sz w:val="28"/>
          <w:szCs w:val="28"/>
          <w:rtl w:val="true"/>
          <w:lang w:bidi="ar-SA"/>
        </w:rPr>
        <w:t>والظاهر أن الوقف يشمل الأنثى والذكر المعال والمعيل، الصغير والكبير، سوى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يقسم الحاصل على نسبة الرؤوس فيتساوون فيه، أو على نسبة الدور، ثمّ يقسم سهم كلّ دارٍ على أهله بالسوية؟ وجهان، ولا شك أن الأوّل أوجه على ما قلناه من العرف أو الأزرع، وعلى القول الآخر فقسمته على الدور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تباعدت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تباعداً فاحشاً سقط حكمها على الأظهر، وإلا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انقسمت دار إلى أربعين كان الجار المقسوم، ويسقط حكم الدور الأولية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والدار من الجانب الأعلى أو الأسفل لا يسقط بها الجوار على جميع الأقوال، وعلى القول باعتبار الدور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للمتجاورين دور ولا شبهها فالمحكم العرف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الوقف على الجيران من الوقف الخاص الواجب فيه الاستيعاب، ولكن إن كان ممّا لا ينقرضون غالباً لم يحتج الوقف عليهم إلى نقله إلى من لا ينقرض غالباً وإلا احتاج</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13425189_1280447820"/>
      <w:bookmarkStart w:id="594" w:name="_Toc213"/>
      <w:bookmarkEnd w:id="593"/>
      <w:r>
        <w:rPr>
          <w:rtl w:val="true"/>
        </w:rPr>
        <w:t>الثالث عشر</w:t>
      </w:r>
      <w:r>
        <w:rPr>
          <w:rtl w:val="true"/>
        </w:rPr>
        <w:t xml:space="preserve">: </w:t>
      </w:r>
      <w:r>
        <w:rPr>
          <w:rtl w:val="true"/>
        </w:rPr>
        <w:t>فيما يتعلّق بما إذا وقف على قومه</w:t>
      </w:r>
      <w:bookmarkEnd w:id="594"/>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 على قومه، انصرف على المشهور نقلاً </w:t>
      </w:r>
      <w:r>
        <w:rPr>
          <w:rStyle w:val="FootnoteAnchor"/>
          <w:rtl w:val="true"/>
        </w:rPr>
        <w:footnoteReference w:id="742"/>
      </w:r>
      <w:r>
        <w:rPr>
          <w:rFonts w:ascii="Amiri" w:hAnsi="Amiri" w:eastAsia="Amiri" w:cs="Amiri"/>
          <w:color w:val="111111"/>
          <w:sz w:val="28"/>
          <w:sz w:val="28"/>
          <w:szCs w:val="28"/>
          <w:rtl w:val="true"/>
          <w:lang w:bidi="ar-SA"/>
        </w:rPr>
        <w:t>إلى أهل لغته إمّا مطلقاً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الذكور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الأوّل إلى رواية </w:t>
      </w:r>
      <w:r>
        <w:rPr>
          <w:rStyle w:val="FootnoteAnchor"/>
          <w:rtl w:val="true"/>
        </w:rPr>
        <w:footnoteReference w:id="743"/>
      </w:r>
      <w:r>
        <w:rPr>
          <w:rFonts w:ascii="Amiri" w:hAnsi="Amiri" w:eastAsia="Amiri" w:cs="Amiri"/>
          <w:color w:val="111111"/>
          <w:sz w:val="28"/>
          <w:sz w:val="28"/>
          <w:szCs w:val="28"/>
          <w:rtl w:val="true"/>
          <w:lang w:bidi="ar-SA"/>
        </w:rPr>
        <w:t xml:space="preserve">، وبموافقتها للمشهور تكون معتبرةً، ونُقل على الثاني الإجماع </w:t>
      </w:r>
      <w:r>
        <w:rPr>
          <w:rStyle w:val="FootnoteAnchor"/>
          <w:rtl w:val="true"/>
        </w:rPr>
        <w:footnoteReference w:id="744"/>
      </w:r>
      <w:r>
        <w:rPr>
          <w:rFonts w:ascii="Amiri" w:hAnsi="Amiri" w:eastAsia="Amiri" w:cs="Amiri"/>
          <w:color w:val="111111"/>
          <w:sz w:val="28"/>
          <w:sz w:val="28"/>
          <w:szCs w:val="28"/>
          <w:rtl w:val="true"/>
          <w:lang w:bidi="ar-SA"/>
        </w:rPr>
        <w:t>، وهو الأقرب إلى العرف، ويُحمل المطلق عليه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يَسْخَرْ قَومٌ مِنْ قَوْمٍ عَسَى أَنْ يَكُونُوا خَيْرًا مِنْهُمْ وَلَا نِسَاءٌ مِنْ نِسَاءٍ</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أقوم آل حضن أم نساء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وما أدري وسوف أخال أدري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دیوان زهير بن أبي سلمى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bookmarkStart w:id="595" w:name="pg19218_274160"/>
    </w:p>
    <w:p>
      <w:pPr>
        <w:pStyle w:val="BookText"/>
        <w:rPr/>
      </w:pPr>
      <w:bookmarkEnd w:id="595"/>
      <w:r>
        <w:rPr>
          <w:rFonts w:ascii="Amiri" w:hAnsi="Amiri" w:eastAsia="Amiri" w:cs="Amiri"/>
          <w:color w:val="111111"/>
          <w:sz w:val="28"/>
          <w:sz w:val="28"/>
          <w:szCs w:val="28"/>
          <w:rtl w:val="true"/>
          <w:lang w:bidi="ar-SA"/>
        </w:rPr>
        <w:t>دلالة على اختصاصه بالذكور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يخص القوم بالرجال من أهل القبيلة والعشيرة والأهل،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هم قتلوا أميم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رميت يصيبني سهمي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وربما يساعده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يخص بالرجال التابعين لرئيسهم السامعين لقوله، ويشهد له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عند صدوره اليوم لا يراد إلّا المعنيين الأخيرين، وحمله عليهما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فيما إذا كانت عشيرته أو أتباعه من غير أهل لغته، فهنا يحتمل شمول اللفظ لهم؛ تبعاً للعرف، ويحتمل عدمه؛ تبعاً للمشهور في تخصيص القوم بأهل اللغة، ويؤيده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الواقف إن علم اتَّبع، وإلا فإن اختص بعرف خاص انصرف لفظه إلى إرادته، وإن لم يكن هناك عرف خاص حمل على ما عليه مشهور الأصحاب؛ لأنّهم الأعرف بما عليه الخطاب</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3425191_1280447820"/>
      <w:bookmarkStart w:id="597" w:name="_Toc214"/>
      <w:bookmarkEnd w:id="596"/>
      <w:r>
        <w:rPr>
          <w:rtl w:val="true"/>
        </w:rPr>
        <w:t>الرابع عشر</w:t>
      </w:r>
      <w:r>
        <w:rPr>
          <w:rtl w:val="true"/>
        </w:rPr>
        <w:t xml:space="preserve">: </w:t>
      </w:r>
      <w:r>
        <w:rPr>
          <w:rtl w:val="true"/>
        </w:rPr>
        <w:t>فيما يتعلّق بما لو وقف على مواليه</w:t>
      </w:r>
      <w:bookmarkEnd w:id="597"/>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مواليه الصالح لصدقه على الأعلون المعتقون له والأدنون الذين أعتقهم، فإن قامت قرينة صارفة عن أحد المعنيين، أو عرف معين لإرادة واحدٍ منهما بعينه، أو ظهور في أحدهما دون الآخر فلا إشكال، وفيما عدا ذلك فهل يقع الوقف باطلاً من أصله؛ لإجماله، أو يقع صحيحاً؛ لأصالة الحمل على الصحّة، فيضرب عليه بالقرعة، أو يُحمل على الجميع؛ لأنّه مشترك لفظي، فيُحمل على الجميع للحكمة، أو لأنّه ظاهر في الجميع عند التجرّد عن القرائن، أو لأن الجمع يجوز استعمال المشترك فيه في جميع معانيه؟</w:t>
      </w:r>
    </w:p>
    <w:p>
      <w:pPr>
        <w:pStyle w:val="BookText"/>
        <w:rPr/>
      </w:pPr>
      <w:r>
        <w:rPr>
          <w:rFonts w:ascii="Amiri" w:hAnsi="Amiri" w:eastAsia="Amiri" w:cs="Amiri"/>
          <w:color w:val="111111"/>
          <w:sz w:val="28"/>
          <w:sz w:val="28"/>
          <w:szCs w:val="28"/>
          <w:rtl w:val="true"/>
          <w:lang w:bidi="ar-SA"/>
        </w:rPr>
        <w:t>وتحقيق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 إمّا أن يقف على لفظ مفرد أو جمع، وعلى كلّ تقدير فالشك إمّا أن يقع فى الوقف بعد صدوره من الواقف فلم يُعلم المراد منه، أو حين صدوره، بمعنى أن الواقف علّق الوقف على هذا الاسم من دون ملاحظة شيءٍ بعينه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 وكان اللفظ مفرداً،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الوقف على الصحّة، وإرادة الواقف منه معنى خاصاً حين الوقف ولكن لا نعرفه وحينئذٍ فطريقه القرعة أو الصلح بين المشتبهين بنحو لا ينافي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جوزنا استعمال المشترك في معانيه دخلت جميع المعاني في القرعة، وإلا لم 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الحكم ببطلان الوقف؛ لأصالة عدم إرادة معنى معيّن فيكون من باب تعليق الوقف على مجمل فيبطل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تنزيله على إرادة الأعلى؛ لكونه منعماً، فيغلب الظن بإرادة الوفاء، ويكون بمنزلة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تنزيله على الأدنى؛ لافتقاره وشدّة حاجته، ولكونه بمنزلة مَنْ فارقه من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تنزيله عليهما إذا جوّزنا استعمال المشترك في معنييه، ملاحظة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جعلنا المولى مشتركاً معنوياً،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المشترك اللفظي ظاهر في الجميع عند التجرّد عن القرائن، حمل على إرادة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مخالف لأهل اللغة والعرف؛ لعدم القدر المشترك بين المعنيين، ولإجماله حين الإطلاق، ولنص الفقهاء واللغويين على اشتراكهما لفظاً، والثاني مخالف لمذهب الأكثر والمحقّقين من عدم جواز استعمال المشترك في معنييه، ومخالف لطريقة استعمال أهل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وكان مفرداً،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متواطئ، أو قلنا بصحّة استعمال المشترك في الجميع وإنّه ظاهر فيه صحّ، وحمل على الجميع، وإلا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لمكان تعليق الوقف على مجهول عند الواقف في الوقف والوقف على المجهول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تحتمل الصحّة بحمله على إرادة المعنى المجازي العام كمفهوم اللفظ أو مسماه؛ تصحيحاً للعقد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اللفظ مثنّى أو جمعاً فإن لم نشترط فيهما اتحاد المعنى،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الشكّ في الوقف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الوقف، ويكون دائراً بين كلّ معنى متحد قد ثني اللفظ باعتباره أو جُمع، وبين إرادة الجميع فيستخرج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الثاني، 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مشترك معنوي، حمل على الجميع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له فرد ظاهر يكون بمنزلة القرينة على إرادة معنى معيّن، حمل عليه</w:t>
      </w:r>
      <w:r>
        <w:rPr>
          <w:rFonts w:eastAsia="Amiri" w:cs="Amiri" w:ascii="Amiri" w:hAnsi="Amiri"/>
          <w:color w:val="111111"/>
          <w:sz w:val="28"/>
          <w:szCs w:val="28"/>
          <w:rtl w:val="true"/>
          <w:lang w:bidi="ar-SA"/>
        </w:rPr>
        <w:t xml:space="preserve">. </w:t>
      </w:r>
      <w:bookmarkStart w:id="598" w:name="pg19218_274162"/>
    </w:p>
    <w:p>
      <w:pPr>
        <w:pStyle w:val="BookText"/>
        <w:rPr/>
      </w:pPr>
      <w:bookmarkEnd w:id="598"/>
      <w:r>
        <w:rPr>
          <w:rFonts w:ascii="Amiri" w:hAnsi="Amiri" w:eastAsia="Amiri" w:cs="Amiri"/>
          <w:color w:val="111111"/>
          <w:sz w:val="28"/>
          <w:sz w:val="28"/>
          <w:szCs w:val="28"/>
          <w:rtl w:val="true"/>
          <w:lang w:bidi="ar-SA"/>
        </w:rPr>
        <w:t>وإن اشترطنا اتحاد المعنى، كان حكمه حكم المفرد والكلام فيه كالكلام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الكلام في المثنى والجمع عند تعليق الواقف الوقف على مجرد معنى اللفظ ما يجيء في المفرد إذا جوّزنا استعماله في جميع معانيه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فيها، فإن قلنا بجوازه في المثنى والجمع وظهوره، حمل عليه، وإلا فإن ظهر من القرائن سبق ذهن الواقف لإرادة معنى خاص حمل عليه، وإلا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متواطئ، حمل على الجميع، وإلا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الوقف من أصله؛ لتعليقه على المجهول</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3425193_1280447820"/>
      <w:bookmarkStart w:id="600" w:name="_Toc215"/>
      <w:bookmarkEnd w:id="599"/>
      <w:r>
        <w:rPr>
          <w:rtl w:val="true"/>
        </w:rPr>
        <w:t>الخامس عشر</w:t>
      </w:r>
      <w:r>
        <w:rPr>
          <w:rtl w:val="true"/>
        </w:rPr>
        <w:t xml:space="preserve">: </w:t>
      </w:r>
      <w:r>
        <w:rPr>
          <w:rtl w:val="true"/>
        </w:rPr>
        <w:t>فيما يتعلّق بما لو وقف في سبيل اللّه</w:t>
      </w:r>
      <w:bookmarkEnd w:id="600"/>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في سبيل اللّه تعالى انصرف مصرفه إلى جهات القرب، وكان وقفاً على المسلمين وإن لم يذكر لفظهم، ولا تختص به قربة دون أخرى، كما هو فتوى المشهور نقلاً </w:t>
      </w:r>
      <w:r>
        <w:rPr>
          <w:rStyle w:val="FootnoteAnchor"/>
          <w:rtl w:val="true"/>
        </w:rPr>
        <w:footnoteReference w:id="748"/>
      </w:r>
      <w:r>
        <w:rPr>
          <w:rFonts w:ascii="Amiri" w:hAnsi="Amiri" w:eastAsia="Amiri" w:cs="Amiri"/>
          <w:color w:val="111111"/>
          <w:sz w:val="28"/>
          <w:sz w:val="28"/>
          <w:szCs w:val="28"/>
          <w:rtl w:val="true"/>
          <w:lang w:bidi="ar-SA"/>
        </w:rPr>
        <w:t xml:space="preserve">بل تحصيلاً، ونُقل عليه الإجماع في الوصيّة </w:t>
      </w:r>
      <w:r>
        <w:rPr>
          <w:rStyle w:val="FootnoteAnchor"/>
          <w:rtl w:val="true"/>
        </w:rPr>
        <w:footnoteReference w:id="749"/>
      </w:r>
      <w:r>
        <w:rPr>
          <w:rFonts w:ascii="Amiri" w:hAnsi="Amiri" w:eastAsia="Amiri" w:cs="Amiri"/>
          <w:color w:val="111111"/>
          <w:sz w:val="28"/>
          <w:sz w:val="28"/>
          <w:szCs w:val="28"/>
          <w:rtl w:val="true"/>
          <w:lang w:bidi="ar-SA"/>
        </w:rPr>
        <w:t>لأنّ السبيل هو الطريق إليه، ولا يراد به معناه الحقيقي، بل الطريق إلى ثوابه ورضوانه، فيشمل كلّ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عليّ بن إبراهيم ما يدلّ على أنّ السبيل هو جميع سبيل الخير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الشيخ في ذلك، فخصه بالغُزاة المطوّعة دون العسكر المقاتل على باب السلطان، وبالحج والعمرة، وقسمه بينها أثلاثاً </w:t>
      </w:r>
      <w:r>
        <w:rPr>
          <w:rStyle w:val="FootnoteAnchor"/>
          <w:rtl w:val="true"/>
        </w:rPr>
        <w:footnoteReference w:id="751"/>
      </w:r>
      <w:r>
        <w:rPr>
          <w:rFonts w:ascii="Amiri" w:hAnsi="Amiri" w:eastAsia="Amiri" w:cs="Amiri"/>
          <w:color w:val="111111"/>
          <w:sz w:val="28"/>
          <w:sz w:val="28"/>
          <w:szCs w:val="28"/>
          <w:rtl w:val="true"/>
          <w:lang w:bidi="ar-SA"/>
        </w:rPr>
        <w:t xml:space="preserve">، وكذا ابن حمزة فخصه بالمجاهدين </w:t>
      </w:r>
      <w:r>
        <w:rPr>
          <w:rStyle w:val="FootnoteAnchor"/>
          <w:rtl w:val="true"/>
        </w:rPr>
        <w:footnoteReference w:id="752"/>
      </w:r>
      <w:r>
        <w:rPr>
          <w:rFonts w:ascii="IRNazanin" w:hAnsi="IRNazanin" w:eastAsia="IRNazanin"/>
          <w:color w:val="111111"/>
          <w:sz w:val="28"/>
          <w:sz w:val="28"/>
          <w:szCs w:val="28"/>
          <w:rtl w:val="true"/>
          <w:lang w:bidi="fa-IR"/>
        </w:rPr>
        <w:t>، وهما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ضمّ الواقف إلى سبيل اللّه تعالى سبيل الخير وسبيل الثواب، كان الحكم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فيه الشيخ فقسمه أثلاثاً، وجعل الغُزاة والحج والعمرة سبيل اللّه تعالى، والفقراء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ويبدأ بأقاربه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الثواب والفقراء والمساكين والغارمين والرقاب سبيل الخير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شاذ لا يساعده عرف ولا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وجوه البرّ، انصرف إلى كلّ ما فيه نفع عام للأنام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انصرافه لكلّ ما فيه ثواب ولو بصلة الأغنياء؛ لأنّ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والخير والإحسان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وقف على مستحقي الزكاة، انصرف إلى الأصناف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استيعاب الأصناف وإن لم يجب استيعاب أفرادها؛ لمكان انحصارها، أو لا يجب ؟ وجهان،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إعطاء الفقير زائداً على مؤونته، كما يعطى من الزكاة على الأظهر، ويعطى المؤلّفة؛ لأنّه من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أولاده فإذا انقرضوا أو انقرض أولاد أولاده فعلى الفقراء، كان الوقف على أولاده لازماً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على أولاد الأولاد أيضاً تشريكاً أو ترتيباً، أو لا يكون مطلقاً؟</w:t>
      </w:r>
    </w:p>
    <w:p>
      <w:pPr>
        <w:pStyle w:val="BookText"/>
        <w:rPr/>
      </w:pPr>
      <w:r>
        <w:rPr>
          <w:rFonts w:ascii="Amiri" w:hAnsi="Amiri" w:eastAsia="Amiri" w:cs="Amiri"/>
          <w:color w:val="111111"/>
          <w:sz w:val="28"/>
          <w:sz w:val="28"/>
          <w:szCs w:val="28"/>
          <w:rtl w:val="true"/>
          <w:lang w:bidi="ar-SA"/>
        </w:rPr>
        <w:t>والظاهر على القول بدخول أولاد الأولاد في الأولاد دخولهم تشريكاً، ويكون الشرط في كونه للفقراء انقراضهم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 دخولهم احتمل دخولهم تشريكاً،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دخولهم ترتيباً؛ وذهب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عملاً بالظاهر من اللفظ، لاشتراط الواقف انقراضهم في الانتقال إلى الفقراء، ولعطف الانقراض على الانقراض، وكلُّ منهما مقتض لدخولهم في الوقف، ولابتناء الوقف على الدوام، وعدم دخولهم منافٍ له؛ للزوم الوقف لموقوف عليه، فهو قرينة على إرادة الدخول، وكون الوقف عليهم ترتيباً إنما جاء من عطفهم على الأولاد المنقرضين، فالحكم إنّما استفيد من اللفظ بعد الحكم بانقراض الأوليين، فكان استحقاقهم مترتباً على انقراض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دلالة ما ذكره على كونه موقوفاً عليه؛ لعدم دلالته بإحدى الدلالات، و مجرد تصحيح اللفظ لا يكون قرينة على إرادة ما لم يذكره الواقف، أو على صرف ما ذكره إلى المجاز من استعمال الأولاد فيما يشمل أولاد الأولاد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أولاد الأولاد بعد الأولاد دليل على أن الأوّل لم يتناولهم، وإنما ذكروا لأجل اشتراط ترتب استحقاق الفقراء على انقراضهم، وعلى ما ذكر فيكون الوقف كمنقطع الوسط يكون الوقف على ما قبله حبساً وعلى ما بعده باطلاً</w:t>
      </w:r>
      <w:r>
        <w:rPr>
          <w:rFonts w:eastAsia="Amiri" w:cs="Amiri" w:ascii="Amiri" w:hAnsi="Amiri"/>
          <w:color w:val="111111"/>
          <w:sz w:val="28"/>
          <w:szCs w:val="28"/>
          <w:rtl w:val="true"/>
          <w:lang w:bidi="ar-SA"/>
        </w:rPr>
        <w:t xml:space="preserve">. </w:t>
      </w:r>
      <w:bookmarkStart w:id="601" w:name="pg19218_274164"/>
    </w:p>
    <w:p>
      <w:pPr>
        <w:pStyle w:val="BookText"/>
        <w:rPr/>
      </w:pPr>
      <w:bookmarkEnd w:id="601"/>
      <w:r>
        <w:rPr>
          <w:rFonts w:ascii="Amiri" w:hAnsi="Amiri" w:eastAsia="Amiri" w:cs="Amiri"/>
          <w:color w:val="111111"/>
          <w:sz w:val="28"/>
          <w:sz w:val="28"/>
          <w:szCs w:val="28"/>
          <w:rtl w:val="true"/>
          <w:lang w:bidi="ar-SA"/>
        </w:rPr>
        <w:t>وعلى تقدير صحّته على ما بعده فالنماء المتخلّل بين موت الأولاد وأولادهم هل هو لورثة الواقف أم لا ؟ إشكال ينشأ من انتقال الوقف وعدمه، فإن قلنا ببقائه على ملك الواقف، فهو لورثة الواقف، وإن قلنا بانتقاله إلى اللّه تعالى، فالأوجه صرفه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بانتقاله للموقوف عليه يشكل أيضاً من حيث انتقال الملك عن الواقف فلا يعود إليه، فيكون لورثة البطن الأوّل؛ لانتقاله إليه، فيستصحب إلى أن يُعلم المستحق، ومن أن الوقف في حكم ملك الواقف؛ لتلقي البطن الثاني عنه، وبموت البطن الأوّل زال ملكه، وليس ثمّ موقوف عليه غيره إلى أن ينقرض البطن الثاني، ويمتنع بقاء الملك من غير مالك، فيكون لورثة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معاً ضعف؛ لأنّ ورثة الأوّل لا يستحقونه بالوقف؛ لانتفاء مقتضيه ولا بالإرث؛ لأن الوقف لا يورّث، ولانقطاع تملك مورّثهم من الوقف بموته، فكيف يورّث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خروج الملك عن الواقف يوجب عدم العود إليه وإلى ورثته إلّا بسبب جديد،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حبس، صحّ عوده إلى ورثة الواقف على وجه الملك، ثمّ ينتقل عنهم إلى الفقراء، ولكنّه مفتقر إلى ثبت</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3425195_1280447820"/>
      <w:bookmarkStart w:id="603" w:name="_Toc216"/>
      <w:bookmarkEnd w:id="602"/>
      <w:r>
        <w:rPr>
          <w:rtl w:val="true"/>
        </w:rPr>
        <w:t>خاتمة</w:t>
      </w:r>
      <w:r>
        <w:rPr>
          <w:rtl w:val="true"/>
        </w:rPr>
        <w:t xml:space="preserve">: </w:t>
      </w:r>
      <w:r>
        <w:rPr>
          <w:rtl w:val="true"/>
        </w:rPr>
        <w:t>في بيان أُمور</w:t>
      </w:r>
      <w:r>
        <w:rPr>
          <w:rtl w:val="true"/>
        </w:rPr>
        <w:t>:</w:t>
      </w:r>
      <w:bookmarkEnd w:id="603"/>
    </w:p>
    <w:p>
      <w:pPr>
        <w:pStyle w:val="Heading5"/>
        <w:numPr>
          <w:ilvl w:val="4"/>
          <w:numId w:val="1"/>
        </w:numPr>
        <w:rPr/>
      </w:pPr>
      <w:bookmarkStart w:id="604" w:name="__RefHeading___Toc13425197_1280447820"/>
      <w:bookmarkStart w:id="605" w:name="_Toc217"/>
      <w:bookmarkEnd w:id="604"/>
      <w:r>
        <w:rPr>
          <w:rtl w:val="true"/>
        </w:rPr>
        <w:t>أحدها</w:t>
      </w:r>
      <w:r>
        <w:rPr>
          <w:rtl w:val="true"/>
        </w:rPr>
        <w:t xml:space="preserve">: </w:t>
      </w:r>
      <w:r>
        <w:rPr>
          <w:rtl w:val="true"/>
        </w:rPr>
        <w:t>حكم ما لو اضمحل الموقوف باستيلاء الماء أو الخراب الذي لا يرجى معه العود</w:t>
      </w:r>
      <w:bookmarkEnd w:id="60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اضمحل الموقوف باستيلاء الماء أو الخراب الذي لا يرجى معه العود صُرفت آلاته إلى موقوفِ آخر مشابه له كمسجد ومسجد ومدرسة ومدرسة، فإن لم يمكن بقي وقفاً ينتفع به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آلت آلاته إلى الخراب بحيث لا ينتفع بها فيه ولا في غيره، فإن أمكن بيعها وكان لها قيمة بيعت وأُخذ بثمنها وقف مشابه مهما أمكن، كفراش وفراش، وقنديل وقنديل، فإن لم يمكن المشابه أُخذ غيره ووضع فيه، فإن لم يمكن صرف الثمن فيه بأي نحو كان، مع احتمال جواز ذلك ابتداء؛ لتساوي جميع المصارف بالنسبة إلى الثمن بعد أن بيعت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والأحوط الأول؛ اقتصاراً على اليقين في التصرّف بمال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صرفها في ذلك الوقف، صُرفت في غيره مشابهاً 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دار الأمر بين بيعها وصرف ثمنها في ذلك الوقف وبين الانتفاع بها في وقف آخر مشابه له، فلا يبعد ترجيح الأوّل</w:t>
      </w:r>
      <w:r>
        <w:rPr>
          <w:rFonts w:eastAsia="Amiri" w:cs="Amiri" w:ascii="Amiri" w:hAnsi="Amiri"/>
          <w:color w:val="111111"/>
          <w:sz w:val="28"/>
          <w:szCs w:val="28"/>
          <w:rtl w:val="true"/>
          <w:lang w:bidi="ar-SA"/>
        </w:rPr>
        <w:t xml:space="preserve">. </w:t>
      </w:r>
      <w:bookmarkStart w:id="606" w:name="pg19218_274165"/>
    </w:p>
    <w:p>
      <w:pPr>
        <w:pStyle w:val="BookText"/>
        <w:rPr/>
      </w:pPr>
      <w:bookmarkEnd w:id="606"/>
      <w:r>
        <w:rPr>
          <w:rFonts w:ascii="Amiri" w:hAnsi="Amiri" w:eastAsia="Amiri" w:cs="Amiri"/>
          <w:color w:val="111111"/>
          <w:sz w:val="28"/>
          <w:sz w:val="28"/>
          <w:szCs w:val="28"/>
          <w:rtl w:val="true"/>
          <w:lang w:bidi="ar-SA"/>
        </w:rPr>
        <w:t>ولو لم يمكن بيعها وأمكن صرفها في المشابه لزم؛ احترازاً من تفويت المال من غير مقتض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 صرفها في وقف آخر ولا بيعها لخروجها عن التموّل، عادت ملكاً لأرباب تلك الجهة يتصرفون بها كيف شاؤوا، ويكون بمنزلة نماء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المنع من بيع الآلات مطلقاً ولو اضمحلت؛ لبناء الوقف على الدوام فلا يجوز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ضعيف مخالف لفتوى الأصحاب، ومشتمل على تضييع المال</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3425199_1280447820"/>
      <w:bookmarkStart w:id="608" w:name="_Toc218"/>
      <w:bookmarkEnd w:id="607"/>
      <w:r>
        <w:rPr>
          <w:rtl w:val="true"/>
        </w:rPr>
        <w:t>ثانيها</w:t>
      </w:r>
      <w:r>
        <w:rPr>
          <w:rtl w:val="true"/>
        </w:rPr>
        <w:t xml:space="preserve">: </w:t>
      </w:r>
      <w:r>
        <w:rPr>
          <w:rtl w:val="true"/>
        </w:rPr>
        <w:t>عدم جواز بيع الوقف المبني على الدوام ولا نقله مطلقاً</w:t>
      </w:r>
      <w:bookmarkEnd w:id="608"/>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المبنيّ على الدوام ولا نقله مطلقاً، كما هو الظاهر من إطلاقه والمفهوم من لفظه ومصداقه، ولبنائه على الدوام، كما جاءت به سيرة الأنام وأفعال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ولظهور الأخبار في منعه </w:t>
      </w:r>
      <w:r>
        <w:rPr>
          <w:rStyle w:val="FootnoteAnchor"/>
          <w:rtl w:val="true"/>
        </w:rPr>
        <w:footnoteReference w:id="755"/>
      </w:r>
      <w:r>
        <w:rPr>
          <w:rFonts w:ascii="Amiri" w:hAnsi="Amiri" w:eastAsia="Amiri" w:cs="Amiri"/>
          <w:color w:val="111111"/>
          <w:sz w:val="28"/>
          <w:sz w:val="28"/>
          <w:szCs w:val="28"/>
          <w:rtl w:val="true"/>
          <w:lang w:bidi="ar-SA"/>
        </w:rPr>
        <w:t>، وفي بيان منافاة البيع والنقل والميراث له ذاتاً؛ ولتعلق حقّ البطون به فهم كالشركاء فيه، فيكون التصرّف فيه على وجه النقل أكل مال بالباطل ومن باب الظلم والعدوان، سيما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ثمنه يكون للبائع لا أنّه يشترى به وقفاً، وللإجماع المنقول </w:t>
      </w:r>
      <w:r>
        <w:rPr>
          <w:rStyle w:val="FootnoteAnchor"/>
          <w:rtl w:val="true"/>
        </w:rPr>
        <w:footnoteReference w:id="756"/>
      </w:r>
      <w:r>
        <w:rPr>
          <w:rFonts w:ascii="Amiri" w:hAnsi="Amiri" w:eastAsia="Amiri" w:cs="Amiri"/>
          <w:color w:val="111111"/>
          <w:sz w:val="28"/>
          <w:sz w:val="28"/>
          <w:szCs w:val="28"/>
          <w:rtl w:val="true"/>
          <w:lang w:bidi="ar-SA"/>
        </w:rPr>
        <w:t>على المنع مطلقاً، وللخبر فيمن شرى وقفاً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 ولا تدخل الغلة في ملكك</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ظهر ضعف قول المجوّز لبيعه إذا خيف فساده أو خرابه لخلف بين أربابه، كما في قول </w:t>
      </w:r>
      <w:r>
        <w:rPr>
          <w:rStyle w:val="FootnoteAnchor"/>
          <w:rtl w:val="true"/>
        </w:rPr>
        <w:footnoteReference w:id="758"/>
      </w:r>
      <w:r>
        <w:rPr>
          <w:rFonts w:ascii="Amiri" w:hAnsi="Amiri" w:eastAsia="Amiri" w:cs="Amiri"/>
          <w:color w:val="111111"/>
          <w:sz w:val="28"/>
          <w:sz w:val="28"/>
          <w:szCs w:val="28"/>
          <w:rtl w:val="true"/>
          <w:lang w:bidi="ar-SA"/>
        </w:rPr>
        <w:t xml:space="preserve">، أو بحيث لا يجدي نفعاً وخِيف خرابه وكانت بأربابه حاجة شديدة ودعت إلى بيعه الضرورة، كما في ثاني </w:t>
      </w:r>
      <w:r>
        <w:rPr>
          <w:rStyle w:val="FootnoteAnchor"/>
          <w:rtl w:val="true"/>
        </w:rPr>
        <w:footnoteReference w:id="759"/>
      </w:r>
      <w:r>
        <w:rPr>
          <w:rFonts w:ascii="Amiri" w:hAnsi="Amiri" w:eastAsia="Amiri" w:cs="Amiri"/>
          <w:color w:val="111111"/>
          <w:sz w:val="28"/>
          <w:sz w:val="28"/>
          <w:szCs w:val="28"/>
          <w:rtl w:val="true"/>
          <w:lang w:bidi="ar-SA"/>
        </w:rPr>
        <w:t xml:space="preserve">، أو كان بيعه أعود، كما في ثالث </w:t>
      </w:r>
      <w:r>
        <w:rPr>
          <w:rStyle w:val="FootnoteAnchor"/>
          <w:rtl w:val="true"/>
        </w:rPr>
        <w:footnoteReference w:id="760"/>
      </w:r>
      <w:r>
        <w:rPr>
          <w:rFonts w:ascii="Amiri" w:hAnsi="Amiri" w:eastAsia="Amiri" w:cs="Amiri"/>
          <w:color w:val="111111"/>
          <w:sz w:val="28"/>
          <w:sz w:val="28"/>
          <w:szCs w:val="28"/>
          <w:rtl w:val="true"/>
          <w:lang w:bidi="ar-SA"/>
        </w:rPr>
        <w:t xml:space="preserve">، أو غير ذلك من الأقوال المتكثرة؛ استناداً لأخبار </w:t>
      </w:r>
      <w:r>
        <w:rPr>
          <w:rStyle w:val="FootnoteAnchor"/>
          <w:rtl w:val="true"/>
        </w:rPr>
        <w:footnoteReference w:id="761"/>
      </w:r>
      <w:r>
        <w:rPr>
          <w:rFonts w:ascii="Amiri" w:hAnsi="Amiri" w:eastAsia="Amiri" w:cs="Amiri"/>
          <w:color w:val="111111"/>
          <w:sz w:val="28"/>
          <w:sz w:val="28"/>
          <w:szCs w:val="28"/>
          <w:rtl w:val="true"/>
          <w:lang w:bidi="ar-SA"/>
        </w:rPr>
        <w:t xml:space="preserve">قاصرة سنداً ودلالة، ولإجماعات منقولة </w:t>
      </w:r>
      <w:r>
        <w:rPr>
          <w:rStyle w:val="FootnoteAnchor"/>
          <w:rtl w:val="true"/>
        </w:rPr>
        <w:footnoteReference w:id="762"/>
      </w:r>
      <w:r>
        <w:rPr>
          <w:rFonts w:ascii="Amiri" w:hAnsi="Amiri" w:eastAsia="Amiri" w:cs="Amiri"/>
          <w:color w:val="111111"/>
          <w:sz w:val="28"/>
          <w:sz w:val="28"/>
          <w:szCs w:val="28"/>
          <w:rtl w:val="true"/>
          <w:lang w:bidi="ar-SA"/>
        </w:rPr>
        <w:t xml:space="preserve">مضطربة معارضة بمثلها </w:t>
      </w:r>
      <w:r>
        <w:rPr>
          <w:rStyle w:val="FootnoteAnchor"/>
          <w:rtl w:val="true"/>
        </w:rPr>
        <w:footnoteReference w:id="763"/>
      </w:r>
      <w:r>
        <w:rPr>
          <w:rFonts w:ascii="Amiri" w:hAnsi="Amiri" w:eastAsia="Amiri" w:cs="Amiri"/>
          <w:color w:val="111111"/>
          <w:sz w:val="28"/>
          <w:sz w:val="28"/>
          <w:szCs w:val="28"/>
          <w:rtl w:val="true"/>
          <w:lang w:bidi="ar-SA"/>
        </w:rPr>
        <w:t>، ولشهرةٍ مركبة من مجموع الأقوال المقيدة، وهي غير صالحة للحجية ما لم تكن بسيطةً، فلا تصلح لمقاومة أدلّة المنع</w:t>
      </w:r>
      <w:r>
        <w:rPr>
          <w:rFonts w:eastAsia="Amiri" w:cs="Amiri" w:ascii="Amiri" w:hAnsi="Amiri"/>
          <w:color w:val="111111"/>
          <w:sz w:val="28"/>
          <w:szCs w:val="28"/>
          <w:rtl w:val="true"/>
          <w:lang w:bidi="ar-SA"/>
        </w:rPr>
        <w:t xml:space="preserve">. </w:t>
      </w:r>
      <w:bookmarkStart w:id="609" w:name="pg19218_274166"/>
    </w:p>
    <w:p>
      <w:pPr>
        <w:pStyle w:val="BookText"/>
        <w:rPr/>
      </w:pPr>
      <w:bookmarkEnd w:id="609"/>
      <w:r>
        <w:rPr>
          <w:rFonts w:ascii="Amiri" w:hAnsi="Amiri" w:eastAsia="Amiri" w:cs="Amiri"/>
          <w:color w:val="111111"/>
          <w:sz w:val="28"/>
          <w:sz w:val="28"/>
          <w:szCs w:val="28"/>
          <w:rtl w:val="true"/>
          <w:lang w:bidi="ar-SA"/>
        </w:rPr>
        <w:t>ويمكن حمل الأخبار على الوقف الغير المؤبد، وكذا تنزيل الإجماعات، أو على الوقف قبل قبضه، ولو أردنا أن نختار الأخذ بها لاقتصرنا في الجواز على الجامع لجميع القيود، والتزمنا بشراء وقف بثمنه؛ تحصيلاً لغرض الواقف بقدر الإمكان، وقد بسطنا الكلام في المقام في كتاب البيع فلا نعيده</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3425201_1280447820"/>
      <w:bookmarkStart w:id="611" w:name="_Toc219"/>
      <w:bookmarkEnd w:id="610"/>
      <w:r>
        <w:rPr>
          <w:rtl w:val="true"/>
        </w:rPr>
        <w:t>ثالثها</w:t>
      </w:r>
      <w:r>
        <w:rPr>
          <w:rtl w:val="true"/>
        </w:rPr>
        <w:t xml:space="preserve">: </w:t>
      </w:r>
      <w:r>
        <w:rPr>
          <w:rtl w:val="true"/>
        </w:rPr>
        <w:t>عدم جواز صرف آلات وقف في وقف آخر اللّه</w:t>
      </w:r>
      <w:bookmarkEnd w:id="611"/>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صرف آلات وقف في وقف آخر؛ لأنّ الوقوف على حسب ما يقفها أهلها، ولو زاد منها شيء ادخر لوقت الحاجة، واستثني من ذلك المساجد، فيجوز صرف ما زاد من أحدها في الآخر؛ لعدم المنافاة لغرض الواقف، وهو أيضاً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يلحق به الحضرات والمشاهد والمدارس؛ اقتصاراً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التصرّف في الوقف بما ينافي غرض الواقف ويزاحم الموقوف عليه في الجهة الموقوف عليها؛ لحرمة التصرّف بمال الغير من دون إذنه، بل شاهد حال الواقف يقضي بالمنع، فلا يجوز الجلوس في المساجد والمشاهد بما ينافي غرض الواقف لمنع الزائرين والمصلين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وضع شيء فيها بما ينافي غرضه أيضاً، كغرس شجر في المساجد والمشاهد، أو دكان أو بناء منافٍ، بل لا يبعد أنّه لو خرجت الأشجار لنفسها لزم على المتولّي قلعها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سبق الزرع والغرس والبناء على الوقف جاز إبقاؤه مطلقاً على الأظهر</w:t>
      </w:r>
      <w:r>
        <w:rPr>
          <w:rFonts w:eastAsia="IRNazanin" w:cs="IRNazanin"/>
          <w:color w:val="111111"/>
          <w:sz w:val="28"/>
          <w:szCs w:val="28"/>
          <w:rtl w:val="true"/>
          <w:lang w:bidi="fa-IR"/>
        </w:rPr>
        <w:t>.</w:t>
      </w:r>
    </w:p>
    <w:p>
      <w:pPr>
        <w:pStyle w:val="Heading5"/>
        <w:numPr>
          <w:ilvl w:val="4"/>
          <w:numId w:val="1"/>
        </w:numPr>
        <w:rPr/>
      </w:pPr>
      <w:bookmarkStart w:id="612" w:name="__RefHeading___Toc13425203_1280447820"/>
      <w:bookmarkStart w:id="613" w:name="_Toc220"/>
      <w:bookmarkEnd w:id="612"/>
      <w:r>
        <w:rPr>
          <w:rtl w:val="true"/>
        </w:rPr>
        <w:t>رابعها</w:t>
      </w:r>
      <w:r>
        <w:rPr>
          <w:rtl w:val="true"/>
        </w:rPr>
        <w:t xml:space="preserve">: </w:t>
      </w:r>
      <w:r>
        <w:rPr>
          <w:rtl w:val="true"/>
        </w:rPr>
        <w:t>حكم ما لو اندرس شرط الواقف</w:t>
      </w:r>
      <w:bookmarkEnd w:id="613"/>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اندرس شرط الواقف قسم بالسوية مع العلم بأصل الاستحقاق وجهل مقادير السهام؛ لأصالة عدم التفاضل، وربما الحق به الجهل بالترتيب؛ لأصالة عدم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التفضيل وشكّ في المفضّل أو علم الترتيب وشكّ في السابق، فالقرعة أو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أخبر الواقف بعد وقفه وتقبيضه، ففي لزوم الأخذ بإخباره وجهان، ولا يبعد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أرباب الوقف 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مجهول المالك فيتصدق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3425205_1280447820"/>
      <w:bookmarkStart w:id="615" w:name="_Toc221"/>
      <w:bookmarkEnd w:id="614"/>
      <w:r>
        <w:rPr>
          <w:rtl w:val="true"/>
        </w:rPr>
        <w:t>خامسها</w:t>
      </w:r>
      <w:r>
        <w:rPr>
          <w:rtl w:val="true"/>
        </w:rPr>
        <w:t xml:space="preserve">: </w:t>
      </w:r>
      <w:r>
        <w:rPr>
          <w:rtl w:val="true"/>
        </w:rPr>
        <w:t>جواز قسمة الوقف عن الطلق في المشاع</w:t>
      </w:r>
      <w:bookmarkEnd w:id="615"/>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قسمة الوقف عن الطلق في المشاع، وتكون القسمة مثبتة لكل منهما، ولا بأس، إلّا أن تتضمّن القسمة ردّاً من الوقف إلى أهل الطلق، فالأظهر المنع؛ لاستلزامه عود الوقف طلقاً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قسمة الوقف مع اتحاد الواقف والموقوف عليه والموقوف، بمعنى كون الموقوف </w:t>
      </w:r>
    </w:p>
    <w:p>
      <w:pPr>
        <w:pStyle w:val="BookText"/>
        <w:rPr/>
      </w:pPr>
      <w:r>
        <w:rPr>
          <w:rFonts w:ascii="Amiri" w:hAnsi="Amiri" w:eastAsia="Amiri" w:cs="Amiri"/>
          <w:color w:val="111111"/>
          <w:sz w:val="28"/>
          <w:sz w:val="28"/>
          <w:szCs w:val="28"/>
          <w:rtl w:val="true"/>
          <w:lang w:bidi="ar-SA"/>
        </w:rPr>
        <w:t>عليه وقف عليه واحد بعقد واحد سواء اتحد وبعد ذلك تعدّد، أو كان متعدداً ابتداء؛ لمنافاته لغرض الواقف، ولعدم شمول دليل القسمة لمثله، ولتعلّق حقّ البطون بمجموعه، وللزومه لتغيير الوقف واحتمال الجواز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تنازعوا كانت لهم المهاياة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قسمة الوقف إذا تعدد الواقف والموقوف عليه، سواء وقع الوقف بصفقة واحدة أو صفقتين على الأظهر</w:t>
      </w:r>
      <w:r>
        <w:rPr>
          <w:rFonts w:eastAsia="Amiri" w:cs="Amiri" w:ascii="Amiri" w:hAnsi="Amiri"/>
          <w:color w:val="111111"/>
          <w:sz w:val="28"/>
          <w:szCs w:val="28"/>
          <w:rtl w:val="true"/>
          <w:lang w:bidi="ar-SA"/>
        </w:rPr>
        <w:t xml:space="preserve">. </w:t>
      </w:r>
      <w:bookmarkStart w:id="616" w:name="pg19218_274168"/>
    </w:p>
    <w:p>
      <w:pPr>
        <w:pStyle w:val="Heading3"/>
        <w:numPr>
          <w:ilvl w:val="2"/>
          <w:numId w:val="1"/>
        </w:numPr>
        <w:rPr/>
      </w:pPr>
      <w:bookmarkStart w:id="617" w:name="__RefHeading___Toc13425207_1280447820"/>
      <w:bookmarkStart w:id="618" w:name="_Toc222"/>
      <w:bookmarkEnd w:id="616"/>
      <w:bookmarkEnd w:id="617"/>
      <w:r>
        <w:rPr>
          <w:rtl w:val="true"/>
        </w:rPr>
        <w:t>بحث في السكنى</w:t>
      </w:r>
      <w:bookmarkEnd w:id="618"/>
    </w:p>
    <w:p>
      <w:pPr>
        <w:pStyle w:val="Heading4"/>
        <w:numPr>
          <w:ilvl w:val="3"/>
          <w:numId w:val="1"/>
        </w:numPr>
        <w:rPr/>
      </w:pPr>
      <w:bookmarkStart w:id="619" w:name="__RefHeading___Toc13425209_1280447820"/>
      <w:bookmarkStart w:id="620" w:name="_Toc223"/>
      <w:bookmarkEnd w:id="619"/>
      <w:r>
        <w:rPr>
          <w:rtl w:val="true"/>
        </w:rPr>
        <w:t>تعريف السكنى وبيان ما يشترط فيها</w:t>
      </w:r>
      <w:bookmarkEnd w:id="620"/>
    </w:p>
    <w:p>
      <w:pPr>
        <w:pStyle w:val="BookText"/>
        <w:rPr/>
      </w:pPr>
      <w:r>
        <w:rPr>
          <w:rFonts w:ascii="Amiri" w:hAnsi="Amiri" w:eastAsia="Amiri" w:cs="Amiri"/>
          <w:color w:val="111111"/>
          <w:sz w:val="28"/>
          <w:sz w:val="28"/>
          <w:szCs w:val="28"/>
          <w:rtl w:val="true"/>
          <w:lang w:bidi="ar-SA"/>
        </w:rPr>
        <w:t>السكنى إن كانت مطلقةً كان للمُسْكن إخراجه متى شاء؛ لكفاية المسمّى فيها ولو ساعةً واحدةً، فهي لازمة بالنسبة لمسمّاها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قرنت بمدة أو عمر الساكن أو عمر مَنْ أسكنه، لزمت تلك المدّة، أو ذلك العمر، وتُسمّى المقرونة بالعمر عمري، وبالمدة رقبي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فهي مبيحة للمنفعة، لا ناقلة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فيها الإيجاب والقبول الصريحين أو شبههما، ويشترط فيها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القربة فيها وجهان، والاشتراط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أن يكون الشيء ممّا يتقرب به، وتلزم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وقتت السكني، لم يجز الرجوع بها حتّى ينقضي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الساكن أو المعمّر قبل الوقت، انتقل حقّ السكني إلى ورثته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على انتقال ملك المنفعة عن الساكن، وإلا لما ورث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لمنع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وترجع العين بعد تمام الوقت إلى المُسكن أو ورثته إن مات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 البيع السكنى، بل هي باقية نعم للمشتري الخيار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السكني يقتضي أن يسكن بنفسه وأهله وولده أو مَنْ يعتاده من أضيافه وزائريه وخُدّامه، وليس له أن يسكن غيرهم، كما أنّه ليس له أن يؤجر المسكن إلّا بإذن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صحّ وقفه صحّ إعماره من الحيوان والعقار والأثاث، ولا تختص العمرى بالمسكن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صحّة بيع ما قرن بالعمر من العمرى إشكال؛ لجهالة المنفعة، والأحوط المنع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والحبس يتعلّق بالعين، فإن حبس على جهة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كسبيل اللّه وخدمة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ملكه ولزم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فيه القبض والقربة على الأظهر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حبس على معيّن، فإن عيّن وقتاً لزم إلى الوقت ثمّ يعود إلى الحابس أو ورثته، وإن لم يعين كان له الرجوع متى شاء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يفرّق في التذكرة بين الحبس على معيّن كزيد، أو غير معين كالفقراء </w:t>
      </w:r>
      <w:r>
        <w:rPr>
          <w:rStyle w:val="FootnoteAnchor"/>
          <w:rtl w:val="true"/>
        </w:rPr>
        <w:footnoteReference w:id="765"/>
      </w:r>
      <w:r>
        <w:rPr>
          <w:rFonts w:ascii="IRNazanin" w:hAnsi="IRNazanin" w:eastAsia="IRNazanin"/>
          <w:color w:val="111111"/>
          <w:sz w:val="28"/>
          <w:sz w:val="28"/>
          <w:szCs w:val="28"/>
          <w:rtl w:val="true"/>
          <w:lang w:bidi="fa-IR"/>
        </w:rPr>
        <w:t>، وهو ممنوع</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الهبة والصدقة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1" w:name="pg19218_274172"/>
      <w:bookmarkStart w:id="622" w:name="pg19218_274172"/>
      <w:bookmarkEnd w:id="622"/>
    </w:p>
    <w:p>
      <w:pPr>
        <w:pStyle w:val="Heading2"/>
        <w:numPr>
          <w:ilvl w:val="1"/>
          <w:numId w:val="1"/>
        </w:numPr>
        <w:rPr/>
      </w:pPr>
      <w:bookmarkStart w:id="623" w:name="pg19218_274172"/>
      <w:bookmarkStart w:id="624" w:name="__RefHeading___Toc13425211_1280447820"/>
      <w:bookmarkStart w:id="625" w:name="_Toc224"/>
      <w:bookmarkEnd w:id="623"/>
      <w:bookmarkEnd w:id="624"/>
      <w:r>
        <w:rPr>
          <w:rtl w:val="true"/>
        </w:rPr>
        <w:t>كتاب الهبة والصدقة</w:t>
      </w:r>
      <w:bookmarkEnd w:id="625"/>
    </w:p>
    <w:p>
      <w:pPr>
        <w:pStyle w:val="Heading3"/>
        <w:numPr>
          <w:ilvl w:val="2"/>
          <w:numId w:val="1"/>
        </w:numPr>
        <w:rPr/>
      </w:pPr>
      <w:bookmarkStart w:id="626" w:name="__RefHeading___Toc13425213_1280447820"/>
      <w:bookmarkStart w:id="627" w:name="_Toc225"/>
      <w:bookmarkEnd w:id="626"/>
      <w:r>
        <w:rPr>
          <w:rtl w:val="true"/>
        </w:rPr>
        <w:t>تعريف الصدقة والهبة والعطيّة</w:t>
      </w:r>
      <w:bookmarkEnd w:id="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بالمعنى الخاصّ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والعطيّة والهديّة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والهبة والعطية بمعنى واحد </w:t>
      </w:r>
      <w:r>
        <w:rPr>
          <w:rStyle w:val="FootnoteAnchor"/>
          <w:rtl w:val="true"/>
        </w:rPr>
        <w:footnoteReference w:id="766"/>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الهبة والعطية والنحلة بمعنى واحد </w:t>
      </w:r>
      <w:r>
        <w:rPr>
          <w:rStyle w:val="FootnoteAnchor"/>
          <w:rtl w:val="true"/>
        </w:rPr>
        <w:footnoteReference w:id="767"/>
      </w:r>
      <w:r>
        <w:rPr>
          <w:rFonts w:ascii="Amiri" w:hAnsi="Amiri" w:eastAsia="Amiri" w:cs="Amiri"/>
          <w:color w:val="111111"/>
          <w:sz w:val="28"/>
          <w:sz w:val="28"/>
          <w:szCs w:val="28"/>
          <w:rtl w:val="true"/>
          <w:lang w:bidi="ar-SA"/>
        </w:rPr>
        <w:t>، وهو بعيد؛ لأنّ الظاهر أن العطية تشمل الهبة والهدية، فلا تكونان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العطيّة أعم من الوقف والصدقة والهبة والهدية والسكني </w:t>
      </w:r>
      <w:r>
        <w:rPr>
          <w:rStyle w:val="FootnoteAnchor"/>
          <w:rtl w:val="true"/>
        </w:rPr>
        <w:footnoteReference w:id="768"/>
      </w:r>
      <w:r>
        <w:rPr>
          <w:rFonts w:ascii="Amiri" w:hAnsi="Amiri" w:eastAsia="Amiri" w:cs="Amiri"/>
          <w:color w:val="111111"/>
          <w:sz w:val="28"/>
          <w:sz w:val="28"/>
          <w:szCs w:val="28"/>
          <w:rtl w:val="true"/>
          <w:lang w:bidi="ar-SA"/>
        </w:rPr>
        <w:t>، وهو 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الهبة أعم من الصدقة لاشتراط الصدقة بالقربة دونها، وأعم من الهدية؛ لاشتراط نقل المهدي في الهدية على وجه التعظيم والإكرام، وعلى ذلك فمَنْ نذر الهبة برى بالصدقة والهدية دون العكس، ومن حلف أن لا يهب حنث بإحداهما دون العكس </w:t>
      </w:r>
      <w:r>
        <w:rPr>
          <w:rStyle w:val="FootnoteAnchor"/>
          <w:rtl w:val="true"/>
        </w:rPr>
        <w:footnoteReference w:id="769"/>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الهبة والهدية أنّ الهبة تلزم الإيجاب والقبول اللفظيين، والهدية أعم منهما ومن الفعليين، أو أنّها تختص بالفعليّين دون القوليين، والفرق بين الهبة والصدقة هو اقتران الصدقة بالقربة دون الهبة وإن احتاج كلّ منهما إلى إيجاب وقبول لفظيين </w:t>
      </w:r>
      <w:r>
        <w:rPr>
          <w:rStyle w:val="FootnoteAnchor"/>
          <w:rtl w:val="true"/>
        </w:rPr>
        <w:footnoteReference w:id="770"/>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يظهر من كثيرٍ عدم افتقار الصدقة إلى العقد اللفظي وتفتقر إلى الفعلي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آخرين أن الهدية تفيد إباحة لا تمليكاً؛ للزوم الإيجاب والقبول اللفظيين في الهبة فيحصل بهما النقل، دون الهدية فإنّها لا تفيد نقلاً، فلا يحلّ بها الاستمتاع لو كانت الهدية جارية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لمنع حصول النقل والانتقال بالإيجاب والقبول الفعليين، ومنع عدم حصول الملك والتمليك فى الهدية؛ لجريان السيرة المعلومة والطريقة المعهودة على جريان حكم الأملاك على الهدايا ومعاملتها معاملة الملك، وقد ورد عن الأئمّة ما يقضي بذلك من أفعالهم وطريقتهم، ولم تزل الهدايا تهدى من بعيد وتجري عليها أحكام الأملاك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بعضهم نقل الاتفاق على افتقار الهبة إلى الإيجاب والقبول اللفظيين، وأن ما يقع من الأفعال لا يكون هبةً ولا عقداً مملكاً، بل يكون هديّة يجري عليه ما تقدّم من الأحكام </w:t>
      </w:r>
      <w:r>
        <w:rPr>
          <w:rStyle w:val="FootnoteAnchor"/>
          <w:rtl w:val="true"/>
        </w:rPr>
        <w:footnoteReference w:id="774"/>
      </w:r>
      <w:r>
        <w:rPr>
          <w:rFonts w:ascii="Amiri" w:hAnsi="Amiri" w:eastAsia="Amiri" w:cs="Amiri"/>
          <w:color w:val="111111"/>
          <w:sz w:val="28"/>
          <w:sz w:val="28"/>
          <w:szCs w:val="28"/>
          <w:rtl w:val="true"/>
          <w:lang w:bidi="ar-SA"/>
        </w:rPr>
        <w:t>، وفيه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أيضاً من بعضهم نقل الاتفاق على اشتراط الإيجاب والقبول في الصدقة فعليين أو قوليين، وأنها من العقود </w:t>
      </w:r>
      <w:r>
        <w:rPr>
          <w:rStyle w:val="FootnoteAnchor"/>
          <w:rtl w:val="true"/>
        </w:rPr>
        <w:footnoteReference w:id="775"/>
      </w:r>
      <w:r>
        <w:rPr>
          <w:rFonts w:ascii="Amiri" w:hAnsi="Amiri" w:eastAsia="Amiri" w:cs="Amiri"/>
          <w:color w:val="111111"/>
          <w:sz w:val="28"/>
          <w:sz w:val="28"/>
          <w:szCs w:val="28"/>
          <w:rtl w:val="true"/>
          <w:lang w:bidi="ar-SA"/>
        </w:rPr>
        <w:t>،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بعضهم لجماعة من الأصحاب أنّه يشترط في الصدقة ما يشترط في العقود اللازمة </w:t>
      </w:r>
      <w:r>
        <w:rPr>
          <w:rStyle w:val="FootnoteAnchor"/>
          <w:rtl w:val="true"/>
        </w:rPr>
        <w:footnoteReference w:id="776"/>
      </w:r>
      <w:r>
        <w:rPr>
          <w:rFonts w:ascii="IRNazanin" w:hAnsi="IRNazanin" w:eastAsia="IRNazanin"/>
          <w:color w:val="111111"/>
          <w:sz w:val="28"/>
          <w:sz w:val="28"/>
          <w:szCs w:val="28"/>
          <w:rtl w:val="true"/>
          <w:lang w:bidi="fa-IR"/>
        </w:rPr>
        <w:t>، 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الهبة من العقود الجائزة، فيكفي فيها كلّ ما يدلّ عليها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فيها الدفع والأخذ المقترنان بالقرائن الدالّة على الهبة، فيكونان بمنزلة المعاطاة في عقود المعاوضة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كفاية الأفعال غير الدفع والأخذ من الإشارة والكتابة إذا لم يقترنا بلفظ دال عليها وجهان</w:t>
      </w:r>
      <w:r>
        <w:rPr>
          <w:rFonts w:eastAsia="Amiri" w:cs="Amiri" w:ascii="Amiri" w:hAnsi="Amiri"/>
          <w:color w:val="111111"/>
          <w:sz w:val="28"/>
          <w:szCs w:val="28"/>
          <w:rtl w:val="true"/>
          <w:lang w:bidi="ar-SA"/>
        </w:rPr>
        <w:t xml:space="preserve">. </w:t>
      </w:r>
      <w:bookmarkStart w:id="628" w:name="pg19218_274174"/>
    </w:p>
    <w:p>
      <w:pPr>
        <w:pStyle w:val="BookText"/>
        <w:rPr/>
      </w:pPr>
      <w:bookmarkEnd w:id="628"/>
      <w:r>
        <w:rPr>
          <w:rFonts w:ascii="Amiri" w:hAnsi="Amiri" w:eastAsia="Amiri" w:cs="Amiri"/>
          <w:color w:val="111111"/>
          <w:sz w:val="28"/>
          <w:sz w:val="28"/>
          <w:szCs w:val="28"/>
          <w:rtl w:val="true"/>
          <w:lang w:bidi="ar-SA"/>
        </w:rPr>
        <w:t>والأظهر عدم الاكتفاء بهما وإن تعقبهما القبض المشترط في صحّة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الهدية قسم من الهبة تختص بنوع خاص منها، وهو النقل بدون صيغة على جهة التوقير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الصدقة بالمعنى الخاص ليست من العقود، بل هي من العبادات المالية كالزكاة يكفي فيها الأخذ والدفع، والإشارة والكتابة مع الإذن في القبض أو القبض، وربما يعينها العزل كما يعيّن الزكاة، وربما يدخل في ماهيتها نيّة دفع البلاء والسوء عن صاحبها</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3425215_1280447820"/>
      <w:bookmarkStart w:id="630" w:name="_Toc226"/>
      <w:bookmarkEnd w:id="629"/>
      <w:r>
        <w:rPr>
          <w:rtl w:val="true"/>
        </w:rPr>
        <w:t>وعلى أي تقدير فهنا مقامان</w:t>
      </w:r>
      <w:r>
        <w:rPr>
          <w:rtl w:val="true"/>
        </w:rPr>
        <w:t>:</w:t>
      </w:r>
      <w:bookmarkEnd w:id="630"/>
    </w:p>
    <w:p>
      <w:pPr>
        <w:pStyle w:val="Heading4"/>
        <w:numPr>
          <w:ilvl w:val="3"/>
          <w:numId w:val="1"/>
        </w:numPr>
        <w:rPr/>
      </w:pPr>
      <w:bookmarkStart w:id="631" w:name="__RefHeading___Toc13425217_1280447820"/>
      <w:bookmarkStart w:id="632" w:name="_Toc227"/>
      <w:bookmarkEnd w:id="631"/>
      <w:r>
        <w:rPr>
          <w:rtl w:val="true"/>
        </w:rPr>
        <w:t>المقام الأوّل</w:t>
      </w:r>
      <w:r>
        <w:rPr>
          <w:rtl w:val="true"/>
        </w:rPr>
        <w:t xml:space="preserve">: </w:t>
      </w:r>
      <w:r>
        <w:rPr>
          <w:rtl w:val="true"/>
        </w:rPr>
        <w:t>في الصدقة بالمعنى الخاص والعام وبيان ما يتعلّق بهما</w:t>
      </w:r>
      <w:bookmarkEnd w:id="632"/>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 بالمعنى الخاص</w:t>
      </w:r>
    </w:p>
    <w:p>
      <w:pPr>
        <w:pStyle w:val="BookText"/>
        <w:rPr/>
      </w:pPr>
      <w:r>
        <w:rPr>
          <w:rFonts w:ascii="Amiri" w:hAnsi="Amiri" w:eastAsia="Amiri" w:cs="Amiri"/>
          <w:color w:val="111111"/>
          <w:sz w:val="28"/>
          <w:sz w:val="28"/>
          <w:szCs w:val="28"/>
          <w:rtl w:val="true"/>
          <w:lang w:bidi="ar-SA"/>
        </w:rPr>
        <w:t>وهي تمليك عين بغير عوض على وجه القربة من دون إيجاب وقبول لفظيين دالين على النقل وإن اقترنا بإيجاب وقبول دالين على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انضمام قيد منويّاً بها دفع البلاء والسوء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والصدقة بالمعنى العام تشمل الوقف والسكنى والعمرى والحبس والصدقة بالمعنى الخاصّ تختص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اختصاص الصدقة بالعين، فلو نوى التصدق بما في الذمّة أو احتسابه صدقةً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الإبراء مع القربة فيكون بحكم الصدقة، مع احتمال جواز ذلك قياساً على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على الظاهر نيّة التصدّق عن نيّة الملك تفصيلاً وإن استلزمه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فيها نيّة القربة؛ لما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إلّا ما أُريد بها وجه اللّه تعالى</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خلت عن نيّة القربة عادت هدية أو تفيد إباحة للعين دون الملك، مع احتمال صيرورتها صدقةً فاسدة، فلا يستباح بها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الصدقة بالعين المشاعة، وبالكلّي إذا كان في عين شخصية فقبض المتصدق عليه الجميع في وجه قوي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صحة التصدق بالمنفعة وجهان، والأظهر العدم، كما ذكرناه في البيع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ويشترط في صحتها القبض من المتصدق عليه أو وكيله أو وليه، وبدونه لا تفيد لزوماً ولا صحّة للإجماع المنقول </w:t>
      </w:r>
      <w:r>
        <w:rPr>
          <w:rStyle w:val="FootnoteAnchor"/>
          <w:rtl w:val="true"/>
        </w:rPr>
        <w:footnoteReference w:id="779"/>
      </w:r>
      <w:r>
        <w:rPr>
          <w:rFonts w:ascii="Amiri" w:hAnsi="Amiri" w:eastAsia="Amiri" w:cs="Amiri"/>
          <w:color w:val="111111"/>
          <w:sz w:val="28"/>
          <w:sz w:val="28"/>
          <w:szCs w:val="28"/>
          <w:rtl w:val="true"/>
          <w:lang w:bidi="ar-SA"/>
        </w:rPr>
        <w:t xml:space="preserve">، ولعدم دليل على الصحّة سوى عمومات العقود </w:t>
      </w:r>
      <w:r>
        <w:rPr>
          <w:rStyle w:val="FootnoteAnchor"/>
          <w:rtl w:val="true"/>
        </w:rPr>
        <w:footnoteReference w:id="780"/>
      </w:r>
      <w:r>
        <w:rPr>
          <w:rFonts w:ascii="Amiri" w:hAnsi="Amiri" w:eastAsia="Amiri" w:cs="Amiri"/>
          <w:color w:val="111111"/>
          <w:sz w:val="28"/>
          <w:sz w:val="28"/>
          <w:szCs w:val="28"/>
          <w:rtl w:val="true"/>
          <w:lang w:bidi="ar-SA"/>
        </w:rPr>
        <w:t xml:space="preserve">، وهي كالمجملة، وإطلاقات الصدقة </w:t>
      </w:r>
      <w:r>
        <w:rPr>
          <w:rStyle w:val="FootnoteAnchor"/>
          <w:rtl w:val="true"/>
        </w:rPr>
        <w:footnoteReference w:id="781"/>
      </w:r>
      <w:r>
        <w:rPr>
          <w:rFonts w:ascii="Amiri" w:hAnsi="Amiri" w:eastAsia="Amiri" w:cs="Amiri"/>
          <w:color w:val="111111"/>
          <w:sz w:val="28"/>
          <w:sz w:val="28"/>
          <w:szCs w:val="28"/>
          <w:rtl w:val="true"/>
          <w:lang w:bidi="ar-SA"/>
        </w:rPr>
        <w:t xml:space="preserve">، وهي لا تنصرف لغير المقبوض كما قيل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وللأخبار الواردة في الصدقة الدالّة على ذلك كالخبر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يتصدق على ولد له قد أدركوا،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حتّى يموت فهو ميراث</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ونحوه غيره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القبض حصوله بإذن المالك؛ لحرمة الصادر بغير إذنه فلا أثر له، أو لعدم انصراف إطلاق القبض المشترط لغير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صحّة القبض الفضولي مع إجازة المالك ونيّة القربة حال الإجازة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صدقة إنسان بماله عن غيره، فتقع ثمرتها عن غيره، ويصل ثوابها إليه أيضاً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تصدق بماله عن غيره بنيّة الرجوع فأجاز المتصدق عنه، ففي جواز رجوع المتصدق على المتصدق عنه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تصدق بمال غيره عن صاحب المال فأجاز المتصدق عنه، احتسب ثوابها، وثمرتها له مع اقتران نيّة القربة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تصدق بمال غيره عن نفسه فأجاز صاحب المال على نحو ذلك، احتسبت الصدقة عن المتصدق، ولم يضمن المتصدق</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حصل القبض بإذن المالك مقروناً بنيّة القربة، لزمت الصدقة، ولم يجز الرجوع بها؛ للاستصحاب القاضي ببقاء ما كان على ما كان، وللإجماع المنقول </w:t>
      </w:r>
      <w:r>
        <w:rPr>
          <w:rStyle w:val="FootnoteAnchor"/>
          <w:rtl w:val="true"/>
        </w:rPr>
        <w:footnoteReference w:id="785"/>
      </w:r>
      <w:r>
        <w:rPr>
          <w:rFonts w:ascii="Amiri" w:hAnsi="Amiri" w:eastAsia="Amiri" w:cs="Amiri"/>
          <w:color w:val="111111"/>
          <w:sz w:val="28"/>
          <w:sz w:val="28"/>
          <w:szCs w:val="28"/>
          <w:rtl w:val="true"/>
          <w:lang w:bidi="ar-SA"/>
        </w:rPr>
        <w:t>المعتضد بفتوى الأكثر والأشهر؛ ولأن الأجر بمنزلة العوض، ولا يجوز الرجوع في الهبة المعوّض عنها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لمن أعطى اللّه شيئاً أن يرجع فيه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الذي يتصدق بالصدقة ثمّ يعود فيها مثل الذي يقيء ثمّ يعود في قيئه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وإن كان أعم من التحريم إلّا أن ما تقدّم من القرائن تخص أحد فردي القدر المشترك، أو تصرف الظاهر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في الصدقة بعد القبض كالهبة، ونقل على ذلك الإجماع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وفضل الصدقة عظيم، وثمرتها عظيمة، كما ورد في الأخبار أنّها تنفي ميتة السوء </w:t>
      </w:r>
      <w:r>
        <w:rPr>
          <w:rStyle w:val="FootnoteAnchor"/>
          <w:rtl w:val="true"/>
        </w:rPr>
        <w:footnoteReference w:id="789"/>
      </w:r>
      <w:r>
        <w:rPr>
          <w:rFonts w:ascii="Amiri" w:hAnsi="Amiri" w:eastAsia="Amiri" w:cs="Amiri"/>
          <w:color w:val="111111"/>
          <w:sz w:val="28"/>
          <w:sz w:val="28"/>
          <w:szCs w:val="28"/>
          <w:rtl w:val="true"/>
          <w:lang w:bidi="ar-SA"/>
        </w:rPr>
        <w:t xml:space="preserve">، والدبيلة </w:t>
      </w:r>
      <w:r>
        <w:rPr>
          <w:rStyle w:val="FootnoteAnchor"/>
          <w:rtl w:val="true"/>
        </w:rPr>
        <w:footnoteReference w:id="790"/>
      </w:r>
      <w:r>
        <w:rPr>
          <w:rFonts w:ascii="Amiri" w:hAnsi="Amiri" w:eastAsia="Amiri" w:cs="Amiri"/>
          <w:color w:val="111111"/>
          <w:sz w:val="28"/>
          <w:sz w:val="28"/>
          <w:szCs w:val="28"/>
          <w:rtl w:val="true"/>
          <w:lang w:bidi="ar-SA"/>
        </w:rPr>
        <w:t>والحرق والغرق والهدم والجنون إلى أن عد سبعين باباً من السوء</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وصدقة السر أفضل من صدقة الجهر؛ لما ورد من استحباب الإسرار في المندوبات وسيّما في الصدقة واستحباب الإعلان في الواجبات </w:t>
      </w:r>
      <w:r>
        <w:rPr>
          <w:rStyle w:val="FootnoteAnchor"/>
          <w:rtl w:val="true"/>
        </w:rPr>
        <w:footnoteReference w:id="792"/>
      </w:r>
      <w:r>
        <w:rPr>
          <w:rFonts w:ascii="Amiri" w:hAnsi="Amiri" w:eastAsia="Amiri" w:cs="Amiri"/>
          <w:color w:val="111111"/>
          <w:sz w:val="28"/>
          <w:sz w:val="28"/>
          <w:szCs w:val="28"/>
          <w:rtl w:val="true"/>
          <w:lang w:bidi="ar-SA"/>
        </w:rPr>
        <w:t>، وقال سبحانه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تُخْفُوهَا وَتُؤْتُوهَا الفُقَرَاءَ فَهُوَ خَيْرٌ لَكُمْ</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والزكاة محرّمة على بني هاشم إجماعاً، والنصوص بها مستفيضة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والمندوبة تحلّ لهم سواء كانت عامةً كالأوقاف وشبهها، أو خاصّة، كما يظهر من الأخبار </w:t>
      </w:r>
      <w:r>
        <w:rPr>
          <w:rStyle w:val="FootnoteAnchor"/>
          <w:rtl w:val="true"/>
        </w:rPr>
        <w:footnoteReference w:id="795"/>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تحريم الخاصّة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لرفعة محلّهم عنها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الصدقة المفروضة في الأصل غير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كالكفارات ففي تحريمها على بني هاشم؛ لما ورد من تحريم الصدقة عليهم على وجه الإطلاق، وما ورد من تحريم الصدقة الواجبة </w:t>
      </w:r>
      <w:bookmarkStart w:id="633" w:name="pg19218_274177"/>
    </w:p>
    <w:p>
      <w:pPr>
        <w:pStyle w:val="BookText"/>
        <w:rPr/>
      </w:pPr>
      <w:bookmarkEnd w:id="633"/>
      <w:r>
        <w:rPr>
          <w:rFonts w:ascii="Amiri" w:hAnsi="Amiri" w:eastAsia="Amiri" w:cs="Amiri"/>
          <w:color w:val="111111"/>
          <w:sz w:val="28"/>
          <w:sz w:val="28"/>
          <w:szCs w:val="28"/>
          <w:rtl w:val="true"/>
          <w:lang w:bidi="ar-SA"/>
        </w:rPr>
        <w:t xml:space="preserve">عليهم </w:t>
      </w:r>
      <w:r>
        <w:rPr>
          <w:rStyle w:val="FootnoteAnchor"/>
          <w:rtl w:val="true"/>
        </w:rPr>
        <w:footnoteReference w:id="796"/>
      </w:r>
      <w:r>
        <w:rPr>
          <w:rFonts w:ascii="Amiri" w:hAnsi="Amiri" w:eastAsia="Amiri" w:cs="Amiri"/>
          <w:color w:val="111111"/>
          <w:sz w:val="28"/>
          <w:sz w:val="28"/>
          <w:szCs w:val="28"/>
          <w:rtl w:val="true"/>
          <w:lang w:bidi="ar-SA"/>
        </w:rPr>
        <w:t>ولما يظهر من الأخبار من أن علة تحريم الصدقة كونها هي أوساخ أيدي الناس</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التعليل العموم، أو عدمه؛ لانصراف الواجبة إلى الزكاة فتنصرف إليها في الأخبار، ولظهور التعليل في الزكاة؛ لأنّها الأصل في ذلك، ولما ورد في الخبر عن الصدقة المحرمة عليهم ما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عن الصدقة التي حرمت على بني هاشم ما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قولان، والأخير أقوى،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وجب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كالصدقة المنذورة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وجبت على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كالصدقة بمجهول المالك عن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 دفعها لبني هاشم، والأحوط العدم، إلّا أنّ الاحتياط ها هنا أقل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فيجوز للهاشميين عند الاضطرار تناول جميع الصدقات الواجبة حتّى الزكاة، وكذا يجوز تناول هاشمي من هاشمي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صحّة الصدقة على الكافر مطلقاً؛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حتّى أجر</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فإذا قصد المتصدق ذلك جاز، ولو قصد المودة إليهم والركون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الجواز لو كان الكافر ذمّيّاً، ويتأكد لو كان رحماً، ويتزايد لو كان أباً أو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أن يرث المتصدّق مال الصدقة من غير إشكال ؛ للأخبار </w:t>
      </w:r>
      <w:r>
        <w:rPr>
          <w:rStyle w:val="FootnoteAnchor"/>
          <w:rtl w:val="true"/>
        </w:rPr>
        <w:footnoteReference w:id="800"/>
      </w:r>
      <w:r>
        <w:rPr>
          <w:rFonts w:ascii="Amiri" w:hAnsi="Amiri" w:eastAsia="Amiri" w:cs="Amiri"/>
          <w:color w:val="111111"/>
          <w:sz w:val="28"/>
          <w:sz w:val="28"/>
          <w:szCs w:val="28"/>
          <w:rtl w:val="true"/>
          <w:lang w:bidi="ar-SA"/>
        </w:rPr>
        <w:t>وفتوى الأصحاب والأكثر بل قد يدّعى الإجماع على جواز شرائه واتّهابه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بعض الأخبار </w:t>
      </w:r>
      <w:r>
        <w:rPr>
          <w:rStyle w:val="FootnoteAnchor"/>
          <w:rtl w:val="true"/>
        </w:rPr>
        <w:footnoteReference w:id="801"/>
      </w:r>
      <w:r>
        <w:rPr>
          <w:rFonts w:ascii="IRNazanin" w:hAnsi="IRNazanin" w:eastAsia="IRNazanin"/>
          <w:color w:val="111111"/>
          <w:sz w:val="28"/>
          <w:sz w:val="28"/>
          <w:szCs w:val="28"/>
          <w:rtl w:val="true"/>
          <w:lang w:bidi="fa-IR"/>
        </w:rPr>
        <w:t xml:space="preserve">وأفتى به بعض الأصحاب </w:t>
      </w:r>
      <w:r>
        <w:rPr>
          <w:rStyle w:val="FootnoteAnchor"/>
          <w:rtl w:val="true"/>
        </w:rPr>
        <w:footnoteReference w:id="802"/>
      </w:r>
      <w:r>
        <w:rPr>
          <w:rFonts w:ascii="Amiri" w:hAnsi="Amiri" w:eastAsia="Amiri" w:cs="Amiri"/>
          <w:color w:val="111111"/>
          <w:sz w:val="28"/>
          <w:sz w:val="28"/>
          <w:szCs w:val="28"/>
          <w:rtl w:val="true"/>
          <w:lang w:bidi="ar-SA"/>
        </w:rPr>
        <w:t>من منع ذلك محمول على الكراهة</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3425219_1280447820"/>
      <w:bookmarkStart w:id="635" w:name="_Toc228"/>
      <w:bookmarkEnd w:id="634"/>
      <w:r>
        <w:rPr>
          <w:rtl w:val="true"/>
        </w:rPr>
        <w:t>المقام الثاني</w:t>
      </w:r>
      <w:r>
        <w:rPr>
          <w:rtl w:val="true"/>
        </w:rPr>
        <w:t xml:space="preserve">: </w:t>
      </w:r>
      <w:r>
        <w:rPr>
          <w:rtl w:val="true"/>
        </w:rPr>
        <w:t>في الهبة</w:t>
      </w:r>
      <w:bookmarkEnd w:id="635"/>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الهبة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تمليك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منفعة ولا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التبرع بصيغة، أو أخذ ودفع مع دلالة القرائن </w:t>
      </w:r>
    </w:p>
    <w:p>
      <w:pPr>
        <w:pStyle w:val="BookText"/>
        <w:rPr/>
      </w:pPr>
      <w:r>
        <w:rPr>
          <w:rFonts w:ascii="Amiri" w:hAnsi="Amiri" w:eastAsia="Amiri" w:cs="Amiri"/>
          <w:color w:val="111111"/>
          <w:sz w:val="28"/>
          <w:sz w:val="28"/>
          <w:szCs w:val="28"/>
          <w:rtl w:val="true"/>
          <w:lang w:bidi="ar-SA"/>
        </w:rPr>
        <w:t>على إرادتها، مقرونة بالقربة أم لا، أو على وجه المعاوضة من دون قصد النقل بها كما يقصد في البيع والصلح، فيكون قصد المعاوضة في الهبة ثانياً وبالعرض لا أوّلاً وبالذات، وقد تُطلق الهبة على العقد 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بينها وبين الصدقة باشتراط نيّة القربة وعدمها، فتكون الصدقة أخصّ منها؛ بناءً على اشتراط العقد في الصدقة قولاً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بينهما بعدم احتياج الصدقة إلى العقد القولي أو الفعلي، واحتياج الهبة إلى ذلك، فيكون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بينهما بدخول عدم العقد في مفهوم الصدقة بخلاف الهبة، فيكون بينهما 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بينها وبين الهدية باشتراط نقل الهدية إلى المهدى إليه على وجه الإكرام، فتكون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بينهما باشتراط الصيغة اللفظية في الهبة دون الهدية فتكون أعم، وقد تقيّد الهدية بالنقل على جهة التعظيم مع ذلك، فيكون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بينهما بدخول عدم العقد في الهدية، فيكون بينهما 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بينهما بدخول العقد الفعلي دون اللفظي مع قيد التعظيم في الهدية دون الهبة؛ فإنّها أعم من اللفظي أو الفعلي، فيكون بينهما 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بينهما باختصاص الهبة بالعقد اللفظي، واختصاص الهدية بالفعلي، فيكون بينهما تباين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فالهبة من العقود الجائزة يكفي فيها كلّ لفظ دال في الإيجاب،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القبول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يتفاوت في ذلك بين الاسمية والفعلية، وبين العربية وغيرها، وبين الموالاة في الإيجاب والقبول والفصل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فيها الدفع والأخذ مع القرينة الدالّة على ذلك، ولا تكفي الإشارة والكتابة ولو وقع بعدهما القبض، ولو وقع ذلك لم تكن هبةً، وقد تنصرف للهدية في وجه، إلّا أن الظاهر أنّها لا تنصرف إلى الهدية بحيث يملك القابض ما قبضه إلّا أن تكون بعنوان التعظيم والتوقير </w:t>
      </w:r>
      <w:bookmarkStart w:id="636" w:name="pg19218_274179"/>
    </w:p>
    <w:p>
      <w:pPr>
        <w:pStyle w:val="BookText"/>
        <w:rPr/>
      </w:pPr>
      <w:bookmarkEnd w:id="636"/>
      <w:r>
        <w:rPr>
          <w:rFonts w:ascii="Amiri" w:hAnsi="Amiri" w:eastAsia="Amiri" w:cs="Amiri"/>
          <w:color w:val="111111"/>
          <w:sz w:val="28"/>
          <w:sz w:val="28"/>
          <w:szCs w:val="28"/>
          <w:rtl w:val="true"/>
          <w:lang w:bidi="ar-SA"/>
        </w:rPr>
        <w:t>فيملكها حينئذٍ ؛ لحصول الملك في الهدية بدون العقد قولياً أو فعلياً، كما تقضي به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الاقتصار في الهدية على الدفع والأخذ الفعليين دون غيرهما من الأفعال</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3425221_1280447820"/>
      <w:bookmarkStart w:id="638" w:name="_Toc229"/>
      <w:bookmarkEnd w:id="637"/>
      <w:r>
        <w:rPr>
          <w:rtl w:val="true"/>
        </w:rPr>
        <w:t>وهنا أُمور</w:t>
      </w:r>
      <w:r>
        <w:rPr>
          <w:rtl w:val="true"/>
        </w:rPr>
        <w:t>:</w:t>
      </w:r>
      <w:bookmarkEnd w:id="638"/>
    </w:p>
    <w:p>
      <w:pPr>
        <w:pStyle w:val="Heading5"/>
        <w:numPr>
          <w:ilvl w:val="4"/>
          <w:numId w:val="1"/>
        </w:numPr>
        <w:rPr/>
      </w:pPr>
      <w:bookmarkStart w:id="639" w:name="__RefHeading___Toc13425223_1280447820"/>
      <w:bookmarkStart w:id="640" w:name="_Toc230"/>
      <w:bookmarkEnd w:id="639"/>
      <w:r>
        <w:rPr>
          <w:rtl w:val="true"/>
        </w:rPr>
        <w:t>أحدها</w:t>
      </w:r>
      <w:r>
        <w:rPr>
          <w:rtl w:val="true"/>
        </w:rPr>
        <w:t xml:space="preserve">: </w:t>
      </w:r>
      <w:r>
        <w:rPr>
          <w:rtl w:val="true"/>
        </w:rPr>
        <w:t>عدم صحّة هبة المنفعة ولا الحق ولا الكلّي إذا لم يتشخّص بفردٍ</w:t>
      </w:r>
      <w:bookmarkEnd w:id="64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هبة المنفعة ولا الحق، ولا الكلّي إذا لم يتشخّص بفرد، إلّا إذا كان في عين محصورة كصاع من صُبرة، ففي صحّة هبته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هبة الدين لمن هو عليه، فتكون إبراء بصيغة الهبة؛ لعدم اشتراط صيغة خاصّة في الإبراء؛ لأنّه إسقاط لما في الذمّة أو إعراض عنه، فيسقط بما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قصد الإسقاط في لفظ الهبة، فلو قصد بها التمليك، كما يقصد بالهبة فالذي تقضي به القواعد البطلان؛ لوقوع العقد على ما لا يصحّ وقوعه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الأصحاب حصول الإبراء به مطلقاً، وكذا ظاهر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على الرجل الدراهم فيهبها له، أله أن يرجع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عن رجل كانت عليه دراهم لإنسان فوهبها له ثمّ رجع فيها ثمّ وهبها له ثمّ رجع فيها ثمّ وهبها له ثمّ هلك؟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للذي وهب له</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أن استعمال الهبة ها هنا بمعنى الإبراء إنما كان في الإخبار عنه لا في إنشائه بعيد مخالف للظاهر، كاحتمال أنّ الموهوب ليس نفس ما في الذمّة، بل هو بعد إقراره وتعيينه؛ لبعده عن الظاهر، ولمنع الرجوع فيها بعد الهبة في الخبر، وهو قرينة على أنّه إبراء، فاتباعهم والأخذ بإطلاقهم أجود، ولا ينافي ذلك اشتراط القبض؛ لأنّ ما في الذمّة بمنزلة المقبوض</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يشترط القبول في هبة الدين لمن هو عليه؛ بناءً على اشتراط القبول في الإبراء، للشكّ في حصول الانتقال بدونه والأصل بقاء الدين على ما كان، ولأن ما شكّ في كونه عقداً أو إيقاعاً فالأصل كونه عقداً، ولأنّ الإبراء لا يخلو من منّة فلا يتحمّلها مَنْ عليه الدَّيْن قهراً، أو لا يشترط؛ لإطلاق الفتوى والآيات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 xml:space="preserve">وظاهر العفو </w:t>
      </w:r>
      <w:bookmarkStart w:id="641" w:name="pg19218_274180"/>
    </w:p>
    <w:p>
      <w:pPr>
        <w:pStyle w:val="BookText"/>
        <w:rPr/>
      </w:pPr>
      <w:bookmarkEnd w:id="641"/>
      <w:r>
        <w:rPr>
          <w:rFonts w:ascii="Amiri" w:hAnsi="Amiri" w:eastAsia="Amiri" w:cs="Amiri"/>
          <w:color w:val="111111"/>
          <w:sz w:val="28"/>
          <w:sz w:val="28"/>
          <w:szCs w:val="28"/>
          <w:rtl w:val="true"/>
          <w:lang w:bidi="ar-SA"/>
        </w:rPr>
        <w:t>الإسقاط من دون افتقاره إلى قبول،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تَصَدَّقُوا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ولأنّ الإبراء إسقاط وإعراض لا نقل وانتقال، فلا يفتقر إلى إيجاب وقبول، فلا موجب للشكّ في كونه عقداً أو إيقاعاً، ولمنع حصول المنة في الإبراء؛ لأن المنّة إنما تكون فيما يستدعي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وسؤالاً وأخذاً وقبضاً ونقلاً وانتقالاً، لا فيما كان إسقاطاً أو إعراضاً، وكان حكمه حكم التحرير للعبد وإسقاط حقّ لإنسان على غيره؟ والأخير أقوى،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تصحّ هبة الدين لغير مَنْ هو عليه؛ لعموم أدلّة العقود </w:t>
      </w:r>
      <w:r>
        <w:rPr>
          <w:rStyle w:val="FootnoteAnchor"/>
          <w:rtl w:val="true"/>
        </w:rPr>
        <w:footnoteReference w:id="807"/>
      </w:r>
      <w:r>
        <w:rPr>
          <w:rFonts w:ascii="Amiri" w:hAnsi="Amiri" w:eastAsia="Amiri" w:cs="Amiri"/>
          <w:color w:val="111111"/>
          <w:sz w:val="28"/>
          <w:sz w:val="28"/>
          <w:szCs w:val="28"/>
          <w:rtl w:val="true"/>
          <w:lang w:bidi="ar-SA"/>
        </w:rPr>
        <w:t xml:space="preserve">، ولإطلاقات أدلة الهبة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المعتبر في رجل كان له على رجل مال فوهبه لولده </w:t>
      </w:r>
      <w:r>
        <w:rPr>
          <w:rStyle w:val="FootnoteAnchor"/>
          <w:rtl w:val="true"/>
        </w:rPr>
        <w:footnoteReference w:id="809"/>
      </w:r>
      <w:r>
        <w:rPr>
          <w:rFonts w:ascii="Amiri" w:hAnsi="Amiri" w:eastAsia="Amiri" w:cs="Amiri"/>
          <w:color w:val="111111"/>
          <w:sz w:val="28"/>
          <w:sz w:val="28"/>
          <w:szCs w:val="28"/>
          <w:rtl w:val="true"/>
          <w:lang w:bidi="ar-SA"/>
        </w:rPr>
        <w:t>إشارة إليه أيضاً، ولعدم منافاة هبة الدين لغير مَنْ هو عليه لاشتراط القبض في صحّة الهبة، لإمكان قبض الدين بقبض فرده الخارجي بناءً على أنّ الفرد عينه، أو هو بمنزلته شرعاً وعرفاً، كما يصحّ بيع الدين ويكون قبضه بقبض فرده، أو لا تصحّ للشكّ في صحّة الاستدلال بالعمومات للفرد المشكوك؛ بناءً على أنّها كالمجمل، أو أنّ التعريف فيها للعموم، وكذا الاستدلال بإطلاقات الهبة؛ لانصرافها إلى المعهود من الهبة والمتعارف فيها وهو الأعيان، ولضعف دلالة الرواية على الجواز، ولأنّ الظاهر من اشتراط القبض هو كون نفس الموهوب ممّا يمكن قبضه كي يتحقق القبض فيه بعد العقد، والفرد هنا ليس عين الكلي، وقيامه مقامه في البيع وشبهه إنما كان للدليل من إجماع أو غيره؟ والأوّل قوي، إلّا أن الأخير أقوى</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3425225_1280447820"/>
      <w:bookmarkStart w:id="643" w:name="_Toc231"/>
      <w:bookmarkEnd w:id="642"/>
      <w:r>
        <w:rPr>
          <w:rtl w:val="true"/>
        </w:rPr>
        <w:t>ثانيها</w:t>
      </w:r>
      <w:r>
        <w:rPr>
          <w:rtl w:val="true"/>
        </w:rPr>
        <w:t xml:space="preserve">: </w:t>
      </w:r>
      <w:r>
        <w:rPr>
          <w:rtl w:val="true"/>
        </w:rPr>
        <w:t>هل القبض شرط في صحّة الهبة أو لزومها؟</w:t>
      </w:r>
      <w:bookmarkEnd w:id="64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اشتراط القبض فى صحّة الهبة؛ وفاقاً للمشهور شهرة محصلة ومحكيّةً </w:t>
      </w:r>
      <w:r>
        <w:rPr>
          <w:rStyle w:val="FootnoteAnchor"/>
          <w:rtl w:val="true"/>
        </w:rPr>
        <w:footnoteReference w:id="810"/>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811"/>
      </w:r>
      <w:r>
        <w:rPr>
          <w:rFonts w:ascii="Amiri" w:hAnsi="Amiri" w:eastAsia="Amiri" w:cs="Amiri"/>
          <w:color w:val="111111"/>
          <w:sz w:val="28"/>
          <w:sz w:val="28"/>
          <w:szCs w:val="28"/>
          <w:rtl w:val="true"/>
          <w:lang w:bidi="ar-SA"/>
        </w:rPr>
        <w:t xml:space="preserve">على لابدية القبض واشتراطه الظاهر في شرطية الصحّة، وعلى اشتراطه في الصحّة كما نقل عن ظاهر جماعة من أصحابنا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وللمعتبرة منها الموثّق والمرسل القريب إليه بفضالة وأبان في النحل والهبة ما لم تقبض حتّى يموت صاحبها،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بمنزلة الميراث، وإن كانت لصبي في حجره وأشهد فهو جائز</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لا تكون هبة أبداً حتّى يقبضها صاحبها</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شرط القبض ناقل كما هي القاعدة في الشروط، لا كاشف، كما قد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يدعى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بدخول القبض في ماهيتها عرفاً، فلا تكون الهبة هبة إلّا 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القبض شرط في اللزوم لا في الصحّة </w:t>
      </w:r>
      <w:r>
        <w:rPr>
          <w:rStyle w:val="FootnoteAnchor"/>
          <w:rtl w:val="true"/>
        </w:rPr>
        <w:footnoteReference w:id="815"/>
      </w:r>
      <w:r>
        <w:rPr>
          <w:rFonts w:ascii="Amiri" w:hAnsi="Amiri" w:eastAsia="Amiri" w:cs="Amiri"/>
          <w:color w:val="111111"/>
          <w:sz w:val="28"/>
          <w:sz w:val="28"/>
          <w:szCs w:val="28"/>
          <w:rtl w:val="true"/>
          <w:lang w:bidi="ar-SA"/>
        </w:rPr>
        <w:t>لاقتضاء عمومات أدلة العقود وإطلاقات أدلّة الهبة صحّة العقد من دون توقف على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وللمعتبرة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جائزة قبضت أو لم تقبض قسمت أو لم تقسم والنحل لا يجوز حتّى يقبض، وإنما أراد الناس ذلك فأخطؤوه</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على تصحيح رواياته وروايات الراوي عنه فيها،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تصدق الرجل بصدقة أو هبة، قبضها صاحبها أو لم يقبض، علمت أو لم تعلم، فهي جائزة</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نظر؛ لإجمال العمومات أو لكون التعريف فيها للعهد فينصرف للمعهود، وهو ما تعقبه القبض، ولانصراف إطلاقات الهبة إلى العقد الواقع بعده القبض؛ لأنّ المعروف من الهبة ما وقع القبض فيها، فالمجرّدة عنه لا ينصرف إليها الإطلاق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ولضعف الأخبار عن مقاومة ما تقدّم من الأخبار المعتضدة بفتوى الأصحاب والاحتياطات والإجماعات المنقولة، لحصول الإجمال فيها بحسب الدلالة من حيثية تردّد المقصود فيها بين إرادة جواز هبة ما لم يقبضه الواهب بقرينة جواز هبة ما لم يقسم، وبين جواز هبة ما لم يقبضه المتهب، ومع قيام الاحتمال يبطل الاستدلال</w:t>
      </w:r>
      <w:r>
        <w:rPr>
          <w:rFonts w:eastAsia="Amiri" w:cs="Amiri" w:ascii="Amiri" w:hAnsi="Amiri"/>
          <w:color w:val="111111"/>
          <w:sz w:val="28"/>
          <w:szCs w:val="28"/>
          <w:rtl w:val="true"/>
          <w:lang w:bidi="ar-SA"/>
        </w:rPr>
        <w:t xml:space="preserve">. </w:t>
      </w:r>
      <w:bookmarkStart w:id="644" w:name="pg19218_274182"/>
    </w:p>
    <w:p>
      <w:pPr>
        <w:pStyle w:val="BookText"/>
        <w:rPr/>
      </w:pPr>
      <w:bookmarkEnd w:id="644"/>
      <w:r>
        <w:rPr>
          <w:rFonts w:ascii="Amiri" w:hAnsi="Amiri" w:eastAsia="Amiri" w:cs="Amiri"/>
          <w:color w:val="111111"/>
          <w:sz w:val="28"/>
          <w:sz w:val="28"/>
          <w:szCs w:val="28"/>
          <w:rtl w:val="true"/>
          <w:lang w:bidi="ar-SA"/>
        </w:rPr>
        <w:t>ولاحتمال ورودها مورد التقيّة؛ بناءً على أنّ المراد من الجواز اللزوم، كما يعبّر عنه في كثير من الأخبار في هذا الباب،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الهبة لذي القرابة والذي يثاب من هبته، ويرجع في غير ذلك إن شاء</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و نحوه غيره </w:t>
      </w:r>
      <w:r>
        <w:rPr>
          <w:rStyle w:val="FootnoteAnchor"/>
          <w:rtl w:val="true"/>
        </w:rPr>
        <w:footnoteReference w:id="819"/>
      </w:r>
      <w:r>
        <w:rPr>
          <w:rFonts w:ascii="Amiri" w:hAnsi="Amiri" w:eastAsia="Amiri" w:cs="Amiri"/>
          <w:color w:val="111111"/>
          <w:sz w:val="28"/>
          <w:sz w:val="28"/>
          <w:szCs w:val="28"/>
          <w:rtl w:val="true"/>
          <w:lang w:bidi="ar-SA"/>
        </w:rPr>
        <w:t xml:space="preserve">، واللزوم من دون القبض لا يقول به أحد من أصحابنا، فلتحمل على التقيّة؛ على أنّ اشتراط القبض في اللزوم دون الصحّة ينافي ما عليه أصحابنا من جواز الرجوع في الهبة ولو بعد القبض إلّا في مواضع خاصّة، وتنزيل ذلك الإطلاق على تلك المواضع الخاصّة بعيد جداً، فما حمل كلام الأصحاب في الدروس من اشتراط القبض في اللزوم على إرادة اشتراطه في الصحّة </w:t>
      </w:r>
      <w:r>
        <w:rPr>
          <w:rStyle w:val="FootnoteAnchor"/>
          <w:rtl w:val="true"/>
        </w:rPr>
        <w:footnoteReference w:id="820"/>
      </w:r>
      <w:r>
        <w:rPr>
          <w:rFonts w:ascii="Amiri" w:hAnsi="Amiri" w:eastAsia="Amiri" w:cs="Amiri"/>
          <w:color w:val="111111"/>
          <w:sz w:val="28"/>
          <w:sz w:val="28"/>
          <w:szCs w:val="28"/>
          <w:rtl w:val="true"/>
          <w:lang w:bidi="ar-SA"/>
        </w:rPr>
        <w:t>جيد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 القولين في النماء المتخلّل بين العقد والقبض، فإنّه للواهب على المختار، وللمتهب على القول الثاني، وكذا لو مات الواهب قبل القبض فإنّها تبطل الهبة على المختار، وعلى الثاني تصح، ويتخير الوارث بين الإقباض وعدمه، وكذا في فطرة المملوك، وفي نفقة العبد والحيوان،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ينزل إتلاف المتهب منزلة القبض؟ وجهان، والأقوى عدمه</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13425227_1280447820"/>
      <w:bookmarkStart w:id="646" w:name="_Toc232"/>
      <w:bookmarkEnd w:id="645"/>
      <w:r>
        <w:rPr>
          <w:rtl w:val="true"/>
        </w:rPr>
        <w:t>ثالثها</w:t>
      </w:r>
      <w:r>
        <w:rPr>
          <w:rtl w:val="true"/>
        </w:rPr>
        <w:t xml:space="preserve">: </w:t>
      </w:r>
      <w:r>
        <w:rPr>
          <w:rtl w:val="true"/>
        </w:rPr>
        <w:t>لزوم إذن الواهب في القبض</w:t>
      </w:r>
      <w:bookmarkEnd w:id="646"/>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اشتراط القبض صحّة أو لزوماً لا بدّ فيه من إذن الواهب، فلا اعتبار بغير المأذون به؛ للنهي عنه وعدم انصراف القبض المشترط إليه، ونقل على اشتراط الإذن في صحّة القبض وترتب الأثر عليه الإجماع أيضاً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 لم يكن مقبوضاً بيد المتهب أصلاً، أو كان مقبوضاً غصباً ولم يعلم بغصبه الواهب، إمّا لو كان مقبوضاً بإذن الواهب فإن قبضه لأن يهبه بعد القبض فلا إشكال وإن كان قبضه بعارية أو رهن أو وديعة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لو كان القبض لغير الهبة فهل يحتاج إلى إذنٍ جديدة في القبض، ويحتاج إلى قبض متجدد من المتهب بنيّة أنّه للهبة، أو إلى مضي زمانٍ يسع القبض فيما لم يكن حاضراً بحيث يتمكن المتهب من قبضه، أو لا يحتاج إلى شيءٍ من ذلك أصلاً، أو يحتاج إلى الإذن </w:t>
      </w:r>
    </w:p>
    <w:p>
      <w:pPr>
        <w:pStyle w:val="BookText"/>
        <w:rPr/>
      </w:pPr>
      <w:r>
        <w:rPr>
          <w:rFonts w:ascii="Amiri" w:hAnsi="Amiri" w:eastAsia="Amiri" w:cs="Amiri"/>
          <w:color w:val="111111"/>
          <w:sz w:val="28"/>
          <w:sz w:val="28"/>
          <w:szCs w:val="28"/>
          <w:rtl w:val="true"/>
          <w:lang w:bidi="ar-SA"/>
        </w:rPr>
        <w:t>إذا لم يعلم الواهب بقبض المتهب له حين الهبة ولا يحتاج إلى الإذن إذا علم به؛ لتنزيل العلم منزلة الإذن، أو يحتاج مطلقاً فيما إذا كان مغصوباً علم به الواهب أم لا، دون غيره؟ وجوه، أقواها الافتقار إلى الإذن مطلقاً، إلّا إذا كان العلم به وبهبته بعد العلم بأنّه عنده، وعدم طلبه منه قرينة على الإذن به؛ ووجهه حصول الشكّ في اعتبار القبض المستدام المجرد عن الإذن بعد الحكم بشرطيّة القبض؛ لأنّ الشكّ في الشرط شك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w:t>
      </w:r>
      <w:r>
        <w:rPr>
          <w:rStyle w:val="FootnoteAnchor"/>
          <w:rtl w:val="true"/>
        </w:rPr>
        <w:footnoteReference w:id="822"/>
      </w:r>
      <w:r>
        <w:rPr>
          <w:rFonts w:ascii="Amiri" w:hAnsi="Amiri" w:eastAsia="Amiri" w:cs="Amiri"/>
          <w:color w:val="111111"/>
          <w:sz w:val="28"/>
          <w:sz w:val="28"/>
          <w:szCs w:val="28"/>
          <w:rtl w:val="true"/>
          <w:lang w:bidi="ar-SA"/>
        </w:rPr>
        <w:t>للمتأخرين كفاية القبض المستدام ولو من دون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إن لم يكن ذلك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اشتراط الإذن فهل يكفي الإذن في حصول القبض المعتبر مطلقاً، أو يشترط التصريح بكونه للهبة، أو يشترط أن لا يصرّح بكونه لغيرها؟ وجوه، والوجه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فهل يشترط تجديد القبض للمتهب بنيّة أنّه للهبة، أو لا يشترط مطلقاً، أو يشترط التجديد وإن لم ينو أنّه للهبة، أو يشترط التجديد ما لم ينو الخلاف؟ وجوه، أوجهها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القبض مطلقاً أيضاً، سواء نوى القابض أنّه للهبة أم لا، وسواء نوى الآذن أنّه للهبة أم لا، ولكن ينبغي تقييده بما إذا لم يَنْوِ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الأخبار المتقدّمة فيما لو وهب الطفل الأب أو الجد ما هو مقبوض بأيديهما لزم، من غير تقييد بنيّة قبضه جديداً عن الهبة، ونُسب للمشهور أيضاً كفاية ذلك أيضاً </w:t>
      </w:r>
      <w:r>
        <w:rPr>
          <w:rStyle w:val="FootnoteAnchor"/>
          <w:rtl w:val="true"/>
        </w:rPr>
        <w:footnoteReference w:id="823"/>
      </w:r>
      <w:r>
        <w:rPr>
          <w:rFonts w:ascii="Amiri" w:hAnsi="Amiri" w:eastAsia="Amiri" w:cs="Amiri"/>
          <w:color w:val="111111"/>
          <w:sz w:val="28"/>
          <w:sz w:val="28"/>
          <w:szCs w:val="28"/>
          <w:rtl w:val="true"/>
          <w:lang w:bidi="ar-SA"/>
        </w:rPr>
        <w:t xml:space="preserve">، وقد مرّ في القبض المشروط في الوقف </w:t>
      </w:r>
      <w:r>
        <w:rPr>
          <w:rStyle w:val="FootnoteAnchor"/>
          <w:rtl w:val="true"/>
        </w:rPr>
        <w:footnoteReference w:id="824"/>
      </w:r>
      <w:r>
        <w:rPr>
          <w:rFonts w:ascii="Amiri" w:hAnsi="Amiri" w:eastAsia="Amiri" w:cs="Amiri"/>
          <w:color w:val="111111"/>
          <w:sz w:val="28"/>
          <w:sz w:val="28"/>
          <w:szCs w:val="28"/>
          <w:rtl w:val="true"/>
          <w:lang w:bidi="ar-SA"/>
        </w:rPr>
        <w:t>ما يشعر بذلك أيضاً، وحينئذٍ فالقول به والاقتصار عليه في خصوص الأب والجدّ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إلحاق الوصي بهما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لصبي في حجره وأشهد فهو جائز</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واشترط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نيّة القبض على الولي فيما وهبه لمولاه وإن كان مقبوضاً له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على موجب القواعد حسن، إلّا أن إطلاق الأخبار وكلام الأصحاب ينافيه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وهب الطفل غيرُ الوليّ، فإن كان المال بيد الوليّ فاشتراط تجديد الإذن في القبض وتجديد نيّة القبض عن الهبة هو الأقوى، والكلام فيه كالكلام المتقدّم بل هو أقوى في الاشتراط، وإن كان بيد غيره، اشترط قبض الولي الإجباري أو الوصي، أو الحاكم مع المصلحة له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 الولي للطفل ما هو ملكه إلّا أنّه ليس تحت يده، كمال ورثه أو اشتراه ولم يقبضه، افتقر إلى قبضه عنه في صحّة الهبة، ولو كان المال وديعةً أو عارية عند غيره بعد أن كان مقبوضاً له، ففي لزوم تجديد القبض له وجهان، والأظهر لزوم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المال بيد الطفل فوهبه له، فإن كانت يد الطفل تحت يده جاء فيه الكلام السابق، ولو لم تكن افتقر إلى تجديد القبض من الولي، ولا اعتبار لقبض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والقبض ها هنا كالقبض في البيع، فتكفي التخلية في غير المنقول، ويفتقر في المنقول إلى نقله، وفي المكيل والموزون إلى كيله ووزنه، وفي المقبوض باليد إلى 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ها هنا احتمال كفاية التخلية مطلقاً، كما يقوى ذلك في قبض الوقف والصدقة؛ لأنّه هو المتيقن من اشتراط القبض ومن صدقه على الفرد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هبة المشاع كهبة المقسوم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المشاع بقبض جميعه إن كان لمالك واحد، وإن كان لمالكين فيجوز هبته أيضاً؛ للإجماع المنقول </w:t>
      </w:r>
      <w:r>
        <w:rPr>
          <w:rStyle w:val="FootnoteAnchor"/>
          <w:rtl w:val="true"/>
        </w:rPr>
        <w:footnoteReference w:id="827"/>
      </w:r>
      <w:r>
        <w:rPr>
          <w:rFonts w:ascii="Amiri" w:hAnsi="Amiri" w:eastAsia="Amiri" w:cs="Amiri"/>
          <w:color w:val="111111"/>
          <w:sz w:val="28"/>
          <w:sz w:val="28"/>
          <w:szCs w:val="28"/>
          <w:rtl w:val="true"/>
          <w:lang w:bidi="ar-SA"/>
        </w:rPr>
        <w:t xml:space="preserve">بل المحصل، ولإطلاقات الأدلّة ولخصوص الأخبار الدالّة على جواز الهبة قسمت أو لم تقسّم </w:t>
      </w:r>
      <w:r>
        <w:rPr>
          <w:rStyle w:val="FootnoteAnchor"/>
          <w:rtl w:val="true"/>
        </w:rPr>
        <w:footnoteReference w:id="828"/>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لم تقسّم فتصدق بعض أهل الدار بنصيبه من الدار؟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كانت هبة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وقبضه بقبض الجميع إن أذن الشريك، وإن لم يأذن فالظاهر الاكتفاء به أيضاً وإن تعلّق النهي به؛ لعدم اقتضاء النهي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فيما يكفي فيه التخلية التخلية مطلقاً ولو لم يأذن الشريك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بها مطلقاً؛ لعدم حصول كمال السلطنة من دون إذنه </w:t>
      </w:r>
      <w:r>
        <w:rPr>
          <w:rStyle w:val="FootnoteAnchor"/>
          <w:rtl w:val="true"/>
        </w:rPr>
        <w:footnoteReference w:id="830"/>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 xml:space="preserve">. </w:t>
      </w:r>
      <w:bookmarkStart w:id="647" w:name="pg19218_274185"/>
    </w:p>
    <w:p>
      <w:pPr>
        <w:pStyle w:val="BookText"/>
        <w:rPr/>
      </w:pPr>
      <w:bookmarkEnd w:id="647"/>
      <w:r>
        <w:rPr>
          <w:rFonts w:ascii="Amiri" w:hAnsi="Amiri" w:eastAsia="Amiri" w:cs="Amiri"/>
          <w:color w:val="111111"/>
          <w:sz w:val="28"/>
          <w:sz w:val="28"/>
          <w:szCs w:val="28"/>
          <w:rtl w:val="true"/>
          <w:lang w:bidi="ar-SA"/>
        </w:rPr>
        <w:t>ولا يجوز للمتهب الانفراد بقبض المشترك من دون إذن الشريك، ولا للواهب الإقباض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امتنع الشريك من الإذن، احتمل الاكتفاء بالتخلية ها هنا؛ تنزيلاً لحرمة القبض من دون إذن الشريك منزلة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الاكتفاء بالتخلية فيما يكفي التخلية فيه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من الاكتفاء بالتخلية هنا مطلقاً؛ لعدم إمكان حصولها، وحصول السلطنة مع عدم رضى الشريك في القبض والتصرف </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الأظهر في غير ما يكفي فيه التخلية الرجوع للحاكم، فينصب للقبض عدلاً يقبض نصيب الواهب للمتهب، ويبقى نصيب الشريك عنده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الفورية في القبض؛ لشبهة أنّه من أركان العقد فيعتبر فيه التوالي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عدم لزومها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والإقرار بالهبة ليس إقراراً بالقبض، فلو أنكره الواهب بعد الإقرار بها لم يكن عليه سوى اليمين، مع احتمال انصراف الإقرار بالهبة إلى الهبة الصحيحة التي يتعقبها القبض، فيكون بمنزلة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إلّا أنّ ظاهر الأصحاب على خلافه</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13425229_1280447820"/>
      <w:bookmarkStart w:id="649" w:name="_Toc233"/>
      <w:bookmarkEnd w:id="648"/>
      <w:r>
        <w:rPr>
          <w:rtl w:val="true"/>
        </w:rPr>
        <w:t>رابعها</w:t>
      </w:r>
      <w:r>
        <w:rPr>
          <w:rtl w:val="true"/>
        </w:rPr>
        <w:t xml:space="preserve">: </w:t>
      </w:r>
      <w:r>
        <w:rPr>
          <w:rtl w:val="true"/>
        </w:rPr>
        <w:t>في أنّ الأصل في الهبة بعد الحكم بصحّتها هو الجواز إلّا فيما دلّ الدليل على لزومه</w:t>
      </w:r>
      <w:bookmarkEnd w:id="649"/>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الهبة بعد الحكم بصحّتها هو الجواز، إلّا فيما دلّ الدليل على لزومه؛ للإجماع المنقول </w:t>
      </w:r>
      <w:r>
        <w:rPr>
          <w:rStyle w:val="FootnoteAnchor"/>
          <w:rtl w:val="true"/>
        </w:rPr>
        <w:footnoteReference w:id="832"/>
      </w:r>
      <w:r>
        <w:rPr>
          <w:rFonts w:ascii="Amiri" w:hAnsi="Amiri" w:eastAsia="Amiri" w:cs="Amiri"/>
          <w:color w:val="111111"/>
          <w:sz w:val="28"/>
          <w:sz w:val="28"/>
          <w:szCs w:val="28"/>
          <w:rtl w:val="true"/>
          <w:lang w:bidi="ar-SA"/>
        </w:rPr>
        <w:t xml:space="preserve">بل المحصل على جوازها في الجملة، وللأخبار المتكثرة مفهوماً ومنطوقاً الدالّة على جوازها في الجملة في غير ما استثنى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المنع من الرجوع من الأخبار المتكثّرة الخاصّة </w:t>
      </w:r>
      <w:r>
        <w:rPr>
          <w:rStyle w:val="FootnoteAnchor"/>
          <w:rtl w:val="true"/>
        </w:rPr>
        <w:footnoteReference w:id="834"/>
      </w:r>
      <w:r>
        <w:rPr>
          <w:rFonts w:ascii="Amiri" w:hAnsi="Amiri" w:eastAsia="Amiri" w:cs="Amiri"/>
          <w:color w:val="111111"/>
          <w:sz w:val="28"/>
          <w:sz w:val="28"/>
          <w:szCs w:val="28"/>
          <w:rtl w:val="true"/>
          <w:lang w:bidi="ar-SA"/>
        </w:rPr>
        <w:t xml:space="preserve">، 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رجع هبته فهو كالراجع في قيئه</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محمول على الكراهة، أو على أحد الصُّوَر المستثناة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والرجوع يكون بالقول الدال علیه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bookmarkStart w:id="650" w:name="pg19218_274186"/>
    </w:p>
    <w:p>
      <w:pPr>
        <w:pStyle w:val="BookText"/>
        <w:rPr/>
      </w:pPr>
      <w:bookmarkEnd w:id="650"/>
      <w:r>
        <w:rPr>
          <w:rFonts w:ascii="Amiri" w:hAnsi="Amiri" w:eastAsia="Amiri" w:cs="Amiri"/>
          <w:color w:val="111111"/>
          <w:sz w:val="28"/>
          <w:sz w:val="28"/>
          <w:szCs w:val="28"/>
          <w:rtl w:val="true"/>
          <w:lang w:bidi="ar-SA"/>
        </w:rPr>
        <w:t>ذلك، وقد يكون بالفعل مع اقترانه بما يدلّ على قصد الرجوع، كوطء الجارية، أو بيعها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قصد الرجوع منضمّاً إلى الفعل، أو يكفي مطلق ذلك، أو يشترط أن لا يقصد العدم؟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وقوع الرجوع قبل الوطء؛ لجواز الوطء، وقبل البيع؛ لصحة البيع، أو يكفي وقوع الوطء والبيع؛ لوقوع البيع وجواز الوطء؟ وجوه، وأبعدها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البيع رجوعاً قهراً، قصد الرجوع أم لا، قصد عدمه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ففي كون البيع رجوعاً مع قصد الرجوع به لا كلام فيه، إنما الكلام في كونه كذلك مع الإطلاق، أو مع قصد عدمه إذا كان البيع لنفسه، أو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الحكم بكونه رجوعاً فهل يكون نافذاً عن الواهب، أو باطلاً، أو فضولياً؟</w:t>
      </w:r>
    </w:p>
    <w:p>
      <w:pPr>
        <w:pStyle w:val="BookText"/>
        <w:rPr/>
      </w:pPr>
      <w:r>
        <w:rPr>
          <w:rFonts w:ascii="Amiri" w:hAnsi="Amiri" w:eastAsia="Amiri" w:cs="Amiri"/>
          <w:color w:val="111111"/>
          <w:sz w:val="28"/>
          <w:sz w:val="28"/>
          <w:szCs w:val="28"/>
          <w:rtl w:val="true"/>
          <w:lang w:bidi="ar-SA"/>
        </w:rPr>
        <w:t>هذا كلّه فيما لو قصد البيع لنفسه، ولو قصد البيع للمتهب على وجه الفضولية فلا إشكال في عدم كونه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الزنى بالوطء، فالأظهر عدم كونه رجوعاً؛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الواهب ما وهبه هبة فاسدة، صحّ البيع عن نفسه، وجهله بكونه ملكه لا ينافي صحّة البيع بعد صدوره من أهله في محلّه، وجهله بكون المال في ملكه لا ينافي القصد إلى النقل والانتقال الذي هو شرط في البيع، غاية ما في الباب أنّه قصد نقلاً وانتقالاً عرفياً زاعماً أنّه لا يترتب عليه أثرهما الشرعي، وقصد ترتب الأثر الشرعي ليس شرطاً في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شيئاً لغيره فتبيّن شراء وكيله له، أو ميراثه له، أو اشترى شيئاً له فتبين له أنّه قد باع وكيله، أو طلق أجنبية فتبينت أنّها زوجته، أو تزوّج أختاً له فتبينت أنّها أجنبية، إلى غير ذلك، أو أوصى بعتق حُرّةٍ عنده فتبينت أنّها أمته، أو أوصى بمال لغيره فتبين أنّه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فلا يخلو الحكم في جملةٍ ممّا ذكرنا من إشكال، سيما في الوصيّة وشبهها؛ لشبهة الخلو عن القصد للأثر الشرعي، وربما يتبعه الأثر العرفي</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3425231_1280447820"/>
      <w:bookmarkStart w:id="652" w:name="_Toc234"/>
      <w:bookmarkEnd w:id="651"/>
      <w:r>
        <w:rPr>
          <w:rtl w:val="true"/>
        </w:rPr>
        <w:t>خامسها</w:t>
      </w:r>
      <w:r>
        <w:rPr>
          <w:rtl w:val="true"/>
        </w:rPr>
        <w:t xml:space="preserve">: </w:t>
      </w:r>
      <w:r>
        <w:rPr>
          <w:rtl w:val="true"/>
        </w:rPr>
        <w:t>في بيان الموارد الخارجة عن أصل جواز الهبة</w:t>
      </w:r>
      <w:bookmarkEnd w:id="65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الأصل المتقدّم في جواز الهبة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تقع الهبة فيه لازمةً قطعاً،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خلاف يتبع فيها نظر الفقيه</w:t>
      </w:r>
      <w:r>
        <w:rPr>
          <w:rFonts w:eastAsia="Amiri" w:cs="Amiri" w:ascii="Amiri" w:hAnsi="Amiri"/>
          <w:color w:val="111111"/>
          <w:sz w:val="28"/>
          <w:szCs w:val="28"/>
          <w:rtl w:val="true"/>
          <w:lang w:bidi="ar-SA"/>
        </w:rPr>
        <w:t xml:space="preserve">. </w:t>
      </w:r>
      <w:bookmarkStart w:id="653" w:name="pg19218_274187"/>
    </w:p>
    <w:p>
      <w:pPr>
        <w:pStyle w:val="Heading5"/>
        <w:numPr>
          <w:ilvl w:val="4"/>
          <w:numId w:val="1"/>
        </w:numPr>
        <w:rPr/>
      </w:pPr>
      <w:bookmarkStart w:id="654" w:name="__RefHeading___Toc13425233_1280447820"/>
      <w:bookmarkStart w:id="655" w:name="_Toc235"/>
      <w:bookmarkEnd w:id="653"/>
      <w:bookmarkEnd w:id="654"/>
      <w:r>
        <w:rPr>
          <w:rtl w:val="true"/>
        </w:rPr>
        <w:t>فالكلام في مواضع</w:t>
      </w:r>
      <w:r>
        <w:rPr>
          <w:rtl w:val="true"/>
        </w:rPr>
        <w:t>:</w:t>
      </w:r>
      <w:bookmarkEnd w:id="655"/>
    </w:p>
    <w:p>
      <w:pPr>
        <w:pStyle w:val="Heading6"/>
        <w:numPr>
          <w:ilvl w:val="5"/>
          <w:numId w:val="1"/>
        </w:numPr>
        <w:rPr/>
      </w:pPr>
      <w:bookmarkStart w:id="656" w:name="__RefHeading___Toc13425235_1280447820"/>
      <w:bookmarkStart w:id="657" w:name="_Toc236"/>
      <w:bookmarkEnd w:id="656"/>
      <w:r>
        <w:rPr>
          <w:rtl w:val="true"/>
        </w:rPr>
        <w:t>الموضع الأوّل</w:t>
      </w:r>
      <w:r>
        <w:rPr>
          <w:rtl w:val="true"/>
        </w:rPr>
        <w:t xml:space="preserve">: </w:t>
      </w:r>
      <w:r>
        <w:rPr>
          <w:rtl w:val="true"/>
        </w:rPr>
        <w:t>فيما لو تلفت العين الموهوبة بعد قبضها لم يجز الرجوع</w:t>
      </w:r>
      <w:bookmarkEnd w:id="6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تلفت العين الموهوبة بعد قبضها، لم يجز الرجوع؛ لأصالة اللزوم في العقد بعد تمامه، خرج ما لو لم تتلف الهبة وبقي الباقي، وقد يُنظر في ذلك، ولأصالة عدم ضمان المتهب ما تلف مثلاً أو قيمةً، والحكم بالجواز قاض بالضمان والأصل عدمه؛ وللإجماعات المتكثرة المنقولة على اللزوم </w:t>
      </w:r>
      <w:r>
        <w:rPr>
          <w:rStyle w:val="FootnoteAnchor"/>
          <w:rtl w:val="true"/>
        </w:rPr>
        <w:footnoteReference w:id="836"/>
      </w:r>
      <w:r>
        <w:rPr>
          <w:rFonts w:ascii="Amiri" w:hAnsi="Amiri" w:eastAsia="Amiri" w:cs="Amiri"/>
          <w:color w:val="111111"/>
          <w:sz w:val="28"/>
          <w:sz w:val="28"/>
          <w:szCs w:val="28"/>
          <w:rtl w:val="true"/>
          <w:lang w:bidi="ar-SA"/>
        </w:rPr>
        <w:t>، المعتضدة بفتوى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الهبة قائمة بعينها فله أن يرجع فيها، وإلا فليس له</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الفتوى شمول التلف للكلّ والبعض؛ لعدم صدق قيامها بعينها مع تلف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تلف بعض يصدق معه قيام العين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كسقوط ظفر من العبد أو بعض شعرات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ولو عيب بما يقتضي نقصانه وصدق عدم قيام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بمنزلة البعض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نقصان بعض العين غير قادح في جواز الرجوع في الباقي؛ لقيامه بعينه، وللاستصحاب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ظاهرها عدم الفرق بين كون التلف بفعل الواهب أو بفعل المتهب، أو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لحوق إخراجه عن التموّل بالتلف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بعقد لازم أو استيلاد للأمة حكمه حكم التالف</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13425237_1280447820"/>
      <w:bookmarkStart w:id="659" w:name="_Toc237"/>
      <w:bookmarkEnd w:id="658"/>
      <w:r>
        <w:rPr>
          <w:rtl w:val="true"/>
        </w:rPr>
        <w:t>الموضع الثاني</w:t>
      </w:r>
      <w:r>
        <w:rPr>
          <w:rtl w:val="true"/>
        </w:rPr>
        <w:t xml:space="preserve">: </w:t>
      </w:r>
      <w:r>
        <w:rPr>
          <w:rtl w:val="true"/>
        </w:rPr>
        <w:t>لزوم الهبة فيما لو تقرّب في هبته عند صدور الصيغة</w:t>
      </w:r>
      <w:bookmarkEnd w:id="65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تقرّب في هبته عند صدور الصيغة أو عند الإجازة على الأظهر؛ لزمت الهبة؛ للاستصحاب، ولحصول الشكّ في الجواز بعد أصالة اللزوم في العقد، وللإجماعات المنقولة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وللأخبار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تجوز الهبة لذوي القرابة والذي يثاب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ويرجع في غير ذلك</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لمن أعطى اللّه شيئاً أن يرجع فيه</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لأحد أن يرجع في صدقته أو هبته؟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تصدق به اللّه تعالى فلا</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660" w:name="pg19218_274188"/>
    </w:p>
    <w:p>
      <w:pPr>
        <w:pStyle w:val="BookText"/>
        <w:rPr/>
      </w:pPr>
      <w:bookmarkEnd w:id="660"/>
      <w:r>
        <w:rPr>
          <w:rFonts w:ascii="Amiri" w:hAnsi="Amiri" w:eastAsia="Amiri" w:cs="Amiri"/>
          <w:color w:val="111111"/>
          <w:sz w:val="28"/>
          <w:sz w:val="28"/>
          <w:szCs w:val="28"/>
          <w:rtl w:val="true"/>
          <w:lang w:bidi="ar-SA"/>
        </w:rPr>
        <w:t>ولأنّ ما يتقرب به اللّه تعالى يدخل في الهبة المعوّضة فيشمله ما يشملها</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13425239_1280447820"/>
      <w:bookmarkStart w:id="662" w:name="_Toc238"/>
      <w:bookmarkEnd w:id="661"/>
      <w:r>
        <w:rPr>
          <w:rtl w:val="true"/>
        </w:rPr>
        <w:t xml:space="preserve">الموضع الثالث </w:t>
      </w:r>
      <w:r>
        <w:rPr>
          <w:rtl w:val="true"/>
        </w:rPr>
        <w:t xml:space="preserve">: </w:t>
      </w:r>
      <w:r>
        <w:rPr>
          <w:rtl w:val="true"/>
        </w:rPr>
        <w:t>لزوم الهبة فيما لو عاوض عن هبته</w:t>
      </w:r>
      <w:bookmarkEnd w:id="66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عاوض عن هبته لزمت الهبة؛ لما ذكرنا وللإجماعات المنقولة </w:t>
      </w:r>
      <w:r>
        <w:rPr>
          <w:rStyle w:val="FootnoteAnchor"/>
          <w:rtl w:val="true"/>
        </w:rPr>
        <w:footnoteReference w:id="842"/>
      </w:r>
      <w:r>
        <w:rPr>
          <w:rFonts w:ascii="Amiri" w:hAnsi="Amiri" w:eastAsia="Amiri" w:cs="Amiri"/>
          <w:color w:val="111111"/>
          <w:sz w:val="28"/>
          <w:sz w:val="28"/>
          <w:szCs w:val="28"/>
          <w:rtl w:val="true"/>
          <w:lang w:bidi="ar-SA"/>
        </w:rPr>
        <w:t>المعتضدة بفتوى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ونحوه الخبر المتقدّم </w:t>
      </w:r>
      <w:r>
        <w:rPr>
          <w:rStyle w:val="FootnoteAnchor"/>
          <w:rtl w:val="true"/>
        </w:rPr>
        <w:footnoteReference w:id="844"/>
      </w:r>
      <w:r>
        <w:rPr>
          <w:rFonts w:ascii="Amiri" w:hAnsi="Amiri" w:eastAsia="Amiri" w:cs="Amiri"/>
          <w:color w:val="111111"/>
          <w:sz w:val="28"/>
          <w:sz w:val="28"/>
          <w:szCs w:val="28"/>
          <w:rtl w:val="true"/>
          <w:lang w:bidi="ar-SA"/>
        </w:rPr>
        <w:t xml:space="preserve">فيما يثاب عليه، ونحوه غيره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ولصيرورتها عقد معاوضة، والأصل في عقود المعاوضات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إطلاق الفتوى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العوض الكثير والقليل ما لم يخرج عن التموّل، ولا بين كون العوض عيناً أو منفعة أو دَيْناً أو حقاً، ولا بين كون العوض ركنا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 هذا على أن يكون هذا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هذا بشرط أن تهبني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بالهبة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قبول الموهوب له في اللزوم، فلو لم يقبل لا يكون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يصحّ أن يكون العوض بعض الموهوب،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 هذا على أن يكون لي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تهبني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 ولا يصحّ أن يكون العوض الكل؛ لاشتراط المغايرة بين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في اللزوم بذل العوض من المتهب بعد وقوع الهبة من الواهب مجاناً؟ الظاهر ذلك، إلّا أنّه إذا وقع التعويض بعد تمام الهبة من الإيجاب والقبول والقبض فاللزوم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فيشترط ها هنا قبول الواهب للعوض؛ لأنّه بمنزلة هبة جديدة، ولا يشترط المعلومية في العوض، فيكفي العوض المعلوم والمجهول، بل يكفي لو شرط عوضاً ما على جهة العموم، ويجوز أن يدفع له أقلّ ما يتموّل وإن لم يجبر الواهب على قبوله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أطلق العوض فقبل المتهب، فالأظهر انصرافه إلى المثل والقيمة؛ لأنّه هو الغالب في المعاوضات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وهب ولم يذكر العوض، فإن صرّح بالمجان فلا كلام، وإن لم يصرّح فقبل المتهب فهل يلتزم بالعوض مثلاً أو قيمة مطلقاً، أو لا يلتزم بشيءٍ مطلقاً؛ تغليباً للظاهر، لأن الظاهر في الهبة المجانية، أو يفرّق بين هبة الأعلى والمساوي فلا يلتزم بشيء، وهبة الأدنى للأعلى فیلتزم بالعوض مثلاً أو قيمة؟</w:t>
      </w:r>
    </w:p>
    <w:p>
      <w:pPr>
        <w:pStyle w:val="BookText"/>
        <w:rPr/>
      </w:pPr>
      <w:r>
        <w:rPr>
          <w:rFonts w:ascii="Amiri" w:hAnsi="Amiri" w:eastAsia="Amiri" w:cs="Amiri"/>
          <w:color w:val="111111"/>
          <w:sz w:val="28"/>
          <w:sz w:val="28"/>
          <w:szCs w:val="28"/>
          <w:rtl w:val="true"/>
          <w:lang w:bidi="ar-SA"/>
        </w:rPr>
        <w:t>وللواهب الرجوع في الهبة المعوّضة قبل قبض العوض؛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يهب الجارية على أن يثاب فلا يثاب، أله أن يرجع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شرط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وهبها له ولم يثبه أيطأها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لم يشترط عليه حين وهبها</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اشتراط ثواب مطلق أو معين في جواز الرجوع قبل قبض الثواب من الواهب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أنّه ليس للواهب الرجوع في هبته، بل له جبر المتهب على تأدية الثواب، ويتعلّق المعيّن بذمته إن كان معيّناً، والمثل أو القيمة إن كان مطلقاً قوي لولا ما يظهر من بعضهم نقل الإجماع على جواز رجوع الواهب في هبته قبل القبض مطلقاً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الفرق بين أخذ الثواب شرطاً فله الفسخ، وبين أخذه ركناً فليس له، وذلك لتسليط المشترط على الفسخ عند عدم قيام المشروط عليه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للمتهب الرجوع قبل دفع العوض ؟ قيل له ذلك </w:t>
      </w:r>
      <w:r>
        <w:rPr>
          <w:rStyle w:val="FootnoteAnchor"/>
          <w:rtl w:val="true"/>
        </w:rPr>
        <w:footnoteReference w:id="848"/>
      </w:r>
      <w:r>
        <w:rPr>
          <w:rFonts w:ascii="Amiri" w:hAnsi="Amiri" w:eastAsia="Amiri" w:cs="Amiri"/>
          <w:color w:val="111111"/>
          <w:sz w:val="28"/>
          <w:sz w:val="28"/>
          <w:szCs w:val="28"/>
          <w:rtl w:val="true"/>
          <w:lang w:bidi="ar-SA"/>
        </w:rPr>
        <w:t xml:space="preserve">فيتخيّر بين دفع العوض فتلزم الهبة، وبين عدمه فتنفسخ، أو لا يجوز له الامتناع عن دفع العوض، بل يجب عليه الدفع ويجبر عليه؟ وربما أشعر بالجواز مضمون الخبر المتقدّم </w:t>
      </w:r>
      <w:r>
        <w:rPr>
          <w:rStyle w:val="FootnoteAnchor"/>
          <w:rtl w:val="true"/>
        </w:rPr>
        <w:footnoteReference w:id="849"/>
      </w:r>
      <w:r>
        <w:rPr>
          <w:rFonts w:ascii="Amiri" w:hAnsi="Amiri" w:eastAsia="Amiri" w:cs="Amiri"/>
          <w:color w:val="111111"/>
          <w:sz w:val="28"/>
          <w:sz w:val="28"/>
          <w:szCs w:val="28"/>
          <w:rtl w:val="true"/>
          <w:lang w:bidi="ar-SA"/>
        </w:rPr>
        <w:t>، المانع من وطء الجارية قبل دفع العوض؛ لمكان تزلزل العقد إذا لم يمكن حمله على عدم الملك بناءً على حصول الملك بمجرد عقد الهبة والقبض</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تلفت العين بيد المتهب قبل قبض الواهب الثواب أو عابت فهل يضمن المثل، أو القيمة، أو الأرش؛ لأنّه ملك بشرط العوض ولم يسلّم للمملك العوض فله الرجوع بعينه، أو لا يضمن؛ </w:t>
      </w:r>
      <w:bookmarkStart w:id="663" w:name="pg19218_274190"/>
    </w:p>
    <w:p>
      <w:pPr>
        <w:pStyle w:val="BookText"/>
        <w:rPr/>
      </w:pPr>
      <w:bookmarkEnd w:id="663"/>
      <w:r>
        <w:rPr>
          <w:rFonts w:ascii="Amiri" w:hAnsi="Amiri" w:eastAsia="Amiri" w:cs="Amiri"/>
          <w:color w:val="111111"/>
          <w:sz w:val="28"/>
          <w:sz w:val="28"/>
          <w:szCs w:val="28"/>
          <w:rtl w:val="true"/>
          <w:lang w:bidi="ar-SA"/>
        </w:rPr>
        <w:t>لحدوث النقص في ملك المتهب فلا يلزمه ضمان، ولأن المتهب لا يجب عليه دفع العوض، وللواهب الرجوع في العين، فالتفريط إنما جاء من حيث تركها في يد مَنْ سلّطه على التصرّف فيها مجاناً؟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يضعف الأخير بأن المتهب إنّما ملكه بشرط العوض لا مجاناً، بل ليؤدّي عوضها فلم يفعل، فالواجب عليه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ردّها، أو ردّ عوضها، فإن تعذر الأوّل بقي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الضمان فهل الواجب مثل الموهوب أو قيمته، أو أقل الأمرين منه ومن العوض؟ و جهان، أوجههما الأخير؛ لأن المتهب مخيّر بين الأمرين، والمحقق لزومه هو الأقل؛ لأنّه إن كان العوض أقلّ فقد رضي به الواهب في مقابلة العين، وإن كان الموهوب هو الأقل فالمتهب لا يتعين عليه العوض، بل هو مخيّر بينه وبين بذل العين، فلا يجب عليه مع تلفها أكثر 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الثواب لو كان منفعةً كان قبضها بقبض عينها أو استيفائها كلاً أو بعضاً، ولو كان حقاً فسقوطه بمنزلة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إتلاف العوض كالقبض من الواهب لو كان هو الذي أتلفه؟ وجهان</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13425241_1280447820"/>
      <w:bookmarkStart w:id="665" w:name="_Toc239"/>
      <w:bookmarkEnd w:id="664"/>
      <w:r>
        <w:rPr>
          <w:rtl w:val="true"/>
        </w:rPr>
        <w:t>الموضع الرابع</w:t>
      </w:r>
      <w:r>
        <w:rPr>
          <w:rtl w:val="true"/>
        </w:rPr>
        <w:t xml:space="preserve">: </w:t>
      </w:r>
      <w:r>
        <w:rPr>
          <w:rtl w:val="true"/>
        </w:rPr>
        <w:t>لزوم الهبة فيما لو وهب الوالدان لأولادهما أو بالعكس</w:t>
      </w:r>
      <w:bookmarkEnd w:id="66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الوالدان لأولادهما أو الأولاد لآبائهما، لزمت الهبة أيضاً؛ للإجماع المنقول على لزومها بعد القبض إذا كانت لأحد الأبوين </w:t>
      </w:r>
      <w:r>
        <w:rPr>
          <w:rStyle w:val="FootnoteAnchor"/>
          <w:rtl w:val="true"/>
        </w:rPr>
        <w:footnoteReference w:id="850"/>
      </w:r>
      <w:r>
        <w:rPr>
          <w:rFonts w:ascii="Amiri" w:hAnsi="Amiri" w:eastAsia="Amiri" w:cs="Amiri"/>
          <w:color w:val="111111"/>
          <w:sz w:val="28"/>
          <w:sz w:val="28"/>
          <w:szCs w:val="28"/>
          <w:rtl w:val="true"/>
          <w:lang w:bidi="ar-SA"/>
        </w:rPr>
        <w:t>، وكذا الإجماع المنقول على عدم جواز رجوع الوالد في هبة ولده مطلقاً، أو هبة ولده الصغير خاصّة</w:t>
      </w:r>
      <w:r>
        <w:rPr>
          <w:rStyle w:val="FootnoteAnchor"/>
          <w:rtl w:val="true"/>
        </w:rPr>
        <w:footnoteReference w:id="851"/>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852"/>
      </w:r>
      <w:r>
        <w:rPr>
          <w:rFonts w:ascii="Amiri" w:hAnsi="Amiri" w:eastAsia="Amiri" w:cs="Amiri"/>
          <w:color w:val="111111"/>
          <w:sz w:val="28"/>
          <w:sz w:val="28"/>
          <w:szCs w:val="28"/>
          <w:rtl w:val="true"/>
          <w:lang w:bidi="ar-SA"/>
        </w:rPr>
        <w:t>أيضاً وظاهر فتوى الأصحاب في إلحاق الأم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بعض العبارات من وقوع الخلاف في لزوم هبة الأولاد لآبائهم، أو لزوم هبة الأب للولد الكبير، أو لزوم هبة الأُمّ </w:t>
      </w:r>
      <w:r>
        <w:rPr>
          <w:rStyle w:val="FootnoteAnchor"/>
          <w:rtl w:val="true"/>
        </w:rPr>
        <w:footnoteReference w:id="853"/>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إلحاق الأجداد بالآباء والجدات بالأمهات وجهان، وظاهر بعضهم أنّه لا إشكال في الإلحاق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يلحق الأب والأم الرضاعيين، وفي أولاد الزنى إشكال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وهب ذو الرحم رحمه بما يُسمّى رحماً عرفاً، فالأقوى اللزوم أيضاً إذا حصل القبض؛ للإجماع المنقول </w:t>
      </w:r>
      <w:r>
        <w:rPr>
          <w:rStyle w:val="FootnoteAnchor"/>
          <w:rtl w:val="true"/>
        </w:rPr>
        <w:footnoteReference w:id="855"/>
      </w:r>
      <w:r>
        <w:rPr>
          <w:rFonts w:ascii="Amiri" w:hAnsi="Amiri" w:eastAsia="Amiri" w:cs="Amiri"/>
          <w:color w:val="111111"/>
          <w:sz w:val="28"/>
          <w:sz w:val="28"/>
          <w:szCs w:val="28"/>
          <w:rtl w:val="true"/>
          <w:lang w:bidi="ar-SA"/>
        </w:rPr>
        <w:t xml:space="preserve">، ولأصالة اللزوم في العقود، ولإطلاق الأخبار الدالّة على لزوم الهبة، كما </w:t>
      </w:r>
    </w:p>
    <w:p>
      <w:pPr>
        <w:pStyle w:val="BookText"/>
        <w:rPr/>
      </w:pPr>
      <w:r>
        <w:rPr>
          <w:rFonts w:ascii="Amiri" w:hAnsi="Amiri" w:eastAsia="Amiri" w:cs="Amiri"/>
          <w:color w:val="111111"/>
          <w:sz w:val="28"/>
          <w:sz w:val="28"/>
          <w:szCs w:val="28"/>
          <w:rtl w:val="true"/>
          <w:lang w:bidi="ar-SA"/>
        </w:rPr>
        <w:t xml:space="preserve">دلّ على أن الراجع في هبته كالراجع في قيئه </w:t>
      </w:r>
      <w:r>
        <w:rPr>
          <w:rStyle w:val="FootnoteAnchor"/>
          <w:rtl w:val="true"/>
        </w:rPr>
        <w:footnoteReference w:id="856"/>
      </w:r>
      <w:r>
        <w:rPr>
          <w:rFonts w:ascii="Amiri" w:hAnsi="Amiri" w:eastAsia="Amiri" w:cs="Amiri"/>
          <w:color w:val="111111"/>
          <w:sz w:val="28"/>
          <w:sz w:val="28"/>
          <w:szCs w:val="28"/>
          <w:rtl w:val="true"/>
          <w:lang w:bidi="ar-SA"/>
        </w:rPr>
        <w:t xml:space="preserve">، وما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في الهبة ما دامت في يدك، فإذا خرجت إلى صاحبها فليس لك أن ترجع فيها</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الخاصّة المعتضدة بفتوى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والنحلة يرجع فيها صاحبها حيزت أو لم تحز، إلّا لذي رحم فإنّه لا يرجع</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يهب الهبة أيرجع فيها إن شاء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الهبة لذي القرابة والذي يثاب عن هبته ويرجع في غير ذلك</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بالجواز اللزوم بقرينة السياق وفهم المشهور، وباقي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هبة الولد للأم وقد ماتت وقد قبضت الذي أعطاها وبانت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والورثة فيها سواء</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قائل بالفرق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وجوز السيد المرتضى الرجوع بالهبة لذي الرحم مطلقاً، سواء في ذلك الأبوان والأولاد وغيرهم؛ استناداً لما نقله من الإجماع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لمعارضته لفتوى الأكثر والإجماعات المنقولة </w:t>
      </w:r>
      <w:r>
        <w:rPr>
          <w:rStyle w:val="FootnoteAnchor"/>
          <w:rtl w:val="true"/>
        </w:rPr>
        <w:footnoteReference w:id="863"/>
      </w:r>
      <w:r>
        <w:rPr>
          <w:rFonts w:ascii="IRNazanin" w:hAnsi="IRNazanin" w:eastAsia="IRNazanin"/>
          <w:color w:val="111111"/>
          <w:sz w:val="28"/>
          <w:sz w:val="28"/>
          <w:szCs w:val="28"/>
          <w:rtl w:val="true"/>
          <w:lang w:bidi="fa-IR"/>
        </w:rPr>
        <w:t>على الخلاف</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ولبعض الأخبار الدالّة على جواز الرجوع في الهبة مطلقاً والدالّة على خصوص جواز الرجوع لذي القرابة </w:t>
      </w:r>
      <w:r>
        <w:rPr>
          <w:rStyle w:val="FootnoteAnchor"/>
          <w:rtl w:val="true"/>
        </w:rPr>
        <w:footnoteReference w:id="864"/>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الهبة والنحلة فإنّه يرجع فيها حازها أو لم يحزها وإن كانت لذي قرابة</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bookmarkStart w:id="666" w:name="pg19218_274192"/>
    </w:p>
    <w:p>
      <w:pPr>
        <w:pStyle w:val="BookText"/>
        <w:rPr/>
      </w:pPr>
      <w:bookmarkEnd w:id="666"/>
      <w:r>
        <w:rPr>
          <w:rFonts w:ascii="Amiri" w:hAnsi="Amiri" w:eastAsia="Amiri" w:cs="Amiri"/>
          <w:color w:val="111111"/>
          <w:sz w:val="28"/>
          <w:sz w:val="28"/>
          <w:szCs w:val="28"/>
          <w:rtl w:val="true"/>
          <w:lang w:bidi="ar-SA"/>
        </w:rPr>
        <w:t xml:space="preserve">وهو ضعيف أيضاً؛ لمعارضة أخبار الجواز لأخبار المنع الدالّة على لزوم الهبة مطلقاً، وللأخبار الخاصّة الدالّة على لزوم هبة الرحم </w:t>
      </w:r>
      <w:r>
        <w:rPr>
          <w:rStyle w:val="FootnoteAnchor"/>
          <w:rtl w:val="true"/>
        </w:rPr>
        <w:footnoteReference w:id="866"/>
      </w:r>
      <w:r>
        <w:rPr>
          <w:rFonts w:ascii="Amiri" w:hAnsi="Amiri" w:eastAsia="Amiri" w:cs="Amiri"/>
          <w:color w:val="111111"/>
          <w:sz w:val="28"/>
          <w:sz w:val="28"/>
          <w:szCs w:val="28"/>
          <w:rtl w:val="true"/>
          <w:lang w:bidi="ar-SA"/>
        </w:rPr>
        <w:t xml:space="preserve">، المعتضدة بفتوى الأصحاب والإجماعات المنقولة، مع احتمال حمل الخبر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لذي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يحزها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وهو معنى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أخبار المنع على الكراهة في الرجوع فهو فرع المكافأة، وهي في المقام مفقودة، ولأن الحمل على الكراهة يقضي بخروج الدليل عن ظاهره أصلاً، بخلاف تقييد أخبار الجواز مطلقاً بما دلّ على اللزوم؛ فإنّه لا يستلزم ذلك، والعرف قاض به واعتضاد ما دلّ على جواز الرجوع لذي القرابة بما دلّ على الجواز لا يقابل ما دلّ على اللزوم فيها المعتضد بأخبار اللزوم مطلقاً، وبالأصل، وبالاحتياط، وبفتوى المشهور، والإجماعات المنقولة وأصالة لزوم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من جواز رجوع الوالد في هبته لولده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له على رجل مال فوهبه لولده،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ذلك له وقد كان وهبه لولد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يكون وهبه له ثمّ نزعه فجعله لهذا</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ما إذا كان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وهب لابنه شيئاً أيصلح أن يرجع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إلّا أن يكون صغيراً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يقاوم الأدلّة المتقدّمة، فلا بدّ من طرحها أو تأويلها بهبة لم يتعقبها قبض؛ بقرينة التفصيل بين الصغير والكبير في الثاني ؛ لأنّ الغالب في المال الموهوب للصغير أنّه مقبوض للأب، وبقرينة كون الموهوب في الأوّل هو ما في الذمّة قبل قبضه، وهو إمّا ممنوع أو جائز</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13425243_1280447820"/>
      <w:bookmarkStart w:id="668" w:name="_Toc240"/>
      <w:bookmarkEnd w:id="667"/>
      <w:r>
        <w:rPr>
          <w:rtl w:val="true"/>
        </w:rPr>
        <w:t>الموضع الخامس</w:t>
      </w:r>
      <w:r>
        <w:rPr>
          <w:rtl w:val="true"/>
        </w:rPr>
        <w:t xml:space="preserve">: </w:t>
      </w:r>
      <w:r>
        <w:rPr>
          <w:rtl w:val="true"/>
        </w:rPr>
        <w:t>هل يلزم الهبة فيما لو وهب أحد الزوجين الآخر</w:t>
      </w:r>
      <w:bookmarkEnd w:id="66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أحد الزوجين دواماً أو متعة الآخر، ففي لزوم الهبة وعدمه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اللزوم، والاستصحاب، والأخبار الدالّة على لزوم الهبة، وخصوص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الرجل فيما يهبه لزوجته، ولا الامرأة فيما تهبه لزوجها، حيز أو لم تحز؛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أَنْ تَأْخُذُوا ممّا آتَيْتُمُوهُنَّ شَيْئاً</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وهو يشمل الصداق والهبة</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ومن الأخبار المتقدّمة الحاكمة </w:t>
      </w:r>
      <w:bookmarkStart w:id="669" w:name="pg19218_274193"/>
    </w:p>
    <w:p>
      <w:pPr>
        <w:pStyle w:val="BookText"/>
        <w:rPr/>
      </w:pPr>
      <w:bookmarkEnd w:id="669"/>
      <w:r>
        <w:rPr>
          <w:rFonts w:ascii="Amiri" w:hAnsi="Amiri" w:eastAsia="Amiri" w:cs="Amiri"/>
          <w:color w:val="111111"/>
          <w:sz w:val="28"/>
          <w:sz w:val="28"/>
          <w:szCs w:val="28"/>
          <w:rtl w:val="true"/>
          <w:lang w:bidi="ar-SA"/>
        </w:rPr>
        <w:t xml:space="preserve">بجواز الرجوع في الهبة مطلقاً، أو جواز الرجوع فيمن ليس له قرابة، كما في الأخبار الصحيحة الخاصّة المتقدّمة، والإجماع المنقول </w:t>
      </w:r>
      <w:r>
        <w:rPr>
          <w:rStyle w:val="FootnoteAnchor"/>
          <w:rtl w:val="true"/>
        </w:rPr>
        <w:footnoteReference w:id="872"/>
      </w:r>
      <w:r>
        <w:rPr>
          <w:rFonts w:ascii="Amiri" w:hAnsi="Amiri" w:eastAsia="Amiri" w:cs="Amiri"/>
          <w:color w:val="111111"/>
          <w:sz w:val="28"/>
          <w:sz w:val="28"/>
          <w:szCs w:val="28"/>
          <w:rtl w:val="true"/>
          <w:lang w:bidi="ar-SA"/>
        </w:rPr>
        <w:t xml:space="preserve">على جواز الهبة مطلقاً، خرج ما خرج وبقي الباقي، وللإجماع المنقول </w:t>
      </w:r>
      <w:r>
        <w:rPr>
          <w:rStyle w:val="FootnoteAnchor"/>
          <w:rtl w:val="true"/>
        </w:rPr>
        <w:footnoteReference w:id="873"/>
      </w:r>
      <w:r>
        <w:rPr>
          <w:rFonts w:ascii="Amiri" w:hAnsi="Amiri" w:eastAsia="Amiri" w:cs="Amiri"/>
          <w:color w:val="111111"/>
          <w:sz w:val="28"/>
          <w:sz w:val="28"/>
          <w:szCs w:val="28"/>
          <w:rtl w:val="true"/>
          <w:lang w:bidi="ar-SA"/>
        </w:rPr>
        <w:t>على الجواز مع الكراهة، وللخبر الخاص الوارد في رجل كانت له جارية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قال ذلك اللّه تعالى فليمضها، وإن لم يقل فله أن يرجع إن شاء فيها</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وهو وإن ورد في الصدقة إلّا أن الظاهر أنّه لا فرق بينهما من هذه الجهة، وهي عدم التقرّب، قولان، والأخير أقوى؛ لاعتضاد الأدلّة الأخيرة بفتوى المشهور نقلاً </w:t>
      </w:r>
      <w:r>
        <w:rPr>
          <w:rStyle w:val="FootnoteAnchor"/>
          <w:rtl w:val="true"/>
        </w:rPr>
        <w:footnoteReference w:id="875"/>
      </w:r>
      <w:r>
        <w:rPr>
          <w:rFonts w:ascii="Amiri" w:hAnsi="Amiri" w:eastAsia="Amiri" w:cs="Amiri"/>
          <w:color w:val="111111"/>
          <w:sz w:val="28"/>
          <w:sz w:val="28"/>
          <w:szCs w:val="28"/>
          <w:rtl w:val="true"/>
          <w:lang w:bidi="ar-SA"/>
        </w:rPr>
        <w:t>، بل تحصيلاً، فلا تصلح الصحيحة المتقدّمة لمقاومتها وتخصيصها وإن اعتضدت تلك الصحيحة بالأصل وبأخبار اللزوم المطلقة، وذلك لأنّ ما اعتضدت به هذه الأخبار أقوى ممّا اعتضدت به الصحيحة المتقدّمة، فلتُحمل تلك الصحيحة على الكراهة، أو على ما إذا كان أحد الزوجين رحماً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يختص الخلاف بما إذا كانت الزوجة دائمةً دون المنقطعة؛ لانصراف الزوجة إلى الدائمة، وفي المطلقة الرجعية بحث</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13425245_1280447820"/>
      <w:bookmarkStart w:id="671" w:name="_Toc241"/>
      <w:bookmarkEnd w:id="670"/>
      <w:r>
        <w:rPr>
          <w:rtl w:val="true"/>
        </w:rPr>
        <w:t>الموضع السادس</w:t>
      </w:r>
      <w:r>
        <w:rPr>
          <w:rtl w:val="true"/>
        </w:rPr>
        <w:t xml:space="preserve">: </w:t>
      </w:r>
      <w:r>
        <w:rPr>
          <w:rtl w:val="true"/>
        </w:rPr>
        <w:t>عدم لزوم الهبة بالتصرف من حيث إنّه تصرّف في الهبة</w:t>
      </w:r>
      <w:bookmarkEnd w:id="67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لزوم الهبة بالتصرف من حيث إنّه تصرّف بالهبة؛ لعموم النصوص المتقدّمة الدالّة على جواز الهبة، خرج ما مضى وبقي الباقي، وللاستصحاب، وللإجماع المنقول</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استلزم التصرّف تغييراً للعين بنقصان أو بعيب يؤدي إلى التغيير الحسي، أو بتغيير صفةٍ أو هيئة، كقصارة الثوب وتركيب خشب السرير، لزمت الهبة من جهته؛ لصدق عدم قيام العين الموجب لعدم الردّ، كما دلّت عليه المعتبرة المتقدّمة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878"/>
      </w:r>
      <w:r>
        <w:rPr>
          <w:rFonts w:ascii="Amiri" w:hAnsi="Amiri" w:eastAsia="Amiri" w:cs="Amiri"/>
          <w:color w:val="111111"/>
          <w:sz w:val="28"/>
          <w:sz w:val="28"/>
          <w:szCs w:val="28"/>
          <w:rtl w:val="true"/>
          <w:lang w:bidi="ar-SA"/>
        </w:rPr>
        <w:t xml:space="preserve">إلى لزوم الهبة بالتصرّف إمّا مطلقاً، كما نُسب </w:t>
      </w:r>
      <w:r>
        <w:rPr>
          <w:rStyle w:val="FootnoteAnchor"/>
          <w:rtl w:val="true"/>
        </w:rPr>
        <w:footnoteReference w:id="879"/>
      </w:r>
      <w:r>
        <w:rPr>
          <w:rFonts w:ascii="Amiri" w:hAnsi="Amiri" w:eastAsia="Amiri" w:cs="Amiri"/>
          <w:color w:val="111111"/>
          <w:sz w:val="28"/>
          <w:sz w:val="28"/>
          <w:szCs w:val="28"/>
          <w:rtl w:val="true"/>
          <w:lang w:bidi="ar-SA"/>
        </w:rPr>
        <w:t xml:space="preserve">للمشهور، أو إذا كان التصرّف مخرجاً عن الملك أو مغيّراً للعين، كما نُسب </w:t>
      </w:r>
      <w:r>
        <w:rPr>
          <w:rStyle w:val="FootnoteAnchor"/>
          <w:rtl w:val="true"/>
        </w:rPr>
        <w:footnoteReference w:id="880"/>
      </w:r>
      <w:r>
        <w:rPr>
          <w:rFonts w:ascii="Amiri" w:hAnsi="Amiri" w:eastAsia="Amiri" w:cs="Amiri"/>
          <w:color w:val="111111"/>
          <w:sz w:val="28"/>
          <w:sz w:val="28"/>
          <w:szCs w:val="28"/>
          <w:rtl w:val="true"/>
          <w:lang w:bidi="ar-SA"/>
        </w:rPr>
        <w:t>لجمع من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وظاهرهم عدم الفرق بين عوده إلى ملكه بعد خروجه عنه، وبين عدمه، وألحقوا بذلك الاستيلاد والعتق بل والوطء للأمة وإن لم يتعقبه 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لزوم الهبة بالتصرف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الأدلّة المتقدّمة الدالّة على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المرسلة، حيث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الأصحاب أن المتهب متى تصرّف في الهبة فلا رجوع فيها </w:t>
      </w:r>
      <w:r>
        <w:rPr>
          <w:rStyle w:val="FootnoteAnchor"/>
          <w:rtl w:val="true"/>
        </w:rPr>
        <w:footnoteReference w:id="881"/>
      </w:r>
      <w:r>
        <w:rPr>
          <w:rFonts w:ascii="Amiri" w:hAnsi="Amiri" w:eastAsia="Amiri" w:cs="Amiri"/>
          <w:color w:val="111111"/>
          <w:sz w:val="28"/>
          <w:sz w:val="28"/>
          <w:szCs w:val="28"/>
          <w:rtl w:val="true"/>
          <w:lang w:bidi="ar-SA"/>
        </w:rPr>
        <w:t>، وهو يدل على وجود روايات، وأن جواز الرجوع يقتضي تسليط الواهب على ملك المتهب، وهو خلاف الأصل، وأن المتهب قد مَلَك بالعقد والإقباض فظهر أثر الملك بالتصرف، فقوي وجود السبب فكان تاماً فلا يتحقق النقل إلّا بسبب طارئ، والرجوع ليس سبباً هنا، وإلا كان سبباً في غيره، وأن جواز الرجوع يقضي على المتهب بالضرر والإضرار فيما لو بنى وغرس، وأنّ الموهوب قد صار ملكاً للمتهب بعقد فلا يعود للواهب إلّا بعقد جديد، وأنّ هذا الحكم إجماعي فلا يضرّ وجود المخالف؛ لأنّه معروف الاسم والنسب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لأنّ ما دلّ على اللزوم معارض بما دلّ على الجواز وهو أقوى، والروايات المرسلة ضعيفة لا تعارض ما تقدم، واقتضاء الرجوع تسليط الواهب على ملك المتهب مدفوع بأن تسليطه عليه من مقتضيات العقد، كما أنّ الرجوع بنفسه ليس سبباً في النقل لولا اقتضاء العقد الجواز، واقتضاء الرجوع الضرر والإضرار مانع لولا أنّه إنما جاء من قبل نفسه؛ لإقدامه على التصرّف فيما للواهب الرجوع فيه، ومنع عدم العود لملك الواهب إلّا بعقد جديد؛ لاقتضاء جواز العقد عود الملك بمجرّد الفسخ ومنع الإجماع المذكور مع مصير الكثيرين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فالتصرف ما لم يكن مغيّراً للهبة عيناً أو صفةً أو ناقلاً بعقد لازم يجوز الرجوع فيه، على إشكال في تغيير الصفة للشكّ في صدق عدم قيامها بعينها معه، وكذا في العقد اللازم، وأما الجائز فلا إشكال في أنّه ليس من التصرّف الملزم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موت المتهب ففى كونه مقتضياً للزوم؛ لانتقاله عنه إلى ورثته وجهان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موت الواهب فالأظهر بقاء الجواز للورثة، مع احتمال اختصاص الجواز بالواهب نفسه فيدخل الباقي في أصالة لزوم العقد</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الوصيّة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19218_274198"/>
      <w:bookmarkStart w:id="673" w:name="pg19218_274198"/>
      <w:bookmarkEnd w:id="673"/>
    </w:p>
    <w:p>
      <w:pPr>
        <w:pStyle w:val="Heading2"/>
        <w:numPr>
          <w:ilvl w:val="1"/>
          <w:numId w:val="1"/>
        </w:numPr>
        <w:rPr/>
      </w:pPr>
      <w:bookmarkStart w:id="674" w:name="pg19218_274198"/>
      <w:bookmarkStart w:id="675" w:name="__RefHeading___Toc13425247_1280447820"/>
      <w:bookmarkStart w:id="676" w:name="_Toc242"/>
      <w:bookmarkEnd w:id="674"/>
      <w:bookmarkEnd w:id="675"/>
      <w:r>
        <w:rPr>
          <w:rtl w:val="true"/>
        </w:rPr>
        <w:t>كتاب الوصيّة</w:t>
      </w:r>
      <w:bookmarkEnd w:id="676"/>
    </w:p>
    <w:p>
      <w:pPr>
        <w:pStyle w:val="Heading3"/>
        <w:numPr>
          <w:ilvl w:val="2"/>
          <w:numId w:val="1"/>
        </w:numPr>
        <w:rPr/>
      </w:pPr>
      <w:bookmarkStart w:id="677" w:name="__RefHeading___Toc13425249_1280447820"/>
      <w:bookmarkStart w:id="678" w:name="_Toc243"/>
      <w:bookmarkEnd w:id="677"/>
      <w:r>
        <w:rPr>
          <w:rtl w:val="true"/>
        </w:rPr>
        <w:t>تعريف الوصيّة والحثّ عليها</w:t>
      </w:r>
      <w:bookmarkEnd w:id="678"/>
    </w:p>
    <w:p>
      <w:pPr>
        <w:pStyle w:val="BookText"/>
        <w:rPr/>
      </w:pPr>
      <w:r>
        <w:rPr>
          <w:rFonts w:ascii="Amiri" w:hAnsi="Amiri" w:eastAsia="Amiri" w:cs="Amiri"/>
          <w:color w:val="111111"/>
          <w:sz w:val="28"/>
          <w:sz w:val="28"/>
          <w:szCs w:val="28"/>
          <w:rtl w:val="true"/>
          <w:lang w:bidi="ar-SA"/>
        </w:rPr>
        <w:t xml:space="preserve">الوصيّة فعيلة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وصل،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عهد،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ما يقوله الميّت عند مماته وما يبينه ممّا عليه وممّا له وصيّة؛ لما فيه من وصلة التصرّف في حال الحياة بحال الوفاة على الأوّل، وعلى الأخيرين؛ لما فيه من العهد إلى الأحياء في بيان أحواله، ومما له وممّا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الوصيّة بما يعهده الميّت ويقوله ثابت لغةً وعرفاً وشرعاً، إمّا لأنّه من أفراد العهد المطلق، أو لخصوص كونها عهداً للميت على وجه النقل في العرف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الحثّ عليها بهذا المعنى في النصوص المتكاثرة، كالخبر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وفي الثاني والثالث مثله </w:t>
      </w:r>
      <w:r>
        <w:rPr>
          <w:rStyle w:val="FootnoteAnchor"/>
          <w:rtl w:val="true"/>
        </w:rPr>
        <w:footnoteReference w:id="883"/>
      </w:r>
      <w:r>
        <w:rPr>
          <w:rFonts w:ascii="Amiri" w:hAnsi="Amiri" w:eastAsia="Amiri" w:cs="Amiri"/>
          <w:color w:val="111111"/>
          <w:sz w:val="28"/>
          <w:sz w:val="28"/>
          <w:szCs w:val="28"/>
          <w:rtl w:val="true"/>
          <w:lang w:bidi="ar-SA"/>
        </w:rPr>
        <w:t xml:space="preserve">، وفي الرابع قريب إليه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يحسن وصيته عند الموت كان نقصاً في ؛ مروءته وعقله</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وفي سادس مثله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لامرئ مسلم أن يبيت ليلة إلّا ووصيته تحت رأسه</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وفي ثامن قريب إليه </w:t>
      </w:r>
      <w:r>
        <w:rPr>
          <w:rStyle w:val="FootnoteAnchor"/>
          <w:rtl w:val="true"/>
        </w:rPr>
        <w:footnoteReference w:id="88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دالّة على الاستحباب الأكيد، كما يشعر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فتوى المشهور وفهمهم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تجب إذا أدى تركها إلى ترك واجب عليه من زكاة أو خمس أو دين أو أمانة؛ لمكان التفريط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وجبت؛ لكونها مقدمة الواجب، كما إذا توقف تأدية الواجب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تطلق الوصيّة شرعاً على نقل شيءٍ من المال لآخر بعد موت الناقل على وجه العموم أو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أنّه حقيقة شرعيّة لا متشرعيّة فقط، وفي جملة من الأخبار ما يدلّ عليه، مضافاً إلى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ولم يَحِف ولم يضار كمن تصدق به في حياته</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يوص عند موته لذوي قرابته ممّن لا يرثه فقد ختم عمله بمعصيته</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أوصى بجميع ماله فأمضى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بالثلث ورد الباقي</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أوصى بأكثر من الثلث فأجاز الورثة أنّه يمضي عليهم </w:t>
      </w:r>
      <w:r>
        <w:rPr>
          <w:rStyle w:val="FootnoteAnchor"/>
          <w:rtl w:val="true"/>
        </w:rPr>
        <w:footnoteReference w:id="892"/>
      </w:r>
      <w:r>
        <w:rPr>
          <w:rFonts w:ascii="Amiri" w:hAnsi="Amiri" w:eastAsia="Amiri" w:cs="Amiri"/>
          <w:color w:val="111111"/>
          <w:sz w:val="28"/>
          <w:sz w:val="28"/>
          <w:szCs w:val="28"/>
          <w:rtl w:val="true"/>
          <w:lang w:bidi="ar-SA"/>
        </w:rPr>
        <w:t xml:space="preserve">، وفي خامس وسادس مثله </w:t>
      </w:r>
      <w:r>
        <w:rPr>
          <w:rStyle w:val="FootnoteAnchor"/>
          <w:rtl w:val="true"/>
        </w:rPr>
        <w:footnoteReference w:id="893"/>
      </w:r>
      <w:r>
        <w:rPr>
          <w:rFonts w:ascii="Amiri" w:hAnsi="Amiri" w:eastAsia="Amiri" w:cs="Amiri"/>
          <w:color w:val="111111"/>
          <w:sz w:val="28"/>
          <w:sz w:val="28"/>
          <w:szCs w:val="28"/>
          <w:rtl w:val="true"/>
          <w:lang w:bidi="ar-SA"/>
        </w:rPr>
        <w:t>، إلى غير ذلك من الأخبار المتكثرة الدالّة على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استعملت في الكتاب بذلك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فالوصيّة بجميع معانيها من الأمور المبينة، فيصح التمسك بإطلاقاتها في الكتاب والسنّة في محلّ الشكّ في نفوذ الموصى به وعدمه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الفقهاء قد حدّوها على المعنى الأخير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تمليك عينٍ أو منفعة بعد الوفاة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 يذكروا الحق، وکأنّه بناءً على عدم صحّة الوصيّة به منفرداً عن المال؛ لعدم قابليته للنقل بنفسه، كحق الخيار والشفعة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وأرادوا بقيد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تأخر الأثر بعدها، وإلا فإنشاء التمليك حاصل بنفس الوصيّة في حال الحياة؛ لأنّ الإنشاء لا يقبل التعليق والتأخير عن صيغته، ولولا الدليل القطعي الدال على تأخر الأثر مع صحّة عقد الوصيّة من الموصي لكان القول به لا وجه له؛ لمخالفته الضوابط والقواعد القاضية بأن الأصل في العقود الحلول أثراً وتأثيراً وملكاً وتمليكاً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تُحدّ الوصيّة بما يشمل فكّ الملك، كالتدبير،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فكّ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يضاف إليه ما يشمل الوصيّة بالتصرف فيما أوصى به وبالولاية على الأطفال والمجانين،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تسليط على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دخول الوصيّة للجهات العامّة في الحد فيضم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نقل الملك عن مالكه إلى جهةٍ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بملك المسلمين لها دخلت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الوصيّة بالعتق أو البيع أو المضاربة بمال معين أو الهبة لشخص، أو الانتفاع له بشيءٍ من ماله، أو الوصيّة بإخراج صلاة أو صومٍ أو حج أو وقف أو صدقة من ماله، أو الوصيّة بغير المال من دفن وصلاة شخص معين، فهي داخلة في الوصيّة بالمعنى المعروف، وهي عهد الميّت وبيان ما يريده ممّا له وعليه، ويشمله عموم ما دلّ على وجوب إنفاذ الوصيّة </w:t>
      </w:r>
      <w:r>
        <w:rPr>
          <w:rStyle w:val="FootnoteAnchor"/>
          <w:rtl w:val="true"/>
        </w:rPr>
        <w:footnoteReference w:id="89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والنهي عن التبديل يؤذن بالنهي عن المخالفة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يدخل شيء من ذلك في الوصيّة؛ لأنّها تمليك عين أو منفعة، لا وصيّة بالتمليك، 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تنفيذ الوصيّة من الواجبات الكفائية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ويخرج عن الحد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ثلثي ولم يعيّنه،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ثلث مالي مضاربةً أو وديعة فإنّه لا يبعد البطلان مع احتمال صحّة الأوّل وصرفه في وجوه البر، وصحة الأخيرين ويبقى لصاحب الأمر جعلت فداه</w:t>
      </w:r>
      <w:r>
        <w:rPr>
          <w:rFonts w:eastAsia="Amiri" w:cs="Amiri" w:ascii="Amiri" w:hAnsi="Amiri"/>
          <w:color w:val="111111"/>
          <w:sz w:val="28"/>
          <w:szCs w:val="28"/>
          <w:rtl w:val="true"/>
          <w:lang w:bidi="ar-SA"/>
        </w:rPr>
        <w:t xml:space="preserve">. </w:t>
      </w:r>
      <w:bookmarkStart w:id="679" w:name="pg19218_274201"/>
    </w:p>
    <w:p>
      <w:pPr>
        <w:pStyle w:val="Heading3"/>
        <w:numPr>
          <w:ilvl w:val="2"/>
          <w:numId w:val="1"/>
        </w:numPr>
        <w:rPr/>
      </w:pPr>
      <w:bookmarkStart w:id="680" w:name="__RefHeading___Toc13425251_1280447820"/>
      <w:bookmarkStart w:id="681" w:name="_Toc244"/>
      <w:bookmarkEnd w:id="679"/>
      <w:bookmarkEnd w:id="680"/>
      <w:r>
        <w:rPr>
          <w:rtl w:val="true"/>
        </w:rPr>
        <w:t>وهنا أُمور</w:t>
      </w:r>
      <w:r>
        <w:rPr>
          <w:rtl w:val="true"/>
        </w:rPr>
        <w:t>:</w:t>
      </w:r>
      <w:bookmarkEnd w:id="681"/>
    </w:p>
    <w:p>
      <w:pPr>
        <w:pStyle w:val="Heading4"/>
        <w:numPr>
          <w:ilvl w:val="3"/>
          <w:numId w:val="1"/>
        </w:numPr>
        <w:rPr/>
      </w:pPr>
      <w:bookmarkStart w:id="682" w:name="__RefHeading___Toc13425253_1280447820"/>
      <w:bookmarkStart w:id="683" w:name="_Toc245"/>
      <w:bookmarkEnd w:id="682"/>
      <w:r>
        <w:rPr>
          <w:rtl w:val="true"/>
        </w:rPr>
        <w:t>أحدها</w:t>
      </w:r>
      <w:r>
        <w:rPr>
          <w:rtl w:val="true"/>
        </w:rPr>
        <w:t xml:space="preserve">: </w:t>
      </w:r>
      <w:r>
        <w:rPr>
          <w:rtl w:val="true"/>
        </w:rPr>
        <w:t>في أنّ الوصيّة بالمعنى الخاص إيقاع لا عقد</w:t>
      </w:r>
      <w:bookmarkEnd w:id="68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p>
    <w:p>
      <w:pPr>
        <w:pStyle w:val="BookText"/>
        <w:rPr/>
      </w:pPr>
      <w:r>
        <w:rPr>
          <w:rFonts w:ascii="Amiri" w:hAnsi="Amiri" w:eastAsia="Amiri" w:cs="Amiri"/>
          <w:color w:val="111111"/>
          <w:sz w:val="28"/>
          <w:sz w:val="28"/>
          <w:szCs w:val="28"/>
          <w:rtl w:val="true"/>
          <w:lang w:bidi="ar-SA"/>
        </w:rPr>
        <w:t xml:space="preserve">الوصيّة بالمعنى الخاص عقد لا إيقاع، سواء كانت لعامٍّ أو خاصٍّ، وسواء كانت لجهة عامّة أو خاصّة؛ للأصل فيما شك في كونه إيقاعاً أو عقداً، فإنّه يُحكم بكونه عقداً؛ لرجوعه للشكّ في الجزئية، وهو راجع للشكّ في الماهية، ولا تتحقق إلّا في المقطوع به، وحينئذٍ فلا يمكن التمسك بإطلاقات الوصيّة على عدم اشتراط القبول فيما شكّ في اشتراطه به؛ لعدم تحقق الإطلاق كي يصحّ التمسك به، ولانصراف كثير من المطلقات إلى الوصيّة بالمعنى العام دون المقيّدة بنفسها الملك والتمليك، مضافاً إلى الإجماع المنقول </w:t>
      </w:r>
      <w:r>
        <w:rPr>
          <w:rStyle w:val="FootnoteAnchor"/>
          <w:rtl w:val="true"/>
        </w:rPr>
        <w:footnoteReference w:id="899"/>
      </w:r>
      <w:r>
        <w:rPr>
          <w:rFonts w:ascii="IRNazanin" w:hAnsi="IRNazanin" w:eastAsia="IRNazanin"/>
          <w:color w:val="111111"/>
          <w:sz w:val="28"/>
          <w:sz w:val="28"/>
          <w:szCs w:val="28"/>
          <w:rtl w:val="true"/>
          <w:lang w:bidi="fa-IR"/>
        </w:rPr>
        <w:t>على اشتراط القبول بقول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عدم البيان في الأخبار لكيفية العقد فلا يدلّ على العدم، كما في سائر العقود؛ لأنّ ترك البيان فيها اتكال على المتعارف واعتماد على المعهود من وقوعها بصيغ خاصّة، كما في العقود اللازمة، أو بصيغ مطلقة أو بالأفعال كما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في الوصايا العامّة قبول الحاكم الشرعي لولايته على الحقوق العامّة، فإن لم يكن فعدول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لزوم قبول الحاكم، وليس له الردّكي يعود المردود ميراثاً، كما في الوصايا المعينة للشخص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عدم جواز تصرّف الموصى له بالموصى به قبل قبول الحاكم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الجواب عمّا ذهب إليه جملة من الأساطين </w:t>
      </w:r>
      <w:r>
        <w:rPr>
          <w:rStyle w:val="FootnoteAnchor"/>
          <w:rtl w:val="true"/>
        </w:rPr>
        <w:footnoteReference w:id="900"/>
      </w:r>
      <w:r>
        <w:rPr>
          <w:rFonts w:ascii="Amiri" w:hAnsi="Amiri" w:eastAsia="Amiri" w:cs="Amiri"/>
          <w:color w:val="111111"/>
          <w:sz w:val="28"/>
          <w:sz w:val="28"/>
          <w:szCs w:val="28"/>
          <w:rtl w:val="true"/>
          <w:lang w:bidi="ar-SA"/>
        </w:rPr>
        <w:t>من عدم اشتراط القبول في الوصيّة للجهات العامّة؛ لأنّ قبول بعض معيّن ترجيح من غير مرجح، وقبول الكل غير ممكن، وقبول واحدٍ غير معين يلزم منه إدخال شيءٍ في ملك غيره من دون ولاية أو وكالة، وهو مخالف للقواعد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فالقول بعدم اشتراط القبول في هذه الصورة قوي جداً؛ للشكّ في شمول الإجماع المنقول لمثل هذه ولشمول إطلاقات الوصيّة بالمعنى العام لمثلها، ولجريان السيرة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التصرّف بالمال من دون دفع الوصي أو الحاكم الشرعي؛ لتعلّق حقّ الغير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يزيله إلّا نيّة الولي لدفع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القبول هنا المعاطاة الفعلية؛ للاكتفاء بها فيما هو أقوى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الإيجاب والقبول كلّ لفظ دلّ على المقصود وصفاً، أو مجازاً مع القرينة المعينة، كما هو شأن الجائز من العقود، ويجوز بالعربية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تفترق الوصيّة عن باقي العقود الجائزة بجواز الفصل الطويل بين إيجابها وقبولها قبل الموت وبعده، وبعدم انفساخها بالموت قبل القبول، وبعدم انفساخها بطروء جنون أو إغماء ونحوهما، سواء تخلّلا بين الإيجاب والقبول، أو وقعا بعدهما، وبجواز وقوعها معلقة على الموت ولو بلفظ التعليق، وإن كان الأحوط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لفلان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متُّ فهو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عُلّقت على غير الموت من صفةٍ أو شرط متوقعين فالظاهر بطلانها، سواء علّقها عليهما حال الحياة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حال حياتي فالمال له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الموت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بعد الموت فالمال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صحّة الوصيّة المعلّقة مطلقاً؛ لشمول إطلاق دليلها للمنجّز والمعلّق، وعدم اختصاصه بالمنجز عادةً؛ 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قالت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بعدي فجاريتي لكِ، فقضى أن ذلك جائز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يصحّ الترديد في الوصيّة؛ للإبهام، ويصحّ في الموصى به، فيكون بمنزلة الوصيّة بالكلي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وقوع القبول بغير المعاطاة من الأفعال كالإشارة والكتابة للمتمكن من غيرها؛ للأصل، مع الشكّ في شمول دليل الوصيّة لمثله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وأطلق جمع من الأصحاب </w:t>
      </w:r>
      <w:r>
        <w:rPr>
          <w:rStyle w:val="FootnoteAnchor"/>
          <w:rtl w:val="true"/>
        </w:rPr>
        <w:footnoteReference w:id="902"/>
      </w:r>
      <w:r>
        <w:rPr>
          <w:rFonts w:ascii="Amiri" w:hAnsi="Amiri" w:eastAsia="Amiri" w:cs="Amiri"/>
          <w:color w:val="111111"/>
          <w:sz w:val="28"/>
          <w:sz w:val="28"/>
          <w:szCs w:val="28"/>
          <w:rtl w:val="true"/>
          <w:lang w:bidi="ar-SA"/>
        </w:rPr>
        <w:t>الاكتفاء بالقبول الفعلي الشامل لذلك، وهو لا يخلو من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الإيجاب فالظاهر عدم كفاية الفعل فيه مع التمكن من اللفظ وإن ضمّ إليه ما يدلّ على المقصود، سواء كان ذلك بالإشارة المفهمة، أو الكتابة المعلوم مقارنة القصد لها؛ لأصالة عدم النقل والانتقال، مع الشكّ في شمول دليل الوصيّة لمثله، ولو لم تكن الإشارة مفهمة والكتابة غير معلوم قصد الوصيّة معها فلا إشكال في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يتمكن الوصي من اللفظ، صحت الوصيّة بالإشارة المفهمة، وبالكتابة المعلوم مقارنة قصد الوصيّة لها، وهما في المرتبة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يتفاوت الحال بين كون العجز لخرس أو مرض أو لشدة ألم أو اعتقال لسان؛ كلّ ذلك لظاهر الإجماع المنقول </w:t>
      </w:r>
      <w:r>
        <w:rPr>
          <w:rStyle w:val="FootnoteAnchor"/>
          <w:rtl w:val="true"/>
        </w:rPr>
        <w:footnoteReference w:id="903"/>
      </w:r>
      <w:r>
        <w:rPr>
          <w:rFonts w:ascii="Amiri" w:hAnsi="Amiri" w:eastAsia="Amiri" w:cs="Amiri"/>
          <w:color w:val="111111"/>
          <w:sz w:val="28"/>
          <w:sz w:val="28"/>
          <w:szCs w:val="28"/>
          <w:rtl w:val="true"/>
          <w:lang w:bidi="ar-SA"/>
        </w:rPr>
        <w:t>، ولظاهر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كخبر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أمضى وصيّة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اعتقل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وكخبر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اعتقل لسانه فجعل أهله يسألوه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فلاناً؟ فيؤمئ برأسه،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جائز</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وكخبر أُمامة حين سألها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 فلاناً؟ فجعلت تشير برأسها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فأجازا ذلك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تُحمل الرواية الأولى على الوصيّة المتعارفة لا التمليكيّة، والأخيرين على الإقرار؛ لأنّ موردهما العتق وهو لا يقع بالفعل، وحملهما على الوصيّة به ليس بأولى من حملهما على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فالحكم لا إشكال فيه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بعضهم </w:t>
      </w:r>
      <w:r>
        <w:rPr>
          <w:rStyle w:val="FootnoteAnchor"/>
          <w:rtl w:val="true"/>
        </w:rPr>
        <w:footnoteReference w:id="907"/>
      </w:r>
      <w:r>
        <w:rPr>
          <w:rFonts w:ascii="Amiri" w:hAnsi="Amiri" w:eastAsia="Amiri" w:cs="Amiri"/>
          <w:color w:val="111111"/>
          <w:sz w:val="28"/>
          <w:sz w:val="28"/>
          <w:szCs w:val="28"/>
          <w:rtl w:val="true"/>
          <w:lang w:bidi="ar-SA"/>
        </w:rPr>
        <w:t xml:space="preserve">صحّة الوصيّة بالكتابة، وأيدها آخرون </w:t>
      </w:r>
      <w:r>
        <w:rPr>
          <w:rStyle w:val="FootnoteAnchor"/>
          <w:rtl w:val="true"/>
        </w:rPr>
        <w:footnoteReference w:id="908"/>
      </w:r>
      <w:r>
        <w:rPr>
          <w:rFonts w:ascii="Amiri" w:hAnsi="Amiri" w:eastAsia="Amiri" w:cs="Amiri"/>
          <w:color w:val="111111"/>
          <w:sz w:val="28"/>
          <w:sz w:val="28"/>
          <w:szCs w:val="28"/>
          <w:rtl w:val="true"/>
          <w:lang w:bidi="ar-SA"/>
        </w:rPr>
        <w:t xml:space="preserve">بشمول إطلاقات الوصيّة لها، وبما دلّ من النهي عن أن يبيت الإنسان إلّا ووصيته تحت رأسه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ضعف ؛ لمنع انصراف إطلاقات الوصيّة المفيدة للملك لذلك، ولمنع شمول النواهي الواردة لها، بل الظاهر من تلك الأخبار هو إرادة الوصيّة المتعارفة من بيان ما له وما عليه وما يريده من أخذ وعطاء وصدقةٍ، وفرق بين الوصيّة بالتمليك وبين التمليك الذي هو نفس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فلا تكفي الكتابة وإن شوهد الموصي كاتباً، أو علم أنّه خطه،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عالم به،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وصيني فاشهدوا عليها، أو قرأها عليه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أو قرأها هو قاصداً التلاوة ولم يقصد الإنشاء بها؛ كلّ ذلك لعدم نفوذ الكتابة، لا لعدم إمكان العلم بمقصوده؛ لجواز التمكن من العلم بقصده في كثير من المقامات، كما إذا قرأها عليه فأقرها كذلك، أو تلاها لنفسه فأقرّ بأنّه أوصى بها،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وتكفي هذه الطرق الدالّة على قصده الوصيّة في الوصيّة بالمعنى المعروف، المشتملة على الأمر والنهي وبيان ما له وما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ما وُجد مكتوباً بخط الميّت ممّا له وما عليه مع التجرّد عن القرينة الدالّة على الوصيّة به، المقطوع بدلالتها من جهة القول أو الفعل، سواء عمل الورثة ببعضها أم لا؛ للأصل، ولعدم ثبوت كونها وصيّة؛ لأنّ الكتابة أعم من قصد الوصيّة، والعام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شهدت بقصد الوصيّة بها بينة عادلة أو أقرّ الورثة بصحّتها وقصد الوصيّة بها، لزم اتباع البيّنة، وصح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النهاية أن الورثة إن عملوا ببعضها لزمهم العمل بجميعها </w:t>
      </w:r>
      <w:r>
        <w:rPr>
          <w:rStyle w:val="FootnoteAnchor"/>
          <w:rtl w:val="true"/>
        </w:rPr>
        <w:footnoteReference w:id="910"/>
      </w:r>
      <w:r>
        <w:rPr>
          <w:rFonts w:ascii="Amiri" w:hAnsi="Amiri" w:eastAsia="Amiri" w:cs="Amiri"/>
          <w:color w:val="111111"/>
          <w:sz w:val="28"/>
          <w:sz w:val="28"/>
          <w:szCs w:val="28"/>
          <w:rtl w:val="true"/>
          <w:lang w:bidi="ar-SA"/>
        </w:rPr>
        <w:t xml:space="preserve">لمكاتبة إبراهيم بن محمد الهمداني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كتب كتاباً فيه ما أراد أن يوصي به، هل يجب على الورثة القيام بما في الكتاب بخطه ولم يأمرهم بذلك ؟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ولد ينفذون كلّ شيءٍ يجدون في كتاب أبيهم في وجه البر وغيره</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لمخالفته الأصل وفتوى المشهور، وضعف سنده بالمكاتبة والجهالة، وضعف دلالته بعدم الصراحة في المطلوب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الذب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المخالفة في العموم والخصوص، فينبغي التخصيص، </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قدح المكاتبة في الحجيّة، مع أنّه على تقدير تسليمه إنما هو لاحتمال الورود مورد التقية، وهو غير ممكن في الرواية؛ لأن التفصيل فيها مخالف لما عليه العامّة، 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القصور في سندها بالتهذيب </w:t>
      </w:r>
      <w:r>
        <w:rPr>
          <w:rStyle w:val="FootnoteAnchor"/>
          <w:rtl w:val="true"/>
        </w:rPr>
        <w:footnoteReference w:id="912"/>
      </w:r>
      <w:r>
        <w:rPr>
          <w:rFonts w:ascii="Amiri" w:hAnsi="Amiri" w:eastAsia="Amiri" w:cs="Amiri"/>
          <w:color w:val="111111"/>
          <w:sz w:val="28"/>
          <w:sz w:val="28"/>
          <w:szCs w:val="28"/>
          <w:rtl w:val="true"/>
          <w:lang w:bidi="ar-SA"/>
        </w:rPr>
        <w:t xml:space="preserve">، وأما في الفقيه </w:t>
      </w:r>
      <w:r>
        <w:rPr>
          <w:rStyle w:val="FootnoteAnchor"/>
          <w:rtl w:val="true"/>
        </w:rPr>
        <w:footnoteReference w:id="913"/>
      </w:r>
      <w:r>
        <w:rPr>
          <w:rFonts w:ascii="Amiri" w:hAnsi="Amiri" w:eastAsia="Amiri" w:cs="Amiri"/>
          <w:color w:val="111111"/>
          <w:sz w:val="28"/>
          <w:sz w:val="28"/>
          <w:szCs w:val="28"/>
          <w:rtl w:val="true"/>
          <w:lang w:bidi="ar-SA"/>
        </w:rPr>
        <w:t>فهو صحيح أو حسن، 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باندفاعه بالزيادة المروية في التذكرة حيث رواها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ولد ينفذون شيئاً منه وجب عليهم أن ينفذوا كلّ شيءٍ يجدون في كتاب أبيهم</w:t>
      </w:r>
      <w:r>
        <w:rPr>
          <w:rFonts w:eastAsia="Amiri" w:cs="Amiri" w:ascii="Amiri" w:hAnsi="Amiri"/>
          <w:color w:val="111111"/>
          <w:sz w:val="28"/>
          <w:szCs w:val="28"/>
          <w:rtl w:val="true"/>
          <w:lang w:bidi="ar-SA"/>
        </w:rPr>
        <w:t xml:space="preserve">» </w:t>
      </w:r>
      <w:r>
        <w:rPr>
          <w:rStyle w:val="FootnoteAnchor"/>
          <w:rtl w:val="true"/>
        </w:rPr>
        <w:footnoteReference w:id="914"/>
      </w:r>
      <w:r>
        <w:rPr>
          <w:rFonts w:ascii="IRNazanin" w:hAnsi="IRNazanin" w:eastAsia="IRNazanin"/>
          <w:color w:val="111111"/>
          <w:sz w:val="28"/>
          <w:sz w:val="28"/>
          <w:szCs w:val="28"/>
          <w:rtl w:val="true"/>
          <w:lang w:bidi="fa-IR"/>
        </w:rPr>
        <w:t>و</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جميع ما ذكره نظر؛ لبقاء ضعف الرواية عن مقاومة ما قدّمنا فتضعف عن التخصيص ولبقاء الإجمال في دلالتها فتضعف عن الأخذ بظاهرها؛ لاحتمال حمل الرواية على الاعتراف من الورثة بصحّة جميع الوصيّة وإن عملوا ببعض وتركوا بعضاً، كما هو الظاهر، إمّا لو اعترفوا ببعض وأنكروا بعضاً لم يجب عليهم العمل إلّا بما اعترفوا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عملهم في البعض قرينة على اعترافهم بصحّة الباقي فيجب عليهم العمل بالجميع حينئذٍ، بمعنى إلزامهم ظاهراً بذلك وإن كان لهم في الواقع عدمه إذا عملوا بعضاً دون بعض، إلّا أنّ هذه القرينة غير مطّردةٍ وغير قطعيّة؛ لاحتمال أن عملهم كان تبرّعاً؛ لأعودية بعض من بعض، أو أحوطيته، أو أسهليته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يوصي الفضولي عن غيره فيجيز غيره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وقوع القبول فضوليّاً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يوصي شخص بمال غيره عن نفسه فضولاً فيجيز المالك عن الموصي، وتكون الوصيّة عن الموصي، ومع التخالف بين فعل الموصي وإجازة المالك يقع الإشكال في الصحّة والأولى التجنّب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الوكالة في الوصيّة فإذا مات الموكّل لزمت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المعتبر في القبول المتفق على صحّته هو ما كان بعد الموت، وأما ما كان قبله فقيل بعدم اعتباره </w:t>
      </w:r>
      <w:r>
        <w:rPr>
          <w:rStyle w:val="FootnoteAnchor"/>
          <w:rtl w:val="true"/>
        </w:rPr>
        <w:footnoteReference w:id="916"/>
      </w:r>
      <w:r>
        <w:rPr>
          <w:rFonts w:ascii="Amiri" w:hAnsi="Amiri" w:eastAsia="Amiri" w:cs="Amiri"/>
          <w:color w:val="111111"/>
          <w:sz w:val="28"/>
          <w:sz w:val="28"/>
          <w:szCs w:val="28"/>
          <w:rtl w:val="true"/>
          <w:lang w:bidi="ar-SA"/>
        </w:rPr>
        <w:t xml:space="preserve">للأصل في محلّ الشكّ، ولعدم مطابقته للإيجاب؛ حيث إنّه مقيد بما بعد الموت، </w:t>
      </w:r>
    </w:p>
    <w:p>
      <w:pPr>
        <w:pStyle w:val="BookText"/>
        <w:rPr/>
      </w:pPr>
      <w:r>
        <w:rPr>
          <w:rFonts w:ascii="Amiri" w:hAnsi="Amiri" w:eastAsia="Amiri" w:cs="Amiri"/>
          <w:color w:val="111111"/>
          <w:sz w:val="28"/>
          <w:sz w:val="28"/>
          <w:szCs w:val="28"/>
          <w:rtl w:val="true"/>
          <w:lang w:bidi="ar-SA"/>
        </w:rPr>
        <w:t>ولأن ما قبل الموت ليس محلاً للقبول فأشبه بيع ما سيملك؛ ولأنّ القبول إمّا كاشف أو جزء السبب الناقل، وعلى التقديرين يمتنع اعتباره قبل الموت؛ لأنّه على الأوّل يكون كاشفاً عن الملك المتقدّم عليه، وهو ممتنع قبل الموت، وعلى الثاني يكون متمماً للملك قبل الموت، وهو ممتنع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باعتباره </w:t>
      </w:r>
      <w:r>
        <w:rPr>
          <w:rStyle w:val="FootnoteAnchor"/>
          <w:rtl w:val="true"/>
        </w:rPr>
        <w:footnoteReference w:id="917"/>
      </w:r>
      <w:r>
        <w:rPr>
          <w:rFonts w:ascii="Amiri" w:hAnsi="Amiri" w:eastAsia="Amiri" w:cs="Amiri"/>
          <w:color w:val="111111"/>
          <w:sz w:val="28"/>
          <w:sz w:val="28"/>
          <w:szCs w:val="28"/>
          <w:rtl w:val="true"/>
          <w:lang w:bidi="ar-SA"/>
        </w:rPr>
        <w:t xml:space="preserve">ونُسب </w:t>
      </w:r>
      <w:r>
        <w:rPr>
          <w:rStyle w:val="FootnoteAnchor"/>
          <w:rtl w:val="true"/>
        </w:rPr>
        <w:footnoteReference w:id="918"/>
      </w:r>
      <w:r>
        <w:rPr>
          <w:rFonts w:ascii="Amiri" w:hAnsi="Amiri" w:eastAsia="Amiri" w:cs="Amiri"/>
          <w:color w:val="111111"/>
          <w:sz w:val="28"/>
          <w:sz w:val="28"/>
          <w:szCs w:val="28"/>
          <w:rtl w:val="true"/>
          <w:lang w:bidi="ar-SA"/>
        </w:rPr>
        <w:t>للأكثر؛ لحصول المطلوب، وهو قبول ما نقل إليه من الملك على الوجه الذي نقل وإن لم يكن في وقته بل كان متأخراً عنه، كما أن الإيجاب كذلك قد وقع مع تأخر الملك، ولأنّ الموصي مالك للمال فله نقله متى شاء، كذلك الموصى له قابل لملك أن يملك أي وقت شاء وإن لم يتحقق الملك حال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أُضيف إلى ذلك تنزيل القبول هنا منزلة البيع بشرط أو إلى أجلٍ، وربما استدلّ عليه بعموم أدلّة الوفاء بالعقود </w:t>
      </w:r>
      <w:r>
        <w:rPr>
          <w:rStyle w:val="FootnoteAnchor"/>
          <w:rtl w:val="true"/>
        </w:rPr>
        <w:footnoteReference w:id="919"/>
      </w:r>
      <w:r>
        <w:rPr>
          <w:rFonts w:ascii="Amiri" w:hAnsi="Amiri" w:eastAsia="Amiri" w:cs="Amiri"/>
          <w:color w:val="111111"/>
          <w:sz w:val="28"/>
          <w:sz w:val="28"/>
          <w:szCs w:val="28"/>
          <w:rtl w:val="true"/>
          <w:lang w:bidi="ar-SA"/>
        </w:rPr>
        <w:t>، وبإطلاقات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دليل الأولين بأنّ القبول لا يلزم حصول الملك به بالفعل، وإنما يحصل الملك بتمام سببه والقبول من تمام السبب، وهو لا يلزم حصول المسبب معه؛ لجواز تخلّفه لفقد شرط، وهو هنا كذلك؛ لأنّ الموت شرط انتقال الملك، والإيجاب كما وقع قبل زمان الملك ناقلاً له في وقت متأخر فكذلك القبول، فالمطابقة بين الإيجاب والقبول حاصلة، والفرق بينه وبين بيع ما سيملكه أن بيع ما سيملك ممتنع شرعاً إيجاباً وقبولاً، بخلافه ها هنا فإنّه غير ممتنع إلّا على الوجه المذكور، وقد عرفت عدم تحقق مانعيته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لنا أن نختار أنّ القبول هنا ناقل، ونريد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الواقع بعد الإيجاب سبب في نقل الملك على الوجه الواقع في الإيجاب، فكما أنّ تأثير الملك الحاصل من الإيجاب موقوف على اجتماع شرائطه التي أحدها الموت فكذلك القبول، ونظيره عقد الفضولي؛ حيث إنّ العقد ب تام في حصول الملك، لكن مع اجتماع شرائطه التي أحدها رضى المالك المتأخر عن وقوع العقد، واحتمال الكشف والنقل في القبول مختص بالقبول الحاصل بعد الموت، فلا يلزم منه جريان احتمالهما في كلّ قبول واقع من الموصى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فالقول الثاني قوي جداً، إلّا أنّ الأوّل أحوط للتفصي عن الخروج عما هو المقطوع به من إطلاقات الوصيّة ومن أدلتها قولاً وفعلاً، وعمّا هو المعهود التي قدجرت عليه السيرة المقطوع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 الإيجاب والقبول بشرائطهما المعلومة حصل الملك للموصى له، ولا يفتقر إلى القبض، لا على وجه النقل ولا على وجه الكشف ولا على وجه أن عدمه فاسخ من حينه أو من أصله؛ للأصل والعموم والإطلاقات الظاهرة في صدقها على الوصيّة من دون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 عن رجل أُوصي له بوصيّة فمات قبل أن يقبضها ولم يترك عقباً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له وارثاً أو مولى فادفعها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أعلم أنّ له وليّاً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اجهد على أن تقدر له على ولي، فإن لم تجد وعلم اللّه تعالى منك الجد فتصدق بها</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بتوقف صحّة الوصيّة على القبض </w:t>
      </w:r>
      <w:r>
        <w:rPr>
          <w:rStyle w:val="FootnoteAnchor"/>
          <w:rtl w:val="true"/>
        </w:rPr>
        <w:footnoteReference w:id="922"/>
      </w:r>
      <w:r>
        <w:rPr>
          <w:rFonts w:ascii="Amiri" w:hAnsi="Amiri" w:eastAsia="Amiri" w:cs="Amiri"/>
          <w:color w:val="111111"/>
          <w:sz w:val="28"/>
          <w:sz w:val="28"/>
          <w:szCs w:val="28"/>
          <w:rtl w:val="true"/>
          <w:lang w:bidi="ar-SA"/>
        </w:rPr>
        <w:t>قياساً على الوقف والهبة، بل إذا لزم في المنجز من الوقف والهبة فلزومها في غيره أولى؛ لأنّه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القياس والأولوية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القبض هنا على القول باشتراطه يكفي فيه التخلية فقط، ولا يشترط فيه ما اشترطناه في البيع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ما ذكرنا أنّ الموصى له لو ردّ الوصيّة بعد الموت والقبول والقبض فلا أثر لردّه قطعاً؛ لاستقرار ملكه عليه فلا يزول عنه إلّا بسبب ناقل،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أعرض عنه مطلقاً أو أعرض عنه للورثة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لشخص خاص كالإعراض مطلقاً، كان بمنزلة المباح يملكه آخذه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ردّها بعد الموت والقبول دون القبض،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جزء من السبب المملك بطلت الوصيّة؛ لكونها حينئذٍ بمنزلة العقد الذي لم يتمّ فله إبطاله ونقضه، وليس له بعد بطلان الوصيّة إعادة القبول؛ لبطلان أثر الإيجاب الأوّل وعدم إيجاب آخر يقتضي القبول،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ليس كذلك فلا أثر للرد؛ لاستقرار ملكه بالموت والقبول فلا يزال إلّا بسبب جديد</w:t>
      </w:r>
      <w:r>
        <w:rPr>
          <w:rFonts w:eastAsia="Amiri" w:cs="Amiri" w:ascii="Amiri" w:hAnsi="Amiri"/>
          <w:color w:val="111111"/>
          <w:sz w:val="28"/>
          <w:szCs w:val="28"/>
          <w:rtl w:val="true"/>
          <w:lang w:bidi="ar-SA"/>
        </w:rPr>
        <w:t xml:space="preserve">. </w:t>
      </w:r>
      <w:bookmarkStart w:id="684" w:name="pg19218_274208"/>
    </w:p>
    <w:p>
      <w:pPr>
        <w:pStyle w:val="BookText"/>
        <w:rPr/>
      </w:pPr>
      <w:bookmarkEnd w:id="684"/>
      <w:r>
        <w:rPr>
          <w:rFonts w:ascii="Amiri" w:hAnsi="Amiri" w:eastAsia="Amiri" w:cs="Amiri"/>
          <w:color w:val="111111"/>
          <w:sz w:val="28"/>
          <w:sz w:val="28"/>
          <w:szCs w:val="28"/>
          <w:rtl w:val="true"/>
          <w:lang w:bidi="ar-SA"/>
        </w:rPr>
        <w:t>وإن ردّ بعد الموت وقبل القبول، بطل حكم الوصيّة أيضاً ؛ لأنّه بمنزلة الإيجاب المردود فلا أثر له بعد الرد، وليس له القبول بعد ذلك؛ لما قدمنا من بطلان أثره فلا يصلح القبول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 قبل الموت، فالظاهر أنّ الردّ لا أثر له في إبطال الإيجاب، وله تجديد القبول بعد الموت، سواء كان الردّ بعد القبول والقبض في حال الحياة، أو بعد القبول فقط، أو قبل القبول مطلقاً، وسواء قلنا بصحّة القبول في حال الحياة وتأثيره، أو قلنا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على القول بصحّة القبول قبل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لمّا كانت تمليكاً بعد الوفاة فقبلها لم يحصل ملك وإن حصل القبول، فردّه حينئذٍ بمنزلة ردّ ملك الغير يقع لاغياً، والفرق بينه وبين الردّ بعد الموت وقبل القبول وإن اشتركا في 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بعد الموت قد بقي موقوفاً على القبول فقط، فردّه وعدم الرضى به يكون واقعاً في محلّه، فينتقض الإيجاب الصادر من الموصي، كما ينتقض كلّ إيجاب قد صدر رده قبل القبول، بخلاف الردّ الواقع حال الحياة، فإنّه لم يصادف ملكاً ولا محلاً للملك ولا محلّاً لقبوله بحيث لو حصل ثبت الملك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فللقبول محلّان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أداء ومحلّ إجزاء، فردّه في محلّ الإجزاء لا يبطل به الإيجاب، ولا يفوت صحّته في محلّ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الباب فتوى الأصحاب، والركون للاستصحاب، وإلا فللمناقشة على القول بصحّة القبول حال الحياة مع وقوعه من الموصى له ومع عدمه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الموصى له بعض الوصيّة دون بعض فقبِل بعضاً ورد في آخر، صحّ فيما قبل، وبطل في المردود؛ لأنّ الوصيّة من العقود الشرعيّة ولا ربط لبعض أجزائها بالبعض الآخر، وليس عقدها كعقود المعاوضة ترتبط أجزاؤها بعضاً ببعض؛ لمدخلية جملة المعوّض في مقابلة جملة العوض، فتلحظ حينئذٍ أجزاؤها تبعاً في المعاوضة؛ ولذلك نحكم عند فوات بعض أجزائها إمّا بالبطلان أو بالخيار، ونحكم فيها بعد جواز قبول بعضها بما يخصه من العوض دون بعض، بخلاف العقود الشرعيّة التبرّعيّة، كالهبة والصدقة والوقف</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3425255_1280447820"/>
      <w:bookmarkStart w:id="686" w:name="_Toc246"/>
      <w:bookmarkEnd w:id="685"/>
      <w:r>
        <w:rPr>
          <w:rtl w:val="true"/>
        </w:rPr>
        <w:t>ثانيها</w:t>
      </w:r>
      <w:r>
        <w:rPr>
          <w:rtl w:val="true"/>
        </w:rPr>
        <w:t xml:space="preserve">: </w:t>
      </w:r>
      <w:r>
        <w:rPr>
          <w:rtl w:val="true"/>
        </w:rPr>
        <w:t>فيما لو مات الموصى له قبل القبول وقبل الردّ قام وارثه في القبول مقامه</w:t>
      </w:r>
      <w:bookmarkEnd w:id="68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الموصى له قبل القبول وقبل الردّ، فالمشهور بين الأصحاب قيام وارثه القبول مقامه، سواء كان موته في حياة الموصي أم بعد وفاته ما لم يرد الموصي وصيته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أنّه لا تفاوت عندهم بين الوارث النسبي والسببي، ما عدا الوارث بالولاية كالحاكم، فإن الظاهر خروجه؛ لعدم 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وللشك في الحكم المخالف للأصل والاستصحاب من بقاء المال على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الوارث إن كان واحداً فلا كلام، وإن تعدّد فالظاهر أن كلا منهم يرث القبول في حصته، وليس لأحد أن يرث القبول في الكلّ بحيث يملك الباقي بمجرد قبوله، وإن احتمله ظاهر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فلو قبل الزوج النصف عاد النصف الثاني إذا لم يكن وارث ميراثاً، أو للحاكم إن قلنا بميراثه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يسري لوارث الوارث؛ تنقيحاً للعلة، وإلغاء للفارق، أو لا يسري؛ اقتصاراً على مورد اليقين؟</w:t>
      </w:r>
    </w:p>
    <w:p>
      <w:pPr>
        <w:pStyle w:val="BookText"/>
        <w:rPr/>
      </w:pPr>
      <w:r>
        <w:rPr>
          <w:rFonts w:ascii="IRNazanin" w:hAnsi="IRNazanin" w:eastAsia="IRNazanin"/>
          <w:color w:val="111111"/>
          <w:sz w:val="28"/>
          <w:sz w:val="28"/>
          <w:szCs w:val="28"/>
          <w:rtl w:val="true"/>
          <w:lang w:bidi="fa-IR"/>
        </w:rPr>
        <w:t>والأقوى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المقطوع بعدم قبوله المشكوك فيه؛ لأصالة عدم القبول، فيقوم وارثه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القبض في القبول على القول باشتراطه تسوية بينهما في العلة، وإلغاء للفارق، أو لا يلحق؛ للأصل؟</w:t>
      </w:r>
    </w:p>
    <w:p>
      <w:pPr>
        <w:pStyle w:val="BookText"/>
        <w:rPr/>
      </w:pPr>
      <w:r>
        <w:rPr>
          <w:rFonts w:ascii="Amiri" w:hAnsi="Amiri" w:eastAsia="Amiri" w:cs="Amiri"/>
          <w:color w:val="111111"/>
          <w:sz w:val="28"/>
          <w:sz w:val="28"/>
          <w:szCs w:val="28"/>
          <w:rtl w:val="true"/>
          <w:lang w:bidi="ar-SA"/>
        </w:rPr>
        <w:t xml:space="preserve">وقد يستدلّ على ثبوت أصل الحكم أن القبول حقّ للمورّث فيرثه وارثه؛ لعموم ما دلّ على أنّ كلّ ما ترك الميّت فهو لوارثه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القبول حقّ له ما دام حياً كسائر ما يقع من القبول في العقود الجائزة واللازمة، وليس له بعد الموت محلُّ كي 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الميّت فهو لوارثه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في الاستدلال على ثبوت المطلوب رواية محمّد بن قيس، المنجبرة بفتوى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لآخر والموصى له غائب، فتوفّي الذي أُوصي له قبل الموصي،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لوارث الذي أوصي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أوصى لأحدٍ شاهداً أو غائباً فتوفّي الموصى له قبل الموصي، فالوصيّة لوارث الذي أوصي له، إلّا أن يرجع في وصيته قبل موته</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والحسن أو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أُوصي له بوصيّة فمات قبل أن يقبضها ولم يترك عقباً،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له وارثاً أو مولى نعمة فادفعها إليه</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وقريب منه الثالث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ظاهر التذكرة الاتفاق على الحكم فيما إذا مات الموصى له بعد الموصي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صحّة الرواية الأولى؛ لثبوت توثيق إبراهيم بن هاشم، وثبوت كون محمد بن قيس هو الثقة، بقرينة رواية عاصم بن حميد عنه ويُجبر الأخيرين سنداً ودلالةً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الأخبار أنّ الوصيّة تكون للوارث قهراً من دون افتقار إلى قبول، إلّا أن ظاهر الأصحاب توقف الملك على القبول، كما في الوصايا الأُخر، ولاستبعاد إدخال المال في ملك آخر قهراً، ولأن المورّث الذي هو الأصل في الوصيّة لو توقف ملكه على القبول فالوارث المتلقى عنه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928"/>
      </w:r>
      <w:r>
        <w:rPr>
          <w:rFonts w:ascii="Amiri" w:hAnsi="Amiri" w:eastAsia="Amiri" w:cs="Amiri"/>
          <w:color w:val="111111"/>
          <w:sz w:val="28"/>
          <w:sz w:val="28"/>
          <w:szCs w:val="28"/>
          <w:rtl w:val="true"/>
          <w:lang w:bidi="ar-SA"/>
        </w:rPr>
        <w:t>إلى بطلان الوصيّة بموت الموصى له قبل القبول، سواء مات في حياة الموصي أو بعد وفاته؛ استناداً إلى أنّ الوصيّة عقد فتبطل بموت القابل قبل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الصحيح عن رجل أوصى لرجل فمات الموصى له قبل الموصي،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929"/>
      </w:r>
      <w:r>
        <w:rPr>
          <w:rFonts w:ascii="IRNazanin" w:hAnsi="IRNazanin" w:eastAsia="IRNazanin"/>
          <w:color w:val="111111"/>
          <w:sz w:val="28"/>
          <w:sz w:val="28"/>
          <w:szCs w:val="28"/>
          <w:rtl w:val="true"/>
          <w:lang w:bidi="fa-IR"/>
        </w:rPr>
        <w:t xml:space="preserve">وإلى الموثّق </w:t>
      </w:r>
      <w:r>
        <w:rPr>
          <w:rStyle w:val="FootnoteAnchor"/>
          <w:rtl w:val="true"/>
        </w:rPr>
        <w:footnoteReference w:id="930"/>
      </w:r>
      <w:r>
        <w:rPr>
          <w:rFonts w:ascii="IRNazanin" w:hAnsi="IRNazanin" w:eastAsia="IRNazanin"/>
          <w:color w:val="111111"/>
          <w:sz w:val="28"/>
          <w:sz w:val="28"/>
          <w:szCs w:val="28"/>
          <w:rtl w:val="true"/>
          <w:lang w:bidi="fa-IR"/>
        </w:rPr>
        <w:t>، وهو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وهما ضعيفان عن معارضة الأخبار المتقدّمة الدالّة على صحّة الوصيّة؛ لاعتضادها بفتوى المشهور، ومخالفة أكثر العامّة ومنهم أصحاب الرأي وهُمْ أصحاب أبي حنيفة، كما حكاه في التذكرة </w:t>
      </w:r>
      <w:r>
        <w:rPr>
          <w:rStyle w:val="FootnoteAnchor"/>
          <w:rtl w:val="true"/>
        </w:rPr>
        <w:footnoteReference w:id="931"/>
      </w:r>
      <w:r>
        <w:rPr>
          <w:rFonts w:ascii="Amiri" w:hAnsi="Amiri" w:eastAsia="Amiri" w:cs="Amiri"/>
          <w:color w:val="111111"/>
          <w:sz w:val="28"/>
          <w:sz w:val="28"/>
          <w:szCs w:val="28"/>
          <w:rtl w:val="true"/>
          <w:lang w:bidi="ar-SA"/>
        </w:rPr>
        <w:t>، مع احتمالهما لإرادة أن الموت ليس بشيءٍ ينقض الوصيّة، كما يشعر به تذكير الضمير المستتر، ولا يراد أنّ الوصيّة ليست بشيءٍ، ولا أقلّ من الإجمال، فيسقط بهما الاستدلال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يُجمع بين الأخبار بحمل الأخيرين على رجوع الموصي في وصيته كما أفصحت عنه </w:t>
      </w:r>
    </w:p>
    <w:p>
      <w:pPr>
        <w:pStyle w:val="BookText"/>
        <w:rPr/>
      </w:pPr>
      <w:r>
        <w:rPr>
          <w:rFonts w:ascii="Amiri" w:hAnsi="Amiri" w:eastAsia="Amiri" w:cs="Amiri"/>
          <w:color w:val="111111"/>
          <w:sz w:val="28"/>
          <w:sz w:val="28"/>
          <w:szCs w:val="28"/>
          <w:rtl w:val="true"/>
          <w:lang w:bidi="ar-SA"/>
        </w:rPr>
        <w:t>الصحيحة السابقة، أو على دلالة القرائن على إرادة تخصيص الوصيّة بنفس المورّث دون الوارث، فإنّه يشكل هنا الحكم بالانتقال إلى الوارث؛ اقتصاراً فيما خالف الأصل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بالفرق بين صورتي موته في حياة الموصي فالبطلان وبين موته بعد وفاته فالصحّة </w:t>
      </w:r>
      <w:r>
        <w:rPr>
          <w:rStyle w:val="FootnoteAnchor"/>
          <w:rtl w:val="true"/>
        </w:rPr>
        <w:footnoteReference w:id="932"/>
      </w:r>
      <w:r>
        <w:rPr>
          <w:rFonts w:ascii="Amiri" w:hAnsi="Amiri" w:eastAsia="Amiri" w:cs="Amiri"/>
          <w:color w:val="111111"/>
          <w:sz w:val="28"/>
          <w:sz w:val="28"/>
          <w:szCs w:val="28"/>
          <w:rtl w:val="true"/>
          <w:lang w:bidi="ar-SA"/>
        </w:rPr>
        <w:t>استضعافاً لما دلّ على الصحّة في هذه الصورة، واستناداً إلى أن القبول كاشف فمع موت الموصى له في حياة الموصي لا يكون معنى للكشف؛ لعدم زوال ملك الموصي عنه، فلا يكشف عن دخوله في ملك الموصى له، ولا بعد مماته؛ لأنّ الميّت لا يقبل الملك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الاستضعاف في غير محله بعد ما قدمنا، وإنّا نلتزم أن القبول هنا ناقل للوارث من حين موت الموصي، أو كاشف عن ملكه له حين موته، ولا نعلم أنّ كلّ قبول كاشف عن ملك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في الوارث الخاص، وأما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كونه منه، ونُسب للمعظم </w:t>
      </w:r>
      <w:r>
        <w:rPr>
          <w:rStyle w:val="FootnoteAnchor"/>
          <w:rtl w:val="true"/>
        </w:rPr>
        <w:footnoteReference w:id="933"/>
      </w:r>
      <w:r>
        <w:rPr>
          <w:rFonts w:ascii="Amiri" w:hAnsi="Amiri" w:eastAsia="Amiri" w:cs="Amiri"/>
          <w:color w:val="111111"/>
          <w:sz w:val="28"/>
          <w:sz w:val="28"/>
          <w:szCs w:val="28"/>
          <w:rtl w:val="true"/>
          <w:lang w:bidi="ar-SA"/>
        </w:rPr>
        <w:t xml:space="preserve">وللأكثر </w:t>
      </w:r>
      <w:r>
        <w:rPr>
          <w:rStyle w:val="FootnoteAnchor"/>
          <w:rtl w:val="true"/>
        </w:rPr>
        <w:footnoteReference w:id="934"/>
      </w:r>
      <w:r>
        <w:rPr>
          <w:rFonts w:ascii="Amiri" w:hAnsi="Amiri" w:eastAsia="Amiri" w:cs="Amiri"/>
          <w:color w:val="111111"/>
          <w:sz w:val="28"/>
          <w:sz w:val="28"/>
          <w:szCs w:val="28"/>
          <w:rtl w:val="true"/>
          <w:lang w:bidi="ar-SA"/>
        </w:rPr>
        <w:t xml:space="preserve">اقتصاراً على مورد اليقين،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اجهد على أن تقدر له على وليٍّ</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تأكيد لتحصيل الوارث الخاص، ولا يراد به العام؛ لأنّه هو الولي، فلا معنى للجهد على تحصيله، إلّا أن يُحمل على بيان تعليمه،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يدخل مولى النعمة وضامن الجريرة في الوارث الخاص؟ الظاهر ذلك؛ لأنّه وارث، ولنص الرواية على مولى النعمة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مات الموصى له بعد موت الموصي، فقبول الوارث بناءً على الكشف يكون كاشفاً عن ملك الوارث من حين موت مورّثه لا من حين موت الموصي ؛ لأن الوصيّة لمورّثه، وهو طریق آخر في الكشف ولا مانع منه؛ لأنّه غير موصى إليه، ولا يكون كاشفاً عن ملك الموصى له؛ لعدم صلاحيته للملك، لعدم وقوع القبول منه إلّا أن يجعل قبول الوارث مؤثراً في ملك المورّث؛ لأنّه بمنزلته فكأنه هو، فيكون كاشفاً عن ملك الموصى له</w:t>
      </w:r>
      <w:r>
        <w:rPr>
          <w:rFonts w:eastAsia="IRNazanin" w:cs="IRNazanin"/>
          <w:color w:val="111111"/>
          <w:sz w:val="28"/>
          <w:szCs w:val="28"/>
          <w:rtl w:val="true"/>
          <w:lang w:bidi="fa-IR"/>
        </w:rPr>
        <w:t xml:space="preserve">. </w:t>
      </w:r>
      <w:bookmarkStart w:id="687" w:name="pg19218_274212"/>
    </w:p>
    <w:p>
      <w:pPr>
        <w:pStyle w:val="Heading4"/>
        <w:numPr>
          <w:ilvl w:val="3"/>
          <w:numId w:val="1"/>
        </w:numPr>
        <w:rPr/>
      </w:pPr>
      <w:bookmarkStart w:id="688" w:name="__RefHeading___Toc13425257_1280447820"/>
      <w:bookmarkStart w:id="689" w:name="_Toc247"/>
      <w:bookmarkEnd w:id="687"/>
      <w:bookmarkEnd w:id="688"/>
      <w:r>
        <w:rPr>
          <w:rtl w:val="true"/>
        </w:rPr>
        <w:t>ثالثها</w:t>
      </w:r>
      <w:r>
        <w:rPr>
          <w:rtl w:val="true"/>
        </w:rPr>
        <w:t xml:space="preserve">: </w:t>
      </w:r>
      <w:r>
        <w:rPr>
          <w:rtl w:val="true"/>
        </w:rPr>
        <w:t>هل تتوقف الوصيّة على القبول من الموصى له؟</w:t>
      </w:r>
      <w:bookmarkEnd w:id="689"/>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توقف الوصيّة على القبول من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لم يعتبره </w:t>
      </w:r>
      <w:r>
        <w:rPr>
          <w:rStyle w:val="FootnoteAnchor"/>
          <w:rtl w:val="true"/>
        </w:rPr>
        <w:footnoteReference w:id="937"/>
      </w:r>
      <w:r>
        <w:rPr>
          <w:rFonts w:ascii="Amiri" w:hAnsi="Amiri" w:eastAsia="Amiri" w:cs="Amiri"/>
          <w:color w:val="111111"/>
          <w:sz w:val="28"/>
          <w:sz w:val="28"/>
          <w:szCs w:val="28"/>
          <w:rtl w:val="true"/>
          <w:lang w:bidi="ar-SA"/>
        </w:rPr>
        <w:t>وجعل الوصيّة من النواقل القهرية، أو من الإيقاع المؤثر ملكاً ما لم يرد الموصى له، فيكون الردّ فاسخاً من حينه أو كاشفاً عن عدم الملك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استشكل بعضهم </w:t>
      </w:r>
      <w:r>
        <w:rPr>
          <w:rStyle w:val="FootnoteAnchor"/>
          <w:rtl w:val="true"/>
        </w:rPr>
        <w:footnoteReference w:id="938"/>
      </w:r>
      <w:r>
        <w:rPr>
          <w:rFonts w:ascii="Amiri" w:hAnsi="Amiri" w:eastAsia="Amiri" w:cs="Amiri"/>
          <w:color w:val="111111"/>
          <w:sz w:val="28"/>
          <w:sz w:val="28"/>
          <w:szCs w:val="28"/>
          <w:rtl w:val="true"/>
          <w:lang w:bidi="ar-SA"/>
        </w:rPr>
        <w:t>في انفساخ الملك بالرد؛ لعدم الدليل عليه سوى 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 الشهيد الخلاف فيما لو كانت الوصيّة لمعيّن، ولو كانت لجهة عامة فقد نقل عدم الخلاف في عدم لزوم القبول </w:t>
      </w:r>
      <w:r>
        <w:rPr>
          <w:rStyle w:val="FootnoteAnchor"/>
          <w:rtl w:val="true"/>
        </w:rPr>
        <w:footnoteReference w:id="939"/>
      </w:r>
      <w:r>
        <w:rPr>
          <w:rFonts w:ascii="Amiri" w:hAnsi="Amiri" w:eastAsia="Amiri" w:cs="Amiri"/>
          <w:color w:val="111111"/>
          <w:sz w:val="28"/>
          <w:sz w:val="28"/>
          <w:szCs w:val="28"/>
          <w:rtl w:val="true"/>
          <w:lang w:bidi="ar-SA"/>
        </w:rPr>
        <w:t>، وهو حسن إلّا أنّ الأحوط تولّي الحاكم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لزوم القبول فهل هو كاشف عن ملك الموصى له للوصيّة من حين الموت، فيكون كالإجازة في العقد الفضولي، أو مؤثر للملك في ذلك الوقت فيؤثر المتأخر في المتقدّم، أو ناقل من حينه وقبله فالمال على حكم مال الميت، أو في حكم مال الوارث؟ وجوه، وجملة منها أقوال أظهرها وأقواها أنّ القبول ناقل من حينه؛ لاعتباره قطعاً وشرطيته، وظاهر ذلك أن تحصيل الملك قبله للموصى له لا وجه له ولأنّ الوصيّة تمليك كسائر العقود فلا يسبق الملك القبول، كما هو الشأن فيها، ولأنّ الأصل عدم النقل والانتقال إلّا به، ولأن الموصى له لورد الوصيّة بطلت، ولو كان قد ملك لما بطل الملك بالردّ، ولأنّ الملك لو حصل قبل القبول لما افتقر وارث الموصى له إلى القبول وهو مفتقر إجماعاً، ولأن الأصل في الشرائط والأسباب أن لا يقع المشروط والمسبب إلّا بعد وقوعهما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ضعف ما يقال في وجه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يثبت في توقف الملك على القبول أنّه لا يعلم حصوله إلّا به، وأما أنّه يتوقف عليه توقف المسبب على سببه فالأصل عدمه، وأن توقف الملك هنا على القبول ضعيف؛ لتخلّفه عنه في الوصيّة العامّة وفي الموصى له إذا مات، بخلاف غيره من العقود، فإنّها لا يصحّ فيها التخلّف، فيكفي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كاشفاً، فإنّ الموصى به لا يجوز انتقاله للوارث؛ لأن الميراث بعد الوصيّة، والوصيّة هنا موجودة، ولا يجوز بقاؤه على ملك الميّت؛ لعدم إمكان تملكه، ولا إلى ملك غير الوارث والموصى له إجماعاً، فلم يبق إلّا الانتقال إلى ملك الموصى له انتقالاً متوقفاً على قبوله </w:t>
      </w:r>
    </w:p>
    <w:p>
      <w:pPr>
        <w:pStyle w:val="BookText"/>
        <w:rPr/>
      </w:pPr>
      <w:r>
        <w:rPr>
          <w:rFonts w:ascii="Amiri" w:hAnsi="Amiri" w:eastAsia="Amiri" w:cs="Amiri"/>
          <w:color w:val="111111"/>
          <w:sz w:val="28"/>
          <w:sz w:val="28"/>
          <w:szCs w:val="28"/>
          <w:rtl w:val="true"/>
          <w:lang w:bidi="ar-SA"/>
        </w:rPr>
        <w:t>على وجه الكشف إن حصل القبول وإن حصل الردّ تبين ملك الوارث له؛ لتبين عدم الوصيّة ابتداء المتوقف ملك الوارث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الضعف في الجميع ظاهر؛ لما فيه من التكلف وقلة ارتباط المقدمات بالنتيجة، وادعاء ما ليس له دليل، والمصادرة على المطلوب، مضافاً إلى أن لنا في الأخير التزام انتقال الموصى به إلى الوارث؛ لمنع حصول الوصيّة بعدم حصول قبولها؛ لتركبها منه ومن الإيجاب، كما هو شأن العقود، ثمّ إن حصل القبول انتقل إلى الموصى له؛ لتمام السبب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تلقي الموصى له حينئذٍ من الوارث لا من الموصي،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منه، ولم يقم إجماع على عدمه، وبمنع تلقيه عن الوارث؛ لأن ملك الوارث مغيّى بحصول القبول، فإذا حصل ارتفع ملك الوارث وملك الموصى له بالوصيّة السابقة، ولنا التزام أنّ الموصى به على ملك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ونمنع من عدم إمكان ملك الميت، وسند المنع ما يقع من ملك مؤن تجهيزه وكفنه ودفنه، وما يتجدد له من ديةٍ أو حيازة بآلة 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هذا الأخير بمنع كون ذلك في ملك الميت، بل هو في ملك الوارث وإن تقدّم حقّ الميّت عليه كتقدّم حقّ المرتهن على حقّ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ضعف ما يقال في توجيه عدم اشتراط القبول في ملك الموصى له من أنّ الوصيّة كالميراث ينتقل بهما المال بالموت؛ لاشتراكهما في توقف تأثيرهما عليه، ومن أنّ الموصى به لو لم ينتقل إلى الموصى له لزم أن لا يكون له مالك؛ لعدم انتقاله إلى الوارث، لأنّه لا يملك إلّا بعد الوصيّة وغير المقبولة وصيّة؛ ولذا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مقبولة، والميت لا يملك فيكون المالك الموصى له، ووجه ضعفه ظاهر لا يخفى على غير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ما ذكرنا أمور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العبد وثمرة الشجرة وما شابههما من النماء الحاصل بين الموت والقبول هو للموصى له إن قلنا بملكه بالموت، سواء ردّ أو قبل، ولو ردّ الأصل لم تدخل في المردود، ولو ردّها لم يتعلّق بها ردّ إلّا بهبة جديدة مع احتمال تبعيتها للأصل في الردّ فترد تبعاً، سيما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فاسخ من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تكون مع الردّ بحكم مال الميت؛ لأنّها من جملة التركة، فتنفذ فيها وصاياه وتقضى منها ديونه، ولو قلنا بأنّ الردّ من الأصل كان أظهر، أو تختص بالوارث؛ لحدوثها في ملكه بعد زوال ملك الميّت عنها، ويبقى على حكم مال الميّت لو قلنا بتوقف ملك الموصى له على القبول، ويبقى موقوفاً على القول بالكشف فإن قبل كان له، وإن ردكان بحكم مال الميت؟</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العبد ونفقته ومؤونته المحتاج إليها ونفقة الحيوان الحاصلة بين الإيجاب والقبول على الموصى له إن قلنا بملكه بالموت، وعلى الوارث إن قلنا بعدمه، وعلى الكشف على الوارث إلى أن ينكشف فيؤخذ من الموصى له، أو على بيت المال إلى أن ينكشف في وجه، مع احتمال عدم وجوب الفطرة على الكشف على أحدٍ من الموصى له والوارث؛ لعدم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بمالكه، فلا تجب للزوم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الغفلة لا تسقط الوجوب، كمن لم يعلم بحصول المولود له عند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الجهل لعدم وصول الخبر إليه، وبين الجهل لعدم إمكان العلم؛ لتوقفه على أمر لا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بأمته المزوّجة حُرّاً له،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بالموت، انفسخ نكاحه به،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بالقبول، استمر نكاحه إلى القبول فينفسخ به، وإن قلنا بالكشف بقيت معلقةً إلى القبول فينكشف أنّها غير زوجته، وإن ردّ انكشف أنّها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زوجها وارثه ثمّ أوصى بها لغيره، فإن قلنا بملك الوارث قبل القبول، انفسخ النكاح، وإن قلنا بملك الموصى له، لم ينفسخ، فإن قبل استمر، وإن ردّ انفسخ حين نين الردّ، مع احتمال عدم الانفساخ مع ملك الوارث؛ لضعف ملكه، وهو بعيد، وإن قلنا بالكشف فإن قبل استمر النكاح، وإلا بطل، ولا يجوز للوارث التصرّف بها قبل الانكشاف؛ لتعلق حقّ الموصى له بها، مع احتماله؛ لأصالة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خرجت الأمة من الثلث، وإن لم تخرج منه، فإن لم يجز الورثة انفسخ النكاح، وإن أجازوا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بالموت أو ينكشف بعد قبوله، بني الحكم على أن الإجازة تنفيذ، أو ابتداء عطيّة، فعلى الأوّل لا ينفسخ، وعلى الثاني ينفسخ العقد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بأمته الحامل وحملها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حملها من زوجها لزوجها ولا بن لها حُرِّ </w:t>
      </w:r>
    </w:p>
    <w:p>
      <w:pPr>
        <w:pStyle w:val="BookText"/>
        <w:rPr/>
      </w:pPr>
      <w:r>
        <w:rPr>
          <w:rFonts w:ascii="Amiri" w:hAnsi="Amiri" w:eastAsia="Amiri" w:cs="Amiri"/>
          <w:color w:val="111111"/>
          <w:sz w:val="28"/>
          <w:sz w:val="28"/>
          <w:szCs w:val="28"/>
          <w:rtl w:val="true"/>
          <w:lang w:bidi="ar-SA"/>
        </w:rPr>
        <w:t>ومات، فإن خرجت من الثلث وقبلا الوصيّة وهُما موسران، نظر إن قبلا معاً عُتقت الأمة كلها على ابنها، نصفها بالملك والباقي بالسراية، وعليه للزوج قيمة نصفها، ويعتق الحمل عليهما بالسوية إن كان أنثى، إمّا الزوج فلأنّه ولده، وأما الأخ فلأنها أُخته، وإن كان ذكراً فإن قلنا بسراية عتق الحمل إلى الحامل فكذلك، وإلا انعتق على الأب، وعليه نصف القيمة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قبل أحدهما قبل الآخر، فإن قلنا بحصول الملك للموصى له بالموت، أو قلنا بالكشف مع حصوله فكذلك؛ لاتحاد وقت الملك وإن اختلف وقت القبول، وإن قلنا بحصوله بالقبول، فإن تقدّم قبول الابن عتقت الأمة والحمل عليه إذا قلنا بالسراية وكان الحمل أُنثى، وإلا عتقت الأُمّ خاصّة، وإن تقدّم قبول الزوج عتق جميع الحمل عليه، نصفها بالملك والباقي بالسراية، ويغرم قيمة نصفه يوم الولادة للابن، ولا يعتق عليه من الأمة شيء، فإذا قبل الابن عتق عليه جميعها بالملك والسراية، وغرم للزوج نصف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لإنسانٍ بمَنْ ينعتق عليه فقبل،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بالقبول، انعتق عليه حين القبول وجرت عليه الأحكام، وإن قلنا بالموت أو قلنا بالكشف وقد وقع، انعتق عليه حين الموت، وجرت عليه أحكامه من الكسب والنماء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بأمةٍ لابنها من غيره، فإن خرجت من الثلث وقبل الابن الوصيّة، عُتقت عليه، وإن ردّ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بالقبول، بقيت للوارث،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بالموت، انعتقت عليه وليس له الردّ، وإن قلنا بالكشف بقيت 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تخرج من الثلث فالجواز في قدر الثلث كذلك، وأما الزائد فإن أعتقه الوارث وهو موسر، انعتق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يقبل ابنها الوصيّة كان جميعها للوارث، وسرى البعض الذي أعتقه على الجميع، وإن قبل عتق عليه ما قبل،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بالموت ابتداءً أو كشفاً، قوم نصيب الوارث عليه،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بالقبول، عُتق الكلّ على الوارث؛ للسراية من نصيبه إلى قدر الثلث، والقبول بعده كإعتاق الشريك الثاني بعد إعتاق الأوّل وهو موسر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حكمنا بحصول السراية بنفس الإعتاق، وإن قلنا لا تحصل إلّا بأداء القيمة، فقبوله كإعتاق الشريك الثاني نصيبه قبل أخذ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بعبد لشخصين أحدهما مَنْ ينعتق عليه، فإن قبلا معاً عُتق جميعه على القريب بالملك والسراية إن كان موسراً، وكذا لو قبل القريب أولاً، وإن قبل الأجنبي أولاً، فإن أعتق نصيبه قبل قبول القريب ثمّ قبل القريب وقلنا بحصول الملك بالقبول، قوم نصيبه على الأجنبي،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بالموت، تبيّن أنّ عتق الأجنبي غير نافذ، وأنّه عتق جميعه على الوارث، وعليه نصف القيمة للأجنبي، وكذا لو قبل وقلنا بكون القبول كاشفاً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أوصى لآخر بأبيه فمات الموصي قبل الموصى له، ثمّ مات الموصى له وكان له ابن فقبل الوصيّة، فإن قلنا بالكشف، ثبتت حُرّيّة الأب من حين موت الموصي فيرث السدس؛ لتحقق موت الموصى له عن ابن وأب، ولا يلزم الدور من حيث إنّه لو ورث لاعتبر قبوله في الوصيّة؛ لأنّ المعتبر قبول جميع الورثة، واعتبار قبوله ممتنع؛ لأنّه رقيق فلا يُحكم بعتقه؛ لتوقفه على قبول جميع الورثة، وهو ممتنع بالنسبة إليه، فيلزم أن عدم توريثه مؤد إلى إبطال توريثه فيكون توريثه باطلاً، وذلك ؛ لأنّ المعتبر قبول جميع الورثة حين القبول وقد انحصر في ابن الابن، وعلى القول بأن القبول سبب عتق الجد على ابن الابن، ولا يرث؛ لسبق استحقاق الابن تركة أبيه على عتق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بجارية وحملها وكان حملها من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فرض ملك الحمل بشرط أو بتقدّم رقيّة على ملكه، أو لكونه 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الموصى له وقبل وارثه، فإن مات الموصى له في حياة الموصي انتقل الملك إلى الوارث ولا ينعتق عليه الولد، إلّا إذا كان أُنثى وكان الوارث ذكراً وكان بينهما العلاقة الموجبة للعتق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مات بعد وفاة الموصي،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ناقل من حينه مطلقاً، أو ناقل من حينه في خصوص هذا المقام لعدم تولّي الموصى له القبول أو كاشف عن ملك الوارث من حين موت الموصى له لا عن ملك الموصى له، فكذلك،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كاشف عن ملك الموصى له حين مات الموصي ؛ لأنّه نائب عنه وبمنزلته،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الموصى له يملك بالموت مطلقاً أو في خصوص هذا المقام، ملك الموصى له الولد وإن انعتق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فالولد يرث في الجملة؛ لزوال المانع من إرثه بانعتاقه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إرثه موقوف على قبول الوارث، فلو فرض أنّه وارث لاعتبر قبوله في </w:t>
      </w:r>
      <w:bookmarkStart w:id="690" w:name="pg19218_274217"/>
    </w:p>
    <w:p>
      <w:pPr>
        <w:pStyle w:val="BookText"/>
        <w:rPr/>
      </w:pPr>
      <w:bookmarkEnd w:id="690"/>
      <w:r>
        <w:rPr>
          <w:rFonts w:ascii="Amiri" w:hAnsi="Amiri" w:eastAsia="Amiri" w:cs="Amiri"/>
          <w:color w:val="111111"/>
          <w:sz w:val="28"/>
          <w:sz w:val="28"/>
          <w:szCs w:val="28"/>
          <w:rtl w:val="true"/>
          <w:lang w:bidi="ar-SA"/>
        </w:rPr>
        <w:t>الإرث، واعتبار قبوله موقوف على كونه وارثاً فيدور، مردودة بأن المعتبر قبول الوارث في الحال لا في المآل وقد حصل بقبول مَنْ كان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ميراثه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الوارث إن كان متحداً لم يرث هذا الولد مطلقاً؛ لاختصاص الوارث بالتركة قبل عتقه، وإن كان متعدّداً فإن كان موت الموصى له قبل الموصى فهو لا يرث من أُمّه مطلقاً؛ لأنّها لم تدخل في ملك أبيه فلم تكن من التركة، وأما ما تركه أبوه فله المشاركة فيه إن ساوى غيره، أو الاختصاص إن تقدّم وقد وقع القبول من الوارث قبل القسمة، وإن كان موت الموصى له بعد موت الموصي، فإن قلنا بالكشف من حين موت الموصي، ورث من أُمه؛ لأنّها من جملة التركة ولم تقسم كباقي التركة إن وقعت القسمة فيها، وإلا كانت كبقيّة التركة، وإن قلنا بالنقل، فلا يرث من أمه شيئاً؛ لأنّها لم تدخل في ملك أبيه</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13425259_1280447820"/>
      <w:bookmarkStart w:id="692" w:name="_Toc248"/>
      <w:bookmarkEnd w:id="691"/>
      <w:r>
        <w:rPr>
          <w:rtl w:val="true"/>
        </w:rPr>
        <w:t>رابعها</w:t>
      </w:r>
      <w:r>
        <w:rPr>
          <w:rtl w:val="true"/>
        </w:rPr>
        <w:t xml:space="preserve">: </w:t>
      </w:r>
      <w:r>
        <w:rPr>
          <w:rtl w:val="true"/>
        </w:rPr>
        <w:t>عدم صحّة الوصيّة في معصية</w:t>
      </w:r>
      <w:bookmarkEnd w:id="692"/>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الوصيّة في معصية، فلو أوصى بمحرَّم فسدت الوصيّة وعاد ميراثاً، سواء كان تحريمه لنفسه أو لغايته، وسواء صدر من مسلم أو كافر، إلّا أن الكافر إن أوصى بمعصية في مذهبه بطلت الوصيّة ظاهراً وباطناً، وإن أوصى بمعصية في مذهبنا مباح في مذهبه لزم تنفيذ وصيته، إجراء له على مذهبه، وإلزاماً لهم بما ألزموا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بهم المخالفون؛ لمكان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حرمت الوصيّة في مذهب الموصي من أهل الحق دون الموصى له منهم أو بالعكس، فسدت الوصيّة أيضاً؛ لعدم إمكان صحّة العقد من جانب واحد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بطلان الوصيّة بالمحرَّم اتفاق أصحابنا المنقول </w:t>
      </w:r>
      <w:r>
        <w:rPr>
          <w:rStyle w:val="FootnoteAnchor"/>
          <w:rtl w:val="true"/>
        </w:rPr>
        <w:footnoteReference w:id="940"/>
      </w:r>
      <w:r>
        <w:rPr>
          <w:rFonts w:ascii="Amiri" w:hAnsi="Amiri" w:eastAsia="Amiri" w:cs="Amiri"/>
          <w:color w:val="111111"/>
          <w:sz w:val="28"/>
          <w:sz w:val="28"/>
          <w:szCs w:val="28"/>
          <w:rtl w:val="true"/>
          <w:lang w:bidi="ar-SA"/>
        </w:rPr>
        <w:t xml:space="preserve">، بل المحصل، وتعلق النهي بنفس المعاملة المقتضي للفساد، وكونه إعانة على الإثم المنهي عنها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الموصى إليه إن خاف جنفاً من الموصي في ثلثه فيما أوصى به إليه ممّا لا يرضى اللّه تعالى به من خلاف الحق، فلا إثم على الموصى إليه أن يبدله إلى الحق وإلى ما يرضى اللّه تعالى به من سبيل الحق</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693" w:name="pg19218_274218"/>
    </w:p>
    <w:p>
      <w:pPr>
        <w:pStyle w:val="BookText"/>
        <w:rPr/>
      </w:pPr>
      <w:bookmarkEnd w:id="693"/>
      <w:r>
        <w:rPr>
          <w:rFonts w:ascii="Amiri" w:hAnsi="Amiri" w:eastAsia="Amiri" w:cs="Amiri"/>
          <w:color w:val="111111"/>
          <w:sz w:val="28"/>
          <w:sz w:val="28"/>
          <w:szCs w:val="28"/>
          <w:rtl w:val="true"/>
          <w:lang w:bidi="ar-SA"/>
        </w:rPr>
        <w:t>وفي السند ابن محبوب المُجمع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الوصيّة فيما لم يتموّل، وفي الحقير والكثير، وفي المقدور على تسليمه، وفي غير المقدور قبل الموت أو بعده، وفي عدم القدرة بعد الموت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الوصيّة بما لا يملك، ولا بما كان مباحاً، إلّا إذا تعلق للموصي فيه حقّ فتصح الوصيّة تبعاً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الوصيّة بملك الغير فضولاً عن الموصي فيجيز المالك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الوصيّة بالوقف عاماً أو خاصاً</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3425261_1280447820"/>
      <w:bookmarkStart w:id="695" w:name="_Toc249"/>
      <w:bookmarkEnd w:id="694"/>
      <w:r>
        <w:rPr>
          <w:rtl w:val="true"/>
        </w:rPr>
        <w:t>خامسها</w:t>
      </w:r>
      <w:r>
        <w:rPr>
          <w:rtl w:val="true"/>
        </w:rPr>
        <w:t xml:space="preserve">: </w:t>
      </w:r>
      <w:r>
        <w:rPr>
          <w:rtl w:val="true"/>
        </w:rPr>
        <w:t>في أنّ الوصيّة عقد جائز حال حياة الموصي ولازم بعد الموت والقبول</w:t>
      </w:r>
      <w:bookmarkEnd w:id="695"/>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عقد جائز حال حياة الموصي وإن تم الإيجاب والقبول؛ للإجماع بقسميه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أن يرجع في ثلثه إن كان أوصى في صحّة أو مرض</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أن ينقص في وصيته ويزيد فيها</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 الوصيّة أن يرجع فيها، ويحدث في وصيته ما دام حياً</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ولازم بعد الموت والقبول وجائز ما بين الموت والقبول، فعلى ذلك للموصي أن يرجع بوصيته بالقول الصريح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بوصيتي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وصيتي لوارثى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بما دلّ على الرجوع ولو باللازم مع القرينة،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الرجوع بفعل ما يوجب إبطالها قهراً، سواء نوى به الرجوع أم لا، كالبيع والوصيّة به لآخر والنقل والصلح والعتق والكتابة والتدبير والنذر وأخويه وإتلاف العين بأكل أو شرب أو 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الرجوع بفعل ما يقصد به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يقصده أو قصد العدم لا يكون رجوعاً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 ما يظهر منه الرجوع لظهور الفعل فيه كالرهن والكتابة الجائزة، والهبة قبل القبض، وفعل مقدمات ما يوجب الرجوع، كالعرض على البيع أو غيره من النواقل، أو الرهن قبل القبض، أو التوكيل في نقله بأحد النواقل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ومتى دلّت قرينة على عدم القصد في هذه بالرجوع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القصد إلى أمر آخر، أو لم يكن قصد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الرجوع؛ لانقلاب الظاهر إلى ظاهر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يفيد الرجوع مع ضميمة القرينة، كالإشارة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يفيد الرجوع لتبدل الاسم المؤدّي إلى تبدّل الموضوع، المنبئ عن انتقاض الوصيّة فيه، كما إذا أوصى بحنطة فطحنها، أو بدقيق فعجنه، أو بعجين فخبزه، أو بقطنٍ فغزله، أو بغزل فنسجه، أو بمنسوج غير مخيط فخاطه ثوباً، أو بقطعة صفر أو نحاس فجعلهما آنية، أو بدارٍ فهدمها، أو بمصوغ فسبكه سبيكة، أو بخشبة فجعلها سريراً،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 هذه رجوعاً هو تبدل موضوع ما أوصى به، وظهور كون هذا التبديل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كثير من ذلك؛ لمنع تبدل الموضوع مع تبدل الأسماء؛ لعدم الملازمة، ومنع ظهور التبديل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التبديل بفعل غيره لم يكن مبطلاً للوصيّة، ولو كان بفعل غيره بإذنه ففي كونه رجوعاً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الرجوع لتبدل ماهيته بالاستحالة، كما إذا أوصى بخشب فصارت فحماً أو رماداً له نفع، أو حيوان فاستحال ملحاً،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الوصيّة إن لوحظ فيها نفس الوصف الذاتي المشخص للموضوع انتقضت الوصيّة باستحالته، وإن لوحظ فيها نفس الشخص،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الموضوع مريداً شخصه لا الوصف العنواني له لم تنتقض، ويُعرف ذلك من قرائن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يقال في تبدل الأسماء بالنسبة إلى إرادة الوصف العنواني وعدمه، ويُعرف ذلك من المقامات الخطابية، كما يظهر من تقديم الإشارة إرادة نفس الشخص،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هذه 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حنطة، ومن تقديم الاسم نفس الوصف العنواني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حنطةً هي في المكان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الفرق بين كون الموصى به معيّناً فتبطل الوصيّة، كما قدمنا، وبين كونه كلّيّاً،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فطحن ما في بيته من الحنطة فلا تبطل، ولا يجزئ الدقيق، بل يجب دفع حنطة ولو بشراء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قوي وجيه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لمن عكس فأبطلها في الكلّي دون المعين؛ ملاحظاً أن الوصيّة بالمعين بمنزلة الوصيّة بالشخص من دون ملاحظة الوصف العنواني</w:t>
      </w:r>
      <w:r>
        <w:rPr>
          <w:rFonts w:eastAsia="Amiri" w:cs="Amiri" w:ascii="Amiri" w:hAnsi="Amiri"/>
          <w:color w:val="111111"/>
          <w:sz w:val="28"/>
          <w:szCs w:val="28"/>
          <w:rtl w:val="true"/>
          <w:lang w:bidi="ar-SA"/>
        </w:rPr>
        <w:t xml:space="preserve">. </w:t>
      </w:r>
      <w:bookmarkStart w:id="696" w:name="pg19218_274220"/>
    </w:p>
    <w:p>
      <w:pPr>
        <w:pStyle w:val="BookText"/>
        <w:rPr/>
      </w:pPr>
      <w:bookmarkEnd w:id="696"/>
      <w:r>
        <w:rPr>
          <w:rFonts w:ascii="Amiri" w:hAnsi="Amiri" w:eastAsia="Amiri" w:cs="Amiri"/>
          <w:color w:val="111111"/>
          <w:sz w:val="28"/>
          <w:sz w:val="28"/>
          <w:szCs w:val="28"/>
          <w:rtl w:val="true"/>
          <w:lang w:bidi="ar-SA"/>
        </w:rPr>
        <w:t>وهو على إطلاقه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الرجوع للزومه الضرر على الموصي والنقص على مال آخر له، كما إذا أوصى بزيت فخلطه بأجود، أو ذهب أو فضة كذلك بحيث لا يتميّز المخلوط، أو أوصى بشيءٍ فصبغه صبغاً له قيمة، أو أوصل به شيئاً لا يمكن انفكاكه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خلط الموصى به بالمساوي أو الأردأ، ففي كونه رجوعاً؛ لمكان ظهور عدم الرضى بالشركة، أو عدمه؛ لكونه لازماً أعم وجهان، وفي الأخير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فالأفعال منها ما يكون بنفسه نقضاً للوصيّة، ومنها ما يكون لدلالته على النقص وظهوره فيه، وهو مختلف باختلاف الأحوال والأزمان والبلدان والأشخاص،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فيه الشكّ، والمشكوك فيه لا ينقض الوصيّة المقطوع بتحققها؛ لأنّ اليقين لا ينقض بالشك أبداً</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3425263_1280447820"/>
      <w:bookmarkStart w:id="698" w:name="_Toc250"/>
      <w:bookmarkEnd w:id="697"/>
      <w:r>
        <w:rPr>
          <w:rtl w:val="true"/>
        </w:rPr>
        <w:t>سادسها</w:t>
      </w:r>
      <w:r>
        <w:rPr>
          <w:rtl w:val="true"/>
        </w:rPr>
        <w:t xml:space="preserve">: </w:t>
      </w:r>
      <w:r>
        <w:rPr>
          <w:rtl w:val="true"/>
        </w:rPr>
        <w:t>اشتراط العقل والبلوغ في الموصي</w:t>
      </w:r>
      <w:bookmarkEnd w:id="698"/>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الموصي العقل، فلا تصحّ من المجنون بأقسامه حال جنونه وإن وقع منه قصد صوري؛ للإجماع بقسميه </w:t>
      </w:r>
      <w:r>
        <w:rPr>
          <w:rStyle w:val="FootnoteAnchor"/>
          <w:rtl w:val="true"/>
        </w:rPr>
        <w:footnoteReference w:id="948"/>
      </w:r>
      <w:r>
        <w:rPr>
          <w:rFonts w:ascii="Amiri" w:hAnsi="Amiri" w:eastAsia="Amiri" w:cs="Amiri"/>
          <w:color w:val="111111"/>
          <w:sz w:val="28"/>
          <w:sz w:val="28"/>
          <w:szCs w:val="28"/>
          <w:rtl w:val="true"/>
          <w:lang w:bidi="ar-SA"/>
        </w:rPr>
        <w:t xml:space="preserve">، ولحديث رفع القلم </w:t>
      </w:r>
      <w:r>
        <w:rPr>
          <w:rStyle w:val="FootnoteAnchor"/>
          <w:rtl w:val="true"/>
        </w:rPr>
        <w:footnoteReference w:id="949"/>
      </w:r>
      <w:r>
        <w:rPr>
          <w:rFonts w:ascii="Amiri" w:hAnsi="Amiri" w:eastAsia="Amiri" w:cs="Amiri"/>
          <w:color w:val="111111"/>
          <w:sz w:val="28"/>
          <w:sz w:val="28"/>
          <w:szCs w:val="28"/>
          <w:rtl w:val="true"/>
          <w:lang w:bidi="ar-SA"/>
        </w:rPr>
        <w:t>، ولأدلة الحجر</w:t>
      </w:r>
      <w:r>
        <w:rPr>
          <w:rStyle w:val="FootnoteAnchor"/>
          <w:rtl w:val="true"/>
        </w:rPr>
        <w:footnoteReference w:id="950"/>
      </w:r>
      <w:r>
        <w:rPr>
          <w:rFonts w:ascii="Amiri" w:hAnsi="Amiri" w:eastAsia="Amiri" w:cs="Amiri"/>
          <w:color w:val="111111"/>
          <w:sz w:val="28"/>
          <w:sz w:val="28"/>
          <w:szCs w:val="28"/>
          <w:rtl w:val="true"/>
          <w:lang w:bidi="ar-SA"/>
        </w:rPr>
        <w:t>، ولعدم شمول أدلة الوصيّة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في الجنون لأهل الخبرة، أو للعرف العام، وهو 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الرشد؛ لأدلّة الحجر على السفيه وللشكّ في شمول إطلاقات الوصيّة له، أو لا يشترط؛ لمنع الشكّ في شمول الإطلاقات له؛ لأنّه مكلف عاقل وله التصرّف بما له فيما يعود له نفع في آخرته، فيشمله ما دلّ على صحّة الوصيّة من الموصي، وأما أدلّة الحجر فهي ظاهرة في التصرفات المالية المنجزة حال الحياة، وشمولها لمثل الوصيّة محلّ شكٍّ ؟</w:t>
      </w:r>
    </w:p>
    <w:p>
      <w:pPr>
        <w:pStyle w:val="BookText"/>
        <w:rPr/>
      </w:pPr>
      <w:r>
        <w:rPr>
          <w:rFonts w:ascii="Amiri" w:hAnsi="Amiri" w:eastAsia="Amiri" w:cs="Amiri"/>
          <w:color w:val="111111"/>
          <w:sz w:val="28"/>
          <w:sz w:val="28"/>
          <w:szCs w:val="28"/>
          <w:rtl w:val="true"/>
          <w:lang w:bidi="ar-SA"/>
        </w:rPr>
        <w:t xml:space="preserve">وقد يفرّق بين وصيته بالمعروف والبرّ فتصح؛ لتعلقه بأمر الآخرة، ولإشعار ما جاء في صحّة وصيّة الغلام في وجوه البر </w:t>
      </w:r>
      <w:r>
        <w:rPr>
          <w:rStyle w:val="FootnoteAnchor"/>
          <w:rtl w:val="true"/>
        </w:rPr>
        <w:footnoteReference w:id="951"/>
      </w:r>
      <w:r>
        <w:rPr>
          <w:rFonts w:ascii="Amiri" w:hAnsi="Amiri" w:eastAsia="Amiri" w:cs="Amiri"/>
          <w:color w:val="111111"/>
          <w:sz w:val="28"/>
          <w:sz w:val="28"/>
          <w:szCs w:val="28"/>
          <w:rtl w:val="true"/>
          <w:lang w:bidi="ar-SA"/>
        </w:rPr>
        <w:t>به، وبين الوصيّة بغيره فلا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والأحوط صحّة وصيّته إذا كانت بنظر الولي وإجازته، والتوقف فيما عدا ذلك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وتصحّ الوصيّة من المفلّس في غير ما تعلّق به حقّ الغرماء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ويشترط في الوصيّة البلوغ؛ لما دلّ على عدم جواز أمر الصبي، وعدم نفوذ عقوده </w:t>
      </w:r>
      <w:r>
        <w:rPr>
          <w:rStyle w:val="FootnoteAnchor"/>
          <w:rtl w:val="true"/>
        </w:rPr>
        <w:footnoteReference w:id="952"/>
      </w:r>
      <w:r>
        <w:rPr>
          <w:rFonts w:ascii="Amiri" w:hAnsi="Amiri" w:eastAsia="Amiri" w:cs="Amiri"/>
          <w:color w:val="111111"/>
          <w:sz w:val="28"/>
          <w:sz w:val="28"/>
          <w:szCs w:val="28"/>
          <w:rtl w:val="true"/>
          <w:lang w:bidi="ar-SA"/>
        </w:rPr>
        <w:t xml:space="preserve">، وللشك في شمول ما دلّ على لزوم الوفاء بالعقد </w:t>
      </w:r>
      <w:r>
        <w:rPr>
          <w:rStyle w:val="FootnoteAnchor"/>
          <w:rtl w:val="true"/>
        </w:rPr>
        <w:footnoteReference w:id="953"/>
      </w:r>
      <w:r>
        <w:rPr>
          <w:rFonts w:ascii="Amiri" w:hAnsi="Amiri" w:eastAsia="Amiri" w:cs="Amiri"/>
          <w:color w:val="111111"/>
          <w:sz w:val="28"/>
          <w:sz w:val="28"/>
          <w:szCs w:val="28"/>
          <w:rtl w:val="true"/>
          <w:lang w:bidi="ar-SA"/>
        </w:rPr>
        <w:t xml:space="preserve">، وما دلّ على صحّة الوصيّة لعقد الصبي ووصيته </w:t>
      </w:r>
      <w:r>
        <w:rPr>
          <w:rStyle w:val="FootnoteAnchor"/>
          <w:rtl w:val="true"/>
        </w:rPr>
        <w:footnoteReference w:id="954"/>
      </w:r>
      <w:r>
        <w:rPr>
          <w:rFonts w:ascii="Amiri" w:hAnsi="Amiri" w:eastAsia="Amiri" w:cs="Amiri"/>
          <w:color w:val="111111"/>
          <w:sz w:val="28"/>
          <w:sz w:val="28"/>
          <w:szCs w:val="28"/>
          <w:rtl w:val="true"/>
          <w:lang w:bidi="ar-SA"/>
        </w:rPr>
        <w:t>، ولارتفاع القلم عنه، ولقلة احتياجه للنفع الأخروي، ولعدم معهودية صحّة وصاياه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وأجاز المشهور نقلاً </w:t>
      </w:r>
      <w:r>
        <w:rPr>
          <w:rStyle w:val="FootnoteAnchor"/>
          <w:rtl w:val="true"/>
        </w:rPr>
        <w:footnoteReference w:id="955"/>
      </w:r>
      <w:r>
        <w:rPr>
          <w:rFonts w:ascii="Amiri" w:hAnsi="Amiri" w:eastAsia="Amiri" w:cs="Amiri"/>
          <w:color w:val="111111"/>
          <w:sz w:val="28"/>
          <w:sz w:val="28"/>
          <w:szCs w:val="28"/>
          <w:rtl w:val="true"/>
          <w:lang w:bidi="ar-SA"/>
        </w:rPr>
        <w:t>، بل تحصيلاً صحّة وصيّة من بلغ عشراً، والظاهر منهم مع التقييد بتمييزه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بعضهم بكونه ممّا يضع الأشياء في مواضعها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وقيده آخرون بما إذا كانت الوصيّة بالمعروف والبرّ </w:t>
      </w:r>
      <w:r>
        <w:rPr>
          <w:rStyle w:val="FootnoteAnchor"/>
          <w:rtl w:val="true"/>
        </w:rPr>
        <w:footnoteReference w:id="957"/>
      </w:r>
      <w:r>
        <w:rPr>
          <w:rFonts w:ascii="Amiri" w:hAnsi="Amiri" w:eastAsia="Amiri" w:cs="Amiri"/>
          <w:color w:val="111111"/>
          <w:sz w:val="28"/>
          <w:sz w:val="28"/>
          <w:szCs w:val="28"/>
          <w:rtl w:val="true"/>
          <w:lang w:bidi="ar-SA"/>
        </w:rPr>
        <w:t>، كبناء المساجد والقناطر وصلة العلماء والفقراء والأرحام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بعضهم من الدروس دعوى الإجماع على ذلك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على ذلك جملة من الأخبار المعتبرة في نفسها، وفي انضمام فتوى المشهور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كالموثّق في الغلام ابن عشر سنين يوصي،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موضع الوصيّة جازت</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عشر سنين فأوصى بثلث ماله في حقّ جازت وصيّته</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ذيله صحّة وصيّة ابن سبع أو ثمان </w:t>
      </w:r>
      <w:r>
        <w:rPr>
          <w:rStyle w:val="FootnoteAnchor"/>
          <w:rtl w:val="true"/>
        </w:rPr>
        <w:footnoteReference w:id="961"/>
      </w:r>
      <w:r>
        <w:rPr>
          <w:rFonts w:ascii="Amiri" w:hAnsi="Amiri" w:eastAsia="Amiri" w:cs="Amiri"/>
          <w:color w:val="111111"/>
          <w:sz w:val="28"/>
          <w:sz w:val="28"/>
          <w:szCs w:val="28"/>
          <w:rtl w:val="true"/>
          <w:lang w:bidi="ar-SA"/>
        </w:rPr>
        <w:t>، ولكنه شاذ متروك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وصدقته ووصيته وإن لم يحتلم</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bookmarkStart w:id="699" w:name="pg19218_274222"/>
    </w:p>
    <w:p>
      <w:pPr>
        <w:pStyle w:val="BookText"/>
        <w:rPr/>
      </w:pPr>
      <w:bookmarkEnd w:id="699"/>
      <w:r>
        <w:rPr>
          <w:rFonts w:ascii="Amiri" w:hAnsi="Amiri" w:eastAsia="Amiri" w:cs="Amiri"/>
          <w:color w:val="111111"/>
          <w:sz w:val="28"/>
          <w:sz w:val="28"/>
          <w:szCs w:val="28"/>
          <w:rtl w:val="true"/>
          <w:lang w:bidi="ar-SA"/>
        </w:rPr>
        <w:t>والأخذ بها في خصوص المقام قويّ، إلّا أنّ الأظهر العدم؛ لما قدمناه، ويعضده الأصل، ويساعده الاحتياط، وهو مقدم على الاحتياط الناشئ من تنفيذ الوصيّة وإمضاء ما أوصى به الصبي وعدم التصرّف من الوارث فيه؛ لتعلّق الأوّل بالحكم، والثاني بالموضوع المترتب عليه</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3425265_1280447820"/>
      <w:bookmarkStart w:id="701" w:name="_Toc251"/>
      <w:bookmarkEnd w:id="700"/>
      <w:r>
        <w:rPr>
          <w:rtl w:val="true"/>
        </w:rPr>
        <w:t>سابعها</w:t>
      </w:r>
      <w:r>
        <w:rPr>
          <w:rtl w:val="true"/>
        </w:rPr>
        <w:t xml:space="preserve">: </w:t>
      </w:r>
      <w:r>
        <w:rPr>
          <w:rtl w:val="true"/>
        </w:rPr>
        <w:t>بطلان الوصيّة فيما لو جرح الموصي نفسه عمداً بما فيه هلاكها عالماً بترتب الهلاك فأوصى</w:t>
      </w:r>
      <w:bookmarkEnd w:id="701"/>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 الموصي نفسه عمداً بما فيه هلاكها عالماً بترتب الهلاك أو ظاناً به أو قتل نفسه فأوصى بطلت وصيّته؛ لصيرورته أقوى من السفيه، ولمناسبة قتل نفسه المحترمة واجترائه على ذلك لحرمانه عقوبةً، كما منع القاتل من الإرث، تنزيلاً للوصيّة منزلة الإرث؛ ولأنّه مع ذلك غير مستقر الحياة فلا تنفذ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هذين التعليلين نظر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بفتوى المشهور نقلاً </w:t>
      </w:r>
      <w:r>
        <w:rPr>
          <w:rStyle w:val="FootnoteAnchor"/>
          <w:rtl w:val="true"/>
        </w:rPr>
        <w:footnoteReference w:id="964"/>
      </w:r>
      <w:r>
        <w:rPr>
          <w:rFonts w:ascii="Amiri" w:hAnsi="Amiri" w:eastAsia="Amiri" w:cs="Amiri"/>
          <w:color w:val="111111"/>
          <w:sz w:val="28"/>
          <w:sz w:val="28"/>
          <w:szCs w:val="28"/>
          <w:rtl w:val="true"/>
          <w:lang w:bidi="ar-SA"/>
        </w:rPr>
        <w:t xml:space="preserve">بل تحصيلاً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أوصى قبل أن يحدث حدثاً في نفسه من جراحة أو قتل لعله يموت أجيزت وصيته في الثلث، وإن كان أوصى بعد ما أحدث في نفسه من جراحة أو قتل لعله يموت لم تجز وصيته</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إطلاقه وإن كان شاملاً للعمد ولغيره، إلّا أنّ ظاهره بقرينة فتوى المشهور ومناسبة الحكم لذلك ولزوم الاقتصار فيما خالف القواعد على مورد اليقين والإجماع المنقول </w:t>
      </w:r>
      <w:r>
        <w:rPr>
          <w:rStyle w:val="FootnoteAnchor"/>
          <w:rtl w:val="true"/>
        </w:rPr>
        <w:footnoteReference w:id="966"/>
      </w:r>
      <w:r>
        <w:rPr>
          <w:rFonts w:ascii="Amiri" w:hAnsi="Amiri" w:eastAsia="Amiri" w:cs="Amiri"/>
          <w:color w:val="111111"/>
          <w:sz w:val="28"/>
          <w:sz w:val="28"/>
          <w:szCs w:val="28"/>
          <w:rtl w:val="true"/>
          <w:lang w:bidi="ar-SA"/>
        </w:rPr>
        <w:t>على ذلك كلّها تقضي بتخصيص الحكم في حالة العمد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وطرح الرواية أو تنزيلها على حالة الجنون أو السفه؛ لدلالة قتل نفسه على أحدهما أخذاً بالعمومات المتيقنة الحاكمة بلزوم الوصيّة من كلّ موصٍ ما لم ينعقد الإجماع على خلافه،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فقتل نفسه أو جرحها نفذت الوصيّة؛ لعموم الأدلّة، والرواية المتقدّمة، وللفتاوى من غير مخالف يُعثر عليه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الوصيّة من العبد ما دام عبداً إلى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عبد فتحرّر وملك بعد ذلك، ففي نفوذها إشكال؛ لعدم الملك له في الحال، وظاهر الوصيّة تعلقها بالملك الفعلي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عُتقت وكان لي مال فكذا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لأن التعليق بمنزلة بيان الحكم المتعلّق عليه من الشارع</w:t>
      </w:r>
      <w:r>
        <w:rPr>
          <w:rFonts w:eastAsia="Amiri" w:cs="Amiri" w:ascii="Amiri" w:hAnsi="Amiri"/>
          <w:color w:val="111111"/>
          <w:sz w:val="28"/>
          <w:szCs w:val="28"/>
          <w:rtl w:val="true"/>
          <w:lang w:bidi="ar-SA"/>
        </w:rPr>
        <w:t xml:space="preserve">. </w:t>
      </w:r>
      <w:bookmarkStart w:id="702" w:name="pg19218_274223"/>
    </w:p>
    <w:p>
      <w:pPr>
        <w:pStyle w:val="BookText"/>
        <w:rPr/>
      </w:pPr>
      <w:bookmarkEnd w:id="702"/>
      <w:r>
        <w:rPr>
          <w:rFonts w:ascii="Amiri" w:hAnsi="Amiri" w:eastAsia="Amiri" w:cs="Amiri"/>
          <w:color w:val="111111"/>
          <w:sz w:val="28"/>
          <w:sz w:val="28"/>
          <w:szCs w:val="28"/>
          <w:rtl w:val="true"/>
          <w:lang w:bidi="ar-SA"/>
        </w:rPr>
        <w:t>ويحتمل البطلان لمكان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أدّى نصف ما عليه، وفي آخر أدّى الثلث </w:t>
      </w:r>
      <w:r>
        <w:rPr>
          <w:rStyle w:val="FootnoteAnchor"/>
          <w:rtl w:val="true"/>
        </w:rPr>
        <w:footnoteReference w:id="967"/>
      </w:r>
      <w:r>
        <w:rPr>
          <w:rFonts w:ascii="Amiri" w:hAnsi="Amiri" w:eastAsia="Amiri" w:cs="Amiri"/>
          <w:color w:val="111111"/>
          <w:sz w:val="28"/>
          <w:sz w:val="28"/>
          <w:szCs w:val="28"/>
          <w:rtl w:val="true"/>
          <w:lang w:bidi="ar-SA"/>
        </w:rPr>
        <w:t>أنّه أمضى الوصيّة في النصف والثلث، ولم ينقل الاستفصال فيها عن موته أنّه كان قبل العتق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من تأييد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الوصيّة من المسلم والكافر للمسلم والكافر، ما عدا الوصيّة بالخمر والخنزير للمسلم، وتصحّ الوصيّة بهما للكافر ظاهراً؛ إجراء لهم على مذهبهم</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3425267_1280447820"/>
      <w:bookmarkStart w:id="704" w:name="_Toc252"/>
      <w:bookmarkEnd w:id="703"/>
      <w:r>
        <w:rPr>
          <w:rtl w:val="true"/>
        </w:rPr>
        <w:t>ثامنها</w:t>
      </w:r>
      <w:r>
        <w:rPr>
          <w:rtl w:val="true"/>
        </w:rPr>
        <w:t xml:space="preserve">: </w:t>
      </w:r>
      <w:r>
        <w:rPr>
          <w:rtl w:val="true"/>
        </w:rPr>
        <w:t>في الموصى له</w:t>
      </w:r>
      <w:bookmarkEnd w:id="704"/>
    </w:p>
    <w:p>
      <w:pPr>
        <w:pStyle w:val="Heading5"/>
        <w:numPr>
          <w:ilvl w:val="4"/>
          <w:numId w:val="1"/>
        </w:numPr>
        <w:rPr/>
      </w:pPr>
      <w:bookmarkStart w:id="705" w:name="__RefHeading___Toc13425269_1280447820"/>
      <w:bookmarkStart w:id="706" w:name="_Toc253"/>
      <w:bookmarkEnd w:id="705"/>
      <w:r>
        <w:rPr>
          <w:rtl w:val="true"/>
        </w:rPr>
        <w:t>وفيه أمور</w:t>
      </w:r>
      <w:r>
        <w:rPr>
          <w:rtl w:val="true"/>
        </w:rPr>
        <w:t>:</w:t>
      </w:r>
      <w:bookmarkEnd w:id="706"/>
    </w:p>
    <w:p>
      <w:pPr>
        <w:pStyle w:val="Heading6"/>
        <w:numPr>
          <w:ilvl w:val="5"/>
          <w:numId w:val="1"/>
        </w:numPr>
        <w:rPr/>
      </w:pPr>
      <w:bookmarkStart w:id="707" w:name="__RefHeading___Toc13425271_1280447820"/>
      <w:bookmarkStart w:id="708" w:name="_Toc254"/>
      <w:bookmarkEnd w:id="707"/>
      <w:r>
        <w:rPr>
          <w:rtl w:val="true"/>
        </w:rPr>
        <w:t xml:space="preserve">أولها </w:t>
      </w:r>
      <w:r>
        <w:rPr>
          <w:rtl w:val="true"/>
        </w:rPr>
        <w:t xml:space="preserve">: </w:t>
      </w:r>
      <w:r>
        <w:rPr>
          <w:rtl w:val="true"/>
        </w:rPr>
        <w:t>في أنّه لا يشترط في الوصيّة وجود الموصى له ولا حياته ولا دوام تمليكه</w:t>
      </w:r>
      <w:bookmarkEnd w:id="708"/>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الوصيّة بالمعنى العام وجود الموصى له، ولا حياته، ولا دوام تمليكه، بل تصحّ الوصيّة بمال الميت، بمعنى صرفها فيما يعود إليه من تجهيز، أو إيصال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لمن سيولد، بمعنى أن يدفعها الوصى إليه بعد ولادته فيملكها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لغير الإنسان من حيوان أو جمادٍ، بمعنى صرفها في مصالحهما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تحديد الملك فيها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لزيد سنةٌ ثمّ لعمر و كذلك ثمّ لبكر كذلك، ولا مانع من تحديد الملك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الملك لا يحدد قد نمنع الكلية فيه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تصحّ الوصيّة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المقصود منها التمليك بنفس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معدوم يترقب وجوده أم لا، ولا إلى ميت، ولا إلى جماد، ولا إلى حيوان؛ للشكّ في شمول الوصيّة العقدية لمثل ذلك، ولانصراف أدلّة العقود وإطلاقات الوصيّة لغير محلّ الشكّ، وكما لا تصحّ الوصيّة للمعدوم أصالة لا تصحّ تبعاً، كما في الوقف، وإنما صحت في الوقف للدليل فلا يقاس عليه الوصيّة؛ لبطلان القياس، ولأن المعدوم في الوقف يتلقى الملك بعد وجوده من الواقف بعد انتهاء ملك الموجود، بخلاف الوصيّة، فإنّ تلقي الملك فيها من الموصي ابتداء، وهو ممتنع بالنسبة إلى المعدوم، ولأنّ الملك في الوقف إنّما كان على جهة الحبس للأصل وعدم جواز </w:t>
      </w:r>
      <w:bookmarkStart w:id="709" w:name="pg19218_274224"/>
    </w:p>
    <w:p>
      <w:pPr>
        <w:pStyle w:val="BookText"/>
        <w:rPr/>
      </w:pPr>
      <w:bookmarkEnd w:id="709"/>
      <w:r>
        <w:rPr>
          <w:rFonts w:ascii="Amiri" w:hAnsi="Amiri" w:eastAsia="Amiri" w:cs="Amiri"/>
          <w:color w:val="111111"/>
          <w:sz w:val="28"/>
          <w:sz w:val="28"/>
          <w:szCs w:val="28"/>
          <w:rtl w:val="true"/>
          <w:lang w:bidi="ar-SA"/>
        </w:rPr>
        <w:t>نقله، بخلاف الوصيّة فإنّ ملك الأصل فيها على جهة الإطلاق وجواز النقل وهو ممّا ينافي تمليك آخر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التعليلين نظر؛ لأنّ المجوّز لذلك يجعل حكم الوصيّة كحكم الوقف، وكما يجوز في الوقف ذلك وهو أضيق دائرةً من الوصيّة جاز فيها بطريق أولى، فالعمدة في المقام أن جواز التمليك بذلك النحو خلاف القواعد، وقد قام عليه في الوقف الدليل، فتعديته لغيره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في الوصيّة بالمعنى الأعم حبس الأصل وإطلاق الثمرة لبطن فبطن على طريقة الوقف لا أنّه يكون وقفاً ويترتب عليه ثمرات الوقف</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13425273_1280447820"/>
      <w:bookmarkStart w:id="711" w:name="_Toc255"/>
      <w:bookmarkEnd w:id="710"/>
      <w:r>
        <w:rPr>
          <w:rtl w:val="true"/>
        </w:rPr>
        <w:t>ثانيها</w:t>
      </w:r>
      <w:r>
        <w:rPr>
          <w:rtl w:val="true"/>
        </w:rPr>
        <w:t xml:space="preserve">: </w:t>
      </w:r>
      <w:r>
        <w:rPr>
          <w:rtl w:val="true"/>
        </w:rPr>
        <w:t>صحّة الوصيّة للقريب والبعيد</w:t>
      </w:r>
      <w:bookmarkEnd w:id="711"/>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للقريب والبعيد، وارثين كانا أو غير وارثين؛ للإجماعات المنقولة </w:t>
      </w:r>
      <w:r>
        <w:rPr>
          <w:rStyle w:val="FootnoteAnchor"/>
          <w:rtl w:val="true"/>
        </w:rPr>
        <w:footnoteReference w:id="968"/>
      </w:r>
      <w:r>
        <w:rPr>
          <w:rFonts w:ascii="Amiri" w:hAnsi="Amiri" w:eastAsia="Amiri" w:cs="Amiri"/>
          <w:color w:val="111111"/>
          <w:sz w:val="28"/>
          <w:sz w:val="28"/>
          <w:szCs w:val="28"/>
          <w:rtl w:val="true"/>
          <w:lang w:bidi="ar-SA"/>
        </w:rPr>
        <w:t>، بل المحصل منها، ولإطلاقات الأدلّة وعموماتها،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لِلْوَالِدَيْنِ وَالأَقْرَبِينَ</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الشامل للوارثين وغيرهما، ونسخها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الضعيف </w:t>
      </w:r>
      <w:r>
        <w:rPr>
          <w:rStyle w:val="FootnoteAnchor"/>
          <w:rtl w:val="true"/>
        </w:rPr>
        <w:footnoteReference w:id="970"/>
      </w:r>
      <w:r>
        <w:rPr>
          <w:rFonts w:ascii="Amiri" w:hAnsi="Amiri" w:eastAsia="Amiri" w:cs="Amiri"/>
          <w:color w:val="111111"/>
          <w:sz w:val="28"/>
          <w:sz w:val="28"/>
          <w:szCs w:val="28"/>
          <w:rtl w:val="true"/>
          <w:lang w:bidi="ar-SA"/>
        </w:rPr>
        <w:t>في ذلك لا يعارض المعتبر من الأخبار الدال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المعتبر عن الوصيّة للوارث؟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دلّ من الأخبار المانعة عن الوصيّة للوارث </w:t>
      </w:r>
      <w:r>
        <w:rPr>
          <w:rStyle w:val="FootnoteAnchor"/>
          <w:rtl w:val="true"/>
        </w:rPr>
        <w:footnoteReference w:id="972"/>
      </w:r>
      <w:r>
        <w:rPr>
          <w:rFonts w:ascii="Amiri" w:hAnsi="Amiri" w:eastAsia="Amiri" w:cs="Amiri"/>
          <w:color w:val="111111"/>
          <w:sz w:val="28"/>
          <w:sz w:val="28"/>
          <w:szCs w:val="28"/>
          <w:rtl w:val="true"/>
          <w:lang w:bidi="ar-SA"/>
        </w:rPr>
        <w:t xml:space="preserve">موهنة بإعراض الأصحاب عنها، وبقصور أسانيدها، وبموافقتها لمذهب العامّة على 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 وبورود الأخبار المعتبرة الدالّة على الجواز </w:t>
      </w:r>
      <w:r>
        <w:rPr>
          <w:rStyle w:val="FootnoteAnchor"/>
          <w:rtl w:val="true"/>
        </w:rPr>
        <w:footnoteReference w:id="974"/>
      </w:r>
      <w:r>
        <w:rPr>
          <w:rFonts w:ascii="Amiri" w:hAnsi="Amiri" w:eastAsia="Amiri" w:cs="Amiri"/>
          <w:color w:val="111111"/>
          <w:sz w:val="28"/>
          <w:sz w:val="28"/>
          <w:szCs w:val="28"/>
          <w:rtl w:val="true"/>
          <w:lang w:bidi="ar-SA"/>
        </w:rPr>
        <w:t>المؤيدة بما قدمناه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تجب الوصيّة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الآية الشريفة المتقدّمة؛ لاشتمالها على الفرض الظاهر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القائل به فلتحمل على الاستحباب المؤكد، كما هو ظاهر الأصحاب</w:t>
      </w:r>
      <w:r>
        <w:rPr>
          <w:rFonts w:eastAsia="Amiri" w:cs="Amiri" w:ascii="Amiri" w:hAnsi="Amiri"/>
          <w:color w:val="111111"/>
          <w:sz w:val="28"/>
          <w:szCs w:val="28"/>
          <w:rtl w:val="true"/>
          <w:lang w:bidi="ar-SA"/>
        </w:rPr>
        <w:t xml:space="preserve">. </w:t>
      </w:r>
      <w:bookmarkStart w:id="712" w:name="pg19218_274225"/>
    </w:p>
    <w:p>
      <w:pPr>
        <w:pStyle w:val="BookText"/>
        <w:rPr/>
      </w:pPr>
      <w:bookmarkEnd w:id="712"/>
      <w:r>
        <w:rPr>
          <w:rFonts w:ascii="Amiri" w:hAnsi="Amiri" w:eastAsia="Amiri" w:cs="Amiri"/>
          <w:color w:val="111111"/>
          <w:sz w:val="28"/>
          <w:sz w:val="28"/>
          <w:szCs w:val="28"/>
          <w:rtl w:val="true"/>
          <w:lang w:bidi="ar-SA"/>
        </w:rPr>
        <w:t>خلافاً للشيخ حيث يظهر منه الكراهة؛ للخبر عن عطية الوالد لولده،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في مرض فلا تصحّ</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لوروده في الهبة دون الوصيّة، وفي المرض دون غيره</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13425275_1280447820"/>
      <w:bookmarkStart w:id="714" w:name="_Toc256"/>
      <w:bookmarkEnd w:id="713"/>
      <w:r>
        <w:rPr>
          <w:rtl w:val="true"/>
        </w:rPr>
        <w:t>ثالثها</w:t>
      </w:r>
      <w:r>
        <w:rPr>
          <w:rtl w:val="true"/>
        </w:rPr>
        <w:t xml:space="preserve">: </w:t>
      </w:r>
      <w:r>
        <w:rPr>
          <w:rtl w:val="true"/>
        </w:rPr>
        <w:t>صحّة الوصيّة للحمل إذا وقع حياً وبطلانها مع عدمه</w:t>
      </w:r>
      <w:bookmarkEnd w:id="71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للحمل إذا وقع حيّاً، ويتولى القبول عنه الولي، فإن مات تولى القبول عنه وارثه وإن مات قبل وقوعه حياً 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وصحتها للحمل بالشرط المتقدّم وبطلانها مع عدمه متفق عليه بين أصحابنا، ونقل عليه الإجماع </w:t>
      </w:r>
      <w:r>
        <w:rPr>
          <w:rStyle w:val="FootnoteAnchor"/>
          <w:rtl w:val="true"/>
        </w:rPr>
        <w:footnoteReference w:id="976"/>
      </w:r>
      <w:r>
        <w:rPr>
          <w:rFonts w:ascii="Amiri" w:hAnsi="Amiri" w:eastAsia="Amiri" w:cs="Amiri"/>
          <w:color w:val="111111"/>
          <w:sz w:val="28"/>
          <w:sz w:val="28"/>
          <w:szCs w:val="28"/>
          <w:rtl w:val="true"/>
          <w:lang w:bidi="ar-SA"/>
        </w:rPr>
        <w:t>مستفيضاً ولكنّه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في أن انفصاله حيّاً كاشف عن ملكه المتقدّم، أو مملك له من حينه، وأن انفصاله ميتاً كاشف عن عدم ملكه ابتداء، أو فاسخ له من حينه، وأن جواز الوصيّة له هل تختص بحالة العلم بحياته وولوج الروح فيه، أو مطلقاً؟ وإنا لو جوزنا قيام الوارث مقامه في القبول فهل القبول كاشف أو ناقل ؟ وأنّه هل يشترط قبول الولي له، أو قبوله بعد بلوغه، أو لا يشترط؟ وأنّه لو قبل له الولي قبل انفصاله فهل يفتقر إلى تجديد القبول أم لا؟ وأن صحّة الوصيّة له هل هي على مقتضى القواعد فبطلانها بموته قبل انفصاله جاء به الدليل، أو أن الوصيّة له على غير القاعدة؛ لعدم شمول الإطلاق لملك مثله بالوصيّة، فصحة الوصيّة له بعد خروجه حياً على وجه الكشف للدليل ؟ وهذه كلّها تحتاج إلى نظر تام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اشتراط العلم بتحقق الحمل حين الوصيّة، ويعرف ذلك بوضعه لدون ستة أشهر من حين الوصيّة، أو بأقصى مدّة الحمل فما دون إذا لم يكن زوج ولا مولى يمكن تجدد ولادته منهما؛ لأصالة تأخره عن الوصيّة في مقام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الشبهة في حقّ الامرأة نادر قد ألغاه الشارع كاحتمال الزني؛ من حيث إنّه مخالف لأصل صحّة فعل المسلم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يشكل في مثل الوصيّة لحمل الكافرة إذا ولدته من أدنى مدّة الحمل إلى أقصاه من تسعة أو عشرة؛ لعدم صحّة التمسك بأصل الصحّة في فعلها، فالأصل تأخر الحمل، ولأنّ الظاهر مقارنة الحمل للوصيّة تبعاً للمعهود من العادة</w:t>
      </w:r>
      <w:r>
        <w:rPr>
          <w:rFonts w:eastAsia="Amiri" w:cs="Amiri" w:ascii="Amiri" w:hAnsi="Amiri"/>
          <w:color w:val="111111"/>
          <w:sz w:val="28"/>
          <w:szCs w:val="28"/>
          <w:rtl w:val="true"/>
          <w:lang w:bidi="ar-SA"/>
        </w:rPr>
        <w:t xml:space="preserve">. </w:t>
      </w:r>
      <w:bookmarkStart w:id="715" w:name="pg19218_274226"/>
    </w:p>
    <w:p>
      <w:pPr>
        <w:pStyle w:val="BookText"/>
        <w:rPr/>
      </w:pPr>
      <w:bookmarkEnd w:id="715"/>
      <w:r>
        <w:rPr>
          <w:rFonts w:ascii="Amiri" w:hAnsi="Amiri" w:eastAsia="Amiri" w:cs="Amiri"/>
          <w:color w:val="111111"/>
          <w:sz w:val="28"/>
          <w:sz w:val="28"/>
          <w:szCs w:val="28"/>
          <w:rtl w:val="true"/>
          <w:lang w:bidi="ar-SA"/>
        </w:rPr>
        <w:t>ولا يبعد ترجيح الظاهر في هذا المقام؛ لاعتضاده بأصالة صحّة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اتحد الحمل كانت الوصيّة له، وإن تعدد قسم عليهم بالسوية ذكوراً أو إناثاً أو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تلدهما دفعة أو متعاقباً بحيث لم يمض زمان يمكن تولّد ولد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ولدت أحدهما لسنة والآخر لثمانية أو تسعةٍ إلى أحد عشر؛ لأن الجميع حمل واحد، ولا يمكن وقوع حمل بعد حمل</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13425277_1280447820"/>
      <w:bookmarkStart w:id="717" w:name="_Toc257"/>
      <w:bookmarkEnd w:id="716"/>
      <w:r>
        <w:rPr>
          <w:rtl w:val="true"/>
        </w:rPr>
        <w:t>رابعها</w:t>
      </w:r>
      <w:r>
        <w:rPr>
          <w:rtl w:val="true"/>
        </w:rPr>
        <w:t xml:space="preserve">: </w:t>
      </w:r>
      <w:r>
        <w:rPr>
          <w:rtl w:val="true"/>
        </w:rPr>
        <w:t>صحّة الوصيّة لأهل الذمّة ولو من أهل الإسلام</w:t>
      </w:r>
      <w:bookmarkEnd w:id="717"/>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لأهل الذمّة ولو من أهل الإسلام؛ لعمومات الأدلّة، وظاهر الإجماع المنقول </w:t>
      </w:r>
      <w:r>
        <w:rPr>
          <w:rStyle w:val="FootnoteAnchor"/>
          <w:rtl w:val="true"/>
        </w:rPr>
        <w:footnoteReference w:id="977"/>
      </w:r>
      <w:r>
        <w:rPr>
          <w:rFonts w:ascii="Amiri" w:hAnsi="Amiri" w:eastAsia="Amiri" w:cs="Amiri"/>
          <w:color w:val="111111"/>
          <w:sz w:val="28"/>
          <w:sz w:val="28"/>
          <w:szCs w:val="28"/>
          <w:rtl w:val="true"/>
          <w:lang w:bidi="ar-SA"/>
        </w:rPr>
        <w:t xml:space="preserve">، وأولى لو كانوا أرحاماً؛ للإجماع المنقول </w:t>
      </w:r>
      <w:r>
        <w:rPr>
          <w:rStyle w:val="FootnoteAnchor"/>
          <w:rtl w:val="true"/>
        </w:rPr>
        <w:footnoteReference w:id="978"/>
      </w:r>
      <w:r>
        <w:rPr>
          <w:rFonts w:ascii="Amiri" w:hAnsi="Amiri" w:eastAsia="Amiri" w:cs="Amiri"/>
          <w:color w:val="111111"/>
          <w:sz w:val="28"/>
          <w:sz w:val="28"/>
          <w:szCs w:val="28"/>
          <w:rtl w:val="true"/>
          <w:lang w:bidi="ar-SA"/>
        </w:rPr>
        <w:t xml:space="preserve">أيضاً، وعمومات الأدلّة، وخصوص إطلاقات الوصيّة، وخصوص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بَعدَمَا سَمِعَهُ</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وخصوص ما جاء في صلة الأرحام وبرّ الأقارب </w:t>
      </w:r>
      <w:r>
        <w:rPr>
          <w:rStyle w:val="FootnoteAnchor"/>
          <w:rtl w:val="true"/>
        </w:rPr>
        <w:footnoteReference w:id="980"/>
      </w:r>
      <w:r>
        <w:rPr>
          <w:rFonts w:ascii="Amiri" w:hAnsi="Amiri" w:eastAsia="Amiri" w:cs="Amiri"/>
          <w:color w:val="111111"/>
          <w:sz w:val="28"/>
          <w:sz w:val="28"/>
          <w:szCs w:val="28"/>
          <w:rtl w:val="true"/>
          <w:lang w:bidi="ar-SA"/>
        </w:rPr>
        <w:t xml:space="preserve">، وأولى لو كان القرابة أحد الأبوين؛ لعموم ما جاء في بر الوالدين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الأخبار المعتبرة ما يدلّ على صحّة الوصيّة للكافر، بل وجوازها لمكان التلازم، كما يظهر من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 في رجل أوصى بماله في سبيل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لمن أوصى له به وإن كان يهودياً أو نصرانياً،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بَعْدَمَا سَمِعَهُ</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أُختي أوصت بوصيّة لقوم نصارى، وأردت أن أصرف ذلك إلى قوم من أصحابنا،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أمضِ الوصيّة على ما أوصت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عنها بأنّ غايتها الدلالة على الصحّة، وهو غير الجواز، وبمعارضتها بالنواهي </w:t>
      </w:r>
    </w:p>
    <w:p>
      <w:pPr>
        <w:pStyle w:val="BookText"/>
        <w:rPr/>
      </w:pPr>
      <w:r>
        <w:rPr>
          <w:rFonts w:ascii="Amiri" w:hAnsi="Amiri" w:eastAsia="Amiri" w:cs="Amiri"/>
          <w:color w:val="111111"/>
          <w:sz w:val="28"/>
          <w:sz w:val="28"/>
          <w:szCs w:val="28"/>
          <w:rtl w:val="true"/>
          <w:lang w:bidi="ar-SA"/>
        </w:rPr>
        <w:t xml:space="preserve">عن الموادة للكفّار </w:t>
      </w:r>
      <w:r>
        <w:rPr>
          <w:rStyle w:val="FootnoteAnchor"/>
          <w:rtl w:val="true"/>
        </w:rPr>
        <w:footnoteReference w:id="986"/>
      </w:r>
      <w:r>
        <w:rPr>
          <w:rFonts w:ascii="Amiri" w:hAnsi="Amiri" w:eastAsia="Amiri" w:cs="Amiri"/>
          <w:color w:val="111111"/>
          <w:sz w:val="28"/>
          <w:sz w:val="28"/>
          <w:szCs w:val="28"/>
          <w:rtl w:val="true"/>
          <w:lang w:bidi="ar-SA"/>
        </w:rPr>
        <w:t xml:space="preserve">، ومنها الوصيّة لهم، وبما دلّ على النهي عن إطعام الكافر والركون إليه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أشبع كافراً كان حقاً على اللّه تعالى أن يملأ جوفه من الزقوم</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ضعيف؛ لكفاية ثبوت صحّة الوصيّة فيما هو المقصود بل هو المقصود، وقد يدعى التلازم بالإجماع وإن كان النهي عن الأمر الخارج لا يفيد فساداً في المعاملة لو قلنا بتعلّق النهي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ولضعف النواهي عن مقاومة ما دلّ على جواز مبرة الكفار من كتاب وإجماع منقول، كما مرّ عن الطبرسي </w:t>
      </w:r>
      <w:r>
        <w:rPr>
          <w:rStyle w:val="FootnoteAnchor"/>
          <w:rtl w:val="true"/>
        </w:rPr>
        <w:footnoteReference w:id="989"/>
      </w:r>
      <w:r>
        <w:rPr>
          <w:rFonts w:ascii="Amiri" w:hAnsi="Amiri" w:eastAsia="Amiri" w:cs="Amiri"/>
          <w:color w:val="111111"/>
          <w:sz w:val="28"/>
          <w:sz w:val="28"/>
          <w:szCs w:val="28"/>
          <w:rtl w:val="true"/>
          <w:lang w:bidi="ar-SA"/>
        </w:rPr>
        <w:t xml:space="preserve">، وعمّا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وعمّا ورد من الأمر بصلة الأرحام وبر الوالدين</w:t>
      </w:r>
      <w:r>
        <w:rPr>
          <w:rStyle w:val="FootnoteAnchor"/>
          <w:rtl w:val="true"/>
        </w:rPr>
        <w:footnoteReference w:id="991"/>
      </w:r>
      <w:r>
        <w:rPr>
          <w:rFonts w:ascii="Amiri" w:hAnsi="Amiri" w:eastAsia="Amiri" w:cs="Amiri"/>
          <w:color w:val="111111"/>
          <w:sz w:val="28"/>
          <w:sz w:val="28"/>
          <w:szCs w:val="28"/>
          <w:rtl w:val="true"/>
          <w:lang w:bidi="ar-SA"/>
        </w:rPr>
        <w:t>، وتجويز الوقف على الكافر يدلّ على جوازه في الوصيّة بطريق أولى؛ لعدم اشتراط القربة في الوصيّة بخلاف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تصحّ الوصيّة للحربي والمرتد ؛ لعمومات العقود </w:t>
      </w:r>
      <w:r>
        <w:rPr>
          <w:rStyle w:val="FootnoteAnchor"/>
          <w:rtl w:val="true"/>
        </w:rPr>
        <w:footnoteReference w:id="992"/>
      </w:r>
      <w:r>
        <w:rPr>
          <w:rFonts w:ascii="Amiri" w:hAnsi="Amiri" w:eastAsia="Amiri" w:cs="Amiri"/>
          <w:color w:val="111111"/>
          <w:sz w:val="28"/>
          <w:sz w:val="28"/>
          <w:szCs w:val="28"/>
          <w:rtl w:val="true"/>
          <w:lang w:bidi="ar-SA"/>
        </w:rPr>
        <w:t xml:space="preserve">وإطلاقات الأدلّة وإطلاق الأخبار المتقدّمة وإطلاق أدلّة الوصيّة، وللإجماع المنقول </w:t>
      </w:r>
      <w:r>
        <w:rPr>
          <w:rStyle w:val="FootnoteAnchor"/>
          <w:rtl w:val="true"/>
        </w:rPr>
        <w:footnoteReference w:id="993"/>
      </w:r>
      <w:r>
        <w:rPr>
          <w:rFonts w:ascii="Amiri" w:hAnsi="Amiri" w:eastAsia="Amiri" w:cs="Amiri"/>
          <w:color w:val="111111"/>
          <w:sz w:val="28"/>
          <w:sz w:val="28"/>
          <w:szCs w:val="28"/>
          <w:rtl w:val="true"/>
          <w:lang w:bidi="ar-SA"/>
        </w:rPr>
        <w:t xml:space="preserve">على جواز المبرة لأهل الحرب،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ولعدم اشتراط القربة في الوصيّة فلا يفسدها المتعلّق بها لأمر خارج، كالنهي عن مودتهم وبرهم لو سلمنا ذلك، أو لا تصح؛ لما ورد من النهي عن موادتهم وبرهم، والنهي وإن لم يقض بالفساد ولكن ظاهر اتفاق الأصحاب على التلازم بين الحكمين قاض بذلك، وللشك في شمول عموم أدلة العقود وإطلاقات الوصيّة للوصيّة للحربي؛ إمّا لعدم تملكه، أو لعدم استقرار ملكه على ما في يده، أو لأنّه وما في يده فيء للمسلمين وملك لهم، فلو فرضنا ملكه لعاد الملك مالكاً؟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بصحّة الوصيّة لهم وملكهم للموصى به بعد القبول، ثمّ يكون فيئاً للمسلمين بعد الملك بآن ما، فلا يجب حينئذٍ على الوصي دفعه، ويجوز أخذه لكلّ من استولت يده عليه، </w:t>
      </w:r>
      <w:bookmarkStart w:id="718" w:name="pg19218_274228"/>
    </w:p>
    <w:p>
      <w:pPr>
        <w:pStyle w:val="BookText"/>
        <w:rPr/>
      </w:pPr>
      <w:bookmarkEnd w:id="718"/>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شرط في الوصيّة لزم دفعه إليهم وإن جاز أخذه بعد دفعه، ويجب على الوصي تنبيه الحربي على الموصى به ليأخذه أو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قلنا بعدم ملك الحربي، فلا إشكال في بطلان الوصيّة أصلاً، إلّا الوصيّة بالمعنى العام، فيكون المال موقوفاً له وإن لم يملكه، وإن قلنا بملكه، فلا مانع من صحّة الوصيّة ما لم تكن الوصيّة له من حيث الكفر والفسق، فإنّ الظاهر أنّ مثل ذلك مبطل لها، كما يظهر من الأصحاب وإن لم تقض به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فمشهور الأصحاب بطلان الوصيّة للحربي مطلقاً، ونقل الإجماع عليه في الأجانب </w:t>
      </w:r>
      <w:r>
        <w:rPr>
          <w:rStyle w:val="FootnoteAnchor"/>
          <w:rtl w:val="true"/>
        </w:rPr>
        <w:footnoteReference w:id="995"/>
      </w:r>
      <w:r>
        <w:rPr>
          <w:rFonts w:ascii="Amiri" w:hAnsi="Amiri" w:eastAsia="Amiri" w:cs="Amiri"/>
          <w:color w:val="111111"/>
          <w:sz w:val="28"/>
          <w:sz w:val="28"/>
          <w:szCs w:val="28"/>
          <w:rtl w:val="true"/>
          <w:lang w:bidi="ar-SA"/>
        </w:rPr>
        <w:t xml:space="preserve">، فيشك حينئذٍ في شمول دليل الوصيّة لمثلها، وينزل إطلاق الأخبار المتقدّمة </w:t>
      </w:r>
      <w:r>
        <w:rPr>
          <w:rStyle w:val="FootnoteAnchor"/>
          <w:rtl w:val="true"/>
        </w:rPr>
        <w:footnoteReference w:id="996"/>
      </w:r>
      <w:r>
        <w:rPr>
          <w:rFonts w:ascii="Amiri" w:hAnsi="Amiri" w:eastAsia="Amiri" w:cs="Amiri"/>
          <w:color w:val="111111"/>
          <w:sz w:val="28"/>
          <w:sz w:val="28"/>
          <w:szCs w:val="28"/>
          <w:rtl w:val="true"/>
          <w:lang w:bidi="ar-SA"/>
        </w:rPr>
        <w:t>على صحّة الوصيّة لليهودي والنصراني على أهل الذمّة، بل هو الفرد المعهود المنصرف إليه الإطلاق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النواهي عن موادة أهل الحرب وصلتهم </w:t>
      </w:r>
      <w:r>
        <w:rPr>
          <w:rStyle w:val="FootnoteAnchor"/>
          <w:rtl w:val="true"/>
        </w:rPr>
        <w:footnoteReference w:id="997"/>
      </w:r>
      <w:r>
        <w:rPr>
          <w:rFonts w:ascii="Amiri" w:hAnsi="Amiri" w:eastAsia="Amiri" w:cs="Amiri"/>
          <w:color w:val="111111"/>
          <w:sz w:val="28"/>
          <w:sz w:val="28"/>
          <w:szCs w:val="28"/>
          <w:rtl w:val="true"/>
          <w:lang w:bidi="ar-SA"/>
        </w:rPr>
        <w:t>، بحيث قد يستفاد منها الفساد في مثل الوصيّة من حيث عدم خلوّها عن شائبة العبودية والآمرية في أكثر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تفترق عن الهبة ونحوها من العقود المجانية</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13425279_1280447820"/>
      <w:bookmarkStart w:id="720" w:name="_Toc258"/>
      <w:bookmarkEnd w:id="719"/>
      <w:r>
        <w:rPr>
          <w:rtl w:val="true"/>
        </w:rPr>
        <w:t>خامسها</w:t>
      </w:r>
      <w:r>
        <w:rPr>
          <w:rtl w:val="true"/>
        </w:rPr>
        <w:t xml:space="preserve">: </w:t>
      </w:r>
      <w:r>
        <w:rPr>
          <w:rtl w:val="true"/>
        </w:rPr>
        <w:t>صحّة الوصيّة للمبعض</w:t>
      </w:r>
      <w:bookmarkEnd w:id="720"/>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للمبعض، وتمضى في قدر نصيبه من الحرية؛ لعموم الأدلّة مكاتباً كان أم غيره، والإجماع منقول على الجواز </w:t>
      </w:r>
      <w:r>
        <w:rPr>
          <w:rStyle w:val="FootnoteAnchor"/>
          <w:rtl w:val="true"/>
        </w:rPr>
        <w:footnoteReference w:id="998"/>
      </w:r>
      <w:r>
        <w:rPr>
          <w:rFonts w:ascii="Amiri" w:hAnsi="Amiri" w:eastAsia="Amiri" w:cs="Amiri"/>
          <w:color w:val="111111"/>
          <w:sz w:val="28"/>
          <w:sz w:val="28"/>
          <w:szCs w:val="28"/>
          <w:rtl w:val="true"/>
          <w:lang w:bidi="ar-SA"/>
        </w:rPr>
        <w:t>، بل قد يدعى تحصيله، فالمنع من الوصيّة للمكاتب مطلقاً ولو تحرّر منه بعض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وتصحّ الوصيّة بالمعنى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الوصيّة التمليكيّة؛ لعدم قابليّة العبد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الموصي ومدبَّره ومكاتبه مطلقاً أو مشروطاً، وأُمّ ولده؛ لعموم الأدلّة، وللأخبار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بثلث ماله لمواليه ولموالياته الذكر والأنثى فيه سواء، أو للذكر مثل حظ الأنثيين من الوصيّة؟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للميت ما أوصى به على ما أوصى به إن شاء اللّه</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لمواليه ولموالي أبيه بثلث ماله فلم يبلغ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لمواليه وسقط موالي أبيه</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وكذا غيره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لأُمّ الولد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واشتراك الموالي بين العبد وغيره لا يضر بعد ظهور العبد منها، واشتمالها على دفع الثلث أيضاً غير ضائر؛ لأنّ المراد بهذه الوصيّة الوصيّة بالمعنى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العبد مصرفاً لها، لا الوصيّة التمليكية، فإذا رضي مالكه بصرفها عليه كانت مصرفاً له، كالوصيّة في الإنفاق على الحيوان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الوصيّة التمليكية فمقتضى القواعد عدم صحتها لعبد الموصي مطلقاً؛ لعدم قابليته للملك، ولكن في الأخبار وفي فتاوى الأصحاب كاد أن يكون إجماعاً محصلاً فضلاً عن أن يكون منقولاً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ماضية سواء كانت بمعين، أو كانت بكلّي، أو كانت بحصة من ماله، وتنقلب قهراً بحكم الشارع إلى انعتاقه أجمع إن كانت قيمته بقدر ما أوصى به، وإن كانت قيمته أقلّ أُعتق ويُدفع له الزائد، وإن كانت قيمته أكثر أعتق بحسابه وسعى في الباقي، وكان المال الموصى به المقابل لقيمته للورثة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لمملوك له بثلث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بقيمة عادلة ثمّ يُنْظَر في ثلث ماله، فإن كان أقل من قيمته بقدر ربع القيمة استسعي في ربع قيمته، وإن كان أكثر من قيمة العبد أعتق ودفع إليه ما فضل من الثلث بعد القيمة</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أوصى لمملوكه بثلث ماله قوم المملوك قيمة عادلة، فإن كانت قيمته أكثر من الثلث استسعي في الفضلة</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وبعينه أفتى والد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أُعتق، وإن كانت قيمته أقل من الثلث أُعطي ما فضلت قيمته عليه</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والخبران وإن ضعف سندهما وقصرت دلالتهما عن إفادة حكم جميع صور المسألة إلّا أنّ الأوّل مجبور بعمل الأصحاب وفتواهم، والثاني بظاهر الاتفاق على عدم القول بالفصل، كما استظهر الإجماع المركب بعض المتأخرين </w:t>
      </w:r>
      <w:r>
        <w:rPr>
          <w:rStyle w:val="FootnoteAnchor"/>
          <w:rtl w:val="true"/>
        </w:rPr>
        <w:footnoteReference w:id="1006"/>
      </w:r>
      <w:r>
        <w:rPr>
          <w:rFonts w:ascii="Amiri" w:hAnsi="Amiri" w:eastAsia="Amiri" w:cs="Amiri"/>
          <w:color w:val="111111"/>
          <w:sz w:val="28"/>
          <w:sz w:val="28"/>
          <w:szCs w:val="28"/>
          <w:rtl w:val="true"/>
          <w:lang w:bidi="ar-SA"/>
        </w:rPr>
        <w:t>، وحينئذٍ فاختصاص موردهما بالوصيّة بالثلث 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الخبرين وفتوى المشهور أنّه مع زيادة قيمته ينعتق بحساب الوصيّة، سواء بلغ</w:t>
      </w:r>
    </w:p>
    <w:p>
      <w:pPr>
        <w:pStyle w:val="BookText"/>
        <w:rPr/>
      </w:pPr>
      <w:r>
        <w:rPr>
          <w:rFonts w:ascii="Amiri" w:hAnsi="Amiri" w:eastAsia="Amiri" w:cs="Amiri"/>
          <w:color w:val="111111"/>
          <w:sz w:val="28"/>
          <w:sz w:val="28"/>
          <w:szCs w:val="28"/>
          <w:rtl w:val="true"/>
          <w:lang w:bidi="ar-SA"/>
        </w:rPr>
        <w:t>الزائد ضعف الوصيّة أم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أبطل الوصيّة فيما إذا زادت قيمته بقدر ضعف الوصيّة </w:t>
      </w:r>
      <w:r>
        <w:rPr>
          <w:rStyle w:val="FootnoteAnchor"/>
          <w:rtl w:val="true"/>
        </w:rPr>
        <w:footnoteReference w:id="1007"/>
      </w:r>
      <w:r>
        <w:rPr>
          <w:rFonts w:ascii="Amiri" w:hAnsi="Amiri" w:eastAsia="Amiri" w:cs="Amiri"/>
          <w:color w:val="111111"/>
          <w:sz w:val="28"/>
          <w:sz w:val="28"/>
          <w:szCs w:val="28"/>
          <w:rtl w:val="true"/>
          <w:lang w:bidi="ar-SA"/>
        </w:rPr>
        <w:t>استناداً إلى مفهوم الرواية الأولى؛ حيث حكم فيها بالاستسعاء إذا كان الثلث بقدر ثلاثة أرباع العبد، وبالعتق وإعطاء ما فضل إن فضل، وذلك يستلزم العتق إن ساوى والاستسعاء إن زاد على ثلاثة أرباع بطريق أولى، وعدم الاستسعاء إن نقص عن ثلاثة أرباعه، وذلك يستلزم بطلان العتق؛ لأن الاستسعاء لازم لعتق بعض العبد في الأكثر، وانتفاء اللازم يدلّ على انتفاء الملزوم فينتفي عتق ذلك البعض، وظاهر انتفاء عتق الباقي ؛ لعدم احتمال 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لضعف دلالة مفهومه وإن كان مفهوم شرط؛ لأنّه يعود المفهوم إلى أن الثلث إن لم يكن أقل من قيمة العبد بقدر ربع القيمة لا يستسعى في ربع القيمة، لا أنّه لا يستسعى مطلقاً؛ وذلك لأن المفهوم يردّ على ما يذكر في المنطوق من قيد أو وصف أو نحو ذلك، فلا ينافي القول بأنّه يستسعى في الثلث إذا كان أقل بقدر الثلث، وبقدر النصف إذا كان بقدر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صحّ المفهوم على ما ذكروه لزم أنّه متى لم يكن الثلث أقل من قيمته بقدر الربع لا يستسعى بل تبطل الوصيّة، وهذا شامل لما لو كانت القيمة قدر الضعف أو أقل من ذلك إلى أن يبلغ النقصان قدر الربع فلا وجه للتخصيص بقدر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حوالة على ما إذا أعتقه وعليه دَيْن، فإنّه إذا لا ينفذ العتق فيه إلّا إذا كانت قيمته ضعف الدين،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يفتقر العتق إلى صيغةٍ، أم ينعتق بمجرد موت الموصي؟ الظاهر الأخير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أطلق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وصيّته تمليكيّة، وجرى عليها الحكم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صرّح بأنّ هذا المال مصرف له، فالظاهر عدم إجراء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المال له بشرط أن لا ينعتق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الوصيّة؛ لأنّه شرط مخالف للسنة، أو يُحمل على بيان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ظاهر اتفاق الأصحاب لأمكنت المناقشة في صحّة الوصيّة مطلقاً، وفي انقلابها إلى عتق العبد مع أنّه غير مقصود، وفي تسوية الحكم بين الوصيّة بالمعين وشبهه من الكلّي، وبين الوصيّة بالمشاع،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ربعه مع أنّ الأوّل أقرب؛ لفساد الوصيّة التمليكية؛ لأن الثاني يمكن تطبيقه على القواعد بصيرورته بمنزلة تمليك العبد نفسه بعد الموت، فتكون ثمرته كثمرة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تنزيل الروايات وكلام جملة من الأصحاب على إرادة الوصيّة بالمعنى العام وأقرب المصارف إلى العبد عتقه منها وإعطاؤه الزائد إن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الوصيّة التمليكية لغير مملوك الموصي مطلقاً، مدبَّراً كان أم مكاتباً أم أُمَّ ولد له؛ للأصل، ولعدم صحّة تملك العبد ولو أذن له مولاه، وعدم صحّة تملك المكاتب مطلقاً؛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جواز اكتسابه وبيعه وشرائه، وإجراء حكم الأملاك على حيازاته ونحوها لا يدلّ على جواز تملكه، وغاية ما يدلّ على رفع الحجر عنه من المولى وانقطاع سلطانه عنه، فالملك لمولاه حينئذٍ، وشموله للوصيّة محل مناقشة وكلام، سيما مع فتوى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Style w:val="FootnoteAnchor"/>
          <w:rtl w:val="true"/>
        </w:rPr>
        <w:footnoteReference w:id="1009"/>
      </w:r>
      <w:r>
        <w:rPr>
          <w:rFonts w:ascii="Amiri" w:hAnsi="Amiri" w:eastAsia="Amiri" w:cs="Amiri"/>
          <w:color w:val="111111"/>
          <w:sz w:val="28"/>
          <w:sz w:val="28"/>
          <w:szCs w:val="28"/>
          <w:rtl w:val="true"/>
          <w:lang w:bidi="ar-SA"/>
        </w:rPr>
        <w:t xml:space="preserve">بل تحصيلاً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وسيّما مع تأكده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الظاهر في نفي الوصيّة له، لا في نفيها منه؛ لمعلوميته وعدم الاحتياج إلى بيانه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عدم صحّة الوصيّة للمكاتب أيضاً ما ورد في الصحيح المشتمل على إبراهيم بن هاشم، وهو ثقة على الأظهر، وعلى محمّد بن قيس، والأظهر أنّه الثقة البجلي؛ بقرينة رواية عاصم بن حميد عنه وروايته للقضايا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مكاتب كانت تحته امرأة فأوصت له عند موتها بوصيّة، فقال أهل الميراث لا نجيز وصيّتها إنّه مكاتب لم يعتق ولا يرث، فقضى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يرث بحساب ما أُعتق منه، ويجوز له من الوصيّة بحساب ما أُعتق م منه، وقضى في مكاتب أُوصي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 وقد قضى نصف ما عليه، فأجاز نصف الوصيّة، وقضى في مكاتب قضى ربع ما عليه فأوصي له بوصيّة، فأجاز ربع الوصيّة</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جوزنا الوصيّة لأمّ ولده بالنص </w:t>
      </w:r>
      <w:r>
        <w:rPr>
          <w:rStyle w:val="FootnoteAnchor"/>
          <w:rtl w:val="true"/>
        </w:rPr>
        <w:footnoteReference w:id="1012"/>
      </w:r>
      <w:r>
        <w:rPr>
          <w:rFonts w:ascii="Amiri" w:hAnsi="Amiri" w:eastAsia="Amiri" w:cs="Amiri"/>
          <w:color w:val="111111"/>
          <w:sz w:val="28"/>
          <w:sz w:val="28"/>
          <w:szCs w:val="28"/>
          <w:rtl w:val="true"/>
          <w:lang w:bidi="ar-SA"/>
        </w:rPr>
        <w:t xml:space="preserve">والإجماع فهل تنعتق عند موت المولى من الوصيّة كما نُسب </w:t>
      </w:r>
      <w:r>
        <w:rPr>
          <w:rStyle w:val="FootnoteAnchor"/>
          <w:rtl w:val="true"/>
        </w:rPr>
        <w:footnoteReference w:id="1013"/>
      </w:r>
      <w:r>
        <w:rPr>
          <w:rFonts w:ascii="Amiri" w:hAnsi="Amiri" w:eastAsia="Amiri" w:cs="Amiri"/>
          <w:color w:val="111111"/>
          <w:sz w:val="28"/>
          <w:sz w:val="28"/>
          <w:szCs w:val="28"/>
          <w:rtl w:val="true"/>
          <w:lang w:bidi="ar-SA"/>
        </w:rPr>
        <w:t xml:space="preserve">للمشهور؛ لأنّ الإرث مؤخّر عنها وعن الدين بنص الكتاب </w:t>
      </w:r>
      <w:r>
        <w:rPr>
          <w:rStyle w:val="FootnoteAnchor"/>
          <w:rtl w:val="true"/>
        </w:rPr>
        <w:footnoteReference w:id="1014"/>
      </w:r>
      <w:r>
        <w:rPr>
          <w:rFonts w:ascii="Amiri" w:hAnsi="Amiri" w:eastAsia="Amiri" w:cs="Amiri"/>
          <w:color w:val="111111"/>
          <w:sz w:val="28"/>
          <w:sz w:val="28"/>
          <w:szCs w:val="28"/>
          <w:rtl w:val="true"/>
          <w:lang w:bidi="ar-SA"/>
        </w:rPr>
        <w:t xml:space="preserve">، فلا يُحكم لولدها بشيءٍ حتّى يُحكم لها بالوصيّة، أو من نصيب الولد، بناء على انتقال التركة إلى الوارث انتقالاً غير مستقر إلّا بعد الأمرين، وأن نفوذ الوصيّة يتوقف على وصول التركة إلى الوارث، وملك الوارث لا يتوقف على شيء؛ ولما في كتاب العباس من أنّها تعتق من نصيب ولدها، وتعطى لها الوصيّة </w:t>
      </w:r>
      <w:r>
        <w:rPr>
          <w:rStyle w:val="FootnoteAnchor"/>
          <w:rtl w:val="true"/>
        </w:rPr>
        <w:footnoteReference w:id="1015"/>
      </w:r>
      <w:r>
        <w:rPr>
          <w:rFonts w:ascii="IRNazanin" w:hAnsi="IRNazanin" w:eastAsia="IRNazanin"/>
          <w:color w:val="111111"/>
          <w:sz w:val="28"/>
          <w:sz w:val="28"/>
          <w:szCs w:val="28"/>
          <w:rtl w:val="true"/>
          <w:lang w:bidi="fa-IR"/>
        </w:rPr>
        <w:t>؟ قولان مشهوران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بالتخيير </w:t>
      </w:r>
      <w:r>
        <w:rPr>
          <w:rStyle w:val="FootnoteAnchor"/>
          <w:rtl w:val="true"/>
        </w:rPr>
        <w:footnoteReference w:id="1016"/>
      </w:r>
      <w:r>
        <w:rPr>
          <w:rFonts w:ascii="Amiri" w:hAnsi="Amiri" w:eastAsia="Amiri" w:cs="Amiri"/>
          <w:color w:val="111111"/>
          <w:sz w:val="28"/>
          <w:sz w:val="28"/>
          <w:szCs w:val="28"/>
          <w:rtl w:val="true"/>
          <w:lang w:bidi="ar-SA"/>
        </w:rPr>
        <w:t>، وهو ضعيف جداً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 من الثلث ولها الوصيّة </w:t>
      </w:r>
      <w:r>
        <w:rPr>
          <w:rStyle w:val="FootnoteAnchor"/>
          <w:rtl w:val="true"/>
        </w:rPr>
        <w:footnoteReference w:id="1017"/>
      </w:r>
      <w:r>
        <w:rPr>
          <w:rFonts w:ascii="Amiri" w:hAnsi="Amiri" w:eastAsia="Amiri" w:cs="Amiri"/>
          <w:color w:val="111111"/>
          <w:sz w:val="28"/>
          <w:sz w:val="28"/>
          <w:szCs w:val="28"/>
          <w:rtl w:val="true"/>
          <w:lang w:bidi="ar-SA"/>
        </w:rPr>
        <w:t>للصحيح في رجل كانت له أُمّ ولد وله منها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 الوفاة أوصى لها بألفي درهم أو بأكثر، للورثة أن يسترقوها؟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تعتق من الثلث ولها الوصيّة</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وبمعناه صحيح آخر </w:t>
      </w:r>
      <w:r>
        <w:rPr>
          <w:rStyle w:val="FootnoteAnchor"/>
          <w:rtl w:val="true"/>
        </w:rPr>
        <w:footnoteReference w:id="1019"/>
      </w:r>
      <w:r>
        <w:rPr>
          <w:rFonts w:ascii="Amiri" w:hAnsi="Amiri" w:eastAsia="Amiri" w:cs="Amiri"/>
          <w:color w:val="111111"/>
          <w:sz w:val="28"/>
          <w:sz w:val="28"/>
          <w:szCs w:val="28"/>
          <w:rtl w:val="true"/>
          <w:lang w:bidi="ar-SA"/>
        </w:rPr>
        <w:t xml:space="preserve">وغيره </w:t>
      </w:r>
      <w:r>
        <w:rPr>
          <w:rStyle w:val="FootnoteAnchor"/>
          <w:rtl w:val="true"/>
        </w:rPr>
        <w:footnoteReference w:id="1020"/>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ضعيف، والروايات شاذة مخالف ظاهرها لأصول المذهب، ونقل الإجماع على عدم العمل بها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أعرض المتأخرون عنها، فمنهم من حملها على صورة عتقها في المرض قبل الموت </w:t>
      </w:r>
      <w:bookmarkStart w:id="721" w:name="pg19218_274233"/>
    </w:p>
    <w:p>
      <w:pPr>
        <w:pStyle w:val="BookText"/>
        <w:rPr/>
      </w:pPr>
      <w:bookmarkEnd w:id="721"/>
      <w:r>
        <w:rPr>
          <w:rFonts w:ascii="Amiri" w:hAnsi="Amiri" w:eastAsia="Amiri" w:cs="Amiri"/>
          <w:color w:val="111111"/>
          <w:sz w:val="28"/>
          <w:sz w:val="28"/>
          <w:szCs w:val="28"/>
          <w:rtl w:val="true"/>
          <w:lang w:bidi="ar-SA"/>
        </w:rPr>
        <w:t xml:space="preserve">ثم الوصيّة لها بعده </w:t>
      </w:r>
      <w:r>
        <w:rPr>
          <w:rStyle w:val="FootnoteAnchor"/>
          <w:rtl w:val="true"/>
        </w:rPr>
        <w:footnoteReference w:id="1022"/>
      </w:r>
      <w:r>
        <w:rPr>
          <w:rFonts w:ascii="Amiri" w:hAnsi="Amiri" w:eastAsia="Amiri" w:cs="Amiri"/>
          <w:color w:val="111111"/>
          <w:sz w:val="28"/>
          <w:sz w:val="28"/>
          <w:szCs w:val="28"/>
          <w:rtl w:val="true"/>
          <w:lang w:bidi="ar-SA"/>
        </w:rPr>
        <w:t xml:space="preserve">، ومنهم مَنْ حملها على أن المراد من العتق من الثلث العتق من الوصيّة وتعطى ما فضل منها على تقدير الزيادة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يرجح هذا الأخير كثرة إطلاق الثلث على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إطلاق الحكم فيما بعد بأنّ لها الوصيّة؛ لقوة احتمال أن يراد بها ما زاد بعد العتق من الوصيّة، أو أنّ المراد منه تأكيد الحكم الأوّل من انعتاقها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يرجح أيضاً بقرينة المقابلة في الرواية الأولى حيث قال فيها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تعتق من الثلث ولها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وظاهر أنّه في الثانية يراد بها أُم الولد التي لم تعتق بالكلية، فيكون مورد الأولى أيضاً تلك الجارية؛ قضاء لحق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الرواية حجّةً للقول الثاني، فقال بعد ذكره الحمل الأوّل وما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بعيد، إلّا أن الحكم بإعطائها الوصيّة كافٍ في المطلوب؛ إذ عتقها حينئذٍ من نصيب ولدها يستفاد من دليل صحيح، وما نقل عن كتاب العباس شاهد على المدعى</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اكتفاءه في الحكم فيها بإعطائها الوصيّة بضميمة الدليل الخارجي إنّما يصحّ حيث لا تحتمل الرواية كون وجه صرف الوصيّة إليها انعتاقها تبرّعاً قبل الموت، وأما لو احتملته ولو بعيداً كما اعترف به فلا يصحّ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فأقوى الأقوال انعتاقها من الوصيّة؛ لما ذكرنا من الشواهد</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13425281_1280447820"/>
      <w:bookmarkStart w:id="723" w:name="_Toc259"/>
      <w:bookmarkEnd w:id="722"/>
      <w:r>
        <w:rPr>
          <w:rtl w:val="true"/>
        </w:rPr>
        <w:t>سادسها</w:t>
      </w:r>
      <w:r>
        <w:rPr>
          <w:rtl w:val="true"/>
        </w:rPr>
        <w:t xml:space="preserve">: </w:t>
      </w:r>
      <w:r>
        <w:rPr>
          <w:rtl w:val="true"/>
        </w:rPr>
        <w:t>حكم ما لو أعتق المريض عبداً عند موته وليس له سواه وعليه دين</w:t>
      </w:r>
      <w:bookmarkEnd w:id="723"/>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المريض عبداً عند موته وليس له سواه وعليه دين، فإن كان قيمته بقدر الدين مرتين صحّ العتق فيما يخصه من الثلث بعد الدين، ويستسعى في الخمسة الأسداس الباقية، ثلاثة منها للديّان والباقى للورثة، وإلا بطل من غير خلاف وإشكال في الأوّل وفي صحّة العتق في الجملة؛ للأصول السليمة عن المعارض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كالصحيح وهو طويل، وفيه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عبداً لم يترك مالاً غيره، وقيمة العبد </w:t>
      </w:r>
    </w:p>
    <w:p>
      <w:pPr>
        <w:pStyle w:val="BookText"/>
        <w:rPr/>
      </w:pPr>
      <w:r>
        <w:rPr>
          <w:rFonts w:ascii="Amiri" w:hAnsi="Amiri" w:eastAsia="Amiri" w:cs="Amiri"/>
          <w:color w:val="111111"/>
          <w:sz w:val="28"/>
          <w:sz w:val="28"/>
          <w:szCs w:val="28"/>
          <w:rtl w:val="true"/>
          <w:lang w:bidi="ar-SA"/>
        </w:rPr>
        <w:t>ستمائة ودينه خمسمائة، فأعتقه عند الموت كيف يصنع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فيأخذ الغرماء خمسمائة ويأخذ الورثة مائة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قيمة العبد ستمائة ودينه 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يباع فيأخذ الغرماء أربعمائة ويأخذ الورثة مائتين، ولا يكون للعبد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قيمة العبد ستمائة ودينه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ها هنا أُتي أصحابك، جعلوا الأشياء شيئاً واحداً، إذا كان مال الورثة أكثر من مال الغرماء لم يتهم الرجل على وصيته، واجيزت الوصيّة على وجهها، فالآن يوقف هذا العبد فيكون نصفه للغرماء ويكون ثلثه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له السدس</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أعتق مملوكه عند موته وعليه 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قيمة العبد مثل الذي عليه ومثله جاز عتقه وإلا لم يجز</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المملوك سدسه استسعى وأُجيز</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أعتق مملوكاً له وقد حضره الموت وأشهد له بذلك وقيمته ستمائة درهم، وعليه دين ثلاثمائة درهم ولم يترك شيئاً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منه سدسه؛ لأنّه إنما له ثلاثمائة، وله السدس من الجميع</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صريح الأوّل وظاهر ما عدا الأخير مستند الحكم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لجملة من المحقّقين </w:t>
      </w:r>
      <w:r>
        <w:rPr>
          <w:rStyle w:val="FootnoteAnchor"/>
          <w:rtl w:val="true"/>
        </w:rPr>
        <w:footnoteReference w:id="1029"/>
      </w:r>
      <w:r>
        <w:rPr>
          <w:rFonts w:ascii="Amiri" w:hAnsi="Amiri" w:eastAsia="Amiri" w:cs="Amiri"/>
          <w:color w:val="111111"/>
          <w:sz w:val="28"/>
          <w:sz w:val="28"/>
          <w:szCs w:val="28"/>
          <w:rtl w:val="true"/>
          <w:lang w:bidi="ar-SA"/>
        </w:rPr>
        <w:t>فكالأول؛ التفاتاً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لو لم تكن الروايات صحيحة، ولم يجز التخصيص للعمومات بالخبر الواحد، ورجحان الأصول بالشهرة فرع ثبوتها، وهي غير متحققة تحصيلاً ولا نقلاً سوى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وجه آخر، وهو نفوذ العتق من الأصل وسقوط الدين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لابتنائه على خروج المنجزات من الأصل ولا نقول به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قد عرفت مخالفة النصوص للقواعد المقرّرة لزم الاقتصار على موردها من المنجز فلا يسري إلى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عليه أيضاً الخبر المعتبر في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فعبدي حر،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توفّي وعليه دين قد أحاط بثمن العبد بيع العبد، وإن لم يكن أحاط بثمن العبد استسعى في قضاء دين مولاه وهو حُرٌّ إذا أوفى</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عبائر جماعةٍ عموم الحكم للصورتين </w:t>
      </w:r>
      <w:r>
        <w:rPr>
          <w:rStyle w:val="FootnoteAnchor"/>
          <w:rtl w:val="true"/>
        </w:rPr>
        <w:footnoteReference w:id="1031"/>
      </w:r>
      <w:r>
        <w:rPr>
          <w:rFonts w:ascii="Amiri" w:hAnsi="Amiri" w:eastAsia="Amiri" w:cs="Amiri"/>
          <w:color w:val="111111"/>
          <w:sz w:val="28"/>
          <w:sz w:val="28"/>
          <w:szCs w:val="28"/>
          <w:rtl w:val="true"/>
          <w:lang w:bidi="ar-SA"/>
        </w:rPr>
        <w:t xml:space="preserve">، ويعضده إطلاق الصحيحة الأخيرة من الصحاح المتقدّمة </w:t>
      </w:r>
      <w:r>
        <w:rPr>
          <w:rStyle w:val="FootnoteAnchor"/>
          <w:rtl w:val="true"/>
        </w:rPr>
        <w:footnoteReference w:id="1032"/>
      </w:r>
      <w:r>
        <w:rPr>
          <w:rFonts w:ascii="Amiri" w:hAnsi="Amiri" w:eastAsia="Amiri" w:cs="Amiri"/>
          <w:color w:val="111111"/>
          <w:sz w:val="28"/>
          <w:sz w:val="28"/>
          <w:szCs w:val="28"/>
          <w:rtl w:val="true"/>
          <w:lang w:bidi="ar-SA"/>
        </w:rPr>
        <w:t>، مع قوة احتمال حمل قوله فيما عداها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أعتقهم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الأعم من الإعتاق المنجز والمعلق؛ لصدق الإعتاق في الجملة وإن كان المتبادر إلى الذهن الأوّل؛ بقرينة إطلاق الوصيّة على الإعتاق المذكور في أواخر الصحيحة الأولى مرّتين، وسياقها ظاهر في اتحاد حكم المنجز والوصيّة، لكنّه يتوقف على جعل هذه القرينة صارفةً عن المعنى الحقيقي إلى المعنى المجازي الأعم من الوصيّة والمنجز وفي تعينه نظر؛ إذ كما يحتمل كونها صارفةً إلى المجاز الأعم يحتمل كونها صارفةٌ إلى المجاز الأخص، وهو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خروج تلك الصحيحة في المسألة الأولى عن الحجية؛ لاحتمال ورودها في الوصيّة، وتصير بذلك نصاً في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الطائفة قديماً وحديثاً على عدم احتمالهم لهذا الاحتمال وإن اختلفوا في فهم الحقيقي منها خاصّة، كما فهم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 أو الأعم منه ومن الوصيّة، كما هو ظاهر جماعة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فيستفاد من الرواية التعدية إلى الوصيّة فلا يخلو عن قوة، مع أن ظواهر الصحاح على تقدير اختصاصها بالعتق المنجز تشمل الوصيّة بالأولوية؛ فإنّ بطلان العتق المنجز على تقدير قصور القيمة عن ضعف الدين مع قوّة المنجز يقضي ببطلانها في الوصيّة بطريق أولى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الصحيحة المعارضة فغايتها الإطلاق المحتمل للتقييد بالروايات السابقة بأن تُحمل </w:t>
      </w:r>
      <w:bookmarkStart w:id="724" w:name="pg19218_274236"/>
    </w:p>
    <w:p>
      <w:pPr>
        <w:pStyle w:val="BookText"/>
        <w:rPr/>
      </w:pPr>
      <w:bookmarkEnd w:id="724"/>
      <w:r>
        <w:rPr>
          <w:rFonts w:ascii="Amiri" w:hAnsi="Amiri" w:eastAsia="Amiri" w:cs="Amiri"/>
          <w:color w:val="111111"/>
          <w:sz w:val="28"/>
          <w:sz w:val="28"/>
          <w:szCs w:val="28"/>
          <w:rtl w:val="true"/>
          <w:lang w:bidi="ar-SA"/>
        </w:rPr>
        <w:t>على كون الدين نصف القيمة؛ بناءً على عموم بعضها أو أكثرها للوصيّة، مع احتماله للحمل على التقية؛ لأنّه مذهب للعامة في تلك الأزمنة</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13425283_1280447820"/>
      <w:bookmarkStart w:id="726" w:name="_Toc260"/>
      <w:bookmarkEnd w:id="725"/>
      <w:r>
        <w:rPr>
          <w:rtl w:val="true"/>
        </w:rPr>
        <w:t>سابعها</w:t>
      </w:r>
      <w:r>
        <w:rPr>
          <w:rtl w:val="true"/>
        </w:rPr>
        <w:t xml:space="preserve">: </w:t>
      </w:r>
      <w:r>
        <w:rPr>
          <w:rtl w:val="true"/>
        </w:rPr>
        <w:t>اشتراط تحقق شرائط الموصى له حين الوصيّة</w:t>
      </w:r>
      <w:bookmarkEnd w:id="726"/>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شرائط الموصى له من الوجود والحُرّيّة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تحققها حين الوصيّة، فلو أوصى لمعدوم فوجد بعد موته، أو مملوك أو كافر فانعتق أو أسلم بعد الوصيّة قبل موته أو بعد موته 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في الوصيّة بالمعنى المتعارف أن يوصى بتمليك المعدوم بعد وجوده، والعبد بعد حريته مع احتمال صحّة الوصيّة فيما إذا حصلت القابلية بعد الوصيّة قبل الموت</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13425285_1280447820"/>
      <w:bookmarkStart w:id="728" w:name="_Toc261"/>
      <w:bookmarkEnd w:id="727"/>
      <w:r>
        <w:rPr>
          <w:rtl w:val="true"/>
        </w:rPr>
        <w:t>ثامنها</w:t>
      </w:r>
      <w:r>
        <w:rPr>
          <w:rtl w:val="true"/>
        </w:rPr>
        <w:t xml:space="preserve">: </w:t>
      </w:r>
      <w:r>
        <w:rPr>
          <w:rtl w:val="true"/>
        </w:rPr>
        <w:t>في أن مقتضى الوصيّة التسوية بين الموصى له في قسمة الموصى به</w:t>
      </w:r>
      <w:bookmarkEnd w:id="728"/>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الوصيّة التسوية بين الموصى له في قسمة الموصى به الذكر والأنثى والخنثى سواء، والجمع والمفرد المتقابلان سواء؛ كلّ ذلك قضاء لمدلول إطلاق الوصيّة، ونظراً للعرف، وتفصياً من تبديل الوصيّة المنهي عن تبديلها </w:t>
      </w:r>
      <w:r>
        <w:rPr>
          <w:rStyle w:val="FootnoteAnchor"/>
          <w:rtl w:val="true"/>
        </w:rPr>
        <w:footnoteReference w:id="1035"/>
      </w:r>
      <w:r>
        <w:rPr>
          <w:rFonts w:ascii="Amiri" w:hAnsi="Amiri" w:eastAsia="Amiri" w:cs="Amiri"/>
          <w:color w:val="111111"/>
          <w:sz w:val="28"/>
          <w:sz w:val="28"/>
          <w:szCs w:val="28"/>
          <w:rtl w:val="true"/>
          <w:lang w:bidi="ar-SA"/>
        </w:rPr>
        <w:t>، وتبعاً لفتوى الأصحاب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ما ورد في بعض الأخبار من أنّ الوصيّة للأعمام والأخوال يقتضي أن يكون للأعمام الثلثان وللأخوال الثلث </w:t>
      </w:r>
      <w:r>
        <w:rPr>
          <w:rStyle w:val="FootnoteAnchor"/>
          <w:rtl w:val="true"/>
        </w:rPr>
        <w:footnoteReference w:id="1036"/>
      </w:r>
      <w:r>
        <w:rPr>
          <w:rFonts w:ascii="Amiri" w:hAnsi="Amiri" w:eastAsia="Amiri" w:cs="Amiri"/>
          <w:color w:val="111111"/>
          <w:sz w:val="28"/>
          <w:sz w:val="28"/>
          <w:szCs w:val="28"/>
          <w:rtl w:val="true"/>
          <w:lang w:bidi="ar-SA"/>
        </w:rPr>
        <w:t xml:space="preserve">شاذ مطرح، أو محمول على فهم إرادة التفضيل من الموصي على نحو الميراث بقرينة حالية أو مقاليّة، أو لكونه متبادراً ذلك وقت الصدور؛ لعدم قابليته لمعارضة مقتضى القواعد المحكمة المؤيَّدة بفتوى المشهور، القاضية بلزوم حمل الخطاب على ظاهره و عدم جواز صرفه إلى غيره، ولزوم اتباع قصد الموصي سيما لو قصد الموصي التسوية، فإنّ الحكم عليه بالتفضيل وجعل ذلك من الأسباب القهرية الشرعيّة مخالف للبديهة، كما أن ما ورد من قسمة الوصيّة بين أولاده الذكور والإناث على كتاب اللّه تعالى </w:t>
      </w:r>
      <w:r>
        <w:rPr>
          <w:rStyle w:val="FootnoteAnchor"/>
          <w:rtl w:val="true"/>
        </w:rPr>
        <w:footnoteReference w:id="1037"/>
      </w:r>
      <w:r>
        <w:rPr>
          <w:rFonts w:ascii="Amiri" w:hAnsi="Amiri" w:eastAsia="Amiri" w:cs="Amiri"/>
          <w:color w:val="111111"/>
          <w:sz w:val="28"/>
          <w:sz w:val="28"/>
          <w:szCs w:val="28"/>
          <w:rtl w:val="true"/>
          <w:lang w:bidi="ar-SA"/>
        </w:rPr>
        <w:t>ضعيف سنداً ودلالة؛ لعدم ظهورها في الوصيّة، ومع ذلك فهي مكاتبة ومضمونها شاذ، وربما يدعى الإجماع على خلافه، فلا يقاوم ما قدمناه</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13425287_1280447820"/>
      <w:bookmarkStart w:id="730" w:name="_Toc262"/>
      <w:bookmarkEnd w:id="729"/>
      <w:r>
        <w:rPr>
          <w:rtl w:val="true"/>
        </w:rPr>
        <w:t>تاسعها</w:t>
      </w:r>
      <w:r>
        <w:rPr>
          <w:rtl w:val="true"/>
        </w:rPr>
        <w:t xml:space="preserve">: </w:t>
      </w:r>
      <w:r>
        <w:rPr>
          <w:rtl w:val="true"/>
        </w:rPr>
        <w:t>بيان المراد بالقرابة فيما لو أوصى لقرابته أو لأقاربه أو لذوي قرابته أو لأرحامه أو لذوي رحمه</w:t>
      </w:r>
      <w:bookmarkEnd w:id="73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لقرابته أو لأقاربه أو لذوي قرابته أو لأرحامه أو لذوي رحمه، كان </w:t>
      </w:r>
    </w:p>
    <w:p>
      <w:pPr>
        <w:pStyle w:val="BookText"/>
        <w:rPr/>
      </w:pPr>
      <w:r>
        <w:rPr>
          <w:rFonts w:ascii="Amiri" w:hAnsi="Amiri" w:eastAsia="Amiri" w:cs="Amiri"/>
          <w:color w:val="111111"/>
          <w:sz w:val="28"/>
          <w:sz w:val="28"/>
          <w:szCs w:val="28"/>
          <w:rtl w:val="true"/>
          <w:lang w:bidi="ar-SA"/>
        </w:rPr>
        <w:t>المراد به من يقرب إليه عرفاً ممّن يتصل به من الأنساب، سواء كان وارثاً أم لا، وسواء كان من الإناث أو الذكور، وسواء كان من الآباء والأمهات والأولاد أو غيرهم، دون من يبعد عرفاً عنه ممّن يتصل به كأولاد الجد الخامس أو السادس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يختص اسم القرابة في العرف الحادث بما عدا الأبوين والأولاد الصلبيين، بل بما عدا الآباء وإن علوا مطلقاً، والأولاد وإن سفلوا، وقد تُحمل عليه الوصيّة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الجد والولد لا يلاحظ فيهما القرب والبغد، بل الجد وإن علا كنوح يُسمّى قرابةً كما يُسمّى جداً، والولد وإن نزل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خلافه كما يشهد به العرف، فالجد العالي يرث بالجدودة، ولا يرث بالقرابة وآية أولى الأرحام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يدل على أن المرجع في القرابة العرف ما ورد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أوصى لقرابته ما حد القرابة، أو لها حدّ تنتهي إليه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يسم أعطاها قرابته</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لظهوره في إيكال معنى القرابة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القرابة مَنْ يتقرب إلى الرجل إلى آخر أب وأم له في الإسلام </w:t>
      </w:r>
      <w:r>
        <w:rPr>
          <w:rStyle w:val="FootnoteAnchor"/>
          <w:rtl w:val="true"/>
        </w:rPr>
        <w:footnoteReference w:id="1040"/>
      </w:r>
      <w:r>
        <w:rPr>
          <w:rFonts w:ascii="Amiri" w:hAnsi="Amiri" w:eastAsia="Amiri" w:cs="Amiri"/>
          <w:color w:val="111111"/>
          <w:sz w:val="28"/>
          <w:sz w:val="28"/>
          <w:szCs w:val="28"/>
          <w:rtl w:val="true"/>
          <w:lang w:bidi="ar-SA"/>
        </w:rPr>
        <w:t>، فلا يدخل الكافر ولا فروعه في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مخالف للعرف ولا شاهد له، وما استند إليه من قوله تعالى لنوح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الإسلام أرحام الجاهلية</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لا شاهد فيه؛ لأنّ نفي الأهلية لا يدلّ على نفي القرابة والرحم،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زوجته وليس ابنه حقيقة، وقطع الإسلام أرحام الجاهلية لا يدلّ على قطعه لأرحام الكفّار مطلقاً، ولا لأرحام فروعهم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القرابة مختص بكل ذي رحم محرم، كالآباء والأمهات والأولاد والإخوة والأخوات والعمات والخالات، دون مَنْ لم يكن كذلك كأولاد الأعمام والأخوال</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bookmarkStart w:id="731" w:name="pg19218_274238"/>
    </w:p>
    <w:p>
      <w:pPr>
        <w:pStyle w:val="BookText"/>
        <w:rPr/>
      </w:pPr>
      <w:bookmarkEnd w:id="731"/>
      <w:r>
        <w:rPr>
          <w:rFonts w:ascii="IRNazanin" w:hAnsi="IRNazanin" w:eastAsia="IRNazanin"/>
          <w:color w:val="111111"/>
          <w:sz w:val="28"/>
          <w:sz w:val="28"/>
          <w:szCs w:val="28"/>
          <w:rtl w:val="true"/>
          <w:lang w:bidi="fa-IR"/>
        </w:rPr>
        <w:t>وهو شاذ مخالف للعرف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القرابة ما ينتهي إلى ولد الأب الرابع؛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الخمس الذي هو للقربي في ولد الأب الرابع</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لعدم القطع بأنّ عدم إعطاء الخمس إنّما كان لعدم القرابة، بل لأن القرابة المعطى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لأهل بيته، دخل فيه الآباء وإن علوا، والأولاد وإن سفلوا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معهم الأعمام والأخوال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كلّ مَنْ يعرف بقرابته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ولدخول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البيت إجماعاً في آية التطهير</w:t>
      </w:r>
      <w:r>
        <w:rPr>
          <w:rStyle w:val="FootnoteAnchor"/>
          <w:rtl w:val="true"/>
        </w:rPr>
        <w:footnoteReference w:id="1047"/>
      </w:r>
      <w:r>
        <w:rPr>
          <w:rFonts w:ascii="Amiri" w:hAnsi="Amiri" w:eastAsia="Amiri" w:cs="Amiri"/>
          <w:color w:val="111111"/>
          <w:sz w:val="28"/>
          <w:sz w:val="28"/>
          <w:szCs w:val="28"/>
          <w:rtl w:val="true"/>
          <w:lang w:bidi="ar-SA"/>
        </w:rPr>
        <w:t>، والظاهر من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أهل بيت معروفين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أهل البيت على الأتباع، ويطلق على الزوجة، ويطلق على مَنْ عال بهم الشخص في بيته، وتُستعمل هذه المعاني كثيراً في عرفنا اليوم، فينبغي ملاحظة حال الموصي وعرف بلده</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13425289_1280447820"/>
      <w:bookmarkStart w:id="733" w:name="_Toc263"/>
      <w:bookmarkEnd w:id="732"/>
      <w:r>
        <w:rPr>
          <w:rtl w:val="true"/>
        </w:rPr>
        <w:t>عاشرها</w:t>
      </w:r>
      <w:r>
        <w:rPr>
          <w:rtl w:val="true"/>
        </w:rPr>
        <w:t xml:space="preserve">: </w:t>
      </w:r>
      <w:r>
        <w:rPr>
          <w:rtl w:val="true"/>
        </w:rPr>
        <w:t>بيان مَنْ يدخل في الوصيّة فيما لو أوصى لأقارب أقاربه</w:t>
      </w:r>
      <w:bookmarkEnd w:id="733"/>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لأقارب أقاربه، انصرف إلى مَنْ يقرب عرفاً لمن يقرب إليه عرفاً، ويدخل فيه مَنْ يقرب إليه عرفاً لو كان يقرب ممّن يقرب إليه على إشكال، ويدخل فيهم الآباء والأولاد، ولا يدخل فيهم نفس الأقارب، وإن كان بعضهم يقرب لبعض فهم أقاربه وأقارب أقاربه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أوصى لأجداده وجداته، دخل الأعلى والأسفل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أوصى لأعمامه وأخواله، لم يدخل فيهم أعمام أبيه وأخوال أُمه، وقد يدخلان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لبني شخص منحصرين، كان للذكور منهم، ويقتسمون بالسوية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لبني شخص غير منحصرين كبني هاشم وبني تميم، دخلت الذكور والإناث، وكانوا مصرفاً للوصيّة، فلا يجب التوزيع</w:t>
      </w:r>
      <w:r>
        <w:rPr>
          <w:rFonts w:eastAsia="Amiri" w:cs="Amiri" w:ascii="Amiri" w:hAnsi="Amiri"/>
          <w:color w:val="111111"/>
          <w:sz w:val="28"/>
          <w:szCs w:val="28"/>
          <w:rtl w:val="true"/>
          <w:lang w:bidi="ar-SA"/>
        </w:rPr>
        <w:t xml:space="preserve">. </w:t>
      </w:r>
      <w:bookmarkStart w:id="734" w:name="pg19218_274239"/>
    </w:p>
    <w:p>
      <w:pPr>
        <w:pStyle w:val="BookText"/>
        <w:rPr/>
      </w:pPr>
      <w:bookmarkEnd w:id="734"/>
      <w:r>
        <w:rPr>
          <w:rFonts w:ascii="Amiri" w:hAnsi="Amiri" w:eastAsia="Amiri" w:cs="Amiri"/>
          <w:color w:val="111111"/>
          <w:sz w:val="28"/>
          <w:sz w:val="28"/>
          <w:szCs w:val="28"/>
          <w:rtl w:val="true"/>
          <w:lang w:bidi="ar-SA"/>
        </w:rPr>
        <w:t>وهل يجب إعطاء ثلاثة فما فوق ؟ الأحوط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أوصى للأرامل، انصرف لمن مات عنهن أزواجهن أو أبن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أوصى للأيتام، انصرف لغير البالغين، ودخل فيه 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لورثة فلان ولم يكن سوى معتق أو ضامن جريرة، أعطوا على الأظهر، ولو لم يكن سوى الحاكم 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للشيوخ، انصرف إلى مَنْ تجاوز الأربعين، وللكهول لمن بلغ الأربعين، والغلمان والصبيان لمن لم يبلغوا الأربعين وللشبّان لمن جاوز البلوغ إلى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للقراء، فهو لمن أحسن القراءة بالقراءات المتواترة، ولا يشترط الحفظ على القلب، وللعلماء فهو لعلماء الشريعة، وهُم الفقهاء، وقد يدخل فيهم علماء مقدمات الفقه وعلماء التفسير والكلام، ولا يدخل الأطباء والمنجمون والمهندسة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لزيد وللحائط أو للجن أو لجبرئيل، احتمل بطلان الوصيّة بالنصف، واحتمل صرفها أجمع في زيد، واحتمال بطلان الكل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لزيد واللّه تعالى، احتمل صرفها لزيدٍ أجمع، واحتمل التنصيف بينه وبين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علم الموصي بالبطلان، وإلا فالوجه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لأصناف الزكاة، وجب صرفها في الأصناف الثمانية، ولا يجب التوزيع في كلّ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للفقراء، دخل فيهم المساكين، وكذا العكس، ولو جمعهما وجب التوزيع على الأظهر، سيّما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للفقراء، وخمسة للمساكين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للعبد بنفسه، صرف إلى تدبيره، واحتمل البطلان</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3425291_1280447820"/>
      <w:bookmarkStart w:id="736" w:name="_Toc264"/>
      <w:bookmarkEnd w:id="735"/>
      <w:r>
        <w:rPr>
          <w:rtl w:val="true"/>
        </w:rPr>
        <w:t>حادي عشرها</w:t>
      </w:r>
      <w:r>
        <w:rPr>
          <w:rtl w:val="true"/>
        </w:rPr>
        <w:t xml:space="preserve">: </w:t>
      </w:r>
      <w:r>
        <w:rPr>
          <w:rtl w:val="true"/>
        </w:rPr>
        <w:t>فيما لو مات الموصى له انتقل حكم الوصيّة إلى ورثته</w:t>
      </w:r>
      <w:bookmarkEnd w:id="73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الموصى له، انتقل حكم الوصيّة إلى ورثة الموصى له، فإن قلنا بعدم توقف ملك الموصى له على القبول، ملك الوارث بمجرد موت الموصي، وإن قلنا بتوقفه، ملك بالموت والقبول، ولو قلنا بكفاية قبول الموصى له حال حياة الموصي، ففي كفاية قبوله هنا حال حياة الموصى عن قبول الوارث فيملك الوارث بمجرّد الموت وجهان، ينشآن من الشكّ في وقوع القبول من أهله في محلّه، وعدمه، ومن الاكتفاء بقبول واحدٍ في ملك آخر</w:t>
      </w:r>
      <w:r>
        <w:rPr>
          <w:rFonts w:eastAsia="Amiri" w:cs="Amiri" w:ascii="Amiri" w:hAnsi="Amiri"/>
          <w:color w:val="111111"/>
          <w:sz w:val="28"/>
          <w:szCs w:val="28"/>
          <w:rtl w:val="true"/>
          <w:lang w:bidi="ar-SA"/>
        </w:rPr>
        <w:t xml:space="preserve">. </w:t>
      </w:r>
      <w:bookmarkStart w:id="737" w:name="pg19218_274240"/>
    </w:p>
    <w:p>
      <w:pPr>
        <w:pStyle w:val="BookText"/>
        <w:rPr/>
      </w:pPr>
      <w:bookmarkEnd w:id="737"/>
      <w:r>
        <w:rPr>
          <w:rFonts w:ascii="Amiri" w:hAnsi="Amiri" w:eastAsia="Amiri" w:cs="Amiri"/>
          <w:color w:val="111111"/>
          <w:sz w:val="28"/>
          <w:sz w:val="28"/>
          <w:szCs w:val="28"/>
          <w:rtl w:val="true"/>
          <w:lang w:bidi="ar-SA"/>
        </w:rPr>
        <w:t>وبالجملة، فالوارث يقوم مقام الموروث في تولّي القبول مطلقاً، فله أن يتولى القبول في حياة الموصي إذا لم يرجع الموصي في وصيته، ويكفي ذلك عن إعادته بعد موته، وله أن يتولى القبول بعد موت الموصي، ويملك بمجرد الموت لو صدر القبول من مورثه حال حياة الموصي، أو صدر القبول منه بعد موتهما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من هذه الأحكام تأمل، كما أنّه ينبغي التأمل في قيام الحاكم مقام الموصى له في تولّي القبول، وفي الملك بعد موت الموصي لو قبل الموصى له حال الحياة،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حال حياة الموصي كافٍ ولو كان من الموروث بالنسبة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الأخبار وينساق الإطلاق إليه هو الوارث الخاص دون العام، مع احتمال شمول الوارث للعام في بعض الروايات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فلو قلنا بعدم شمول الوارث للحاكم ولم يخلّف الموصى له وارثاً، بطلت الوصيّة ورجعت إلى ورثة الموصي، وكان كما لو رجع الموصي عن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بصحّة قبول الموصى له حال حياة الموصي وتأثيرها بالنسبة إلى وارثه، قوي القول بانتقال الوصيّة إلى الحاكم، حيث قبل في حياة الموصي ولم يخلّف وارثاً سوى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بعض الروايات من الصدقة بالوصيّة حيث لم يجد وارثاً </w:t>
      </w:r>
      <w:r>
        <w:rPr>
          <w:rStyle w:val="FootnoteAnchor"/>
          <w:rtl w:val="true"/>
        </w:rPr>
        <w:footnoteReference w:id="1049"/>
      </w:r>
      <w:r>
        <w:rPr>
          <w:rFonts w:ascii="Amiri" w:hAnsi="Amiri" w:eastAsia="Amiri" w:cs="Amiri"/>
          <w:color w:val="111111"/>
          <w:sz w:val="28"/>
          <w:sz w:val="28"/>
          <w:szCs w:val="28"/>
          <w:rtl w:val="true"/>
          <w:lang w:bidi="ar-SA"/>
        </w:rPr>
        <w:t xml:space="preserve">، محمول على حصول القبول من الموصى له في حال حياة الموصي أو بعد موته، أو على الاكتفاء بقبول الحاكم للوصيّة فيرجع إلى كونه مالاً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فتصح الصدقة</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13425293_1280447820"/>
      <w:bookmarkStart w:id="739" w:name="_Toc265"/>
      <w:bookmarkEnd w:id="738"/>
      <w:r>
        <w:rPr>
          <w:rtl w:val="true"/>
        </w:rPr>
        <w:t>ثاني عشرها</w:t>
      </w:r>
      <w:r>
        <w:rPr>
          <w:rtl w:val="true"/>
        </w:rPr>
        <w:t xml:space="preserve">: </w:t>
      </w:r>
      <w:r>
        <w:rPr>
          <w:rtl w:val="true"/>
        </w:rPr>
        <w:t>صحّة الوصيّة بما لا يتموّل وبما لا يقدر على تسليمه على تقدير القدرة</w:t>
      </w:r>
      <w:bookmarkEnd w:id="739"/>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بما لا يتموّل، وبما لا يقدر على تسليمه على تقدير القدرة، سواء كان غير مقدورٍ حال الوصيّة أو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الوصيّة بما لا يملك إذا كان للموصي فيه حقّ يصحّ نقله، كما إذا اشتمل على نفع مقصود محلّل، كالوصيّة بالسنانير والفيل وغير كلب الهراش على القول بعدم صحّة تملك شيء منها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تصحّ الوصيّة بالمحرَّم، كالوصيّة بالخمر والخنزير وآلات اللّهو والعود والصنم وكتب 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وتنفذ الوصيّة بالثلث إجماعاً فتوى ونصّاً، كتاباً </w:t>
      </w:r>
      <w:r>
        <w:rPr>
          <w:rStyle w:val="FootnoteAnchor"/>
          <w:rtl w:val="true"/>
        </w:rPr>
        <w:footnoteReference w:id="1050"/>
      </w:r>
      <w:r>
        <w:rPr>
          <w:rFonts w:ascii="Amiri" w:hAnsi="Amiri" w:eastAsia="Amiri" w:cs="Amiri"/>
          <w:color w:val="111111"/>
          <w:sz w:val="28"/>
          <w:sz w:val="28"/>
          <w:szCs w:val="28"/>
          <w:rtl w:val="true"/>
          <w:lang w:bidi="ar-SA"/>
        </w:rPr>
        <w:t>، وسنة</w:t>
      </w:r>
      <w:r>
        <w:rPr>
          <w:rStyle w:val="FootnoteAnchor"/>
          <w:rtl w:val="true"/>
        </w:rPr>
        <w:footnoteReference w:id="1051"/>
      </w:r>
      <w:r>
        <w:rPr>
          <w:rFonts w:ascii="Amiri" w:hAnsi="Amiri" w:eastAsia="Amiri" w:cs="Amiri"/>
          <w:color w:val="111111"/>
          <w:sz w:val="28"/>
          <w:sz w:val="28"/>
          <w:szCs w:val="28"/>
          <w:rtl w:val="true"/>
          <w:lang w:bidi="ar-SA"/>
        </w:rPr>
        <w:t>، وهي وإن لم تكن متواترة فقريبة للتواتر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تنفذ فيما زاد على الثلث، كما هو فتوى المشهور بل كاد أن يكون إجماعاً، والإجماع منقول عليه </w:t>
      </w:r>
      <w:r>
        <w:rPr>
          <w:rStyle w:val="FootnoteAnchor"/>
          <w:rtl w:val="true"/>
        </w:rPr>
        <w:footnoteReference w:id="1052"/>
      </w:r>
      <w:r>
        <w:rPr>
          <w:rFonts w:ascii="IRNazanin" w:hAnsi="IRNazanin" w:eastAsia="IRNazanin"/>
          <w:color w:val="111111"/>
          <w:sz w:val="28"/>
          <w:sz w:val="28"/>
          <w:szCs w:val="28"/>
          <w:rtl w:val="true"/>
          <w:lang w:bidi="fa-IR"/>
        </w:rPr>
        <w:t xml:space="preserve">، والأخبار </w:t>
      </w:r>
      <w:r>
        <w:rPr>
          <w:rStyle w:val="FootnoteAnchor"/>
          <w:rtl w:val="true"/>
        </w:rPr>
        <w:footnoteReference w:id="1053"/>
      </w:r>
      <w:r>
        <w:rPr>
          <w:rFonts w:ascii="Amiri" w:hAnsi="Amiri" w:eastAsia="Amiri" w:cs="Amiri"/>
          <w:color w:val="111111"/>
          <w:sz w:val="28"/>
          <w:sz w:val="28"/>
          <w:szCs w:val="28"/>
          <w:rtl w:val="true"/>
          <w:lang w:bidi="ar-SA"/>
        </w:rPr>
        <w:t>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لوالد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فجوّز الوصيّة بكل المال </w:t>
      </w:r>
      <w:r>
        <w:rPr>
          <w:rStyle w:val="FootnoteAnchor"/>
          <w:rtl w:val="true"/>
        </w:rPr>
        <w:footnoteReference w:id="1054"/>
      </w:r>
      <w:r>
        <w:rPr>
          <w:rFonts w:ascii="Amiri" w:hAnsi="Amiri" w:eastAsia="Amiri" w:cs="Amiri"/>
          <w:color w:val="111111"/>
          <w:sz w:val="28"/>
          <w:sz w:val="28"/>
          <w:szCs w:val="28"/>
          <w:rtl w:val="true"/>
          <w:lang w:bidi="ar-SA"/>
        </w:rPr>
        <w:t xml:space="preserve">استناداً للرضوي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شاذ ضعيف، كضعف مستنده وإن أمكن تأييده بالإطلاقات وبعض الروايات، كالخبر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 دام فيه الروح إن أوصى به كلّه فهو جائز</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 ونحوه أخبار أُخَر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 لضعف الإطلاقات بقوة المقيد، وبفتوى المشهور على خلافه، وبالأخبار الخاصّة، وضعف الخبر بضعف سنده وإجماله؛ لاحتماله إرادة ما له وليس له إلّا الثلث وبأنه لا يدلّ إلّا على الجواز، ولا بأس به؛ لأنّ الوصيّة بما زاد جائزة وإن لم تلزم إلّا مع إجازة الوارث وباحتمال حملها على مَنْ أوصى بما زاد على الثلث ولم يكن له وارث خاص على رأي لا يبعد القول به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أوصى بجميع ما خلف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 بنتي أخ،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ما خلف وابعث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به إليه،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 إلَيَّ</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 ونحوه خبران آخران تضمنا الوصيّة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قد أجاز الوصيّة له بما زاد على الثلث </w:t>
      </w:r>
      <w:r>
        <w:rPr>
          <w:rStyle w:val="FootnoteAnchor"/>
          <w:rtl w:val="true"/>
        </w:rPr>
        <w:footnoteReference w:id="1059"/>
      </w:r>
      <w:r>
        <w:rPr>
          <w:rFonts w:ascii="Amiri" w:hAnsi="Amiri" w:eastAsia="Amiri" w:cs="Amiri"/>
          <w:color w:val="111111"/>
          <w:sz w:val="28"/>
          <w:sz w:val="28"/>
          <w:szCs w:val="28"/>
          <w:rtl w:val="true"/>
          <w:lang w:bidi="ar-SA"/>
        </w:rPr>
        <w:t>، شاذة مطرحة، ومع ضعفها بما ذكرنا معارضة بصريح أخبار أُخر معتبرة</w:t>
      </w:r>
      <w:r>
        <w:rPr>
          <w:rFonts w:eastAsia="Amiri" w:cs="Amiri" w:ascii="Amiri" w:hAnsi="Amiri"/>
          <w:color w:val="111111"/>
          <w:sz w:val="28"/>
          <w:szCs w:val="28"/>
          <w:rtl w:val="true"/>
          <w:lang w:bidi="ar-SA"/>
        </w:rPr>
        <w:t xml:space="preserve">: </w:t>
      </w:r>
      <w:bookmarkStart w:id="740" w:name="pg19218_274242"/>
    </w:p>
    <w:p>
      <w:pPr>
        <w:pStyle w:val="BookText"/>
        <w:rPr/>
      </w:pPr>
      <w:bookmarkEnd w:id="740"/>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لمحمد بن الحسن بن أبي خالد غلام لم يكن به بأس عارف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فحضره الموت فأوصى إلى أبي الفضل العباس بجميع ميراثه وتركته أن اجعله دراهم وابعث بها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 أهلاً حاملاً وإخوة قد دخلوا في الإسلام، وأُمّاً مجوسية،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أوصى به وجمعت الدراهم ودفعتها إلى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وأوصلتها إليه، فأمره أن يعزل منها الثلث يدفعها إليه، ويردّ الباقي إلى وصيه يردّها على الورثة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غير ذلك ممّا تضمن عدم نفوذ الوصيّة بما زاد على الثلث فعلاً وقولاً،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تلك الأخبار الضعيفة على اختصاص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الحكم، أو على كون كلّ المال من المجهول المالك، أو من الخمس الذي في ذمته، أو على كونه منذوراً لهم حال الحياة، أو على كونها مع فقد الوارث ثمّ بان الوارث، أو على إرضاء الوارث، أو على كونه مخالفاً، بناءً على أن المخالف من النواصب</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13425295_1280447820"/>
      <w:bookmarkStart w:id="742" w:name="_Toc266"/>
      <w:bookmarkEnd w:id="741"/>
      <w:r>
        <w:rPr>
          <w:rtl w:val="true"/>
        </w:rPr>
        <w:t>ثالث عشرها</w:t>
      </w:r>
      <w:r>
        <w:rPr>
          <w:rtl w:val="true"/>
        </w:rPr>
        <w:t xml:space="preserve">: </w:t>
      </w:r>
      <w:r>
        <w:rPr>
          <w:rtl w:val="true"/>
        </w:rPr>
        <w:t>فيما يتعلّق بما إذا أجاز الوارث الوصيّة بمازاد على الثلث</w:t>
      </w:r>
      <w:bookmarkEnd w:id="742"/>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أجاز الوارث الوصيّة بما زاد على الثلث، وكان قابلاً للإجازة عاقلاً مختاراً رشيداً بالغاً غير محجورٍ عليه بفلس ونحوه، وكانت الإجازة بلفظ دال على المقصود صريحاً، أو بالقرينة، أو بفعل قائم مقام القول، صحت إجازته إذا كانت بعد موت الموصي؛ للإجماع منقولاً </w:t>
      </w:r>
      <w:r>
        <w:rPr>
          <w:rStyle w:val="FootnoteAnchor"/>
          <w:rtl w:val="true"/>
        </w:rPr>
        <w:footnoteReference w:id="1061"/>
      </w:r>
      <w:r>
        <w:rPr>
          <w:rFonts w:ascii="Amiri" w:hAnsi="Amiri" w:eastAsia="Amiri" w:cs="Amiri"/>
          <w:color w:val="111111"/>
          <w:sz w:val="28"/>
          <w:sz w:val="28"/>
          <w:szCs w:val="28"/>
          <w:rtl w:val="true"/>
          <w:lang w:bidi="ar-SA"/>
        </w:rPr>
        <w:t xml:space="preserve">بل محصلاً، وللأخبار الدالّة على صحّة الإجازة فحوى وصريحاً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أجاز قبل الوفاة، نفذت الإجازة أيضاً؛ للأخبار </w:t>
      </w:r>
      <w:r>
        <w:rPr>
          <w:rStyle w:val="FootnoteAnchor"/>
          <w:rtl w:val="true"/>
        </w:rPr>
        <w:footnoteReference w:id="1063"/>
      </w:r>
      <w:r>
        <w:rPr>
          <w:rFonts w:ascii="IRNazanin" w:hAnsi="IRNazanin" w:eastAsia="IRNazanin"/>
          <w:color w:val="111111"/>
          <w:sz w:val="28"/>
          <w:sz w:val="28"/>
          <w:szCs w:val="28"/>
          <w:rtl w:val="true"/>
          <w:lang w:bidi="fa-IR"/>
        </w:rPr>
        <w:t>، ولأنّ المال حقّ من حقوقه فله إسقاطه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تلزم الإجازة قبل الموت بحيث لا يجوز للمجيز ردّها بعده؟ قولان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باللزوم </w:t>
      </w:r>
      <w:r>
        <w:rPr>
          <w:rStyle w:val="FootnoteAnchor"/>
          <w:rtl w:val="true"/>
        </w:rPr>
        <w:footnoteReference w:id="1064"/>
      </w:r>
      <w:r>
        <w:rPr>
          <w:rFonts w:ascii="Amiri" w:hAnsi="Amiri" w:eastAsia="Amiri" w:cs="Amiri"/>
          <w:color w:val="111111"/>
          <w:sz w:val="28"/>
          <w:sz w:val="28"/>
          <w:szCs w:val="28"/>
          <w:rtl w:val="true"/>
          <w:lang w:bidi="ar-SA"/>
        </w:rPr>
        <w:t xml:space="preserve">لإطلاق أدلّة الوصيّة كتاباً </w:t>
      </w:r>
      <w:r>
        <w:rPr>
          <w:rStyle w:val="FootnoteAnchor"/>
          <w:rtl w:val="true"/>
        </w:rPr>
        <w:footnoteReference w:id="1065"/>
      </w:r>
      <w:r>
        <w:rPr>
          <w:rFonts w:ascii="Amiri" w:hAnsi="Amiri" w:eastAsia="Amiri" w:cs="Amiri"/>
          <w:color w:val="111111"/>
          <w:sz w:val="28"/>
          <w:sz w:val="28"/>
          <w:szCs w:val="28"/>
          <w:rtl w:val="true"/>
          <w:lang w:bidi="ar-SA"/>
        </w:rPr>
        <w:t xml:space="preserve">وسنة </w:t>
      </w:r>
      <w:r>
        <w:rPr>
          <w:rStyle w:val="FootnoteAnchor"/>
          <w:rtl w:val="true"/>
        </w:rPr>
        <w:footnoteReference w:id="1066"/>
      </w:r>
      <w:r>
        <w:rPr>
          <w:rFonts w:ascii="Amiri" w:hAnsi="Amiri" w:eastAsia="Amiri" w:cs="Amiri"/>
          <w:color w:val="111111"/>
          <w:sz w:val="28"/>
          <w:sz w:val="28"/>
          <w:szCs w:val="28"/>
          <w:rtl w:val="true"/>
          <w:lang w:bidi="ar-SA"/>
        </w:rPr>
        <w:t xml:space="preserve">، خرج منه ما لم يجز الوارث وبقي </w:t>
      </w:r>
    </w:p>
    <w:p>
      <w:pPr>
        <w:pStyle w:val="BookText"/>
        <w:rPr/>
      </w:pPr>
      <w:r>
        <w:rPr>
          <w:rFonts w:ascii="Amiri" w:hAnsi="Amiri" w:eastAsia="Amiri" w:cs="Amiri"/>
          <w:color w:val="111111"/>
          <w:sz w:val="28"/>
          <w:sz w:val="28"/>
          <w:szCs w:val="28"/>
          <w:rtl w:val="true"/>
          <w:lang w:bidi="ar-SA"/>
        </w:rPr>
        <w:t xml:space="preserve">الباقي، ولأصالة صحّة عقد الوصيّة الصادر من المالك من غير معارض، سوى حقّ الوارث، فإذا سقط بإسقاطه عمل المقتضي عمله، وللإجماع المنقول </w:t>
      </w:r>
      <w:r>
        <w:rPr>
          <w:rStyle w:val="FootnoteAnchor"/>
          <w:rtl w:val="true"/>
        </w:rPr>
        <w:footnoteReference w:id="1067"/>
      </w:r>
      <w:r>
        <w:rPr>
          <w:rFonts w:ascii="Amiri" w:hAnsi="Amiri" w:eastAsia="Amiri" w:cs="Amiri"/>
          <w:color w:val="111111"/>
          <w:sz w:val="28"/>
          <w:sz w:val="28"/>
          <w:szCs w:val="28"/>
          <w:rtl w:val="true"/>
          <w:lang w:bidi="ar-SA"/>
        </w:rPr>
        <w:t xml:space="preserve">المعتضد بشهرة المتأخرين نقلاً </w:t>
      </w:r>
      <w:r>
        <w:rPr>
          <w:rStyle w:val="FootnoteAnchor"/>
          <w:rtl w:val="true"/>
        </w:rPr>
        <w:footnoteReference w:id="1068"/>
      </w:r>
      <w:r>
        <w:rPr>
          <w:rFonts w:ascii="Amiri" w:hAnsi="Amiri" w:eastAsia="Amiri" w:cs="Amiri"/>
          <w:color w:val="111111"/>
          <w:sz w:val="28"/>
          <w:sz w:val="28"/>
          <w:szCs w:val="28"/>
          <w:rtl w:val="true"/>
          <w:lang w:bidi="ar-SA"/>
        </w:rPr>
        <w:t>بل 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المعتبرة، 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بوصيّة وورثته شهود فأجازوا ذلك، فلما مات الرجل نقضوا الوصيّة، هل لهم أن يردوا ما أقروا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ذلك، والوصيّة جائزة عليهم</w:t>
      </w:r>
      <w:r>
        <w:rPr>
          <w:rFonts w:eastAsia="Amiri" w:cs="Amiri" w:ascii="Amiri" w:hAnsi="Amiri"/>
          <w:color w:val="111111"/>
          <w:sz w:val="28"/>
          <w:szCs w:val="28"/>
          <w:rtl w:val="true"/>
          <w:lang w:bidi="ar-SA"/>
        </w:rPr>
        <w:t xml:space="preserve">» </w:t>
      </w:r>
      <w:r>
        <w:rPr>
          <w:rStyle w:val="FootnoteAnchor"/>
          <w:rtl w:val="true"/>
        </w:rPr>
        <w:footnoteReference w:id="1069"/>
      </w:r>
      <w:r>
        <w:rPr>
          <w:rFonts w:ascii="IRNazanin" w:hAnsi="IRNazanin" w:eastAsia="IRNazanin"/>
          <w:color w:val="111111"/>
          <w:sz w:val="28"/>
          <w:sz w:val="28"/>
          <w:szCs w:val="28"/>
          <w:rtl w:val="true"/>
          <w:lang w:bidi="fa-IR"/>
        </w:rPr>
        <w:t xml:space="preserve">ونحوه آخر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أقوى، وعليه فيشترط استمرار الإجازة إلى موت الموصي، فلو ردّ ما أجازه بطلت الإجازة لتبعية الإجازة لعقد الوصيّة في الجواز فلا تزيد عليه، ولا يتفاوت الحال بين وقوع الإجازة حال صحّة الموصي أو حال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تصحّ الإجازة في الوصيّة كذلك تصحّ في المنجز، ويمضى من حينه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الردّ بعد الإجازة قبل الموت في المنجز كلام، والأقرب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المجيز جواز التصرّف كما تقدّم إلّا المفلس فإن كانت إجازته حال الحياة نفذت ؛ إذ لا ملك له حينئذٍ ؛ لأنّ إجازته تنفيذ لتصرّف الموصي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إجازته بعد الموت، ففي صحتها وجهان مبنيان على أن التركة هل تنتقل إلى الوارث بالموت وبالإجازة تنتقل إلى الموصى له أم تكون الإجازة كاشفةً عن سبق ملكه من حين الموت؟ فعلى الأوّل لا تنفذ؛ لتعلّق حقّ الغرماء بالتركة، وعلى الثاني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الورثة الوصيّة حال الحياة، لم يؤثر الردّ، فلهم أن يجيزوا بعدها؛ لأنّهم ردوا ما تعلّق بما لا يملكونه فلا يؤثر شيئاً، بخلاف ما إذا ردّوا بعد الوفاة، فإنّه ينقض الوصيّة، ولا تنفع الإجازه بعد ذلك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الردّ والإجازة حال الحياة حيث إنّ الإجازة توجب استمرار الوصيّة وعدم جواز نقضها بعد الموت، وأنّ الردّ لا يوجب نقض الوصيّة قبل الموت، فلهم أن يجيز وا بعده </w:t>
      </w:r>
    </w:p>
    <w:p>
      <w:pPr>
        <w:pStyle w:val="BookText"/>
        <w:rPr/>
      </w:pPr>
      <w:r>
        <w:rPr>
          <w:rFonts w:ascii="Amiri" w:hAnsi="Amiri" w:eastAsia="Amiri" w:cs="Amiri"/>
          <w:color w:val="111111"/>
          <w:sz w:val="28"/>
          <w:sz w:val="28"/>
          <w:szCs w:val="28"/>
          <w:rtl w:val="true"/>
          <w:lang w:bidi="ar-SA"/>
        </w:rPr>
        <w:t>وإن ردّوا حال الحياة أنّ الوصيّة مستمرة ببقاء الموصى عليها فيكون استدامتها كابتدائها بعد الردّ فلا يؤثر، بخلاف الردّ بعد الموت؛ لانقطاعها حينئذٍ، وبخلاف الإجازة حال الحياة؛ لأنّها حقّ الوارث وقد أسقطه، فلا جهة لاستمراره، ودوام الوصيّة يؤكدها، ويقوم إذن الوارث بالوصيّة أو المنجز مقام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الإجازة لا تلزم حال الحياة </w:t>
      </w:r>
      <w:r>
        <w:rPr>
          <w:rStyle w:val="FootnoteAnchor"/>
          <w:rtl w:val="true"/>
        </w:rPr>
        <w:footnoteReference w:id="1071"/>
      </w:r>
      <w:r>
        <w:rPr>
          <w:rFonts w:ascii="Amiri" w:hAnsi="Amiri" w:eastAsia="Amiri" w:cs="Amiri"/>
          <w:color w:val="111111"/>
          <w:sz w:val="28"/>
          <w:sz w:val="28"/>
          <w:szCs w:val="28"/>
          <w:rtl w:val="true"/>
          <w:lang w:bidi="ar-SA"/>
        </w:rPr>
        <w:t>، فللوارث الردّ بعد الموت بل لا تنفذ مطلقاً، فيفتقر ملك الموصى له إلى إجازة جديدة بعد الموت استناداً إلى أن الوارث أسقط حقه فيما لا يملك، كما لو أسقط الشفيع حقه من الشفعة قبل البيع، وأسقطت الامرأة صداقها قبل التزويج، وإلى أنّها حالة لا يؤثر فيها ردّ الوصيّة، فلا تؤثر فيها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لأنّه اجتهاد في مقابلة الدليل، ولمنع عدم تعلق حقّ الورثة بما زاد، ومنع عدم الفرق بين الإجازة والردّ، وتوجيهه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الإجازة تنفيذ أو ابتداء عطيّةٍ ؟ ظاهر أصحابنا الأوّل، ونقل عليه ظاهر الإجماع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تفتقر إلى إيجاب ولا قبول، ولا توجب ولاء للمجيز إذا كانت الوصيّة في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تعتبر في إجازة المريض خروجها من الثلث ولا تفتقر إلى قبض، ولا إلى تجديد هبة، ولا إلى قبول الموصى له بعد الإجازة لو تقدّم قبوله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الرجوع من الوارث بعدها وإن لم يحصل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العلم بقدر الموصى به على الأوّل، ولا بقدر التركة بناءً على اشتراط معلومية الموهوب في الهبة وإن كان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الرجوع بعدها سواء كانت لرحم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نفقة المملوك أو فطرته على الوارث قبل الإجازة على الأوّل، ونماؤه للموصى له لا للوارث، إلى 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وتنتفي هذه الأحكام قطعاً في جملة منها وظهوراً في جملةٍ أُخرى على الثاني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كون الإجازة تنفيذاً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ظاهر الاتفاق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الموصى به ملك للموص </w:t>
      </w:r>
      <w:bookmarkStart w:id="743" w:name="pg19218_274245"/>
    </w:p>
    <w:p>
      <w:pPr>
        <w:pStyle w:val="BookText"/>
        <w:rPr/>
      </w:pPr>
      <w:bookmarkEnd w:id="743"/>
      <w:r>
        <w:rPr>
          <w:rFonts w:ascii="Amiri" w:hAnsi="Amiri" w:eastAsia="Amiri" w:cs="Amiri"/>
          <w:color w:val="111111"/>
          <w:sz w:val="28"/>
          <w:sz w:val="28"/>
          <w:szCs w:val="28"/>
          <w:rtl w:val="true"/>
          <w:lang w:bidi="ar-SA"/>
        </w:rPr>
        <w:t>لم يخرج عنه بمرضه فيصح تصرّفه فيه، وحق الوارث إنما يثبت في ثاني الحال، فأشبه بيع الشقص المشفوع وإرث الخيار حيث تترتب عليه إجازة البيع، فإنّها فيهما تنفيذ لا ابتداء عطية، وأن الوارث غير مالك، وليس له سوى حقّ أن يملك بعد الموت قد تعلّق بالموصى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أسقط حقه فقد سقط حقه من حينه، وأنّ المريض لو نجز فأجاز الوارث نفذت منجزاته مع الإجازة، فدلّ على اعتبار ما وقع من الموصي لا على فساده، فكذلك لو أوصى؛ لحصول الجامع بينهما من اعتبار ما وقع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استند إليه مَنْ ذهب إلى أنّها ابتداء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انتقال الحق إلى الوارث بالموت وزوال ملك الموصى عنه، ومن أن تصرّف الموصي بما زاد على الثلث 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حقّ الوارث به، والنهي مقتض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بمنع كون ما زاد على الثلث ملكاً للوارث حال الوصيّة، بل هو ملك للموصي، ومنع كون تصرّفه منهياً عنه؛ لأنّه تصرف في ملكه، وتعلّق حقّ الورثة به بأن يملكوا بعد الموت لا يقتضي حرمة التصرّف فيه؛ لعدم الحجر عليه حال الوصيّة من تلك الحيثية، ومنع كون النهي مقتضياً للفساد، ولو سُلّم فإنّما يقتضيه مع عدم الإجازة لا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الإجازة إن وقعت حال الحياة، ملك الموصى له الوصيّة بالموت والقبول، كما تقدم، وإن وقعت بعد الموت كانت كاشفةً عن ملك الموصى له بعد قبوله من حين الموت، ولا تكون ناقلة، كما القاعدة المطردة في الإجازات، ولو قلنا بالنقل قاربت ثمراتها ثمرات القول بأنّها ابتداء عطيّة، ولكن لم نعثر على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وقع القبول بعد الإجازة كان كاشفاً عن ملك الموصى له من حين الإجازة لا من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أجاز بعض الورثة دون بعض مضى في حصة المجيز دون غيره، وكذا لو أجاز الوارث لبعض الموصى به دون بعض؛ جرياً على القواعد</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13425297_1280447820"/>
      <w:bookmarkStart w:id="745" w:name="_Toc267"/>
      <w:bookmarkEnd w:id="744"/>
      <w:r>
        <w:rPr>
          <w:rtl w:val="true"/>
        </w:rPr>
        <w:t>رابع عشرها</w:t>
      </w:r>
      <w:r>
        <w:rPr>
          <w:rtl w:val="true"/>
        </w:rPr>
        <w:t xml:space="preserve">: </w:t>
      </w:r>
      <w:r>
        <w:rPr>
          <w:rtl w:val="true"/>
        </w:rPr>
        <w:t>وجوب العمل بما رسمه الموصي ممّا يتعلق بأمواله من المصالح الدنيوية أو الأخروية</w:t>
      </w:r>
      <w:bookmarkEnd w:id="74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بما رسمه الموصي ممّا يتعلق بأمواله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يتعلق </w:t>
      </w:r>
      <w:bookmarkStart w:id="746" w:name="pg19218_274246"/>
    </w:p>
    <w:p>
      <w:pPr>
        <w:pStyle w:val="BookText"/>
        <w:rPr/>
      </w:pPr>
      <w:bookmarkEnd w:id="746"/>
      <w:r>
        <w:rPr>
          <w:rFonts w:ascii="Amiri" w:hAnsi="Amiri" w:eastAsia="Amiri" w:cs="Amiri"/>
          <w:color w:val="111111"/>
          <w:sz w:val="28"/>
          <w:sz w:val="28"/>
          <w:szCs w:val="28"/>
          <w:rtl w:val="true"/>
          <w:lang w:bidi="ar-SA"/>
        </w:rPr>
        <w:t xml:space="preserve">بالأفعال الراجعة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المصالح الدنيوية أو الأخروية عيناً إن كان له وصي، أو لم يكن وكان الحاكم موجوداً، أو كفايةً على سائر المسلمين إن لم يوجد الحاكم، ولا يجوز تبديل ما رسمه من أخذ أو دفع أو تفضيل أو مساواة؛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ويعتبر في الوصيّة خروجها من الثلث عند الوفاة إن كانت معيّنةً عيناً أو منفعة وكانت من الأموال، وكذا إن كانت كلّيّةً بحكم المعيّن كألف درهم، وإن كانت كسراً كلياً كثلث ماله أو ربعه فإن ساوى ماله حال الوصيّة حال الوفاة أو نقص عنه حال الوفاة نفذت وصيته، وإن زاد ماله حال الوفاة على ماله حين الوصيّة، سيما لو كانت زيادة كليّةً، وسيّما لو لم يعلمها، ففي نفوذ وصيته كما أوصى إشكال ينشأ من شمول إطلاق اللفظ، ومن ظهور القرائن بعدم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إطلاق اعتبار حالة الموت أيضاً؛ لاحتمال زيادة التركة بالموت أو نقصانها به، كما إذا زادت في دية العمد، ونقصت بتلف بعضها قبل قبض الوارث، فيفضي إلى نقصان الوصيّة عمّا عينه الموصي في الأوّل، أو نفوذها على الوارث بغير اختياره في الثاني، فينبغي اعتبار الأقل إلى حين القبض في الثاني، والأكثر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ثمّ قتله قاتل أو جرحه، نفذت الوصيّة من ثلث تركته وجراحته 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دية الخطإ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الحال في دية العمد لحصول موجبها بعد الموت، بناءً على أن الواجب في العمد القصاص، والدية إنما تقع صلحاً، وعلى القول بثبوت أحد الأمرين مخيّراً فيهما يضعف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توجيه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القصاص لمّا كان موروثاً للمجني عليه وبالجملة، ففي نفوذ الوصيّة في دية العمد نظر وتأمل</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13425299_1280447820"/>
      <w:bookmarkStart w:id="748" w:name="_Toc268"/>
      <w:bookmarkEnd w:id="747"/>
      <w:r>
        <w:rPr>
          <w:rtl w:val="true"/>
        </w:rPr>
        <w:t>خامس عشرها</w:t>
      </w:r>
      <w:r>
        <w:rPr>
          <w:rtl w:val="true"/>
        </w:rPr>
        <w:t xml:space="preserve">: </w:t>
      </w:r>
      <w:r>
        <w:rPr>
          <w:rtl w:val="true"/>
        </w:rPr>
        <w:t>صحّة الوصيّة بالمضاربة بثلثه دائماً أو في مدّة معيّنة</w:t>
      </w:r>
      <w:bookmarkEnd w:id="74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بالمضاربة بثلثه دائماً أو في مدّة معينة على أن يكون الربح بينه وبين العامل متساوياً أو متفاضلاً، ويبقى الثلث في حكم مال الميت، فإذا لم تمكن المضاربة به عاد ميراثاً، ولو عيّنه بعد المضاربة لمصرف خاص 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وتصحّ الوصيّة بمال الأولاد الأصاغر مضاربةً على أن يكون الربح بينهم وبين العامل متساوياً أو متفاضلاً زائداً عن أجرة المثل له أو ناقصاً عنها، ويلزم إمضاء الوصيّة ما داموا صغاراً، فإذا ارتفعت الولاية عنهم كان الأمر في فسخ المضاربة أو إمضائها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فتوى أكثر المتأخرين </w:t>
      </w:r>
      <w:r>
        <w:rPr>
          <w:rStyle w:val="FootnoteAnchor"/>
          <w:rtl w:val="true"/>
        </w:rPr>
        <w:footnoteReference w:id="1075"/>
      </w:r>
      <w:r>
        <w:rPr>
          <w:rFonts w:ascii="Amiri" w:hAnsi="Amiri" w:eastAsia="Amiri" w:cs="Amiri"/>
          <w:color w:val="111111"/>
          <w:sz w:val="28"/>
          <w:sz w:val="28"/>
          <w:szCs w:val="28"/>
          <w:rtl w:val="true"/>
          <w:lang w:bidi="ar-SA"/>
        </w:rPr>
        <w:t xml:space="preserve">، قيل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عامتهم؛ للمعتبرين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 دعاني أبي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مال إخوتك الصغار واعمل به، وخُذ نصف الربح وأعطهم النصف، وليس عليك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قصّتي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فيما بينك وبين اللّه عزّ وجلّ ضمان</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لرجل بولده وبمال لهم وأذن له عند الوصيّة أن يعمل بالمال وأن يكون الربح بينه وبينهم،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من أجل أنّ أباه قد أذن له في ذلك وهو حيّ</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وقصور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بالشهرة المحكية</w:t>
      </w:r>
      <w:r>
        <w:rPr>
          <w:rStyle w:val="FootnoteAnchor"/>
          <w:rtl w:val="true"/>
        </w:rPr>
        <w:footnoteReference w:id="1079"/>
      </w:r>
      <w:r>
        <w:rPr>
          <w:rFonts w:ascii="IRNazanin" w:hAnsi="IRNazanin" w:eastAsia="IRNazanin"/>
          <w:color w:val="111111"/>
          <w:sz w:val="28"/>
          <w:sz w:val="28"/>
          <w:szCs w:val="28"/>
          <w:rtl w:val="true"/>
          <w:lang w:bidi="fa-IR"/>
        </w:rPr>
        <w:t>بل المحصلة، مع وجود ابن أبي عمیر في سند الأوّل والسند إليه صحيح، وهو من أهل الإجماع فلا تضر جهالة من بعده، وكذا جهالة راوي الثاني فقد قيل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بأس به </w:t>
      </w:r>
      <w:r>
        <w:rPr>
          <w:rStyle w:val="FootnoteAnchor"/>
          <w:rtl w:val="true"/>
        </w:rPr>
        <w:footnoteReference w:id="1080"/>
      </w:r>
      <w:r>
        <w:rPr>
          <w:rFonts w:ascii="Amiri" w:hAnsi="Amiri" w:eastAsia="Amiri" w:cs="Amiri"/>
          <w:color w:val="111111"/>
          <w:sz w:val="28"/>
          <w:sz w:val="28"/>
          <w:szCs w:val="28"/>
          <w:rtl w:val="true"/>
          <w:lang w:bidi="ar-SA"/>
        </w:rPr>
        <w:t xml:space="preserve">، بل قيل بحسنه </w:t>
      </w:r>
      <w:r>
        <w:rPr>
          <w:rStyle w:val="FootnoteAnchor"/>
          <w:rtl w:val="true"/>
        </w:rPr>
        <w:footnoteReference w:id="1081"/>
      </w:r>
      <w:r>
        <w:rPr>
          <w:rFonts w:ascii="Amiri" w:hAnsi="Amiri" w:eastAsia="Amiri" w:cs="Amiri"/>
          <w:color w:val="111111"/>
          <w:sz w:val="28"/>
          <w:sz w:val="28"/>
          <w:szCs w:val="28"/>
          <w:rtl w:val="true"/>
          <w:lang w:bidi="ar-SA"/>
        </w:rPr>
        <w:t xml:space="preserve">، بل قيل بوثاقته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إطلاق الكتاب والسنّة </w:t>
      </w:r>
      <w:r>
        <w:rPr>
          <w:rStyle w:val="FootnoteAnchor"/>
          <w:rtl w:val="true"/>
        </w:rPr>
        <w:footnoteReference w:id="1083"/>
      </w:r>
      <w:r>
        <w:rPr>
          <w:rFonts w:ascii="Amiri" w:hAnsi="Amiri" w:eastAsia="Amiri" w:cs="Amiri"/>
          <w:color w:val="111111"/>
          <w:sz w:val="28"/>
          <w:sz w:val="28"/>
          <w:szCs w:val="28"/>
          <w:rtl w:val="true"/>
          <w:lang w:bidi="ar-SA"/>
        </w:rPr>
        <w:t>بلزوم الوصيّة وعدم جواز تبديلها، السليم عمّا يصلح للمعارضة، فإنّ التكسب بمال الطفل غير واجب على الوصي، والحاصل من الربح زيادة فائدة، والتعرض للتلف غير قادح؛ لأن الواجب على العامل الحفظ وما فيه مصلحة المال، والعمل به على هذا الوجه راجح عند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يلزم مراعاة المدّة التي شرطها الموصي، بل يصحّ ما دام الوارث طفلاً، فإذا بلغ كاملاً كان له فسخ المضاربة؛ لأنّها عقد مبني على الجواز، فلا يلزم تحديد الموصي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يفيد المنع من التصرّف بعد المدّة لا اللزوم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ذلك تبديل الوصيّة المنهي عنه؛ لأنّ تبديلها هو العمل بغير مقتضاها، والمضاربة بالمال مقتضاها جواز الفسخ للمالك والعامل متى شاء أحدهما، ففسخ الوارث لها بعد كماله لا ينافي مقتضاها؛ لبنائه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الخبرين عدم الفرق بين زيادة حصة العامل على قدر أجرة المثل وبين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فيه تفويت على الوارث من مال التركة أو من نمائها؛ لأنّ كلّ ما حصل للطفل فهو نفع يعود إليه، وكلّ ما يفوت من الربح لا يفوت من ماله؛ لأنّه بعد صحّة المضاربة يكون الربح للعامل ابتداء، والربح المقدّر لا يقيّد بفواته؛ لأنّه من أثر كسب العامل، وليس مثل نماء المال المتولّد؛ لأنّه ماله بالقوة القريبة من الفعل، وحينئذٍ فلا تخرج المحاباة بما زاد على الأجرة من الحصّة من ثلث الموصي، كما قيل </w:t>
      </w:r>
      <w:r>
        <w:rPr>
          <w:rStyle w:val="FootnoteAnchor"/>
          <w:rtl w:val="true"/>
        </w:rPr>
        <w:footnoteReference w:id="1084"/>
      </w:r>
      <w:r>
        <w:rPr>
          <w:rFonts w:ascii="Amiri" w:hAnsi="Amiri" w:eastAsia="Amiri" w:cs="Amiri"/>
          <w:color w:val="111111"/>
          <w:sz w:val="28"/>
          <w:sz w:val="28"/>
          <w:szCs w:val="28"/>
          <w:rtl w:val="true"/>
          <w:lang w:bidi="ar-SA"/>
        </w:rPr>
        <w:t xml:space="preserve">، كما لا يختص جواز الوصيّة بالمضاربة بثلث ماله فقط دون مال الأصاغر من ولده، كما خصه ابن إدريس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تصحّ الوصيّة بمال الأكابر بمعنى نفوذها عليهم أجازوا أو لم يجيزوا، ما لم يردوا الوصيّة أو ينقضوا عقد المضاربة، فيصح عمل العامل حينئذٍ ويملك الحصة من الربح من دون إذن من الوارث، بل بمجرد صدور عقد المضاربة من الوصي، أو بنفس الوصيّة إن قلنا بكفاية الوصيّة بالمضاربة عن تجديد عقدها، أو بمعنى نفوذها في صحّة الوصيّة وعدم جواز نقضها وإن جاز فسخ عقد المضاربة، أو بمعنى نفوذها مطلقاً فليس لهم الردّ ولا فسخ عقد المضاربة، أو لا تصحّ الوصيّة مطلقاً بمعنى بطلانها، وبمعنى وقوعها على جهة الفضولية، أو كالوصيّة بما زاد على الثلث؟ وجوه، أوجهها الأخير؛ لأنّ فيه تفويت مال على الوارث زائداً على الثلث، وفيه منع الوارث من التصرّف بماله من دون رضاه، وفيه مخالفة للأصول السليمة التي منها تصرف غير المالك بماله من دون إذنه، وعدم إلزام المالك بما تلف بفعل غيره حيث </w:t>
      </w:r>
    </w:p>
    <w:p>
      <w:pPr>
        <w:pStyle w:val="BookText"/>
        <w:rPr/>
      </w:pPr>
      <w:r>
        <w:rPr>
          <w:rFonts w:ascii="Amiri" w:hAnsi="Amiri" w:eastAsia="Amiri" w:cs="Amiri"/>
          <w:color w:val="111111"/>
          <w:sz w:val="28"/>
          <w:sz w:val="28"/>
          <w:szCs w:val="28"/>
          <w:rtl w:val="true"/>
          <w:lang w:bidi="ar-SA"/>
        </w:rPr>
        <w:t xml:space="preserve">يقع، وكون الربح تابعاً للمال لا يستحق العامل منه شيئاً مطلقاً مع علمه، أو زائداً عن أُجرة المثل مع عدمه، وفيه لزوم وضع اليد على مال الغير من غير رضاه، وكلّ ذلك خارج عن الضوابط المقرّرة، وعمّا دلّت عليه الأدلّة من أنّ الميّت ليس له إلّا ثلث ماله والثلث كثير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 أنّ تلف المال على الوارث لا يتحقق إلّا بالبناء على صحّة المضاربة، ومعها فالربح من آثار سعي العامل لا من نماء المال فعلاً ولا قوّةً، فلا يفوت على الوارث شيء من المال، ولو جعلنا فوات شيءٍ على الوارث علّةً في الفساد للزم من الفساد الصحّة؛ لأن الفساد إنما يجيء لتفويت ما زاد على الثلث تبرعاً، وهو إنما يكون على تقدير زيادة الحصة عن أجرة المثل عن الثلث وكونه من نماء التركة، وإنما يكون ذلك مع صحّة المضاربة فيكون الشراء نافذاً، فلو فسدت المضاربة لم ينفذ الشراء فلم يتحقق الربح، فينتفي التصرّف في الزائد عن الثلث فينتفي المقتضي للفساد، فيجب الحكم بالصحّة ضعيفة؛ لأن المقتضي للفساد هو التصرّف بمال الغير من غير إذنه، سواء اقتضى تفويت مال محقق أو مقدرٍ أو لم يقتض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إذا لم يقتض تلف شيءٍ من التركة يكون التصرّف صحيحاً فيما يكون للموصي التصرّف فيه، كالمال الذي له الولاية عليه، على أنّ دعوى أنّ الفساد ملزوم للصحة لا وجه لها؛ لأنّ علّة الفساد حصول التلف على تقدير عدمه فلا بدّ من الحكم بتحققه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ظهر ضعف احتمال صحّة الوصيّة، بمعنى نفوذها في صحّة تصرّف الموصى له المال واستحقاقه الربح وإن جاز للوارث فسخ المضاربة، فإن فسخ ارتفع عقد المضاربة وفسد تصرّف الموصى له، وإن لم يفسخ بقي عقد المضاربة على ما أوصى به، وعود الضرر عليه منتف بأنّ له دفعه بفسخ العقد وإرجاع المال إليه فلا يفوت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بالمال ضرر على المالك، ووضع اليد عليه أمر منهي عنه فلا يجوز الإقدام عليه من غير إذن المالك، ولا يجدي مجرد كون عقد المضاربة جائزاً وللمالك فسخه؛ لأنّ الشأن في صحّته والحال ما ذكرناه، على أنّه لعله لا يعلم بوقوعه أو لا يعلم بجوازه فيعود عليه الضرر بتصرّفه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الوصيّة بالمضاربة قد تكون بالوصيّة بعقدها، وقد تكون بالوصيّة بأثرها، وقد تكون على جهة التنجيز وحكمه حكم الوصيّة عندنا على الأظهر</w:t>
      </w:r>
      <w:r>
        <w:rPr>
          <w:rFonts w:eastAsia="Amiri" w:cs="Amiri" w:ascii="Amiri" w:hAnsi="Amiri"/>
          <w:color w:val="111111"/>
          <w:sz w:val="28"/>
          <w:szCs w:val="28"/>
          <w:rtl w:val="true"/>
          <w:lang w:bidi="ar-SA"/>
        </w:rPr>
        <w:t xml:space="preserve">. </w:t>
      </w:r>
      <w:bookmarkStart w:id="749" w:name="pg19218_274250"/>
    </w:p>
    <w:p>
      <w:pPr>
        <w:pStyle w:val="Heading6"/>
        <w:numPr>
          <w:ilvl w:val="5"/>
          <w:numId w:val="1"/>
        </w:numPr>
        <w:rPr/>
      </w:pPr>
      <w:bookmarkStart w:id="750" w:name="__RefHeading___Toc13425301_1280447820"/>
      <w:bookmarkStart w:id="751" w:name="_Toc269"/>
      <w:bookmarkEnd w:id="749"/>
      <w:bookmarkEnd w:id="750"/>
      <w:r>
        <w:rPr>
          <w:rtl w:val="true"/>
        </w:rPr>
        <w:t>سادس عشرها</w:t>
      </w:r>
      <w:r>
        <w:rPr>
          <w:rtl w:val="true"/>
        </w:rPr>
        <w:t xml:space="preserve">: </w:t>
      </w:r>
      <w:r>
        <w:rPr>
          <w:rtl w:val="true"/>
        </w:rPr>
        <w:t>فيما يتعلق بما لو أوصى بواجب مالي أو بدني من خمس أو زكاة</w:t>
      </w:r>
      <w:bookmarkEnd w:id="751"/>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بواجب مالي من خمس أو زكاة، في عينٍ أو ذمّةٍ أو دين لمخلوق، أو مالي مشوب بالبدن كالحج، أخرج من أصل المال ما لم يقيده من الثلث، فإن قيده أخرج منه، فإن لم يسعه أخرج من الباقي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بواجب مالي وغيره وقيده من الثلث، قدّم الواجب المالي على غيره، فإن وسعه الثلث وزاد أُخرج غيره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بواجب بدني كالصلاة الفائتة، أخرجت من الثلث إن وسعها، ولا تخرج من الأصل؛ لعدم تعلّقها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الوصيّة بالواجب البدني من الثلث؛ لأنّ في تركها تفريطاً بترك الواجب، ولأنّ ترك الوصيّة مظنة للضرر ودفع الضرر المظنون واجب، ولأنّ في الوصيّة احتمال رفع شغل الذمّة عن الموصي ورفع العقاب عنه، فيجب التوصل إليه مهما أمكن، وإن لم نوجب المقدمة الاحتمالية في بابها نوجبه هنا؛ لما ورد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الوصيّة حقّ على كلّ مسلم</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أو لا تجب؛ لأنّ الواجب البدني إنّما يجب أداؤه على الحي، ووجوب إخراجه من ماله عليه بعد موته ممنوع، والأصل عدمه؟</w:t>
      </w:r>
    </w:p>
    <w:p>
      <w:pPr>
        <w:pStyle w:val="BookText"/>
        <w:rPr/>
      </w:pPr>
      <w:r>
        <w:rPr>
          <w:rFonts w:ascii="Amiri" w:hAnsi="Amiri" w:eastAsia="Amiri" w:cs="Amiri"/>
          <w:color w:val="111111"/>
          <w:sz w:val="28"/>
          <w:sz w:val="28"/>
          <w:szCs w:val="28"/>
          <w:rtl w:val="true"/>
          <w:lang w:bidi="ar-SA"/>
        </w:rPr>
        <w:t>ودعوى أنّ الوصيّة موصلة إلى رفع العقاب ودفع الضرر؛ لتأديتها إلى فعل ما يجب على المكلّف، ضعيفة؛ لمنع كون الفعل بعد الموت واجباً كي يجب التوصل إليه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عن الميّت ممّا يسقط عنه العقاب، لا ممّا يزيد له الثواب،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ممّا توصل إلى ذلك جزماً، أمكن القول بوجوب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المقدمتين منع ظاهر والركون إلى إطلاق الأخبار في الأمر بالوصيّة محمول على الوصيّة في الواجب المالي وشبهه ممّا يتساوى فيه الموت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 أصحابنا وجوب إخراج الواجب البدني من الأصل </w:t>
      </w:r>
      <w:r>
        <w:rPr>
          <w:rStyle w:val="FootnoteAnchor"/>
          <w:rtl w:val="true"/>
        </w:rPr>
        <w:footnoteReference w:id="1088"/>
      </w:r>
      <w:r>
        <w:rPr>
          <w:rFonts w:ascii="Amiri" w:hAnsi="Amiri" w:eastAsia="Amiri" w:cs="Amiri"/>
          <w:color w:val="111111"/>
          <w:sz w:val="28"/>
          <w:sz w:val="28"/>
          <w:szCs w:val="28"/>
          <w:rtl w:val="true"/>
          <w:lang w:bidi="ar-SA"/>
        </w:rPr>
        <w:t>كالواجب المالي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منع؛ للفرق بين الواجب المالي والبدني من حيث تعلّق الأوّل بالمال فلا يتفاوت فيه الحياة والموت، وتعلّق الثاني بالبدن والتكليف قد انقطع عنه بعد الموت، فلزوم إخراجه عنه من ماله مفتقر إلى الدليل وليس فليس والأصل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في الواجب المالي ما يدلّ على لزوم إخراجه من الثلث،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توفّي وأوصى أن يحج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صرورةٌ فمن جميع المال، إنّه بمنزلة الدين الواجب، وإن كان قد حجّ فمن ثلثه</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و نحوه غيره </w:t>
      </w:r>
      <w:r>
        <w:rPr>
          <w:rStyle w:val="FootnoteAnchor"/>
          <w:rtl w:val="true"/>
        </w:rPr>
        <w:footnoteReference w:id="1090"/>
      </w:r>
      <w:r>
        <w:rPr>
          <w:rFonts w:ascii="Amiri" w:hAnsi="Amiri" w:eastAsia="Amiri" w:cs="Amiri"/>
          <w:color w:val="111111"/>
          <w:sz w:val="28"/>
          <w:sz w:val="28"/>
          <w:szCs w:val="28"/>
          <w:rtl w:val="true"/>
          <w:lang w:bidi="ar-SA"/>
        </w:rPr>
        <w:t>، فيفتقر وجوب إخراج غيره من الأصل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بواجب بدني وغيره من التبرعات، قدم الواجب البدني على التبرعي، سواء قدم التبرعي أو أخره، كما هو الظاهر من مشهور الأصحاب، ويؤيده الاعتبار أيضاً من حصول يقين البراءة في صرفه فيه دون صرفه في التبرعي وتقديم التبرعي عليه ليس نصاً من الموصي على تقديمه وإنما هو ظاهر، وهذا الظاهر يضعف بالقرينة الدالّة على خلافه، وهي أولوية تقديم الواجب البدني وأقربيّته لمقصود الموصي من إرادة حصول الثواب ورفع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في الصحيح في امرأةٍ أوصت بالحج والعتق والصدقة من ثلث مالها فلم يبلغ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بالحج؛ فإنّه فريضة من فرائض اللّه تعالى</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دلالة عليه؛ لمكان التعليل بأنّه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رتب واجبات بدنية قدّم الأوّل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رتب الوصايا التبرعيّة قدّم الأوّل فالأوّل، سواء نص على الترتيب، أو عطفه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ذكرها بلا عطف ولغا ما زاد عن الثلث كلاً أو بعضاً، إلّا أن يجيز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جمعها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وفلاناً ألفاً، فإن وسع الثلث عمل بالجميع، وإلا وزّع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الفرق بين المرتب وغيره في كثيرٍ من الوصايا، فلا بدّ من التأمل، ومراجعة أهل العرف، وملاحظة حال قصد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أن الوصيّة مرتبة أو غيرها، فالأصل عدم الترتيب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 المرتب بين وقوع الترتيب متصلاً في وقت واحد عرفي أو وقوعه في وقتين في لزوم تقديم الأوّل فالأوّل، كما أنّه لا فرق بين كون ما أوصى به عتقاً وغيره، أو عتقاً فقط أو غير العتق كما هو المشهور بين الأصحاب، والموافق للضوابط، ودلّت عليه رواية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عند موته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فلاناً وفلاناً، وذكر خمسة، فنظرت في </w:t>
      </w:r>
      <w:bookmarkStart w:id="752" w:name="pg19218_274252"/>
    </w:p>
    <w:p>
      <w:pPr>
        <w:pStyle w:val="BookText"/>
        <w:rPr/>
      </w:pPr>
      <w:bookmarkEnd w:id="752"/>
      <w:r>
        <w:rPr>
          <w:rFonts w:ascii="Amiri" w:hAnsi="Amiri" w:eastAsia="Amiri" w:cs="Amiri"/>
          <w:color w:val="111111"/>
          <w:sz w:val="28"/>
          <w:sz w:val="28"/>
          <w:szCs w:val="28"/>
          <w:rtl w:val="true"/>
          <w:lang w:bidi="ar-SA"/>
        </w:rPr>
        <w:t>ثلثه فلم يبلغ أثمان قيمة المماليك الخمسة،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الذين سمّاهم وبدأ بعتقهم فيقومون، وينظر إلى ثلثه فيعتق منه أوّل شيءٍ ذكر، ثمّ الثاني ثمّ الثالث ثمّ الرابع ثمّ الخامس، فإن عجز الثلث كان ذلك في الذين سمّاهم أخيراً؛ لأنّه أعتق بعد مبلغ الثلث ما لا يملك</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الجنيد؛ حيث قدموا الوصيّة بالعتق وإن تأخّرت </w:t>
      </w:r>
      <w:r>
        <w:rPr>
          <w:rStyle w:val="FootnoteAnchor"/>
          <w:rtl w:val="true"/>
        </w:rPr>
        <w:footnoteReference w:id="1093"/>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بأكثر من الثلث وأعتق مماليكه في مرضه،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أكثر من الثلث ردّ إلى الثلث وجاز العتق</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وقريب منه الثاني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قرابته وأعتق مملوكاً له وكان جميع ما أوصى به يزيد على الثلث كيف يصنع في وصيته؟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بالعتق فينفذه</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ظاهرة في المنجز دون الوصيّة، ولا كلام في تقديمه على الوصيّة، على أنّها مخالفة للقواعد وفتوى المشهور فيلزم طرحها، أو حملها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لا بن حمزة حيث جعل الوصيّة المتأخرة مع تباعد زمن ما بينهما نسخاً للأولى، إلّا أن يسعهما الثلث</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إلّا أن يكون التباعد شاهداً بحسب العرف على الإعراض عن السابق ونسخه، فإنّه لا إشكال في لزوم الأخذ بالأخير، وعلى ذلك يُحمل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بثلاث وصايا فبأ يهنّ آخذ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بآخر 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3" w:name="__RefHeading___Toc13425303_1280447820"/>
      <w:bookmarkStart w:id="754" w:name="_Toc270"/>
      <w:bookmarkEnd w:id="753"/>
      <w:r>
        <w:rPr>
          <w:rtl w:val="true"/>
        </w:rPr>
        <w:t>سابع عشرها</w:t>
      </w:r>
      <w:r>
        <w:rPr>
          <w:rtl w:val="true"/>
        </w:rPr>
        <w:t xml:space="preserve">: </w:t>
      </w:r>
      <w:r>
        <w:rPr>
          <w:rtl w:val="true"/>
        </w:rPr>
        <w:t>فيما يتعلّق بما لو أوصى بعتق مماليكه بعد وفاته</w:t>
      </w:r>
      <w:bookmarkEnd w:id="754"/>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بعتق مماليكه بعد وفاته، دخل فيهم الحاصل والمتجدد، سواء قل أو كثر، ودخل فيهم المختص والمشترك؛ قضاء للعرف</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تقوم على الموصي حصة الشريك فتدفع إليه من الثلث مع سعته؛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w:t>
      </w:r>
      <w:bookmarkStart w:id="755" w:name="pg19218_274253"/>
    </w:p>
    <w:p>
      <w:pPr>
        <w:pStyle w:val="BookText"/>
        <w:rPr/>
      </w:pPr>
      <w:bookmarkEnd w:id="755"/>
      <w:r>
        <w:rPr>
          <w:rFonts w:ascii="Amiri" w:hAnsi="Amiri" w:eastAsia="Amiri" w:cs="Amiri"/>
          <w:color w:val="111111"/>
          <w:sz w:val="28"/>
          <w:sz w:val="28"/>
          <w:szCs w:val="28"/>
          <w:rtl w:val="true"/>
          <w:lang w:bidi="ar-SA"/>
        </w:rPr>
        <w:t>له مماليك مختصة ومماليك مشتركة فيوصي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مماليكي أحرار، ما حال مماليكه الذين في الشركة؟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يقومون عليه إن كان ماله يحتمل، ثمّ هم أحرار</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أو لا يسري، كما نُسب للمتأخرين </w:t>
      </w:r>
      <w:r>
        <w:rPr>
          <w:rStyle w:val="FootnoteAnchor"/>
          <w:rtl w:val="true"/>
        </w:rPr>
        <w:footnoteReference w:id="1100"/>
      </w:r>
      <w:r>
        <w:rPr>
          <w:rFonts w:ascii="Amiri" w:hAnsi="Amiri" w:eastAsia="Amiri" w:cs="Amiri"/>
          <w:color w:val="111111"/>
          <w:sz w:val="28"/>
          <w:sz w:val="28"/>
          <w:szCs w:val="28"/>
          <w:rtl w:val="true"/>
          <w:lang w:bidi="ar-SA"/>
        </w:rPr>
        <w:t>استناداً للأصل مع فقد شرط السراية وهو يسار المعتق؛ لأن الموصي لا مال له بعد موته؛ لزوال ملكه عنه، والرواية قاصرة السند، وضعيفة الدلالة،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مماليكي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المنجز، ولا يعارضه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الوصيّة على المنجز كثير، ويرجحه فتوى المشهور، والأخبار الدالّة على اشتراط اليسار الظاهر في غير هذه الصورة، والاحتياط المانع عن التصرّف بمال الغير من دون إذنه؟</w:t>
      </w:r>
    </w:p>
    <w:p>
      <w:pPr>
        <w:pStyle w:val="BookText"/>
        <w:rPr/>
      </w:pPr>
      <w:r>
        <w:rPr>
          <w:rFonts w:ascii="Amiri" w:hAnsi="Amiri" w:eastAsia="Amiri" w:cs="Amiri"/>
          <w:color w:val="111111"/>
          <w:sz w:val="28"/>
          <w:sz w:val="28"/>
          <w:szCs w:val="28"/>
          <w:rtl w:val="true"/>
          <w:lang w:bidi="ar-SA"/>
        </w:rPr>
        <w:t>وقد يشكل دخول المتجدد في المماليك، ممّا مع كثرتها بعد الوصيّة، وعدم العلم بها</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13425305_1280447820"/>
      <w:bookmarkStart w:id="757" w:name="_Toc271"/>
      <w:bookmarkEnd w:id="756"/>
      <w:r>
        <w:rPr>
          <w:rtl w:val="true"/>
        </w:rPr>
        <w:t>ثامن عشرها</w:t>
      </w:r>
      <w:r>
        <w:rPr>
          <w:rtl w:val="true"/>
        </w:rPr>
        <w:t xml:space="preserve">: </w:t>
      </w:r>
      <w:r>
        <w:rPr>
          <w:rtl w:val="true"/>
        </w:rPr>
        <w:t>حكم ما لو أوصى لواحد بمعين ثمّ أوصى به لآخر</w:t>
      </w:r>
      <w:bookmarkEnd w:id="757"/>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لواحدٍ بمعين ثمّ أوصى به لآخر، كانت الثانية ناسخة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لواحدٍ بكلّيّ من المال ثمّ أوصى لآخر بكلّي أيضاً، كانت الوصيّة الأولى نافذة، والثانية إن وسعها الثلث نفذت، وإلا وقفت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بكسر مشاع لواحدٍ ثمّ أوصى بكسر آخر لآخر، فإن وسعهما الثلث نفذا، وإلا فهل تكون الثانية ناسخةً للأولى مطلقاً إلّا مع القرينة الصارفة، أو أن الأولى نافذة مطلقاً إلّا مع القرينة الصارفة لها، أو أنّه إن أضاف الكسر لنفسه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من مالي لفلان وثلثي الآخر لفلان كانت الثانية ناسخةً، وإن أضاف الأوّل فقط كانت الأولى نافذة دون الثانية، أو أضاف الثانية فقط كانت هي النافذة دون الأولى، أو أن المدار على القرائن في إرادة ثلثه الخاص الذى له التصرّف فيه بعد الموت وعدمها؟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الوصايا النفوذ، ومتى كان كلّ منهما نافذاً ماضٍ تصرفه فيه حال الحياة نسخت الثانية الأولى، واستدل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بالإجماع والأخبار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الوصايا الصحّة، وهي لا تستلزم النفوذ في حال الحياة وبعد الموت، فإذا كانت الأولى صحيحةً نفذت، ولزم تقديم الأوّل فالأول، فيستصحب حالها إلى </w:t>
      </w:r>
      <w:bookmarkStart w:id="758" w:name="pg19218_274254"/>
    </w:p>
    <w:p>
      <w:pPr>
        <w:pStyle w:val="BookText"/>
        <w:rPr/>
      </w:pPr>
      <w:bookmarkEnd w:id="758"/>
      <w:r>
        <w:rPr>
          <w:rFonts w:ascii="Amiri" w:hAnsi="Amiri" w:eastAsia="Amiri" w:cs="Amiri"/>
          <w:color w:val="111111"/>
          <w:sz w:val="28"/>
          <w:sz w:val="28"/>
          <w:szCs w:val="28"/>
          <w:rtl w:val="true"/>
          <w:lang w:bidi="ar-SA"/>
        </w:rPr>
        <w:t>أن يعلم المزيل، ولا يعلم بالمزيل إلّا بعد ثبوت كون الأخيرة ناسخة، ولم يثبت ذلك إلّا مع العلم بإرادة نفوذ كلّ من الوصايا من الموصي وأنّه يريد منها الثلث الذي له التصرّف فيه في الحياة والموت والمفروض عدم العلم؛ لأنّ الوصيّة أعم من النافذة وغيرها، والعام لا يدلّ على الخاص، والرجوع لا يثبت 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إضافة الثلث إلى نفسه قرينة على إرادة الثلث النافذ، فإذا ذكره ثانياً كان الثاني ناسخاً للأول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يتفاوت الحال في ذلك بين الوصيّة بالثلث أولاً ثمّ به ثانياً، وبين الوصيّة به أولاً ثمّ بغيره من الكسور الناقصة عنه من الربع أو الخمس، أو الزائدة عليه كالنصف والثلث، أو بغير الكسور من الأمور المعينة، أو الوصيّة بغير الثلث ولو بالمعين ثمّ بالثلث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تختلف هذه الوصايا في الظهور في العدول وعدمه، كما تختلف قرائن الأحوال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بالسابق ثمّ أوصى بما يضادها للاحق أُخرج السابق واللاحق بالقرعة، فإن دخل معهما الشكّ في الاقتران أُقرع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للأشخاص بشيءٍ فهي وصيّة واحدة، وإن أوصى لهم واحداً بعد واحد مع تكرير الفعل أو المتعلّق فهي وصايا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ذلك ما شابهه، والمدار على المقامات الخطابية</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13425307_1280447820"/>
      <w:bookmarkStart w:id="760" w:name="_Toc272"/>
      <w:bookmarkEnd w:id="759"/>
      <w:r>
        <w:rPr>
          <w:rtl w:val="true"/>
        </w:rPr>
        <w:t>تاسع عشرها</w:t>
      </w:r>
      <w:r>
        <w:rPr>
          <w:rtl w:val="true"/>
        </w:rPr>
        <w:t xml:space="preserve">: </w:t>
      </w:r>
      <w:r>
        <w:rPr>
          <w:rtl w:val="true"/>
        </w:rPr>
        <w:t>حكم ما لو أوصى بنصف ماله لشخص وأجاز الوارث فادعى بعد ذلك أنّه ظنّ قلّة المال فأجاز فتبيّن كثرته</w:t>
      </w:r>
      <w:bookmarkEnd w:id="760"/>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بنصف ماله لشخص وأجاز الوارث فادعى بعد ذلك أنّه ظنّ قلة المال فأجاز فتبين كثرته، كان القول قوله مع يمينه، وقضي عليه بما ظنّه من القدر حين الإجازة، فإذا حلف قضي عليه بصحّة الإجازة في ثلث التركة وفيما ظنّه ممّا زاد عليها، كما إذا ظنّه خمسمائة فإنّه يمضي في ثلث الأصل وما زاد عليه ممّا ظنّه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العلم بالزائد، ولأن المال ممّا يعسر الاطلاع عليه غالباً، </w:t>
      </w:r>
      <w:bookmarkStart w:id="761" w:name="pg19218_274255"/>
    </w:p>
    <w:p>
      <w:pPr>
        <w:pStyle w:val="BookText"/>
        <w:rPr/>
      </w:pPr>
      <w:bookmarkEnd w:id="761"/>
      <w:r>
        <w:rPr>
          <w:rFonts w:ascii="Amiri" w:hAnsi="Amiri" w:eastAsia="Amiri" w:cs="Amiri"/>
          <w:color w:val="111111"/>
          <w:sz w:val="28"/>
          <w:sz w:val="28"/>
          <w:szCs w:val="28"/>
          <w:rtl w:val="true"/>
          <w:lang w:bidi="ar-SA"/>
        </w:rPr>
        <w:t xml:space="preserve">ولأنَّ الظَّنِّ لا يُعلم إلّا من قبله، فليس عليه إلّا اليمين؛ لعسر اطلاع البيّنة عليه غالباً، مع احتمال عدم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بالظاهر من خطاب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قوله رجوع عن لفظ متعين الدلالة على معنى يشمل القليل والكثير إلى دعوى يجوز كذبه فيها، على أنّه قد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لشخص بمعين فأجاز الورثة ثمّ ادعوا أنّهم ظنوا أن ذلك بقدر الثلث وزيادة قليلة فتبين كثرة الزيادة، فالمشهور عدم سماع دعواهم؛ لعلمهم بقدر المال المجاز وقد أقدموا عليه، بخلاف المشاع فإنّ العلم بقدره موقوف على العلم بجميع التركة، والأصل عدمه، فتسمع دعواهم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بالتسوية في سماع دعواهم في المقامين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الإجازة وإن وقعت على معلوم للورثة إلّا أن كونه ممّا يقارب الثلث أو يزيد كثير ممّا لا يعلمونه، ولعلّهم إنّما أجازوا لزعمهم قلة المعين بالنسبة إلى مجموع التركة، والأصل عدم علمهم بقدرها، ولئن علموا قدرها فالأصل عدم علمهم بقدر النسبة، ولئن علموا قدر الأمرين فلعله ظهر بعد ذلك دين تبين نقصانها بسببه، فلزوم تصديقهم في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الضرر عليهم بعدمه، ولأنّه أمر لا يُعلم إلّا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في كلّ من المقامين، كما أنّ أصالة عدم كثرة المال لا يخلّ بتصديق دعواهم وإن استند إلى تقصيرهم؛ لمعارضته بأصالة عدم العلم، وبغلبة الخط وظهور الزيادة والنقصان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ادعائهم الظنَّ بكثرة المال فأجازوا وبين معرفتهم بقدر المال ولكنّهم ادعوا الجهل بالنسبة للجهل بقيمة المجاز وقيمة المجموع فتسمع دعواهم في الأوّل دون الثاني ؛ لاستناد التقصير إليهم</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13425309_1280447820"/>
      <w:bookmarkStart w:id="763" w:name="_Toc273"/>
      <w:bookmarkEnd w:id="762"/>
      <w:r>
        <w:rPr>
          <w:rtl w:val="true"/>
        </w:rPr>
        <w:t>العشرون</w:t>
      </w:r>
      <w:r>
        <w:rPr>
          <w:rtl w:val="true"/>
        </w:rPr>
        <w:t xml:space="preserve">: </w:t>
      </w:r>
      <w:r>
        <w:rPr>
          <w:rtl w:val="true"/>
        </w:rPr>
        <w:t>حكم ما لو أوصى لشخص بمشاع أو بمعين</w:t>
      </w:r>
      <w:bookmarkEnd w:id="76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لشخص بمشاع، سواء كان كسراً كثلث وربع، أو كلياً كألف هذه الدراهم أو رطلاً من صُبرةٍ، كان الموصى له شريكاً للورثة في المقامين، فالحاصل بينهم والتاوي منهم، ولا يختص الموصى له في الكلّي في الباقي، كما يختص بالبيع على بعض الوجوه</w:t>
      </w:r>
      <w:r>
        <w:rPr>
          <w:rFonts w:eastAsia="Amiri" w:cs="Amiri" w:ascii="Amiri" w:hAnsi="Amiri"/>
          <w:color w:val="111111"/>
          <w:sz w:val="28"/>
          <w:szCs w:val="28"/>
          <w:rtl w:val="true"/>
          <w:lang w:bidi="ar-SA"/>
        </w:rPr>
        <w:t xml:space="preserve">. </w:t>
      </w:r>
      <w:bookmarkStart w:id="764" w:name="pg19218_274256"/>
    </w:p>
    <w:p>
      <w:pPr>
        <w:pStyle w:val="BookText"/>
        <w:rPr/>
      </w:pPr>
      <w:bookmarkEnd w:id="764"/>
      <w:r>
        <w:rPr>
          <w:rFonts w:ascii="Amiri" w:hAnsi="Amiri" w:eastAsia="Amiri" w:cs="Amiri"/>
          <w:color w:val="111111"/>
          <w:sz w:val="28"/>
          <w:sz w:val="28"/>
          <w:szCs w:val="28"/>
          <w:rtl w:val="true"/>
          <w:lang w:bidi="ar-SA"/>
        </w:rPr>
        <w:t>وإن أوصى بمعين، كان المعين للموصى له ويختص به، ولكن بشرط أن يقبض الوارث قدر ثلثيه من غيره من التركة، فلو توي مال التركة جميعه ما عدا الموصى به قبل قبض الوارث له لم يكن للموصى له سوى ثلث المعين؛ لأنّه هو الذي يملكه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كان غير الموصى به من التركة غائباً أو بيد متغلب توقف استقرار ملك الموصى له لثلث الموصى به على تمكّن الوارث منه على قدر ثلثي الموصى به، فإن لم يتمكّن استقرّ ملكه على ثلثه وعاد للورثة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ذلك فسخ من حينه أو من أصله؟ وجهان، والأظهر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للموصى له التصرّف بالعين؛ قضاء لحق ظاهر الملك إلى أن ينكشف الحال أو ليس له؛ لتعلّق حقّ الغير به تعلّق حقّ المرتهن بالرهن ؟ وجهان،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فسخ من حينه، والمنع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فسخ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بالجواز فهل يسترد الوارث العين بعد نقلها من الموصى له، أو يغرم الموصى له م الموصى له المثل أو القيمة؟ وجهان، وهو بناء على أنّه فسخ من حينه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الوارث تسليم العين للموصى له؛ لمكان ملكه لها ظاهراً، أو لا يجب؛ لتعلّق حقهم بها، فيتسلّمها الحاكم، أو توضع على يد عَدْلٍ فيكون حكمها حكم المال المشترك؟ والظاهر أن توقف استقرار ملك الموصى له على الوصيّة على حصول ما قابل ثلثيها للوارث وقبضه له إجماعي، وإن أمكن تطرّق المناقشة فيه؛ لحصول الملك للموصى له بالموت والقبول، فيفتقر انفساخ ملكه بتلف شيءٍ من التركة قبل القبض إلى الدليل</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13425311_1280447820"/>
      <w:bookmarkStart w:id="766" w:name="_Toc274"/>
      <w:bookmarkEnd w:id="765"/>
      <w:r>
        <w:rPr>
          <w:rtl w:val="true"/>
        </w:rPr>
        <w:t>الحادي والعشرون</w:t>
      </w:r>
      <w:r>
        <w:rPr>
          <w:rtl w:val="true"/>
        </w:rPr>
        <w:t xml:space="preserve">: </w:t>
      </w:r>
      <w:r>
        <w:rPr>
          <w:rtl w:val="true"/>
        </w:rPr>
        <w:t>حكم ما لو أوصى بثلث عبده فخرج ثلثاه مستحقاً</w:t>
      </w:r>
      <w:bookmarkEnd w:id="766"/>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بثلث عبده فخرج ثلثاه مستحقاً نفذت الوصيّة في ثلثه؛ لأن الظاهر أنّ الموصي إنما يوصي بما يملك، وهو مالك للثلث فتنفذ فيه الوصيّة، فإن كان له غير العبد من التركة بحيث يكون ضعفي ثلث العبد نفذت الوصيّة في الثلث أجمع، وإلا نفذت على نسبة ما عنده، وإن لم يكن غيره مضى في ثلث الثلث</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العامّة إلى نفوذ الوصيّة بثلث الثلث؛ بناءً على انصراف الوصيّة إلى الثلث المشاع فتصح في ثلثه؛ لأنّه هو الذي يملكه، كما يحكم بذلك في الإقرار قطعاً، وفي البيع في أحد الوجهين</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bookmarkStart w:id="767" w:name="pg19218_274257"/>
    </w:p>
    <w:p>
      <w:pPr>
        <w:pStyle w:val="Heading6"/>
        <w:numPr>
          <w:ilvl w:val="5"/>
          <w:numId w:val="1"/>
        </w:numPr>
        <w:rPr/>
      </w:pPr>
      <w:bookmarkStart w:id="768" w:name="__RefHeading___Toc13425313_1280447820"/>
      <w:bookmarkStart w:id="769" w:name="_Toc275"/>
      <w:bookmarkEnd w:id="767"/>
      <w:bookmarkEnd w:id="768"/>
      <w:r>
        <w:rPr>
          <w:rtl w:val="true"/>
        </w:rPr>
        <w:t>الثاني والعشرون</w:t>
      </w:r>
      <w:r>
        <w:rPr>
          <w:rtl w:val="true"/>
        </w:rPr>
        <w:t xml:space="preserve">: </w:t>
      </w:r>
      <w:r>
        <w:rPr>
          <w:rtl w:val="true"/>
        </w:rPr>
        <w:t>حكم ما لو أوصى بمشترك معنوي أو لفظي</w:t>
      </w:r>
      <w:bookmarkEnd w:id="769"/>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بمشترك معنوي، كان الخيار في التعيين إلى الوارث، إلّا أن يكون هناك فرد ظاهر ينصرف 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أوصى بمشترك لفظي وكان ظاهراً في فردٍ، أو نصب عليه قرينة، كان هو المراد، وكذلك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فى الجميع عند التجرّد عن القرائن؛ بناءً على جواز استعمال المشترك في معانيه، وإن لم يكن له فرد ظاهر ولم توجد قرينة، فإن علم إرادة معيّن استخرج بالقرعة، وإن علم منه إرادة المسمّى عاد كالمشترك المعنوي، وإن لم يُعلم أشكل الحال، وسيجيء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حكم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المتواطئ أو المشترك ممّا يقع اسمه على المحلل والمحرم وكان كلّ منهما موجوداً عنده، فهل يكون المحلل قرينة على إرادته؛ حملاً للمسلم </w:t>
      </w:r>
      <w:r>
        <w:rPr>
          <w:rStyle w:val="FootnoteAnchor"/>
          <w:rtl w:val="true"/>
        </w:rPr>
        <w:footnoteReference w:id="1106"/>
      </w:r>
      <w:r>
        <w:rPr>
          <w:rFonts w:ascii="Amiri" w:hAnsi="Amiri" w:eastAsia="Amiri" w:cs="Amiri"/>
          <w:color w:val="111111"/>
          <w:sz w:val="28"/>
          <w:sz w:val="28"/>
          <w:szCs w:val="28"/>
          <w:rtl w:val="true"/>
          <w:lang w:bidi="ar-SA"/>
        </w:rPr>
        <w:t xml:space="preserve">على الصحّة، وقضاء لحق ظاهر الوصيّة، وأخذاً بالوصيّة بحسب الإمكان للنهي عن تبديلها </w:t>
      </w:r>
      <w:r>
        <w:rPr>
          <w:rStyle w:val="FootnoteAnchor"/>
          <w:rtl w:val="true"/>
        </w:rPr>
        <w:footnoteReference w:id="1107"/>
      </w:r>
      <w:r>
        <w:rPr>
          <w:rFonts w:ascii="Amiri" w:hAnsi="Amiri" w:eastAsia="Amiri" w:cs="Amiri"/>
          <w:color w:val="111111"/>
          <w:sz w:val="28"/>
          <w:sz w:val="28"/>
          <w:szCs w:val="28"/>
          <w:rtl w:val="true"/>
          <w:lang w:bidi="ar-SA"/>
        </w:rPr>
        <w:t>، ولا يجوز تبديلها إلّا مع العلم بإرادة المحرَّم ولم يُعلم ذلك، أو لا يكون قرينة؛ لأن اللفظ عام والتحليل والتحريم غير صالحين لكونهما قرينةً معيّنةً لأحد الفردين، فيشك حينئذٍ في حصول أصل الوصيّة ووقوعها فلا يلزم تبديل الوصيّة؛ لأنّ التبديل لا يكون إلّا مع التحقق وهو مشكوك فيه؟ وجهان، ولعلّ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عنده إلّا المحلَّل، صحت الوصيّة؛ لاقتران الوصيّة بالقرينة الحالية المؤيدة لما ذكرنا من القرينة المقالية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فلم يكن عنده سوى المحرّم، اتجه البطلان؛ لتساوي الاحتمالين فيقوى تساقطهما في البين، وصحة فعل المسلم لا تقضي على ظاهر الخطاب القاضي بالفساد، كما إذا انصرف اللفظ بحسب العرف إلى المحرَّم، فإنّ صحّة فعل المسلم لا تصرفه عن ظاهره إلى المحلل، بل يُحكم بفساد الوصيّة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بما كان أظهر منافعه محرَّم، بطلت الوصيّة وإن أمكن الانتفاع به في جهةٍ محلة في بعض الأحوال والأوقات</w:t>
      </w:r>
      <w:r>
        <w:rPr>
          <w:rFonts w:eastAsia="Amiri" w:cs="Amiri" w:ascii="Amiri" w:hAnsi="Amiri"/>
          <w:color w:val="111111"/>
          <w:sz w:val="28"/>
          <w:szCs w:val="28"/>
          <w:rtl w:val="true"/>
          <w:lang w:bidi="ar-SA"/>
        </w:rPr>
        <w:t xml:space="preserve">. </w:t>
      </w:r>
      <w:bookmarkStart w:id="770" w:name="pg19218_274258"/>
    </w:p>
    <w:p>
      <w:pPr>
        <w:pStyle w:val="BookText"/>
        <w:rPr/>
      </w:pPr>
      <w:bookmarkEnd w:id="770"/>
      <w:r>
        <w:rPr>
          <w:rFonts w:ascii="Amiri" w:hAnsi="Amiri" w:eastAsia="Amiri" w:cs="Amiri"/>
          <w:color w:val="111111"/>
          <w:sz w:val="28"/>
          <w:sz w:val="28"/>
          <w:szCs w:val="28"/>
          <w:rtl w:val="true"/>
          <w:lang w:bidi="ar-SA"/>
        </w:rPr>
        <w:t xml:space="preserve">ولو أوصى بما حرمت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كالطبل والعود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الوصيّة وإن أمكن كسره وملك مادته من الخشب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نص على كسره في الوصيّة جاز، سواء نص على كسره فأوصى به، أو أوصى به على أن يكسر، وإن كان الأخير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تجويز الوصيّة بالمحرَّم إذا أمكن تغييره إلى المحلّل </w:t>
      </w:r>
      <w:r>
        <w:rPr>
          <w:rStyle w:val="FootnoteAnchor"/>
          <w:rtl w:val="true"/>
        </w:rPr>
        <w:footnoteReference w:id="1108"/>
      </w:r>
      <w:r>
        <w:rPr>
          <w:rFonts w:ascii="Amiri" w:hAnsi="Amiri" w:eastAsia="Amiri" w:cs="Amiri"/>
          <w:color w:val="111111"/>
          <w:sz w:val="28"/>
          <w:sz w:val="28"/>
          <w:szCs w:val="28"/>
          <w:rtl w:val="true"/>
          <w:lang w:bidi="ar-SA"/>
        </w:rPr>
        <w:t>، فيغيّر ويدفع إلى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 تغييره تبديل للوصيّة، وإنفاذ الوصيّة على ما هو عليه غير جائز، ولزوم كسره ودفعه موقوف على صحّة الوصيّة، فلو توقفت صحّة الوصيّة عليها دار، وحينئذٍ فتبطل الوصيّة به</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13425315_1280447820"/>
      <w:bookmarkStart w:id="772" w:name="_Toc276"/>
      <w:bookmarkEnd w:id="771"/>
      <w:r>
        <w:rPr>
          <w:rtl w:val="true"/>
        </w:rPr>
        <w:t>الثالث والعشرون</w:t>
      </w:r>
      <w:r>
        <w:rPr>
          <w:rtl w:val="true"/>
        </w:rPr>
        <w:t xml:space="preserve">: </w:t>
      </w:r>
      <w:r>
        <w:rPr>
          <w:rtl w:val="true"/>
        </w:rPr>
        <w:t>في أنّ الأصل في الوصيّة أن يتّبع قصد الموصي</w:t>
      </w:r>
      <w:bookmarkEnd w:id="772"/>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الوصيّة أن يتبع فيها قصد الموصي، فإن علم بلفظ صريح أو بلفظ ظاهر أو بقرينة حالية أو مقالية أو عُرف أو عادة، لزم اتباعه، ولا يُعدل عن الظاهر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تعارضت الحقائق، قدم عُرف الموصي على غيره، سواء كان غيره من الحقائق الشرعيّة أم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تعارضت الحقيقة والمجاز المشهور، فلا يبعد لزوم تقديم المجاز المشهور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بعام أو مطلق، لزم اتباعهما ما لم يتخصص العام، أو يتقيد المطلق بعُرف أو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هذا الأصل ألفاظ قضى الدليل بصرفها عن ظاهرها، وهي خاصّة بما إذا علّق الموصي الوصيّة بمطلق ولم يُعلم منه إرادة فرد خاص بقرينة عُرف أو عادة أو غيرهما، فإذا علم إرادة فرد خاص اتبع؛ اقتصاراً على اليقين في الخروج عن القواعد، فإنّ القاعدة تقضي ببقاء المطلق على إطلاقه، إلّا أنّ الشارع صرف هذا المطلق إلى فرد خاص منه حكماً شرعياً، فيكون من الأسباب الشرعيّة المؤثرة أمراً خاصاً، كالنذر ونحوه، أو أنّه كاشف عن إرادة الموصي حين الوصيّة ذلك على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واحتمال كون ذلك حقيقة شرعيّة، أو كونه كاشفاً عن العرف أو العادة بعيدان؛ لمنع كون الأوّل موجباً لصرف اللفظ عن ظاهره عرفاً، فلا يجدي كونه حقيقة شرعيّة، ولمنع كونه كاشفاً أبداً مع أن الوجدان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بالجزء، فإنّ القاعدة تقضي بالعمل بإطلاقه في نذرٍ أو عهد أو يمين أو أمرٍ أو نهي، إلّا أنّ النصوص المستفيضة قد قضت بأن الجزء هو العُشْر؛ وعُلّل بأنّ الأجزاء التي كانت مفرّقةً على الجبال كانت عشرة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الأخبار الصحيح وغيره، وقد رويت في الكتب الأربعة </w:t>
      </w:r>
      <w:r>
        <w:rPr>
          <w:rStyle w:val="FootnoteAnchor"/>
          <w:rtl w:val="true"/>
        </w:rPr>
        <w:footnoteReference w:id="1110"/>
      </w:r>
      <w:r>
        <w:rPr>
          <w:rFonts w:ascii="Amiri" w:hAnsi="Amiri" w:eastAsia="Amiri" w:cs="Amiri"/>
          <w:color w:val="111111"/>
          <w:sz w:val="28"/>
          <w:sz w:val="28"/>
          <w:szCs w:val="28"/>
          <w:rtl w:val="true"/>
          <w:lang w:bidi="ar-SA"/>
        </w:rPr>
        <w:t xml:space="preserve">وفي تفسير العياشي </w:t>
      </w:r>
      <w:r>
        <w:rPr>
          <w:rStyle w:val="FootnoteAnchor"/>
          <w:rtl w:val="true"/>
        </w:rPr>
        <w:footnoteReference w:id="1111"/>
      </w:r>
      <w:r>
        <w:rPr>
          <w:rFonts w:ascii="Amiri" w:hAnsi="Amiri" w:eastAsia="Amiri" w:cs="Amiri"/>
          <w:color w:val="111111"/>
          <w:sz w:val="28"/>
          <w:sz w:val="28"/>
          <w:szCs w:val="28"/>
          <w:rtl w:val="true"/>
          <w:lang w:bidi="ar-SA"/>
        </w:rPr>
        <w:t xml:space="preserve">ومعاني الأخبار </w:t>
      </w:r>
      <w:r>
        <w:rPr>
          <w:rStyle w:val="FootnoteAnchor"/>
          <w:rtl w:val="true"/>
        </w:rPr>
        <w:footnoteReference w:id="1112"/>
      </w:r>
      <w:r>
        <w:rPr>
          <w:rFonts w:ascii="Amiri" w:hAnsi="Amiri" w:eastAsia="Amiri" w:cs="Amiri"/>
          <w:color w:val="111111"/>
          <w:sz w:val="28"/>
          <w:sz w:val="28"/>
          <w:szCs w:val="28"/>
          <w:rtl w:val="true"/>
          <w:lang w:bidi="ar-SA"/>
        </w:rPr>
        <w:t xml:space="preserve">والفقه الرضوي </w:t>
      </w:r>
      <w:r>
        <w:rPr>
          <w:rStyle w:val="FootnoteAnchor"/>
          <w:rtl w:val="true"/>
        </w:rPr>
        <w:footnoteReference w:id="1113"/>
      </w:r>
      <w:r>
        <w:rPr>
          <w:rFonts w:ascii="Amiri" w:hAnsi="Amiri" w:eastAsia="Amiri" w:cs="Amiri"/>
          <w:color w:val="111111"/>
          <w:sz w:val="28"/>
          <w:sz w:val="28"/>
          <w:szCs w:val="28"/>
          <w:rtl w:val="true"/>
          <w:lang w:bidi="ar-SA"/>
        </w:rPr>
        <w:t xml:space="preserve">، وأفتى بذلك جمع من الأصحاب </w:t>
      </w:r>
      <w:r>
        <w:rPr>
          <w:rStyle w:val="FootnoteAnchor"/>
          <w:rtl w:val="true"/>
        </w:rPr>
        <w:footnoteReference w:id="1114"/>
      </w:r>
      <w:r>
        <w:rPr>
          <w:rFonts w:ascii="Amiri" w:hAnsi="Amiri" w:eastAsia="Amiri" w:cs="Amiri"/>
          <w:color w:val="111111"/>
          <w:sz w:val="28"/>
          <w:sz w:val="28"/>
          <w:szCs w:val="28"/>
          <w:rtl w:val="true"/>
          <w:lang w:bidi="ar-SA"/>
        </w:rPr>
        <w:t>، ويؤيده الأصل والاحتياط، وظاهر الجميع أنّه عُشر الأصل لا عُشر الثلث؛ لأنّه بحسب ما أُضيف إليه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الأخبار أنّ الجزء هو السُّبع </w:t>
      </w:r>
      <w:r>
        <w:rPr>
          <w:rStyle w:val="FootnoteAnchor"/>
          <w:rtl w:val="true"/>
        </w:rPr>
        <w:footnoteReference w:id="1115"/>
      </w:r>
      <w:r>
        <w:rPr>
          <w:rFonts w:ascii="Amiri" w:hAnsi="Amiri" w:eastAsia="Amiri" w:cs="Amiri"/>
          <w:color w:val="111111"/>
          <w:sz w:val="28"/>
          <w:sz w:val="28"/>
          <w:szCs w:val="28"/>
          <w:rtl w:val="true"/>
          <w:lang w:bidi="ar-SA"/>
        </w:rPr>
        <w:t xml:space="preserve">، وظاهره سُبْع الأصل، ونُسب </w:t>
      </w:r>
      <w:r>
        <w:rPr>
          <w:rStyle w:val="FootnoteAnchor"/>
          <w:rtl w:val="true"/>
        </w:rPr>
        <w:footnoteReference w:id="1116"/>
      </w:r>
      <w:r>
        <w:rPr>
          <w:rFonts w:ascii="Amiri" w:hAnsi="Amiri" w:eastAsia="Amiri" w:cs="Amiri"/>
          <w:color w:val="111111"/>
          <w:sz w:val="28"/>
          <w:sz w:val="28"/>
          <w:szCs w:val="28"/>
          <w:rtl w:val="true"/>
          <w:lang w:bidi="ar-SA"/>
        </w:rPr>
        <w:t xml:space="preserve">للأكثر ونُقل عليه الإجماع </w:t>
      </w:r>
      <w:r>
        <w:rPr>
          <w:rStyle w:val="FootnoteAnchor"/>
          <w:rtl w:val="true"/>
        </w:rPr>
        <w:footnoteReference w:id="1117"/>
      </w:r>
      <w:r>
        <w:rPr>
          <w:rFonts w:ascii="Amiri" w:hAnsi="Amiri" w:eastAsia="Amiri" w:cs="Amiri"/>
          <w:color w:val="111111"/>
          <w:sz w:val="28"/>
          <w:sz w:val="28"/>
          <w:szCs w:val="28"/>
          <w:rtl w:val="true"/>
          <w:lang w:bidi="ar-SA"/>
        </w:rPr>
        <w:t xml:space="preserve">، والأخبار فيه مستفيضة، وفيها الصحيح وغيره، مروية في الكتب الأربعة </w:t>
      </w:r>
      <w:r>
        <w:rPr>
          <w:rStyle w:val="FootnoteAnchor"/>
          <w:rtl w:val="true"/>
        </w:rPr>
        <w:footnoteReference w:id="1118"/>
      </w:r>
      <w:r>
        <w:rPr>
          <w:rFonts w:ascii="Amiri" w:hAnsi="Amiri" w:eastAsia="Amiri" w:cs="Amiri"/>
          <w:color w:val="111111"/>
          <w:sz w:val="28"/>
          <w:sz w:val="28"/>
          <w:szCs w:val="28"/>
          <w:rtl w:val="true"/>
          <w:lang w:bidi="ar-SA"/>
        </w:rPr>
        <w:t xml:space="preserve">وغيرها كتفسير العياشي </w:t>
      </w:r>
      <w:r>
        <w:rPr>
          <w:rStyle w:val="FootnoteAnchor"/>
          <w:rtl w:val="true"/>
        </w:rPr>
        <w:footnoteReference w:id="1119"/>
      </w:r>
      <w:r>
        <w:rPr>
          <w:rFonts w:ascii="Amiri" w:hAnsi="Amiri" w:eastAsia="Amiri" w:cs="Amiri"/>
          <w:color w:val="111111"/>
          <w:sz w:val="28"/>
          <w:sz w:val="28"/>
          <w:szCs w:val="28"/>
          <w:rtl w:val="true"/>
          <w:lang w:bidi="ar-SA"/>
        </w:rPr>
        <w:t>، وهو قويٌّ إلّا أنّ الأوّل أحوط، ولا يبعد التخيير للوارث أو الوصي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شاذة أنّه سُبْع الثلث </w:t>
      </w:r>
      <w:r>
        <w:rPr>
          <w:rStyle w:val="FootnoteAnchor"/>
          <w:rtl w:val="true"/>
        </w:rPr>
        <w:footnoteReference w:id="1120"/>
      </w:r>
      <w:r>
        <w:rPr>
          <w:rFonts w:ascii="Amiri" w:hAnsi="Amiri" w:eastAsia="Amiri" w:cs="Amiri"/>
          <w:color w:val="111111"/>
          <w:sz w:val="28"/>
          <w:sz w:val="28"/>
          <w:szCs w:val="28"/>
          <w:rtl w:val="true"/>
          <w:lang w:bidi="ar-SA"/>
        </w:rPr>
        <w:t>، ويساعدها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حملها على صورة الوصيّة بالشبع مضافاً إلى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الوصيّة بالسهم، فإنّ الذي تقضي به القواعد أنّه على إطلاقه عرفاً، ولكن المشهور والذي دلّت عليه الأخبار </w:t>
      </w:r>
      <w:r>
        <w:rPr>
          <w:rStyle w:val="FootnoteAnchor"/>
          <w:rtl w:val="true"/>
        </w:rPr>
        <w:footnoteReference w:id="1121"/>
      </w:r>
      <w:r>
        <w:rPr>
          <w:rFonts w:ascii="Amiri" w:hAnsi="Amiri" w:eastAsia="Amiri" w:cs="Amiri"/>
          <w:color w:val="111111"/>
          <w:sz w:val="28"/>
          <w:sz w:val="28"/>
          <w:szCs w:val="28"/>
          <w:rtl w:val="true"/>
          <w:lang w:bidi="ar-SA"/>
        </w:rPr>
        <w:t>وقضى به الاحتياط أنّه الثمن، وعُلّل في بعض الأخبار بسهام الزكاة</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السدس </w:t>
      </w:r>
      <w:r>
        <w:rPr>
          <w:rStyle w:val="FootnoteAnchor"/>
          <w:rtl w:val="true"/>
        </w:rPr>
        <w:footnoteReference w:id="1123"/>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1124"/>
      </w:r>
      <w:r>
        <w:rPr>
          <w:rFonts w:ascii="Amiri" w:hAnsi="Amiri" w:eastAsia="Amiri" w:cs="Amiri"/>
          <w:color w:val="111111"/>
          <w:sz w:val="28"/>
          <w:sz w:val="28"/>
          <w:szCs w:val="28"/>
          <w:rtl w:val="true"/>
          <w:lang w:bidi="ar-SA"/>
        </w:rPr>
        <w:t xml:space="preserve">، وفيه رواية ضعيفة، وهي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السدس لمن أوصي له بسهم</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لضعف الإجماع المنقول والرواية عن معارضة ما تقدّم من الروايات المعتضدة بفتوى المشهور كضعف ما دلّ على أنّه العُشر </w:t>
      </w:r>
      <w:r>
        <w:rPr>
          <w:rStyle w:val="FootnoteAnchor"/>
          <w:rtl w:val="true"/>
        </w:rPr>
        <w:footnoteReference w:id="1126"/>
      </w:r>
      <w:r>
        <w:rPr>
          <w:rFonts w:ascii="Amiri" w:hAnsi="Amiri" w:eastAsia="Amiri" w:cs="Amiri"/>
          <w:color w:val="111111"/>
          <w:sz w:val="28"/>
          <w:sz w:val="28"/>
          <w:szCs w:val="28"/>
          <w:rtl w:val="true"/>
          <w:lang w:bidi="ar-SA"/>
        </w:rPr>
        <w:t>، والرواية الدالّة على ذلك ضعيفة جداً قد أعرض عنها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بشيءٍ من ماله فالذي تقضي به القواعد حملها على الإطلاق، إلّا أنّ المشهور والمنقول عليه الإجماع </w:t>
      </w:r>
      <w:r>
        <w:rPr>
          <w:rStyle w:val="FootnoteAnchor"/>
          <w:rtl w:val="true"/>
        </w:rPr>
        <w:footnoteReference w:id="1127"/>
      </w:r>
      <w:r>
        <w:rPr>
          <w:rFonts w:ascii="Amiri" w:hAnsi="Amiri" w:eastAsia="Amiri" w:cs="Amiri"/>
          <w:color w:val="111111"/>
          <w:sz w:val="28"/>
          <w:sz w:val="28"/>
          <w:szCs w:val="28"/>
          <w:rtl w:val="true"/>
          <w:lang w:bidi="ar-SA"/>
        </w:rPr>
        <w:t xml:space="preserve">والذي استفاضت به الأخبار </w:t>
      </w:r>
      <w:r>
        <w:rPr>
          <w:rStyle w:val="FootnoteAnchor"/>
          <w:rtl w:val="true"/>
        </w:rPr>
        <w:footnoteReference w:id="1128"/>
      </w:r>
      <w:r>
        <w:rPr>
          <w:rFonts w:ascii="Amiri" w:hAnsi="Amiri" w:eastAsia="Amiri" w:cs="Amiri"/>
          <w:color w:val="111111"/>
          <w:sz w:val="28"/>
          <w:sz w:val="28"/>
          <w:szCs w:val="28"/>
          <w:rtl w:val="true"/>
          <w:lang w:bidi="ar-SA"/>
        </w:rPr>
        <w:t>أنّه السدس</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بوجوه فنسي الوصي منها وجهاً أو أكثر، فالذي تقضي به القواعد أنّه إن كان مشتبهاً في محصور فالقرعة أو الصلح من الحاكم، أو يعود ميراثاً، وإن كان بغير المحصور فحكمه حكم مجهول المالك، أو يعود ميراثاً، إلّا أنّ مشهور الأصحاب أنّ المنسي يصرف في وجوه البر مطلقاً، ولا يخص الصدقة كالمجهول المالك؛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بوصيّة فلم يحفظ الوصيّ إلّا باباً منها كيف يصنع بالباقي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الموصى به خرج عن الورثة فلا يعود إليهم إلّا بدليل، ولوجوب </w:t>
      </w:r>
    </w:p>
    <w:p>
      <w:pPr>
        <w:pStyle w:val="BookText"/>
        <w:rPr/>
      </w:pPr>
      <w:r>
        <w:rPr>
          <w:rFonts w:ascii="Amiri" w:hAnsi="Amiri" w:eastAsia="Amiri" w:cs="Amiri"/>
          <w:color w:val="111111"/>
          <w:sz w:val="28"/>
          <w:sz w:val="28"/>
          <w:szCs w:val="28"/>
          <w:rtl w:val="true"/>
          <w:lang w:bidi="ar-SA"/>
        </w:rPr>
        <w:t xml:space="preserve">العمل بالوصيّة وتحريم تبديلها بالكتاب </w:t>
      </w:r>
      <w:r>
        <w:rPr>
          <w:rStyle w:val="FootnoteAnchor"/>
          <w:rtl w:val="true"/>
        </w:rPr>
        <w:footnoteReference w:id="1130"/>
      </w:r>
      <w:r>
        <w:rPr>
          <w:rFonts w:ascii="Amiri" w:hAnsi="Amiri" w:eastAsia="Amiri" w:cs="Amiri"/>
          <w:color w:val="111111"/>
          <w:sz w:val="28"/>
          <w:sz w:val="28"/>
          <w:szCs w:val="28"/>
          <w:rtl w:val="true"/>
          <w:lang w:bidi="ar-SA"/>
        </w:rPr>
        <w:t xml:space="preserve">والسنّة </w:t>
      </w:r>
      <w:r>
        <w:rPr>
          <w:rStyle w:val="FootnoteAnchor"/>
          <w:rtl w:val="true"/>
        </w:rPr>
        <w:footnoteReference w:id="1131"/>
      </w:r>
      <w:r>
        <w:rPr>
          <w:rFonts w:ascii="Amiri" w:hAnsi="Amiri" w:eastAsia="Amiri" w:cs="Amiri"/>
          <w:color w:val="111111"/>
          <w:sz w:val="28"/>
          <w:sz w:val="28"/>
          <w:szCs w:val="28"/>
          <w:rtl w:val="true"/>
          <w:lang w:bidi="ar-SA"/>
        </w:rPr>
        <w:t>، ولا يمكن العمل بها إلّا بخروجها عن الورثة وصيرورتها للموصى له ولمّا كان مجهولاً كان حكمه حكم مجهول المالك، ولأنّ صرفها في وجوه البر عمل بالوصيّة بقدر الإمكان لإرادة القربة في الوصيّة غالباً، فإذا فات الخصوص بقي العموم، ولما ورد في نظائر الوصيّة المقاربة لها في الحكم بحسب الفحوى، كما ورد في المنذور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يصرف في زوارها </w:t>
      </w:r>
      <w:r>
        <w:rPr>
          <w:rStyle w:val="FootnoteAnchor"/>
          <w:rtl w:val="true"/>
        </w:rPr>
        <w:footnoteReference w:id="1132"/>
      </w:r>
      <w:r>
        <w:rPr>
          <w:rFonts w:ascii="Amiri" w:hAnsi="Amiri" w:eastAsia="Amiri" w:cs="Amiri"/>
          <w:color w:val="111111"/>
          <w:sz w:val="28"/>
          <w:sz w:val="28"/>
          <w:szCs w:val="28"/>
          <w:rtl w:val="true"/>
          <w:lang w:bidi="ar-SA"/>
        </w:rPr>
        <w:t>، وفيمن أوصى بأن يحج عنه بما لا يفي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يصرف في البر، أو يتصدق به عنه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ميراثاً؛ لبطلان الوصيّة بامتناع القيام بها، والأصل في المال كونه ميراثاً ما لم تنفذ فيه الوصيّة، والمفروض عدم نفوذها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عدم نفوذ الوصيّة غاية ما في الباب بعد نفوذها جهل ما ينفذ فيه فيعود كالمجهول المالك، ومصرفه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الوصيّة لشخص خاص فنسيه الوصيّ قبل قبوله، كان الحكم بأنّه ميراث متجهاً، إمّا لو كان الموصى به وجهاً عاماً أو خاصاً وقد نسيه الوصي بعد القبول فلا وجه للحكم بأنّه ميراث؛ لخروجه عن الوارث فلا يعود إليه، فيكون صرفه معلوماً ومصرفه غير معلوم، فيكون كالمجهول المالك، إلّا أن المجهول المالك يختص بالصدقة على الأظهر، بخلاف المقام ها هنا، فإنّه شامل لجميع أنواع البرّ، عملاً بالرواية </w:t>
      </w:r>
      <w:r>
        <w:rPr>
          <w:rStyle w:val="FootnoteAnchor"/>
          <w:rtl w:val="true"/>
        </w:rPr>
        <w:footnoteReference w:id="1135"/>
      </w:r>
      <w:r>
        <w:rPr>
          <w:rFonts w:ascii="Amiri" w:hAnsi="Amiri" w:eastAsia="Amiri" w:cs="Amiri"/>
          <w:color w:val="111111"/>
          <w:sz w:val="28"/>
          <w:sz w:val="28"/>
          <w:szCs w:val="28"/>
          <w:rtl w:val="true"/>
          <w:lang w:bidi="ar-SA"/>
        </w:rPr>
        <w:t>المعتبرة بفتوى المشهور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بسيف وهو في جَفْنٍ وعليه حلية من ذهب أو فضة، وصندوق وفيه مال، وسفينة وفيها طعام، وكان الموصى به معيّناً، فإنّ القواعد قاضية بنفوذ الموصى به وما يتبعه عرفاً، ويشمله اللفظ عادةً بحيث يعلم قصد الموصي أو يظن ظناً حاصلاً من ظاهر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الذي أفتى به المشهور أنّ الجفن والحلية داخلان فيه ما لم تقم قرينة على الخلاف، وهو في الجفن ممّا يقضي به العرف وأمّا في الحلية فمحل شكٍّ، إلّا أن الرواية </w:t>
      </w:r>
      <w:r>
        <w:rPr>
          <w:rStyle w:val="FootnoteAnchor"/>
          <w:rtl w:val="true"/>
        </w:rPr>
        <w:footnoteReference w:id="1136"/>
      </w:r>
      <w:r>
        <w:rPr>
          <w:rFonts w:ascii="Amiri" w:hAnsi="Amiri" w:eastAsia="Amiri" w:cs="Amiri"/>
          <w:color w:val="111111"/>
          <w:sz w:val="28"/>
          <w:sz w:val="28"/>
          <w:szCs w:val="28"/>
          <w:rtl w:val="true"/>
          <w:lang w:bidi="ar-SA"/>
        </w:rPr>
        <w:t xml:space="preserve">مجبورة بفتوى المشهور، بل بظاهر الإجماع المنقول على لسان جمع من الفحول </w:t>
      </w:r>
      <w:r>
        <w:rPr>
          <w:rStyle w:val="FootnoteAnchor"/>
          <w:rtl w:val="true"/>
        </w:rPr>
        <w:footnoteReference w:id="1137"/>
      </w:r>
      <w:r>
        <w:rPr>
          <w:rFonts w:ascii="Amiri" w:hAnsi="Amiri" w:eastAsia="Amiri" w:cs="Amiri"/>
          <w:color w:val="111111"/>
          <w:sz w:val="28"/>
          <w:sz w:val="28"/>
          <w:szCs w:val="28"/>
          <w:rtl w:val="true"/>
          <w:lang w:bidi="ar-SA"/>
        </w:rPr>
        <w:t>، مضافاً إلى صحتها إلى ابن أبي نصر، وهو ممّن أجمعت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دخول المال في الصندوق، فإنّ المشهور على دخوله، وكذا الرواية </w:t>
      </w:r>
      <w:r>
        <w:rPr>
          <w:rStyle w:val="FootnoteAnchor"/>
          <w:rtl w:val="true"/>
        </w:rPr>
        <w:footnoteReference w:id="1138"/>
      </w:r>
      <w:r>
        <w:rPr>
          <w:rFonts w:ascii="Amiri" w:hAnsi="Amiri" w:eastAsia="Amiri" w:cs="Amiri"/>
          <w:color w:val="111111"/>
          <w:sz w:val="28"/>
          <w:sz w:val="28"/>
          <w:szCs w:val="28"/>
          <w:rtl w:val="true"/>
          <w:lang w:bidi="ar-SA"/>
        </w:rPr>
        <w:t>المعتبرة بفتواهم، وظاهرها دخوله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تقييده في عرف ذلك اليوم، أو في بعض البلدان، أو في بعض الصناديق الخاصّة المعدة لأخذ المال منها والعطاء فيها، بحيث تجعل كالمعيار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دخول الطعام في السفينة، فإنّ الرواية المجبورة بفتوى المشهور قاضية بدخوله ما لم تقم قرينة على عدمه، والرواية في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هذه السفينة لفلان، ولم يسم ما فيها، وفيها طعام، أيعطيها الرجل وما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للذي أوصى له بها إلّا أن يكون صاحبها متهماً وليس للورثة شيء</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سندها ودلالتها من حيث احتمالها لما أفتى به المشهور، من إرجاع الضمير إلى</w:t>
      </w:r>
    </w:p>
    <w:p>
      <w:pPr>
        <w:pStyle w:val="BookText"/>
        <w:rPr/>
      </w:pPr>
      <w:r>
        <w:rPr>
          <w:rFonts w:ascii="Amiri" w:hAnsi="Amiri" w:eastAsia="Amiri" w:cs="Amiri"/>
          <w:color w:val="111111"/>
          <w:sz w:val="28"/>
          <w:sz w:val="28"/>
          <w:szCs w:val="28"/>
          <w:rtl w:val="true"/>
          <w:lang w:bidi="ar-SA"/>
        </w:rPr>
        <w:t>السفينة وما فيها؛ لإحراز مطابقة الجواب للسؤال، حيث إنّه قد وقع عنها وعمّا فيها، واحتمالها لإرجاع الضمير إلى نفس السفينة، فيكون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المدفوع نفس السفينة دون ما فيها، إلّا أن الاحتمال الأوّل أظهر بقرينة فتوى المشهور، فإنّ الشهرة تجبر السند وتؤيد الدلالة وتُعيّن أحد الاحتمالين، بل تصرف الظاهر عن ظهوره، ومع ذلك فالحكم على إطلاقه مشكل، وحمل الرواية على العرف السابق أو على سفن تكون كالمقادير للطعام، أو على قيام القرينة على ذلك وجيه بل هو أوجه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فلا يسري الحكم لكلّ ظرف ومظروف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جرابٍ أو آنية أو حوض أو حب أو كوز، ما لم يقض بدخول المظروف في الظرف العُرف العام أو الخاص، أو تقوم قرينة على ذلك ولو قلنا ذلك في السفينة للدليل</w:t>
      </w:r>
      <w:r>
        <w:rPr>
          <w:rFonts w:eastAsia="Amiri" w:cs="Amiri" w:ascii="Amiri" w:hAnsi="Amiri"/>
          <w:color w:val="111111"/>
          <w:sz w:val="28"/>
          <w:szCs w:val="28"/>
          <w:rtl w:val="true"/>
          <w:lang w:bidi="ar-SA"/>
        </w:rPr>
        <w:t xml:space="preserve">. </w:t>
      </w:r>
      <w:bookmarkStart w:id="773" w:name="pg19218_274263"/>
    </w:p>
    <w:p>
      <w:pPr>
        <w:pStyle w:val="BookText"/>
        <w:rPr/>
      </w:pPr>
      <w:bookmarkEnd w:id="773"/>
      <w:r>
        <w:rPr>
          <w:rFonts w:ascii="Amiri" w:hAnsi="Amiri" w:eastAsia="Amiri" w:cs="Amiri"/>
          <w:color w:val="111111"/>
          <w:sz w:val="28"/>
          <w:sz w:val="28"/>
          <w:szCs w:val="28"/>
          <w:rtl w:val="true"/>
          <w:lang w:bidi="ar-SA"/>
        </w:rPr>
        <w:t xml:space="preserve">ولا فرق بين كون الموصي عدلاً أم لا، خلافاً لمن فرّق بينهما </w:t>
      </w:r>
      <w:r>
        <w:rPr>
          <w:rStyle w:val="FootnoteAnchor"/>
          <w:rtl w:val="true"/>
        </w:rPr>
        <w:footnoteReference w:id="1140"/>
      </w:r>
      <w:r>
        <w:rPr>
          <w:rFonts w:ascii="Amiri" w:hAnsi="Amiri" w:eastAsia="Amiri" w:cs="Amiri"/>
          <w:color w:val="111111"/>
          <w:sz w:val="28"/>
          <w:sz w:val="28"/>
          <w:szCs w:val="28"/>
          <w:rtl w:val="true"/>
          <w:lang w:bidi="ar-SA"/>
        </w:rPr>
        <w:t xml:space="preserve">، كما أشعرت به الرواية </w:t>
      </w:r>
      <w:r>
        <w:rPr>
          <w:rStyle w:val="FootnoteAnchor"/>
          <w:rtl w:val="true"/>
        </w:rPr>
        <w:footnoteReference w:id="1141"/>
      </w:r>
      <w:r>
        <w:rPr>
          <w:rFonts w:ascii="Amiri" w:hAnsi="Amiri" w:eastAsia="Amiri" w:cs="Amiri"/>
          <w:color w:val="111111"/>
          <w:sz w:val="28"/>
          <w:sz w:val="28"/>
          <w:szCs w:val="28"/>
          <w:rtl w:val="true"/>
          <w:lang w:bidi="ar-SA"/>
        </w:rPr>
        <w:t>، ولا بين كون الصندوق مقفولاً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مقفولاً قد يكون القفل قرينة على إرادة الوصيّة بما فيه، فتحمل عليه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الاقتصار في الحكم أيضاً على الوصيّة بسفينة معينة، أو صندوق كذلك، أو فردٍ من أفرادهما معيناً، فلو كانت الوصيّة بصندوق أو سفينة مطلقين لم يكونا مورداً للنص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دخول الجفن والحلية في الوصيّة بالسيف مطلقاً إشكال، والأظهر دخول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أوصى في سبيل اللّه، فالمشهور بين المتأخرين أن السبيل هو الطريق إليه، وهو شامل لجميع أنواع البرّ، وتدلّ عليه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أوصى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شيعتنا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أوصى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يصرفه في الحجّ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جعله لإمام المسلمين، وإن شاء جعله في الحج، أو فرّقه على قوم مؤمنين</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السبيل بالمجاهدين والغزاة </w:t>
      </w:r>
      <w:r>
        <w:rPr>
          <w:rStyle w:val="FootnoteAnchor"/>
          <w:rtl w:val="true"/>
        </w:rPr>
        <w:footnoteReference w:id="1145"/>
      </w:r>
      <w:r>
        <w:rPr>
          <w:rFonts w:ascii="Amiri" w:hAnsi="Amiri" w:eastAsia="Amiri" w:cs="Amiri"/>
          <w:color w:val="111111"/>
          <w:sz w:val="28"/>
          <w:sz w:val="28"/>
          <w:szCs w:val="28"/>
          <w:rtl w:val="true"/>
          <w:lang w:bidi="ar-SA"/>
        </w:rPr>
        <w:t>لما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أوصى في سبيل اللّه، وكان لا يعرف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ينظر إلى مَنْ يخرج إلى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بعض الثغور فابعثوا به إليه</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فتوى وروايةً، فالأظهر ما عليه المتأخرون</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13425317_1280447820"/>
      <w:bookmarkStart w:id="775" w:name="_Toc277"/>
      <w:bookmarkEnd w:id="774"/>
      <w:r>
        <w:rPr>
          <w:rtl w:val="true"/>
        </w:rPr>
        <w:t>الرابع والعشرون</w:t>
      </w:r>
      <w:r>
        <w:rPr>
          <w:rtl w:val="true"/>
        </w:rPr>
        <w:t xml:space="preserve">: </w:t>
      </w:r>
      <w:r>
        <w:rPr>
          <w:rtl w:val="true"/>
        </w:rPr>
        <w:t>عدم صحّة الوصيّة فيما لو أوصى بإخراج الولد من الإرث</w:t>
      </w:r>
      <w:bookmarkEnd w:id="77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بإخراج الولد من الإرث، لم تصحّ الوصيّة ولو كان الموصي بذلك الأب، وفاقاً للمشهور؛ لمخالفة الوصيّة للكتاب والسنّة</w:t>
      </w:r>
      <w:r>
        <w:rPr>
          <w:rFonts w:eastAsia="Amiri" w:cs="Amiri" w:ascii="Amiri" w:hAnsi="Amiri"/>
          <w:color w:val="111111"/>
          <w:sz w:val="28"/>
          <w:szCs w:val="28"/>
          <w:rtl w:val="true"/>
          <w:lang w:bidi="ar-SA"/>
        </w:rPr>
        <w:t xml:space="preserve">. </w:t>
      </w:r>
      <w:bookmarkStart w:id="776" w:name="pg19218_274264"/>
    </w:p>
    <w:p>
      <w:pPr>
        <w:pStyle w:val="BookText"/>
        <w:rPr/>
      </w:pPr>
      <w:bookmarkEnd w:id="776"/>
      <w:r>
        <w:rPr>
          <w:rFonts w:ascii="Amiri" w:hAnsi="Amiri" w:eastAsia="Amiri" w:cs="Amiri"/>
          <w:color w:val="111111"/>
          <w:sz w:val="28"/>
          <w:sz w:val="28"/>
          <w:szCs w:val="28"/>
          <w:rtl w:val="true"/>
          <w:lang w:bidi="ar-SA"/>
        </w:rPr>
        <w:t xml:space="preserve">ونزلها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الوصيّة بجميع المال لمن عداه، فإن أجاز مضى وإلا فلا، وقد تُنزّل على منعه ممّا يخصه من الثلث خاصّة، فتكون الوصيّة بالثلث لغيره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ضعيف؛ لمخالفتهما لظاهر الخطاب وظاهر قصد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له ابن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 من الميراث وأنا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 الولد لإقراره بالمشهد لا يدفعه الوصيّ عن شيءٍ قد علمه</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المقام رواية تضمنت أنّ رجلاً وقع ابنه على أُمّ ولد له فأخرجه من الميراث، فسأله وصيه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بها </w:t>
      </w:r>
      <w:r>
        <w:rPr>
          <w:rStyle w:val="FootnoteAnchor"/>
          <w:rtl w:val="true"/>
        </w:rPr>
        <w:footnoteReference w:id="1150"/>
      </w:r>
      <w:r>
        <w:rPr>
          <w:rFonts w:ascii="Amiri" w:hAnsi="Amiri" w:eastAsia="Amiri" w:cs="Amiri"/>
          <w:color w:val="111111"/>
          <w:sz w:val="28"/>
          <w:sz w:val="28"/>
          <w:szCs w:val="28"/>
          <w:rtl w:val="true"/>
          <w:lang w:bidi="ar-SA"/>
        </w:rPr>
        <w:t>، إمّا في الجملة؛ حيث جعلها قضيّةً في واقعةٍ، أو مطلقاً بشرط وقوع الحدث الذي في الرواية من الوارث الموصى 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فالعمل بها متروك بين الأصحاب؛ لضعفها سنداً ودلالة، فلا تعارض الأصول والقواعد وفتاوى الأصحاب والمفهوم من أخبار الوصيّة في الباب، ولو عملنا بها لاقتصرنا على مورد الرواية، من كونه ابناً، وكونه واقعاً على أُمّ ولد له، وغير ذلك ممّا هو مذكور في الرواية</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13425319_1280447820"/>
      <w:bookmarkStart w:id="778" w:name="_Toc278"/>
      <w:bookmarkEnd w:id="777"/>
      <w:r>
        <w:rPr>
          <w:rtl w:val="true"/>
        </w:rPr>
        <w:t>الخامس والعشرون</w:t>
      </w:r>
      <w:r>
        <w:rPr>
          <w:rtl w:val="true"/>
        </w:rPr>
        <w:t xml:space="preserve">: </w:t>
      </w:r>
      <w:r>
        <w:rPr>
          <w:rtl w:val="true"/>
        </w:rPr>
        <w:t>في الوصاية ومشروعيتها</w:t>
      </w:r>
      <w:bookmarkEnd w:id="778"/>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وفتحها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استنابة على جهة الولاية من الموصي لآخر في التصرّف بماله من أخذ أو إعطاء أو وفاء دين، وفي التسليط على أطفاله ومن بحكمهم بفعل ما يصلحهم في أنفسهم وأموالهم إذا لم يكن لهم ولي آخر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مشروعيتها عموم الكتاب </w:t>
      </w:r>
      <w:r>
        <w:rPr>
          <w:rStyle w:val="FootnoteAnchor"/>
          <w:rtl w:val="true"/>
        </w:rPr>
        <w:footnoteReference w:id="1151"/>
      </w:r>
      <w:r>
        <w:rPr>
          <w:rFonts w:ascii="Amiri" w:hAnsi="Amiri" w:eastAsia="Amiri" w:cs="Amiri"/>
          <w:color w:val="111111"/>
          <w:sz w:val="28"/>
          <w:sz w:val="28"/>
          <w:szCs w:val="28"/>
          <w:rtl w:val="true"/>
          <w:lang w:bidi="ar-SA"/>
        </w:rPr>
        <w:t xml:space="preserve">والسنّة المستفيضة بل المتواترة الآتية إن شاء اللّه في محالها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779" w:name="pg19218_274265"/>
    </w:p>
    <w:p>
      <w:pPr>
        <w:pStyle w:val="BookText"/>
        <w:rPr/>
      </w:pPr>
      <w:bookmarkEnd w:id="779"/>
      <w:r>
        <w:rPr>
          <w:rFonts w:ascii="Amiri" w:hAnsi="Amiri" w:eastAsia="Amiri" w:cs="Amiri"/>
          <w:color w:val="111111"/>
          <w:sz w:val="28"/>
          <w:sz w:val="28"/>
          <w:szCs w:val="28"/>
          <w:rtl w:val="true"/>
          <w:lang w:bidi="ar-SA"/>
        </w:rPr>
        <w:t>وهي من قسم الإيقاعات لا العقود وإن جاز للوصي الردّ في بعض الأحوال</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3425321_1280447820"/>
      <w:bookmarkStart w:id="781" w:name="_Toc279"/>
      <w:bookmarkEnd w:id="780"/>
      <w:r>
        <w:rPr>
          <w:rtl w:val="true"/>
        </w:rPr>
        <w:t>وفيها أُمور</w:t>
      </w:r>
      <w:r>
        <w:rPr>
          <w:rtl w:val="true"/>
        </w:rPr>
        <w:t>:</w:t>
      </w:r>
      <w:bookmarkEnd w:id="781"/>
    </w:p>
    <w:p>
      <w:pPr>
        <w:pStyle w:val="Heading4"/>
        <w:numPr>
          <w:ilvl w:val="3"/>
          <w:numId w:val="1"/>
        </w:numPr>
        <w:rPr/>
      </w:pPr>
      <w:bookmarkStart w:id="782" w:name="__RefHeading___Toc13425323_1280447820"/>
      <w:bookmarkStart w:id="783" w:name="_Toc280"/>
      <w:bookmarkEnd w:id="782"/>
      <w:r>
        <w:rPr>
          <w:rtl w:val="true"/>
        </w:rPr>
        <w:t>أحدها</w:t>
      </w:r>
      <w:r>
        <w:rPr>
          <w:rtl w:val="true"/>
        </w:rPr>
        <w:t xml:space="preserve">: </w:t>
      </w:r>
      <w:r>
        <w:rPr>
          <w:rtl w:val="true"/>
        </w:rPr>
        <w:t>اشتراط العقل والبلوغ والرشد في الوصي</w:t>
      </w:r>
      <w:bookmarkEnd w:id="78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الوصي بحيث يتصرّف حال الوصيّة العقل والبلوغ، فلا تصحّ وصاية الطفل بحيث يتصرّف حال طفوليته، ولا إلى مجنون بحيث يتصرف حال جنونه، إجماعاً فيهما، أما لو أوصى إلى مجنون أدواري صحت الوصيّة، وانصرفت إلى حال الإفاقة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الرشد فيه إذا تعلّق بالمال؛ لقصور السفيه عن النظر في المصارف وتدبير المال، مع احتمال أنّه لو كان عدلاً ورعاً عارفاً بالتدبير جازت وصيته ومنعته تقواه عن التبذير، ولكن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ما يمنع من استنابته في تدبير الأموال، ولو كانت الوصيّة غير مال جازت وصيّته من غير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تنفسخ الوصاية بالجنون أم يبطل أثرها؟ وعلى الانفساخ فهل تعود أم لا؟ وجهان، ينشآن من انقطاعها فتستصحب، ومن أنّها تتجدد بموجب العقد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الوصيّ العدالة ابتداءً أو استدامة، أو هما معاً، أو لا يشترط مطلقاً، أو يشترط في الاستدامة لا في الابتداء، بمعنى أنّه لو أوصى إلى عدلٍ ففسق بطلت وصيته، دون ما لو أوصى لفاسق ابتداءً، أو يشترط العدالة ابتداءً ولا عبرة بالاستدامة على احتمال ضعيف، أو يشترط عدم ظهور الفسق لا ثبوت العدالة، فتصح الوصيّة لمجهول الحال؟</w:t>
      </w:r>
    </w:p>
    <w:p>
      <w:pPr>
        <w:pStyle w:val="BookText"/>
        <w:rPr/>
      </w:pPr>
      <w:r>
        <w:rPr>
          <w:rFonts w:ascii="Amiri" w:hAnsi="Amiri" w:eastAsia="Amiri" w:cs="Amiri"/>
          <w:color w:val="111111"/>
          <w:sz w:val="28"/>
          <w:sz w:val="28"/>
          <w:szCs w:val="28"/>
          <w:rtl w:val="true"/>
          <w:lang w:bidi="ar-SA"/>
        </w:rPr>
        <w:t>ثمّ على اشتراط العدالة فهل المدار على ثبوتها واقعاً، أم على نظر الموصي؟ وهل يكفي الاستئمان على اشتراط العدالة أم لا؟ وجوه واحتمالات، وفي كثير منها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باشتراطها ابتداءً منسوب للمشهور </w:t>
      </w:r>
      <w:r>
        <w:rPr>
          <w:rStyle w:val="FootnoteAnchor"/>
          <w:rtl w:val="true"/>
        </w:rPr>
        <w:footnoteReference w:id="1154"/>
      </w:r>
      <w:r>
        <w:rPr>
          <w:rFonts w:ascii="Amiri" w:hAnsi="Amiri" w:eastAsia="Amiri" w:cs="Amiri"/>
          <w:color w:val="111111"/>
          <w:sz w:val="28"/>
          <w:sz w:val="28"/>
          <w:szCs w:val="28"/>
          <w:rtl w:val="true"/>
          <w:lang w:bidi="ar-SA"/>
        </w:rPr>
        <w:t xml:space="preserve">، بل كادت أن تكون الشهرة عليه محققةً ومنقول عليها الإجماع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الوصاية اسئتمان، والفاسق غير صالح لها؛ لوجوب التثبت عند خبره، وأنّ الوصاية ركون، والركون إلى الظالم منهي عنه </w:t>
      </w:r>
      <w:r>
        <w:rPr>
          <w:rStyle w:val="FootnoteAnchor"/>
          <w:rtl w:val="true"/>
        </w:rPr>
        <w:footnoteReference w:id="1156"/>
      </w:r>
      <w:r>
        <w:rPr>
          <w:rFonts w:ascii="Amiri" w:hAnsi="Amiri" w:eastAsia="Amiri" w:cs="Amiri"/>
          <w:color w:val="111111"/>
          <w:sz w:val="28"/>
          <w:sz w:val="28"/>
          <w:szCs w:val="28"/>
          <w:rtl w:val="true"/>
          <w:lang w:bidi="ar-SA"/>
        </w:rPr>
        <w:t xml:space="preserve">، والفاسق ظالم، والوصاية استنابة، ويشترط </w:t>
      </w:r>
    </w:p>
    <w:p>
      <w:pPr>
        <w:pStyle w:val="BookText"/>
        <w:rPr/>
      </w:pPr>
      <w:r>
        <w:rPr>
          <w:rFonts w:ascii="Amiri" w:hAnsi="Amiri" w:eastAsia="Amiri" w:cs="Amiri"/>
          <w:color w:val="111111"/>
          <w:sz w:val="28"/>
          <w:sz w:val="28"/>
          <w:szCs w:val="28"/>
          <w:rtl w:val="true"/>
          <w:lang w:bidi="ar-SA"/>
        </w:rPr>
        <w:t>في الاستنابة العدالة كوكيل الوكيل بل هي أولى في الاشتراط؛ لانجبار نظر وكيل الوكيل بنظر موكله، وبنظر الأصل دونها، وأنّ الوصاية استثمان على مال الغير من أطفال أو حقوق عامة، أو وفاء ديون ونحوها، ولا يجوز استئمان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يُفهم في بعض الأخبار من اشتراط عدالة وكيل الحاكم على الأيتام </w:t>
      </w:r>
      <w:r>
        <w:rPr>
          <w:rStyle w:val="FootnoteAnchor"/>
          <w:rtl w:val="true"/>
        </w:rPr>
        <w:footnoteReference w:id="1157"/>
      </w:r>
      <w:r>
        <w:rPr>
          <w:rFonts w:ascii="Amiri" w:hAnsi="Amiri" w:eastAsia="Amiri" w:cs="Amiri"/>
          <w:color w:val="111111"/>
          <w:sz w:val="28"/>
          <w:sz w:val="28"/>
          <w:szCs w:val="28"/>
          <w:rtl w:val="true"/>
          <w:lang w:bidi="ar-SA"/>
        </w:rPr>
        <w:t>، من حيث تساويهما في كون المال بعد الموت قد تعلّق به حقّ الغير وإن اختلفا في كون أحدهما من المالك والآخر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بعدم الاشتراط </w:t>
      </w:r>
      <w:r>
        <w:rPr>
          <w:rStyle w:val="FootnoteAnchor"/>
          <w:rtl w:val="true"/>
        </w:rPr>
        <w:footnoteReference w:id="1158"/>
      </w:r>
      <w:r>
        <w:rPr>
          <w:rFonts w:ascii="IRNazanin" w:hAnsi="IRNazanin" w:eastAsia="IRNazanin"/>
          <w:color w:val="111111"/>
          <w:sz w:val="28"/>
          <w:sz w:val="28"/>
          <w:szCs w:val="28"/>
          <w:rtl w:val="true"/>
          <w:lang w:bidi="fa-IR"/>
        </w:rPr>
        <w:t xml:space="preserve">للأصل، ولإطلاق الأخبار </w:t>
      </w:r>
      <w:r>
        <w:rPr>
          <w:rStyle w:val="FootnoteAnchor"/>
          <w:rtl w:val="true"/>
        </w:rPr>
        <w:footnoteReference w:id="1159"/>
      </w:r>
      <w:r>
        <w:rPr>
          <w:rFonts w:ascii="Amiri" w:hAnsi="Amiri" w:eastAsia="Amiri" w:cs="Amiri"/>
          <w:color w:val="111111"/>
          <w:sz w:val="28"/>
          <w:sz w:val="28"/>
          <w:szCs w:val="28"/>
          <w:rtl w:val="true"/>
          <w:lang w:bidi="ar-SA"/>
        </w:rPr>
        <w:t>، ولأنّ المالك له أن يتصرف بملكه كيف يشاء، ولأن الوصاية كالوكالة والوديعة وللمالك أن يوكل من شاء ويودع ماله لمن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لتخصيص الأولين بما قدمنا من الأدلّة، وبمنع عدم الفرق في الثالث؛ لتعلّق حقّ الغير في الموصى به غالباً في الوصاية دون الوكالة والوديعة، ولو كانت الوكالة والوديعة كذلك التزم باشتراط العدالة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يتوجه الفرق بين ما تكون الوصاية بما يتعلّق بالغير من مال الأطفال أو إخراج حقوق عامة كخمس أو زكاة أو نذور أو كفارات فيشترط فيها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تكون متعلقةً بأمور خاصّة راجعة إلى الموصي من أخذ أو عطاء مندوب أو مباح أو هبة لشخص أو نحو ذلك فلا تشترط؛ لتعلقها بمال الموصي، وللمالك التصرّف في ملكه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العدالة شرط واقعاً، فلا تمضى تصرفات الوصي لو كان فاسقاً واقعاً، ولا يجوز له التصرّف لو علم من نفسه الفسق؛ أخذاً بإطلاق الفتوى والإجماع المنقول </w:t>
      </w:r>
      <w:r>
        <w:rPr>
          <w:rStyle w:val="FootnoteAnchor"/>
          <w:rtl w:val="true"/>
        </w:rPr>
        <w:footnoteReference w:id="1160"/>
      </w:r>
      <w:r>
        <w:rPr>
          <w:rFonts w:ascii="Amiri" w:hAnsi="Amiri" w:eastAsia="Amiri" w:cs="Amiri"/>
          <w:color w:val="111111"/>
          <w:sz w:val="28"/>
          <w:sz w:val="28"/>
          <w:szCs w:val="28"/>
          <w:rtl w:val="true"/>
          <w:lang w:bidi="ar-SA"/>
        </w:rPr>
        <w:t>، وببعض العلل، أم شرط ظاهراً لدى الموصي وإن لم تثبت واقعاً، فتمضى تصرفاته وإن كان فاسقاً في الواقع؛ أخذاً بانصراف اشتراط العدالة ونحوها من الملكات في الفتاوى والنصوص إلى ما كان عدلاً في الظاهر ؟ وجهان، ولا يبعد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فالعدالة شرط في الاستنابة لا في النيابة، ومثله النيابة في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يبعد على هذا الوجه أن للحاكم عزله عند الاطلاع على فسقه أو منعه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بكفاية اشتراط الاستئمان على المال والتصرف فيه عن العدالة، وتنزيل الفتاوى والإجماع المنقول على اشتراط العدالة على إرادة الاستثمان؛ لتعسّر حصوله غالباً من دون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العدالة بل الاستثمان إنّما هو بالنسبة إلى إمضاء تصرفات الوصي و عدم ضمانه بالنظر إلى الحاكم وعدول المسلمين، فإنّ عليهم أن لا يمضوا ما فعله الفاسق أو غير المأمون، وأما تصرفاته بالنظر إلى مال الوصيّ واقعاً فهي ماضية، فلو اطلع الحاكم أو عدول المؤمنين عليها وكانت موافقة للوصيّة نفذت، ولا يلزم الحاكم تجديدها أو تضمينها، وهو وجه، ويظهر من بعض المحقّقين الميل إليه </w:t>
      </w:r>
      <w:r>
        <w:rPr>
          <w:rStyle w:val="FootnoteAnchor"/>
          <w:rtl w:val="true"/>
        </w:rPr>
        <w:footnoteReference w:id="1161"/>
      </w:r>
      <w:r>
        <w:rPr>
          <w:rFonts w:ascii="Amiri" w:hAnsi="Amiri" w:eastAsia="Amiri" w:cs="Amiri"/>
          <w:color w:val="111111"/>
          <w:sz w:val="28"/>
          <w:sz w:val="28"/>
          <w:szCs w:val="28"/>
          <w:rtl w:val="true"/>
          <w:lang w:bidi="ar-SA"/>
        </w:rPr>
        <w:t>، وربما تساعده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الوصيّة إلى العدل أو الفاسق ابتداء، إمّا لو أوصى إلى عدلٍ ففسق، فإن قلنا باشتراط العدالة انعزل؛ لفوات شرط الابتداء، وشرط الابتداء شرط في الاستدامة، كما هي القاعدة في الشروط، واحتمال العدم تمسكاً بالاستصحاب ضعيف، وإن لم نقل باشتراطها في الابتداء فالمشهور على انعزاله مطلقاً، سيما لو فهم أنّ الداعي للوصاية هو العدالة، ونقل عليه الإجماع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جملة من الفتاوى والإجماع المنقول هو عدم التفاوت بين كون الداعي للوصاية هو العدالة أم لا </w:t>
      </w:r>
      <w:r>
        <w:rPr>
          <w:rStyle w:val="FootnoteAnchor"/>
          <w:rtl w:val="true"/>
        </w:rPr>
        <w:footnoteReference w:id="1163"/>
      </w:r>
      <w:r>
        <w:rPr>
          <w:rFonts w:ascii="Amiri" w:hAnsi="Amiri" w:eastAsia="Amiri" w:cs="Amiri"/>
          <w:color w:val="111111"/>
          <w:sz w:val="28"/>
          <w:sz w:val="28"/>
          <w:szCs w:val="28"/>
          <w:rtl w:val="true"/>
          <w:lang w:bidi="ar-SA"/>
        </w:rPr>
        <w:t>، وبين فسقه حال حياة الموصي أو بعد مماته، وبين علم الموصى بفسقه حال حياته أو علمه بأنّه يفسق بعد مماته، وبين عدم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مشكل في كثير من الصور؛ لمنافاته الاستصحاب، وللزوم تبديل الوصيّة المنهي سيما مع العلم بفسقه حال حياته، أو لم يكن الداعي لنصبه عدالته ولم يعزله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يعلم بفسقه 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عدم انعزاله في هذه الصورة ونحوها على القول بعدم اشتراط العدالة ابتداء، ويُصرف الإجماع المنقول وكذا فتوى المشهور إلى غيرها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تعود الوصاية بعود العدالة؛ لتجدّدها بتجدّدها، أو لا تعود؛ للاستصحاب؟ وقد يبنى ذلك على أنّ الفسق انعزال، أم إبطال لأثر التصرّف؟ </w:t>
      </w:r>
      <w:bookmarkStart w:id="784" w:name="pg19218_274268"/>
    </w:p>
    <w:p>
      <w:pPr>
        <w:pStyle w:val="BookText"/>
        <w:rPr/>
      </w:pPr>
      <w:bookmarkEnd w:id="784"/>
      <w:r>
        <w:rPr>
          <w:rFonts w:ascii="Amiri" w:hAnsi="Amiri" w:eastAsia="Amiri" w:cs="Amiri"/>
          <w:color w:val="111111"/>
          <w:sz w:val="28"/>
          <w:sz w:val="28"/>
          <w:szCs w:val="28"/>
          <w:rtl w:val="true"/>
          <w:lang w:bidi="ar-SA"/>
        </w:rPr>
        <w:t>وهل يفتقر عزل الفاسق في الاستدامة إلى عزل الحاكم فينفذ تصرفه قبله، أو لا يفتقر؛ أخذاً بالإطلاق وبقواعد الاشتراط؟ وهذا 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يتوجه القول بأنّ الفسق مانع ومبطل للوصاية، لا أن العدالة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أوصى لمن لم تحصل له ملكة العدالة فالوصيّة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إلى مجهول الحال عند الموصي نفذت الوصيّة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الوصي مجهول الحال عند الحاكم لم يكن له عزله، وعليه أن يمضي تصرفاته، ويبني أمره على الصحّة</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3425325_1280447820"/>
      <w:bookmarkStart w:id="786" w:name="_Toc281"/>
      <w:bookmarkEnd w:id="785"/>
      <w:r>
        <w:rPr>
          <w:rtl w:val="true"/>
        </w:rPr>
        <w:t>ثانيها</w:t>
      </w:r>
      <w:r>
        <w:rPr>
          <w:rtl w:val="true"/>
        </w:rPr>
        <w:t xml:space="preserve">: </w:t>
      </w:r>
      <w:r>
        <w:rPr>
          <w:rtl w:val="true"/>
        </w:rPr>
        <w:t>عدم صحّة الوصيّة إلى المملوك لنفسه أو غيره</w:t>
      </w:r>
      <w:bookmarkEnd w:id="78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الوصيّة إلى المملوك لنفسه أو غيره، قِناً أو مدبَّراً أو مكاتباً أو أُمَّ ولد أو مبعضاً للموصي أو لغيره؛ لعموم ما دلّ على الحجر عليه، وأنّه لا يقدر على شيءٍ </w:t>
      </w:r>
      <w:r>
        <w:rPr>
          <w:rStyle w:val="FootnoteAnchor"/>
          <w:rtl w:val="true"/>
        </w:rPr>
        <w:footnoteReference w:id="1164"/>
      </w:r>
      <w:r>
        <w:rPr>
          <w:rFonts w:ascii="Amiri" w:hAnsi="Amiri" w:eastAsia="Amiri" w:cs="Amiri"/>
          <w:color w:val="111111"/>
          <w:sz w:val="28"/>
          <w:sz w:val="28"/>
          <w:szCs w:val="28"/>
          <w:rtl w:val="true"/>
          <w:lang w:bidi="ar-SA"/>
        </w:rPr>
        <w:t xml:space="preserve">، وللنهي عن تصرفه بنفسه وتصرّف الغير به وللإجماع المنقول </w:t>
      </w:r>
      <w:r>
        <w:rPr>
          <w:rStyle w:val="FootnoteAnchor"/>
          <w:rtl w:val="true"/>
        </w:rPr>
        <w:footnoteReference w:id="1165"/>
      </w:r>
      <w:r>
        <w:rPr>
          <w:rFonts w:ascii="IRNazanin" w:hAnsi="IRNazanin" w:eastAsia="IRNazanin"/>
          <w:color w:val="111111"/>
          <w:sz w:val="28"/>
          <w:sz w:val="28"/>
          <w:szCs w:val="28"/>
          <w:rtl w:val="true"/>
          <w:lang w:bidi="fa-IR"/>
        </w:rPr>
        <w:t>وفتوى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للغير وأذن له مولاه صحت الوصيّة، ولم يجز للمولى الرجوع في إذنه بعد ممات الموصي، أو عدم إمكان نصب وصي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بجواز الوصاية لعبد نفسه بعد أن يخرج منفعة خدمته من ثلثه، وإلى مدبّره بناءً على أنّه يكون حُرّاً عند التزامه بالوصاية وإلى مكاتبه إذا لم تعارض الوصاية السعي في تحصيل مال الكتابة، وسيّما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للوصي أجرة المثل؛ فإنّ المكاتبة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إلى جواز الوصاية لمدبَّر الموصى بعض أصحابنا </w:t>
      </w:r>
      <w:r>
        <w:rPr>
          <w:rStyle w:val="FootnoteAnchor"/>
          <w:rtl w:val="true"/>
        </w:rPr>
        <w:footnoteReference w:id="1166"/>
      </w:r>
      <w:r>
        <w:rPr>
          <w:rFonts w:ascii="Amiri" w:hAnsi="Amiri" w:eastAsia="Amiri" w:cs="Amiri"/>
          <w:color w:val="111111"/>
          <w:sz w:val="28"/>
          <w:sz w:val="28"/>
          <w:szCs w:val="28"/>
          <w:rtl w:val="true"/>
          <w:lang w:bidi="ar-SA"/>
        </w:rPr>
        <w:t xml:space="preserve">، وإلى مكاتبه بعض آخر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7" w:name="__RefHeading___Toc13425327_1280447820"/>
      <w:bookmarkStart w:id="788" w:name="_Toc282"/>
      <w:bookmarkEnd w:id="787"/>
      <w:r>
        <w:rPr>
          <w:rtl w:val="true"/>
        </w:rPr>
        <w:t>ثالثها</w:t>
      </w:r>
      <w:r>
        <w:rPr>
          <w:rtl w:val="true"/>
        </w:rPr>
        <w:t xml:space="preserve">: </w:t>
      </w:r>
      <w:r>
        <w:rPr>
          <w:rtl w:val="true"/>
        </w:rPr>
        <w:t>عدم صحّة الوصاية للصبي بحيث يتصرف حال صباه</w:t>
      </w:r>
      <w:bookmarkEnd w:id="78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الوصاية للصبي بحيث يتصرّف حال صباه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1168"/>
      </w:r>
      <w:r>
        <w:rPr>
          <w:rFonts w:ascii="Amiri" w:hAnsi="Amiri" w:eastAsia="Amiri" w:cs="Amiri"/>
          <w:color w:val="111111"/>
          <w:sz w:val="28"/>
          <w:sz w:val="28"/>
          <w:szCs w:val="28"/>
          <w:rtl w:val="true"/>
          <w:lang w:bidi="ar-SA"/>
        </w:rPr>
        <w:t>مطلقاً، منفرداً أو منضماً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تجوز الوصاية إليه بشرط تصرّفه بعد البلوغ منفرداً، أو الوصاية إليه على أن يكون وصيّاً بعد بلوغه؛ لإطلاق أدلّة الوصاية من غير معارض، أو لا تجوز؛ للأصل، وانصراف </w:t>
      </w:r>
    </w:p>
    <w:p>
      <w:pPr>
        <w:pStyle w:val="BookText"/>
        <w:rPr/>
      </w:pPr>
      <w:r>
        <w:rPr>
          <w:rFonts w:ascii="Amiri" w:hAnsi="Amiri" w:eastAsia="Amiri" w:cs="Amiri"/>
          <w:color w:val="111111"/>
          <w:sz w:val="28"/>
          <w:sz w:val="28"/>
          <w:szCs w:val="28"/>
          <w:rtl w:val="true"/>
          <w:lang w:bidi="ar-SA"/>
        </w:rPr>
        <w:t>أدلّة الوصاية للبالغين بالفعل ؟ وجهان، ولا يبعد الأوّل فيما لا يفوت الغرض منه لو انتظر به إلى بلوغ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وتصحّ الوصيّة إلى الصبي منضماً إلى الكامل، فإن شرط عدم تصرّف البالغ إلى بلوغ الصبي لزم اتباع شرطه؛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ولحرمة التصرّف بمال الغير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أطلق الوصيّة لهما جاز للكامل التصرّف بنفسه من دون انضمام أحدٍ إليه من جهة الحاكم إلى أن يبلغ الصبي، فإن بلغ وقد بقي من الوصايا شيء شاركه الصبي، ولا يجوز لأحدهما الانفراد عن الآخر، ولا يجوز للصبي بعد بلوغه أن ينقض شيئاً ممّا فعله الكامل وكان موافقاً للمصلحة أو خالياً عن المفسدة، ولم يشتمل على تغيير أو تبديل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كثيرٍ من هذه الأحكام الخبر في رجلٍ أوصى إلى امرأةٍ وشرك في الوصيّة معها صبياً؟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وتمضي الامرأة الوصيّة ولا تنتظر بلوغ الصبي، فإذا بلغ الصبي فليس له أن لا يرضى إلّا ما كان من تبديل أو تغيير فإنّ له أن يرده إلى ما أوصى به الميّت</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إلى ولده وفيهم كبار قد أدركوا وفيهم صغار، أيجوز للكبار أن ينفّذوا وصيته ويقضوا دينه لمن صحّ على الميّت بشهود عدول قبل أن يدرك الأوصياء الصغار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على الأكابر من الولد أن يقضوا دين أبيهم ولا يحبسوه بذلك</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وأفتى بمضمونهما مشهور الأصحاب، بل نُقل عليه الاتّفاق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جواز تصرّف الكامل قبل بلوغ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تلك الحال حيث لم يشترط عدم تصرّفه قبل بلوغ الثاني أنّ الكامل وصي منفرد، كما قالوا فيمن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وصيّي فإذا حضر فلان فهو وصيّي أيضاً، أو شاركك في الوصاية، ومن ثمّ لم يكن للحاكم أن يدخل معه في الوصيّة، ولا أن ينضم إليه آخر ليكون نائباً عن الصغير، </w:t>
      </w:r>
      <w:bookmarkStart w:id="789" w:name="pg19218_274270"/>
    </w:p>
    <w:p>
      <w:pPr>
        <w:pStyle w:val="BookText"/>
        <w:rPr/>
      </w:pPr>
      <w:bookmarkEnd w:id="789"/>
      <w:r>
        <w:rPr>
          <w:rFonts w:ascii="Amiri" w:hAnsi="Amiri" w:eastAsia="Amiri" w:cs="Amiri"/>
          <w:color w:val="111111"/>
          <w:sz w:val="28"/>
          <w:sz w:val="28"/>
          <w:szCs w:val="28"/>
          <w:rtl w:val="true"/>
          <w:lang w:bidi="ar-SA"/>
        </w:rPr>
        <w:t>فإذا بلغ الصغير لم يكن للكبير الانفراد؛ لصيرورته وصيّاً غير مستقل، فلا يجوز له التصرّف منفرداً جرياً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الصبي أو بلغ فاسد العقل، فهل للكامل الانفراد بالتصرف، للاستصحاب، أم لا بدّ من مداخلة الحاكم؛ لأنّ الوصي إنّما فوّض إليه الاستقلال إلى حين بلوغ الصبي، فكأنه سوغ له الانفراد إلى مدّة معلومة فلا يصحّ له التصرّف بعدها ؟ وجهان، ونُسب الأوّل للأكثر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الفرق بين الموت فلا يلزم مداخلة الحاكم، وبين بلوغه فاسد العقل فيلزم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امتناع تصرّفه بموته فهل يتصرف قدر زمان صباه إلى أن يفرض بلوغه لو كان حيّاً، فيمتنع عليه حينئذٍ تصرّفه منفرداً، أو يمتنع من أول وهلة؛ لأنّه مع حياته له أمد ينتظر فلعله بعد بلوغه يسدّد ما أخل البالغ، أو يدرك بعض ما تأخر من التصرفات دون ما إذا مات؛ لصدق أنّ الوصي البالغ غير منفرد بالوصاية في الجملة، فلا يجوز له الاستقلال بالتصرف؟</w:t>
      </w:r>
    </w:p>
    <w:p>
      <w:pPr>
        <w:pStyle w:val="BookText"/>
        <w:rPr/>
      </w:pPr>
      <w:r>
        <w:rPr>
          <w:rFonts w:ascii="Amiri" w:hAnsi="Amiri" w:eastAsia="Amiri" w:cs="Amiri"/>
          <w:color w:val="111111"/>
          <w:sz w:val="28"/>
          <w:sz w:val="28"/>
          <w:szCs w:val="28"/>
          <w:rtl w:val="true"/>
          <w:lang w:bidi="ar-SA"/>
        </w:rPr>
        <w:t>ولو بلغ الصبي فمات بعد بلوغه أو جُنّ أو امتنع، ضم الحاكم إلى البالغ مَنْ ينوب منابه قطعاً</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3425329_1280447820"/>
      <w:bookmarkStart w:id="791" w:name="_Toc283"/>
      <w:bookmarkEnd w:id="790"/>
      <w:r>
        <w:rPr>
          <w:rtl w:val="true"/>
        </w:rPr>
        <w:t>رابعها</w:t>
      </w:r>
      <w:r>
        <w:rPr>
          <w:rtl w:val="true"/>
        </w:rPr>
        <w:t xml:space="preserve">: </w:t>
      </w:r>
      <w:r>
        <w:rPr>
          <w:rtl w:val="true"/>
        </w:rPr>
        <w:t>عدم صحّة وصاية الكافر من المسلم على مسلم وكذا وصاية الكافر من الكافر على مسلم</w:t>
      </w:r>
      <w:bookmarkEnd w:id="791"/>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وصاية الكافر من المسلم على مسلم من طفل أو مجنون؛ لأنّه لا سلطان له على مسلم ولا ولاية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وصايته على أداء الديون وقضاء الحقوق العامّة؛ لأنّه ليس من أهل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تصحّ وصايته على ما لا يتعلّق بما تقدّم من هبات أو عطايا أو غيرهما؟ وجهان، ولا يبعد صحّة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وصاية الكافر من الكافر على مسلم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وصيّة الكافر من الكافر على الكافر وعلى ما يتعلّق بأموره المشروعة في دينهم، ويجب علينا تنفيذ وصيته إجراء لهم على مذهبهم، وإلزاماً لهم بدينهم، سواء اشترطنا العدالة في الوصي أم لا إذا لم تكن شرطاً عندهم، وسواء كان الوصي عدلاً بدينهم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على اشتراط العدالة بطلان وصاية الكافر مطلقاً؛ لأنّه لا شيء أعظم فسقاً من الكفر، وحينئذٍ فإذا ترافعوا إلينا رددناهم إلى مذهبنا، وأبطلنا وصيّتهم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باشتراطها بعدالة الكافر في دينه؛ لحصول المقصود من </w:t>
      </w:r>
      <w:bookmarkStart w:id="792" w:name="pg19218_274271"/>
    </w:p>
    <w:p>
      <w:pPr>
        <w:pStyle w:val="BookText"/>
        <w:rPr/>
      </w:pPr>
      <w:bookmarkEnd w:id="792"/>
      <w:r>
        <w:rPr>
          <w:rFonts w:ascii="Amiri" w:hAnsi="Amiri" w:eastAsia="Amiri" w:cs="Amiri"/>
          <w:color w:val="111111"/>
          <w:sz w:val="28"/>
          <w:sz w:val="28"/>
          <w:szCs w:val="28"/>
          <w:rtl w:val="true"/>
          <w:lang w:bidi="ar-SA"/>
        </w:rPr>
        <w:t>اشتراطها من حفظ المال ووضعه في مواضعه، وصيانة الأطفال وما لهم، فتصح وصيّة الكافر لكافر عدل في دينه دون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الكلام في وصيّة المخالف للمخالف، وكذا غيره من فرق الشيعة غير الاثني عشرية ما يجري في الكافر على القول باشتراط العدالة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وصيّة المختلفين في الاجتهاد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الوصيّة إلى الامرأة من رجل أو امرأة اتفاقاً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من المنع </w:t>
      </w:r>
      <w:r>
        <w:rPr>
          <w:rStyle w:val="FootnoteAnchor"/>
          <w:rtl w:val="true"/>
        </w:rPr>
        <w:footnoteReference w:id="1175"/>
      </w:r>
      <w:r>
        <w:rPr>
          <w:rFonts w:ascii="Amiri" w:hAnsi="Amiri" w:eastAsia="Amiri" w:cs="Amiri"/>
          <w:color w:val="111111"/>
          <w:sz w:val="28"/>
          <w:sz w:val="28"/>
          <w:szCs w:val="28"/>
          <w:rtl w:val="true"/>
          <w:lang w:bidi="ar-SA"/>
        </w:rPr>
        <w:t>معلّلاً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متروك أو محمول على التقية</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3425331_1280447820"/>
      <w:bookmarkStart w:id="794" w:name="_Toc284"/>
      <w:bookmarkEnd w:id="793"/>
      <w:r>
        <w:rPr>
          <w:rtl w:val="true"/>
        </w:rPr>
        <w:t>خامسها</w:t>
      </w:r>
      <w:r>
        <w:rPr>
          <w:rtl w:val="true"/>
        </w:rPr>
        <w:t xml:space="preserve">: </w:t>
      </w:r>
      <w:r>
        <w:rPr>
          <w:rtl w:val="true"/>
        </w:rPr>
        <w:t>صحّة الوصاية لما فوق الواحد دفعة ومترتباً</w:t>
      </w:r>
      <w:bookmarkEnd w:id="794"/>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الوصاية لما فوق الواحد دفعةً ومترتباً، سواء كان الترتيب في الأزمنة أو في الأحوال أو في الأمكنة، وسواء كان متعلّق الوصيّة واحداً كما يكونان وصيين على شيءٍ واحد، أو متعدداً كما يكون كلّ منهما وصيّاً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لمتعدّد، فإن أطلق أو شرط الاجتماع لزمهما الاجتماع، ولا يجوز لهما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يصدر تصرّف من أحدهما من دون نظر الآخر واطلاعه ورأيه وإن اختص بالمباشرة، وإن شرط الانفراد لزمهما الانفراد، وإن شرط الاجتماع لأحدهما دون الآخر لزم المشروط عليه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الاجتماع لأحدهما والانفراد للآخر لغا الشرط إذا لم يمكن أن يفعل كلّ منهما ما 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 الاجتماع مع الإطلاق يقضي به الاحتياط، وعليه فتوى المشهور، بل ربما 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وأوصى إلى رجلين أيجوز لأحدهما أن ينفرد بنصف التركة والآخر بالنصف؟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لهما أن يخالفا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أمرهما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الصريح في النهي عن الانفراد فيما لو أوصى إلى رجلين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bookmarkStart w:id="795" w:name="pg19218_274272"/>
    </w:p>
    <w:p>
      <w:pPr>
        <w:pStyle w:val="BookText"/>
        <w:rPr/>
      </w:pPr>
      <w:bookmarkEnd w:id="795"/>
      <w:r>
        <w:rPr>
          <w:rFonts w:ascii="Amiri" w:hAnsi="Amiri" w:eastAsia="Amiri" w:cs="Amiri"/>
          <w:color w:val="111111"/>
          <w:sz w:val="28"/>
          <w:sz w:val="28"/>
          <w:szCs w:val="28"/>
          <w:rtl w:val="true"/>
          <w:lang w:bidi="ar-SA"/>
        </w:rPr>
        <w:t>وضعف دلالة الأوّل وسند الأخير مجبوران بالشهرة وبالاحتياط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يؤيدان بالعرف على ما قيل </w:t>
      </w:r>
      <w:r>
        <w:rPr>
          <w:rStyle w:val="FootnoteAnchor"/>
          <w:rtl w:val="true"/>
        </w:rPr>
        <w:footnoteReference w:id="1179"/>
      </w:r>
      <w:r>
        <w:rPr>
          <w:rFonts w:ascii="Amiri" w:hAnsi="Amiri" w:eastAsia="Amiri" w:cs="Amiri"/>
          <w:color w:val="111111"/>
          <w:sz w:val="28"/>
          <w:sz w:val="28"/>
          <w:szCs w:val="28"/>
          <w:rtl w:val="true"/>
          <w:lang w:bidi="ar-SA"/>
        </w:rPr>
        <w:t xml:space="preserve">، ولا أقل من التردد بين الأخذ بالاجتماع أو الانفراد، والأوّل متيقن الجواز دون الثاني،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الأوّل مشعر بإرادة التحريم منه؛ لتعلقه بمخالفة الميت، المنهي عنها وعن تبديل الوصيّة </w:t>
      </w:r>
      <w:r>
        <w:rPr>
          <w:rStyle w:val="FootnoteAnchor"/>
          <w:rtl w:val="true"/>
        </w:rPr>
        <w:footnoteReference w:id="1180"/>
      </w:r>
      <w:r>
        <w:rPr>
          <w:rFonts w:ascii="Amiri" w:hAnsi="Amiri" w:eastAsia="Amiri" w:cs="Amiri"/>
          <w:color w:val="111111"/>
          <w:sz w:val="28"/>
          <w:sz w:val="28"/>
          <w:szCs w:val="28"/>
          <w:rtl w:val="true"/>
          <w:lang w:bidi="ar-SA"/>
        </w:rPr>
        <w:t>، فيُفهم أن في الانفراد مخالفة لما أوصى به الميت، فيكون الاجتماع إمّا مفهوماً عرفاً أو من حال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بجواز الانفراد مع الإطلاق </w:t>
      </w:r>
      <w:r>
        <w:rPr>
          <w:rStyle w:val="FootnoteAnchor"/>
          <w:rtl w:val="true"/>
        </w:rPr>
        <w:footnoteReference w:id="1181"/>
      </w:r>
      <w:r>
        <w:rPr>
          <w:rFonts w:ascii="Amiri" w:hAnsi="Amiri" w:eastAsia="Amiri" w:cs="Amiri"/>
          <w:color w:val="111111"/>
          <w:sz w:val="28"/>
          <w:sz w:val="28"/>
          <w:szCs w:val="28"/>
          <w:rtl w:val="true"/>
          <w:lang w:bidi="ar-SA"/>
        </w:rPr>
        <w:t>للأصل، 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وأوصى إلى رجلين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نصف ما ترك وأعطني النصف، فأبى عليه الآخر، فسألوا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قصوره سنداً وعدداً واعتباراً عن مكافأة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مجملاً؛ لتساوي احتمال رجوع الإشارة إلى القسمة والضمير المجرور إلى الطالب، واحتمال رجوع الإشارة إلى الإباء والضمير إلى المطلوب، بل لعلّ الأخير أولى؛ لقرب مرجع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وترجيح الأوّل باقتران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المشعرة بالبعد معارض بأنّه في نسخة أُخرى عار عن اللام وهي نسخة الكافي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وهي راجحة على نسخة التهذيب </w:t>
      </w:r>
      <w:r>
        <w:rPr>
          <w:rStyle w:val="FootnoteAnchor"/>
          <w:rtl w:val="true"/>
        </w:rPr>
        <w:footnoteReference w:id="1185"/>
      </w:r>
      <w:r>
        <w:rPr>
          <w:rFonts w:ascii="Amiri" w:hAnsi="Amiri" w:eastAsia="Amiri" w:cs="Amiri"/>
          <w:color w:val="111111"/>
          <w:sz w:val="28"/>
          <w:sz w:val="28"/>
          <w:szCs w:val="28"/>
          <w:rtl w:val="true"/>
          <w:lang w:bidi="ar-SA"/>
        </w:rPr>
        <w:t>لأنّها الأصل لها، سيّما مع تعدد الأولى ووحدة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لاثنين واحداً بعد واحد لم يكن الثاني ناسخاً بل كان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لاثنين فرد واحد دون الآخر، استقلّ مَنْ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الاستقلال مع شرط الاجتماع إذا ردّ أحدهما وجه،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3425333_1280447820"/>
      <w:bookmarkStart w:id="797" w:name="_Toc285"/>
      <w:bookmarkEnd w:id="796"/>
      <w:r>
        <w:rPr>
          <w:rtl w:val="true"/>
        </w:rPr>
        <w:t>سادسها</w:t>
      </w:r>
      <w:r>
        <w:rPr>
          <w:rtl w:val="true"/>
        </w:rPr>
        <w:t xml:space="preserve">: </w:t>
      </w:r>
      <w:r>
        <w:rPr>
          <w:rtl w:val="true"/>
        </w:rPr>
        <w:t>حكم ما إذا تشاح الوصيّان في صورة وجوب الاجتماع عليهما</w:t>
      </w:r>
      <w:bookmarkEnd w:id="79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تشاح الوصيّان في صورة وجوب الاجتماع عليهما، رجعا إلى الحاكم، </w:t>
      </w:r>
      <w:bookmarkStart w:id="798" w:name="pg19218_274273"/>
    </w:p>
    <w:p>
      <w:pPr>
        <w:pStyle w:val="BookText"/>
        <w:rPr/>
      </w:pPr>
      <w:bookmarkEnd w:id="798"/>
      <w:r>
        <w:rPr>
          <w:rFonts w:ascii="Amiri" w:hAnsi="Amiri" w:eastAsia="Amiri" w:cs="Amiri"/>
          <w:color w:val="111111"/>
          <w:sz w:val="28"/>
          <w:sz w:val="28"/>
          <w:szCs w:val="28"/>
          <w:rtl w:val="true"/>
          <w:lang w:bidi="ar-SA"/>
        </w:rPr>
        <w:t>فإن وافق أحدهما ما أوصى به الموصي وخالفه الآخر جبر المخالف الحاكم، ورده للموافق، فإن أصرّ على المخالفة عزله الحاكم لفسقه، وأقام غيره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خالفا معاً، جبرهما الحاكم على الموافق، فإن أصرًا عز لهما الحاكم، وأقام مقامهما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تشاحًا على أمرٍ ولم يكن في أحدهما مخالفة ما أوصى به الموصي، فإن كان الاختلاف بالاجتهاد في المصالح والمفاسد أو بالتقليد لمجتهدين مختلفين، جاز للحاكم أن يرد كلاً منهما إلى الآخر، ويلزم أحدهما متابعة الآخر؛ لعدم خروجهما عن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إرجاع الحاكم لهما إلى القرعة فيرد الممتنع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جواز أن ينصب الحاكم غيرهما عنهما موافقاً لنظره لئلا يلزم تعطيل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الاختلاف لمجرد التشهي فإن أصرًا بحيث أدى إلى تعطيل المال أو إلى فسقهما، عزلهما الحاكم وأقام غيرهما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للمصالح ونحوها ردّ أحدهما للآخر وجبرهما على الاتفاق، والخيار له في الردّ مع احتمال لزوم ردّ غير الأعلم والأعرف إلى الأعرف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يفت وقت الحاجة بالرجوع إلى الحاكم واتفاقهما، إمّا لو فات وقت الحاجة بالتأخير جاز لأحدهما الانفراد ولا إثم عليه، ولا ضمان على المنفرد فيما انفرد فيه، كمؤونة اليتيم، ونفقة الرقيق والدواب، وإصلاح العقار، وشراء كفن الميت، وقضاء ديونه الحالة التي لا يمكن إمهال صاحبها، وقبول الهبة عن الصغير عند خوف فوتها، والخصومة عن الميّت وله عند خوف فوتها، وردّ الوديعة والمال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الانفراد من دون رجوع إلى الحاكم مطلقاً؛ لأنّ ما يفوت وقت الحاجة إليه ممّا تشهد القرائن بالإذن الفحوائية بفعله منفرداً، أو له ذلك في صورة الإطلاق دون اشتراط أو ليس له ذلك؟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وأحوطها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لاثنين وأجاز لهما الانفراد كان لكلّ واحدٍ منهما الانفراد بالكلّ وبالبعض، ولهما القسمة، فيستقلّ كلّ واحدٍ منهما بما صار إليه</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3425335_1280447820"/>
      <w:bookmarkStart w:id="800" w:name="_Toc286"/>
      <w:bookmarkEnd w:id="799"/>
      <w:r>
        <w:rPr>
          <w:rtl w:val="true"/>
        </w:rPr>
        <w:t>سابعها</w:t>
      </w:r>
      <w:r>
        <w:rPr>
          <w:rtl w:val="true"/>
        </w:rPr>
        <w:t xml:space="preserve">: </w:t>
      </w:r>
      <w:r>
        <w:rPr>
          <w:rtl w:val="true"/>
        </w:rPr>
        <w:t>حكم ما إذا عجز أحد الوصيين المفروض اجتماعهما</w:t>
      </w:r>
      <w:bookmarkEnd w:id="800"/>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أحد الوصيين المفروض اجتماعهما، ضمّ الحاكم إلى العاجز مَنْ يعينه ويقويه، بحيث يكون معه شخصاً واحداً، هذا إذا طراً العجز</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إلى العاجز ابتداءً وكان عالماً بعجزه لم يحتج إلى ضمّ واحد إليه، ولو كان جاهلاً فلزوم الضمّ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 الحاكم إنما يكون للقادر لا للعاجز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الثمرة أنّه على الأوّل لا يكفي الاثنان في النظر بل لا بدّ من نظر الوصيين وأمين الحاكم، وعلى الثاني يكفي نظر القادر وأمين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بالكليّة لجنون أو فسق، ضم الحاكم إلى القادر نائباً عنه؛ لعدم رضى الموصي برأي القادر منفرداً، فيقيم مَنْ يقوم مقام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بجواز انفراد الآخر؛ لأنّه وصيّ ولا ولاية للحاكم مع وجود الوصي </w:t>
      </w:r>
      <w:r>
        <w:rPr>
          <w:rStyle w:val="FootnoteAnchor"/>
          <w:rtl w:val="true"/>
        </w:rPr>
        <w:footnoteReference w:id="1187"/>
      </w:r>
      <w:r>
        <w:rPr>
          <w:rFonts w:ascii="IRNazanin" w:hAnsi="IRNazanin" w:eastAsia="IRNazanin"/>
          <w:color w:val="111111"/>
          <w:sz w:val="28"/>
          <w:sz w:val="28"/>
          <w:szCs w:val="28"/>
          <w:rtl w:val="true"/>
          <w:lang w:bidi="fa-IR"/>
        </w:rPr>
        <w:t xml:space="preserve">، ونُسب للمشهور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وصيّ مجتمعاً لا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إلى عاجز ابتداء غير عالم بعجزه، ضمّ إليه الحاكم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إلى عاجز بالكلية أقام الحاكم مقامه آخر عالماً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بمنزلة مَنْ لا وصي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إلى عاجزين بالكلّيّة، أقام الحاكم مقامهما ولو واحداً، ولا يجب التعدّد لانعز الهما، ولا يجب على الحاكم سوى نصب وصيّ لتنفيذ ما أوصى به الموصي، ولا يجب عليه اتباع ما أوصى به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للحاكم عند عجز أحد الوصيين أن ينصب الآخر مقامه، فيكون وصيّاً بالأصالة والنيابة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اختلاف النظر باختلاف الجهة ومن أنّ الاختلاف اعتباري، والنظر واحد، ولم يرض الموصي بالنظر الواحد ابتداء، فلا يجدي تعدد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الموصي انفراد كلّ من الوصيين عن الآخر، لم تجز مخالفته إذا كان الشرط من قبيل العزيمة، ولو كان من قبيل الرخصة جاز، ويُعرف ذلك من المقامات الخطابية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يضمن الوصي مع المخالفة لما فهم أنّه عزيمة ؟ الظاهر ذلك؛ لمكان التعدي، لجواز تأثير الانفراد غير تأثير الاجتماع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للحاكم أن ينصب وصيّاً عن أحد المنفردين؛ لأنّه لا ولاية للحاكم مع وجود الوصي</w:t>
      </w:r>
      <w:r>
        <w:rPr>
          <w:rFonts w:eastAsia="Amiri" w:cs="Amiri" w:ascii="Amiri" w:hAnsi="Amiri"/>
          <w:color w:val="111111"/>
          <w:sz w:val="28"/>
          <w:szCs w:val="28"/>
          <w:rtl w:val="true"/>
          <w:lang w:bidi="ar-SA"/>
        </w:rPr>
        <w:t xml:space="preserve">. </w:t>
      </w:r>
      <w:bookmarkStart w:id="801" w:name="pg19218_274275"/>
    </w:p>
    <w:p>
      <w:pPr>
        <w:pStyle w:val="BookText"/>
        <w:rPr/>
      </w:pPr>
      <w:bookmarkEnd w:id="801"/>
      <w:r>
        <w:rPr>
          <w:rFonts w:ascii="Amiri" w:hAnsi="Amiri" w:eastAsia="Amiri" w:cs="Amiri"/>
          <w:color w:val="111111"/>
          <w:sz w:val="28"/>
          <w:sz w:val="28"/>
          <w:szCs w:val="28"/>
          <w:rtl w:val="true"/>
          <w:lang w:bidi="ar-SA"/>
        </w:rPr>
        <w:t>وكذا لو شرط على أحد الوصيين الاجتماع دون الآخر، كان للحاكم أن ينصب عن المنفرد لو انعزل دون مَنْ شرط عليه الاجتماع فلا ينصب عنه</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3425337_1280447820"/>
      <w:bookmarkStart w:id="803" w:name="_Toc287"/>
      <w:bookmarkEnd w:id="802"/>
      <w:r>
        <w:rPr>
          <w:rtl w:val="true"/>
        </w:rPr>
        <w:t xml:space="preserve">ثامنها </w:t>
      </w:r>
      <w:r>
        <w:rPr>
          <w:rtl w:val="true"/>
        </w:rPr>
        <w:t xml:space="preserve">: </w:t>
      </w:r>
      <w:r>
        <w:rPr>
          <w:rtl w:val="true"/>
        </w:rPr>
        <w:t>في أن للموصى إليه ردّ الوصيّة مادام الموصي حيّاً ويمكنه نصب وصي آخر</w:t>
      </w:r>
      <w:bookmarkEnd w:id="803"/>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للموصى إليه ردّ الوصيّة وعدم قبولها ما دام الموصي حياً ويمكنه نصب وصيّ آخر بعد أن بلغه الخبر، وعلى ذلك الفتوى والنصوص </w:t>
      </w:r>
      <w:r>
        <w:rPr>
          <w:rStyle w:val="FootnoteAnchor"/>
          <w:rtl w:val="true"/>
        </w:rPr>
        <w:footnoteReference w:id="1189"/>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أيضاً من غير خلاف للموصي تغيير الأوصياء وعزلهم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يتفاوت في الأوّل بين كون الموصي له أباً أو غيره، وبين كون الوصاية منحصرةً فيه أم لا؛ للأصل، والأخبار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الموصي أباً، لم يجز لولده ردّ الوصيّة عليه فإن ردّها أثم؛ لأنّه عقوق للوالدين </w:t>
      </w:r>
      <w:r>
        <w:rPr>
          <w:rStyle w:val="FootnoteAnchor"/>
          <w:rtl w:val="true"/>
        </w:rPr>
        <w:footnoteReference w:id="1192"/>
      </w:r>
      <w:r>
        <w:rPr>
          <w:rFonts w:ascii="Amiri" w:hAnsi="Amiri" w:eastAsia="Amiri" w:cs="Amiri"/>
          <w:color w:val="111111"/>
          <w:sz w:val="28"/>
          <w:sz w:val="28"/>
          <w:szCs w:val="28"/>
          <w:rtl w:val="true"/>
          <w:lang w:bidi="ar-SA"/>
        </w:rPr>
        <w:t>، 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أوصى إليه أبوه أله أن يمتنع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يمتنع</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هذا القول والرواية أنّ الوصيّة تكون لازمة ليس له ردّها لا مجرد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لمنع كون الردّ عقوقاً؛ لأنّ العقوق إدخال الإيذاء عليه بفعل يؤدي إليه، لا مجرّد مخالفة هواه وعدم إطاعة أمره، ولئن سُلّم أنّه عقوق فلا نسلّم لزوم الوصاية وإن أثم بترك العمل بها وعدم قبولها، ولضعف الخبر بسهل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الوصي محصوراً لم يجز الامتناع؛ لوجوبه كفاية فلا يجوز ردّها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يوصى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 إليه من بلد فليس له ردّها، وإن كان في مصر يوجد فيه غيره فذلك إليه</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يوصي إلى رجلٍ بوصيّة فأبى أن يقبلها،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يخذله على هذه الحال</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ضعف؛ لمنع وجوب القبول كفاية؛ لقيام الحاكم بعد موت الموصي مقام الموصى له، ولضعف الخبرين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يبلغ الموصي خبر الردّ إلى أن مات لزمت الوصيّة، وليس للوصي بعد ذلك ردّها، سواء قبلها فردّها أو ردّها قبل القبول؛ للشهرة المحصلة، والإجماعات المنقولة في كلا القسمين </w:t>
      </w:r>
      <w:r>
        <w:rPr>
          <w:rStyle w:val="FootnoteAnchor"/>
          <w:rtl w:val="true"/>
        </w:rPr>
        <w:footnoteReference w:id="1197"/>
      </w:r>
      <w:r>
        <w:rPr>
          <w:rFonts w:ascii="IRNazanin" w:hAnsi="IRNazanin" w:eastAsia="IRNazanin"/>
          <w:color w:val="111111"/>
          <w:sz w:val="28"/>
          <w:sz w:val="28"/>
          <w:szCs w:val="28"/>
          <w:rtl w:val="true"/>
          <w:lang w:bidi="fa-IR"/>
        </w:rPr>
        <w:t>، وللأخبار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أوصى رجل إلى رجل وهو غائب فليس له أن يردّ وصيته، وإن أوصى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 فهو بالخيار إن شاء قبل وإن شاء لم يقبل</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الرجل إلى أخيه وهو غائب فليس له أن يردّ عليه وصيّته؛ لأنّه لو كان شاهداً فأبى أن يقبلها طلب غيره</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يوصى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 بها من بلد إليه فليس له أن يردّها</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يوصى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 بها إليه من بلد فليس له ردّها، وإن كان في مصر يوجد فيه غيره فذلك إليه</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الأخبار بقرينة ضمّ بعضها إلى بعض أنّ المدار على بلوغ الخبر للموصي و عدمه، وليس للحضور والغيبة مدخليّة في ذلك، وعلى ذلك فهم المشهور وفتواهم، وحينئذٍ فالوصي ليس له الردّ بعد موت الموصي، سواء بلغه خبر الوصاية في حال حياة الموصي أو بعد وفاته، وسواء قبلها في حال الحياة أو لم يقبلها، أو سكت عن القبول وعدمه، وله الردّ في حياة الموصي سواء قبلها أم لا؛ لأنّها عقد جائز فلا يؤثر القبول بها لزوماً، ولكن بشرط بلوغ خبر الردّ للموصي مع إمكان نصب وصي آخر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لشخص فردّ الوصيّة عليه فبلغه الخبر ثمّ أوصاه كذلك فردّها فبلغه الخبر وهكذا، ثمّ أوصاه أخيراً فلم يبلغ الوصي خبر الوصيّة حتّى مات الموصي،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طال الفصل بين الوصايا لزمت الوصيّة، وإلا فهي وصيّة واحدة مردودة فلا تلزم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قبول الموصى له للوصاية في حال الحياة فلا يجوز له الردّ بعد الموت، وبين عدم قبوله لها فيجوز له الردّ بعد الموت، لا سيما لو لم يعلم بها إلّا بعد الموت؛ استناداً إلى الأصل، وإلى لزوم الحرج والضرر بتحمل مشقةٍ من دون سبب اختياري أو استحقاق، وقال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إضرار</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وحمل الروايات المتقدّمة على حصول القبول أو على الندب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بعض فضلاء المتأخرين، وطعن في دلالة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اشتمالها على دوران الحكم مدار الغيبة والحضور لا مدار بلوغ الخبر وعدمه، وما في بعضها من التعليل المومى إلى الحكم لا يصلح لإثبات مثل هذا الحكم المخالف للقواعد الشرعيّة، بإثبات حقّ الوصاية على الوصي من دون سبب شرعي بل على وجه القهر، حتّى أن الموصي له أن يوصي سراً فيكتم الشهود الوصاية إلى ما بعد موته فيلتزم بها الوصي فيدخل عليه الضرر والحرج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للإجماع منقولاً </w:t>
      </w:r>
      <w:r>
        <w:rPr>
          <w:rStyle w:val="FootnoteAnchor"/>
          <w:rtl w:val="true"/>
        </w:rPr>
        <w:footnoteReference w:id="1206"/>
      </w:r>
      <w:r>
        <w:rPr>
          <w:rFonts w:ascii="Amiri" w:hAnsi="Amiri" w:eastAsia="Amiri" w:cs="Amiri"/>
          <w:color w:val="111111"/>
          <w:sz w:val="28"/>
          <w:sz w:val="28"/>
          <w:szCs w:val="28"/>
          <w:rtl w:val="true"/>
          <w:lang w:bidi="ar-SA"/>
        </w:rPr>
        <w:t xml:space="preserve">بل محصلاً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 والأخبار بعد ضمّ بعضها إلى بعض والتأمل في المراد منها تشهد بما عليه المشهور قطعاً، وحملها على الندب أو على حصول القبول ضعيف؛ لعدم شاهد عليه سوى الجمع، والجمع فرع المكافأة،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دعوى الحرج والضرر ممنوعة؛ لأنّه إن أريد بهما المشقة في الجملة، فهو شامل من التكاليف الشرعيّة، كوجوب النفقة والتربية والولاية على الأيتام عند عدم الوصيّ وغيرها، وإن أريد بهما ما لا يتحمّل، فهو ممنوع في المقام، ولو فرضنا حصولها لبعض الأوصياء كتقيّة أو خوفٍ على مالٍ أو عرض أو نفس أو طرفٍ، فإنّا نلتزم عدم لزوم قبول الوصيّة بل حرمة قبولها؛ لمكان الضرر والضرار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بعدم بلوغ الموصي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 له ولكن حال بينه وبين نصب وصي آخر حائل </w:t>
      </w:r>
      <w:bookmarkStart w:id="804" w:name="pg19218_274278"/>
    </w:p>
    <w:p>
      <w:pPr>
        <w:pStyle w:val="BookText"/>
        <w:rPr/>
      </w:pPr>
      <w:bookmarkEnd w:id="804"/>
      <w:r>
        <w:rPr>
          <w:rFonts w:ascii="Amiri" w:hAnsi="Amiri" w:eastAsia="Amiri" w:cs="Amiri"/>
          <w:color w:val="111111"/>
          <w:sz w:val="28"/>
          <w:sz w:val="28"/>
          <w:szCs w:val="28"/>
          <w:rtl w:val="true"/>
          <w:lang w:bidi="ar-SA"/>
        </w:rPr>
        <w:t>من غشيان، أو انعقاد لسان، أو عدم وجود وصي آخر، أو وجوده وعدم قبوله لوصيته، على إشكال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فالمدار على إمكان نصب وصيّ آخر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جملة من الفقهاء وإن خلا عن التقييد بذلك، إلّا في خبر هشام بن سالم، 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يخذله على هذه الحال</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 حيث إن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وجود غير الوصي للموصي، وفي صحيحة الفضيل بن يسار، وقوله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في مصر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فذاك إليه</w:t>
      </w:r>
      <w:r>
        <w:rPr>
          <w:rFonts w:eastAsia="Amiri" w:cs="Amiri" w:ascii="Amiri" w:hAnsi="Amiri"/>
          <w:color w:val="111111"/>
          <w:sz w:val="28"/>
          <w:szCs w:val="28"/>
          <w:rtl w:val="true"/>
          <w:lang w:bidi="ar-SA"/>
        </w:rPr>
        <w:t xml:space="preserve">» </w:t>
      </w:r>
      <w:r>
        <w:rPr>
          <w:rStyle w:val="FootnoteAnchor"/>
          <w:rtl w:val="true"/>
        </w:rPr>
        <w:footnoteReference w:id="1208"/>
      </w:r>
      <w:r>
        <w:rPr>
          <w:rFonts w:ascii="IRNazanin" w:hAnsi="IRNazanin" w:eastAsia="IRNazanin"/>
          <w:color w:val="111111"/>
          <w:sz w:val="28"/>
          <w:sz w:val="28"/>
          <w:szCs w:val="28"/>
          <w:rtl w:val="true"/>
          <w:lang w:bidi="fa-IR"/>
        </w:rPr>
        <w:t>وفي صحيحة منصور بن حازم، وقوله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لو كان شاهداً فأبى أن يقبلها طلب غیره</w:t>
      </w:r>
      <w:r>
        <w:rPr>
          <w:rFonts w:eastAsia="IRNazanin" w:cs="IRNazanin"/>
          <w:color w:val="111111"/>
          <w:sz w:val="28"/>
          <w:szCs w:val="28"/>
          <w:rtl w:val="true"/>
          <w:lang w:bidi="fa-IR"/>
        </w:rPr>
        <w:t xml:space="preserve">» </w:t>
      </w:r>
      <w:r>
        <w:rPr>
          <w:rStyle w:val="FootnoteAnchor"/>
          <w:rtl w:val="true"/>
        </w:rPr>
        <w:footnoteReference w:id="1209"/>
      </w:r>
      <w:r>
        <w:rPr>
          <w:rFonts w:ascii="Amiri" w:hAnsi="Amiri" w:eastAsia="Amiri" w:cs="Amiri"/>
          <w:color w:val="111111"/>
          <w:sz w:val="28"/>
          <w:sz w:val="28"/>
          <w:szCs w:val="28"/>
          <w:rtl w:val="true"/>
          <w:lang w:bidi="ar-SA"/>
        </w:rPr>
        <w:t>ممّا يدلّ على تعليق جواز الردّ على وجود الغير، فلو لم يوجد الغير لقبول الوصيّة لم يجز له الردّ</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3425339_1280447820"/>
      <w:bookmarkStart w:id="806" w:name="_Toc288"/>
      <w:bookmarkEnd w:id="805"/>
      <w:r>
        <w:rPr>
          <w:rtl w:val="true"/>
        </w:rPr>
        <w:t>تاسعها</w:t>
      </w:r>
      <w:r>
        <w:rPr>
          <w:rtl w:val="true"/>
        </w:rPr>
        <w:t xml:space="preserve">: </w:t>
      </w:r>
      <w:r>
        <w:rPr>
          <w:rtl w:val="true"/>
        </w:rPr>
        <w:t>في أنّ الوصي أمين لا يضمن ما وقع في يده إلّا مع التعدّي أو التفريط</w:t>
      </w:r>
      <w:bookmarkEnd w:id="806"/>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أمين لا يضمن ما وقع في يده إلّا مع التعدّي 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يضمن ما لم يصل إلى يده إذا فرّط في النظر إليه وحفظه بحيث أهمله؟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للأصل، ولعدم ثبوت اليد غايته حصول الإثم، ولا ملازمة بينه وبين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الأخبار من إطلاق ضمانه محمول على ما إذا كان المال في يده وقد فرّط فيه أو تعدّى أو بدل الوصيّة، كما ورد فيمن أوصى إليه أن يعتق نسمة عنه بستمائة درهم، فدفعها في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يغرم الوصيّ من ماله ستمائة درهم، ويجعل الستمائة فيما أوصى به الميّت من نسمته</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فحكم الوصيّ حكم الأمناء، لا يضمن ما لم يدخل تحت يده وإن وجب عليه حفظه، ولا ملازمة بين وجوب الحفظ وبين الضمان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ويضمن ما فرّط فيه أو تعدى عمداً أو خطأ ما لم يكن الخطأ بعد الاجتهاد وبذل النظر، فإنّ الظاهر عدم الضمان والحال ذلك؛ للزوم العسر والحرج، ولعدم انصراف أدلّة الضمان لمثل ذلك</w:t>
      </w:r>
      <w:r>
        <w:rPr>
          <w:rFonts w:eastAsia="Amiri" w:cs="Amiri" w:ascii="Amiri" w:hAnsi="Amiri"/>
          <w:color w:val="111111"/>
          <w:sz w:val="28"/>
          <w:szCs w:val="28"/>
          <w:rtl w:val="true"/>
          <w:lang w:bidi="ar-SA"/>
        </w:rPr>
        <w:t xml:space="preserve">. </w:t>
      </w:r>
      <w:bookmarkStart w:id="807" w:name="pg19218_274279"/>
    </w:p>
    <w:p>
      <w:pPr>
        <w:pStyle w:val="BookText"/>
        <w:rPr/>
      </w:pPr>
      <w:bookmarkEnd w:id="807"/>
      <w:r>
        <w:rPr>
          <w:rFonts w:ascii="Amiri" w:hAnsi="Amiri" w:eastAsia="Amiri" w:cs="Amiri"/>
          <w:color w:val="111111"/>
          <w:sz w:val="28"/>
          <w:sz w:val="28"/>
          <w:szCs w:val="28"/>
          <w:rtl w:val="true"/>
          <w:lang w:bidi="ar-SA"/>
        </w:rPr>
        <w:t>وعلى ذلك فالمدار في المصالح والمفاسد في مصرف الثلث ومال الأيتام على المصالح والمفاسد في نظر الوصي ما لم يقصر فيه، لا على الأمور الواقعية</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13425341_1280447820"/>
      <w:bookmarkStart w:id="809" w:name="_Toc289"/>
      <w:bookmarkEnd w:id="808"/>
      <w:r>
        <w:rPr>
          <w:rtl w:val="true"/>
        </w:rPr>
        <w:t>عاشرها</w:t>
      </w:r>
      <w:r>
        <w:rPr>
          <w:rtl w:val="true"/>
        </w:rPr>
        <w:t xml:space="preserve">: </w:t>
      </w:r>
      <w:r>
        <w:rPr>
          <w:rtl w:val="true"/>
        </w:rPr>
        <w:t>في انه يجوز للوصي استيفاء دينه ممّا في يده من مال الميت</w:t>
      </w:r>
      <w:bookmarkEnd w:id="809"/>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للوصي أن يستوفي دينه ممّا في يده من مال الميت، سواء أمكنه إقامة البيّنة أم لا، وسواء أقامها عند الحاكم أم لا، وسواء أقرّ به الوارث أم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الوارث مُقرّاً وقد عزم على أداء الدين من ماله لم يجز استيفاء الدين من التركة من دون إخباره؛ لأنّه أحق بالتركة من الديّان إذا وفى الدين من ماله ولم يقصر في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مع الوصي الديّان وصي آخر لم يجز للديان الاستقلال بالوفاء دونه، إلّا إذا خاف منعه له عند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إلى عدم جواز استيفاء الوصي من دون البيّنة </w:t>
      </w:r>
      <w:r>
        <w:rPr>
          <w:rStyle w:val="FootnoteAnchor"/>
          <w:rtl w:val="true"/>
        </w:rPr>
        <w:footnoteReference w:id="1211"/>
      </w:r>
      <w:r>
        <w:rPr>
          <w:rFonts w:ascii="Amiri" w:hAnsi="Amiri" w:eastAsia="Amiri" w:cs="Amiri"/>
          <w:color w:val="111111"/>
          <w:sz w:val="28"/>
          <w:sz w:val="28"/>
          <w:szCs w:val="28"/>
          <w:rtl w:val="true"/>
          <w:lang w:bidi="ar-SA"/>
        </w:rPr>
        <w:t>استناداً للأصل، 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إلى رجل فسأله الوصي أن يشرك معه ذا قرابة له ففعل، وذكر الموصي أن له قبل الذي شركه معي خمسين ومائة درهم وعنده رهن بها جام من فضة، فلما هلك الرجل أنشأ الوصيّ يدعي أنّه له قبله أكرار حنطة،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أقام البيّنة، وإلا فلا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له أن يأخذ ممّا في يده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عدا عليه فأخذ ماله فقدر على أن يأخذ من ماله ما أخذ كان ذلك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ليس مثل هذا</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ضعيف؛ لتخصيص الأصل بما دلّ على جواز المقاصة من الممتنع من كتاب،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أو سنّةٍ مستفيضة كالأخبار الدالّة على جواز أخذ مال مَنْ له عليه مال وقد جحده </w:t>
      </w:r>
      <w:r>
        <w:rPr>
          <w:rStyle w:val="FootnoteAnchor"/>
          <w:rtl w:val="true"/>
        </w:rPr>
        <w:footnoteReference w:id="1214"/>
      </w:r>
      <w:r>
        <w:rPr>
          <w:rFonts w:ascii="Amiri" w:hAnsi="Amiri" w:eastAsia="Amiri" w:cs="Amiri"/>
          <w:color w:val="111111"/>
          <w:sz w:val="28"/>
          <w:sz w:val="28"/>
          <w:szCs w:val="28"/>
          <w:rtl w:val="true"/>
          <w:lang w:bidi="ar-SA"/>
        </w:rPr>
        <w:t>إمّا مطلقاً أو مع عدم إمكان إقامة البيّنة على ماله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الوصي قائم مقام الموصي على وفاء دينه، وتوقف الوفاء على البيّنة إنما هو الجواز كذب المدعي، وعلمه بدينه أقوى من البيّنة التي يجوز عليها الخطأ، وأن الوصي محسن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ولضعف الخبر عن مقاومة ما قدمنا من أخبار المقاصة، فلا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الخبر وارد في الوصيّين، وظاهره أنّ السؤال في جواز دفع الوصي الآخر للمدعي ما ادعاه من دون إقامة البيّنة، وهو مسلم لا كلام فيه، وهو المراد بالفرق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ليس مثل ذلك</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له أن يأخذ ممّا في يده شيئاً؟ ليس المراد به السؤال عن التحليل في الواقع، بل المراد به الظاهري الذي يجوز إقرار الوصي الآخر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الفرق هو عدم إمكان المقاصة ها هنا من دون البيّنة، اتحد الوصي أم تعدّد؛ لحرمة التصرّف في مال الغير من دون إذنه أو إذن الحاكم، وأدلة المقاصة ظاهرة في صورة حياة الموصي خاصّة؛ لتقصيره في عدم الوفاء وعدم تقصير الورثة فيه، فيقتصر ها هنا على ما قامت عليه البيّنة </w:t>
      </w:r>
      <w:r>
        <w:rPr>
          <w:rStyle w:val="FootnoteAnchor"/>
          <w:rtl w:val="true"/>
        </w:rPr>
        <w:footnoteReference w:id="1217"/>
      </w:r>
      <w:r>
        <w:rPr>
          <w:rFonts w:ascii="Amiri" w:hAnsi="Amiri" w:eastAsia="Amiri" w:cs="Amiri"/>
          <w:color w:val="111111"/>
          <w:sz w:val="28"/>
          <w:sz w:val="28"/>
          <w:szCs w:val="28"/>
          <w:rtl w:val="true"/>
          <w:lang w:bidi="ar-SA"/>
        </w:rPr>
        <w:t>، ضعيف؛ لعموم أدلّة المقاصة، ولأنّ المال قبل وفاء الدين على حكم مال الميت، ولأن الوصيّ إذا كان وصيّاً على وفاء الدين كان استيفاؤه على جهة الوصاية لا على جهة المقاصة؛ لجواز وفاء الوصي دين الموصي المتحقق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كان منفرداً، ولو كان معه وصي آخر جاز كذلك، ويكون ممّا تدعو الضرورة بانفراد أحد الوصيين به من دون الآخر، أو يكون الأخذ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ونحوه من العمومات لا من باب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بعض المحقّقين </w:t>
      </w:r>
      <w:r>
        <w:rPr>
          <w:rStyle w:val="FootnoteAnchor"/>
          <w:rtl w:val="true"/>
        </w:rPr>
        <w:footnoteReference w:id="1219"/>
      </w:r>
      <w:r>
        <w:rPr>
          <w:rFonts w:ascii="Amiri" w:hAnsi="Amiri" w:eastAsia="Amiri" w:cs="Amiri"/>
          <w:color w:val="111111"/>
          <w:sz w:val="28"/>
          <w:sz w:val="28"/>
          <w:szCs w:val="28"/>
          <w:rtl w:val="true"/>
          <w:lang w:bidi="ar-SA"/>
        </w:rPr>
        <w:t>في الدين بين ما يمكن إثبات البيّنة عليه فلا يجوز للوصي الاستقلال به من دونها، وبين ما لا يمكن فيجوز؛ استناداً في الأوّل إلى حرمة التصرّف بمال الغير من غير إذنه أو إذن الحاكم؛ وفي الثاني إلى لزوم العسر والحرج والضرر والضرار لولا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إن قلنا بذلك في باب المقاصة، وإلا فالحكم به ضعيف</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علم الوصي بثبوت دَيْنٍ لآخر على الميّت إلى حين الوفاة لزمه وفاؤه إن كان متحداً، وإن كان متعدّداً فكذلك إن خاف امتناع الوصيّ الثاني عن وفائه، لعدم العلم به؛ لأنّه إحسان </w:t>
      </w:r>
      <w:bookmarkStart w:id="810" w:name="pg19218_274281"/>
    </w:p>
    <w:p>
      <w:pPr>
        <w:pStyle w:val="BookText"/>
        <w:rPr/>
      </w:pPr>
      <w:bookmarkEnd w:id="81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ولأنّه من الضرورة المبيحة لاستقلال أحد الوصيين عن الآخر، وإن لم يخف ذلك لزمه الرجوع إلى الوصي الثاني والاتفاق معه على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بدين عليه قبل موته واحتمل وفاءه أو فراغه منه بإبراء ونحوه، جاز وفاؤه بعد أن يحلف الديان على بقائه إن كان من أهل الاجتهاد، وإن لم يكن رجع به الحاكم ودعاه إلى قيام البيّنة واليمين معها، أو الواحد واليمينين ولو كان أحدهما أو الواحد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الاكتفاء بيمين الديان فقط مع ضميمة علم الموصي إشكال؛ للشكّ في جواز تحليف الحاكم للدّيّان، وإمضاء حكم اليمين عليه بمجرد قول الوصي، وكذا في جواز دفع الوصي المال باليمين المجرّد عن البيّنة</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13425343_1280447820"/>
      <w:bookmarkStart w:id="812" w:name="_Toc290"/>
      <w:bookmarkEnd w:id="811"/>
      <w:r>
        <w:rPr>
          <w:rtl w:val="true"/>
        </w:rPr>
        <w:t>حادي عشرها</w:t>
      </w:r>
      <w:r>
        <w:rPr>
          <w:rtl w:val="true"/>
        </w:rPr>
        <w:t xml:space="preserve">: </w:t>
      </w:r>
      <w:r>
        <w:rPr>
          <w:rtl w:val="true"/>
        </w:rPr>
        <w:t>في أنّه يجوز للوصي أن يقترض مال الطفل وإن لم تكن فيه مصلحة ما لم تكن فيه مفسدة</w:t>
      </w:r>
      <w:bookmarkEnd w:id="812"/>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للوصي أن يقترض مال الطفل وإن لم تكن فيه مصلحة له ما لم تكن فيه مفسدة، ولا يجب عليه تنميته أو أن يأخذه بنفع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أن يجعل رهناً عليه أو ضميناً، كما لا يجب الإشهاد عليه، إلّا إذا كان في ترك الإشهاد تعريض للتلف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الأحوط والأولى أن يشهد ويرهن ويبين ذلك؛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من المنهي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يشترط في الوصي الملاءة بأن يكون عنده ما يقابل الدين ممّا يزيد على مستثنيات الديون، أو يكون قادراً على أداء مال اليتيم من ماله أو كسبه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وإن كان جملة منها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 مال يتيم أيستقرض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يستقرض من مال أيتام كانوا في حجره، فلا بأس بذلك</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 ونحوه آخران ولكن من دون نفي البأس </w:t>
      </w:r>
      <w:r>
        <w:rPr>
          <w:rStyle w:val="FootnoteAnchor"/>
          <w:rtl w:val="true"/>
        </w:rPr>
        <w:footnoteReference w:id="1223"/>
      </w:r>
      <w:r>
        <w:rPr>
          <w:rFonts w:ascii="IRNazanin" w:hAnsi="IRNazanin" w:eastAsia="IRNazanin"/>
          <w:color w:val="111111"/>
          <w:sz w:val="28"/>
          <w:sz w:val="28"/>
          <w:szCs w:val="28"/>
          <w:rtl w:val="true"/>
          <w:lang w:bidi="fa-IR"/>
        </w:rPr>
        <w:t xml:space="preserve">، وقصور سندهما منجبر بفتوى المشهور نقلاً </w:t>
      </w:r>
      <w:r>
        <w:rPr>
          <w:rStyle w:val="FootnoteAnchor"/>
          <w:rtl w:val="true"/>
        </w:rPr>
        <w:footnoteReference w:id="1224"/>
      </w:r>
      <w:r>
        <w:rPr>
          <w:rFonts w:ascii="Amiri" w:hAnsi="Amiri" w:eastAsia="Amiri" w:cs="Amiri"/>
          <w:color w:val="111111"/>
          <w:sz w:val="28"/>
          <w:sz w:val="28"/>
          <w:szCs w:val="28"/>
          <w:rtl w:val="true"/>
          <w:lang w:bidi="ar-SA"/>
        </w:rPr>
        <w:t xml:space="preserve">، بل تحصيلاً، مع اعتبار أحدهما بابن محبوب المجمع على تصحيح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يلزم تقييدها بحصول الملاءة؛ للآية</w:t>
      </w:r>
      <w:r>
        <w:rPr>
          <w:rStyle w:val="FootnoteAnchor"/>
          <w:rtl w:val="true"/>
        </w:rPr>
        <w:footnoteReference w:id="1225"/>
      </w:r>
      <w:r>
        <w:rPr>
          <w:rFonts w:ascii="Amiri" w:hAnsi="Amiri" w:eastAsia="Amiri" w:cs="Amiri"/>
          <w:color w:val="111111"/>
          <w:sz w:val="28"/>
          <w:sz w:val="28"/>
          <w:szCs w:val="28"/>
          <w:rtl w:val="true"/>
          <w:lang w:bidi="ar-SA"/>
        </w:rPr>
        <w:t>، وهي وإن كانت عامةً بالنسبة إلى الأخبار إلّا أنّها لقوتها حاكمة عليها</w:t>
      </w:r>
      <w:r>
        <w:rPr>
          <w:rFonts w:eastAsia="Amiri" w:cs="Amiri" w:ascii="Amiri" w:hAnsi="Amiri"/>
          <w:color w:val="111111"/>
          <w:sz w:val="28"/>
          <w:szCs w:val="28"/>
          <w:rtl w:val="true"/>
          <w:lang w:bidi="ar-SA"/>
        </w:rPr>
        <w:t xml:space="preserve">. </w:t>
      </w:r>
      <w:bookmarkStart w:id="813" w:name="pg19218_274282"/>
    </w:p>
    <w:p>
      <w:pPr>
        <w:pStyle w:val="BookText"/>
        <w:rPr/>
      </w:pPr>
      <w:bookmarkEnd w:id="813"/>
      <w:r>
        <w:rPr>
          <w:rFonts w:ascii="Amiri" w:hAnsi="Amiri" w:eastAsia="Amiri" w:cs="Amiri"/>
          <w:color w:val="111111"/>
          <w:sz w:val="28"/>
          <w:sz w:val="28"/>
          <w:szCs w:val="28"/>
          <w:rtl w:val="true"/>
          <w:lang w:bidi="ar-SA"/>
        </w:rPr>
        <w:t>وللمعتبرة المشتملة على ما هو صحيح أو كالصحيح في رجل كان عنده مال اليتيم،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محتاجاً ليس له مال فلا يمس ماله، وإن هو اتجر به فالربح لليتيم وهو ضامن</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هلك، فأوصى إلى أخ أكبر مني وأدخلني معه في الوصيّة، وترك ابناً له صغيراً وله مال أفيضرب به أخي فما كان من فضل سلّمه لليتيم، وضمن له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لأخيك مال يحيط بمال اليتيم إن تلف فلا بأس به، وإن لم يكن له مال فلا يعرّض مال اليتيم</w:t>
      </w:r>
      <w:r>
        <w:rPr>
          <w:rFonts w:eastAsia="Amiri" w:cs="Amiri" w:ascii="Amiri" w:hAnsi="Amiri"/>
          <w:color w:val="111111"/>
          <w:sz w:val="28"/>
          <w:szCs w:val="28"/>
          <w:rtl w:val="true"/>
          <w:lang w:bidi="ar-SA"/>
        </w:rPr>
        <w:t xml:space="preserve">» </w:t>
      </w:r>
      <w:r>
        <w:rPr>
          <w:rStyle w:val="FootnoteAnchor"/>
          <w:rtl w:val="true"/>
        </w:rPr>
        <w:footnoteReference w:id="1227"/>
      </w:r>
      <w:r>
        <w:rPr>
          <w:rFonts w:ascii="IRNazanin" w:hAnsi="IRNazanin" w:eastAsia="IRNazanin"/>
          <w:color w:val="111111"/>
          <w:sz w:val="28"/>
          <w:sz w:val="28"/>
          <w:szCs w:val="28"/>
          <w:rtl w:val="true"/>
          <w:lang w:bidi="fa-IR"/>
        </w:rPr>
        <w:t xml:space="preserve">ونحوه آخر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13425345_1280447820"/>
      <w:bookmarkStart w:id="815" w:name="_Toc291"/>
      <w:bookmarkEnd w:id="814"/>
      <w:r>
        <w:rPr>
          <w:rtl w:val="true"/>
        </w:rPr>
        <w:t>ثاني عشرها</w:t>
      </w:r>
      <w:r>
        <w:rPr>
          <w:rtl w:val="true"/>
        </w:rPr>
        <w:t xml:space="preserve">: </w:t>
      </w:r>
      <w:r>
        <w:rPr>
          <w:rtl w:val="true"/>
        </w:rPr>
        <w:t>في أنّه يجوز للوصي أن يقوم مال اليتيم لنفسه بثمن المثل أو أكثر ويشتريه بنفسه أو بوكيله</w:t>
      </w:r>
      <w:bookmarkEnd w:id="815"/>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للوصي أن يقوم مال اليتيم لنفسه بثمن المثل أو أكثر، ويشتريه بنفسه أو بوكيله؛ للأصل، والخبر المنجبر قصور سنده بعمل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للوصي أن يشتري من مال الميّت إذا بيع فيمن زاد يزيد ويأخذ لنفسه؟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إذا اشترى صحيحاً</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 هذا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للجواز، وإن كان قيداً للشراء كان من قبيل المجمل، ولأنّه عقد صدر من أهله في محلّه من دون مانع سوى كونه موجباً قابلاً، وهو لا بأس به؛ لأن الأسباب الشرعيّة معرّفات، وليست كالعلل العقلية لا يمكن اجتماعها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يجوّزه بعضهم </w:t>
      </w:r>
      <w:r>
        <w:rPr>
          <w:rStyle w:val="FootnoteAnchor"/>
          <w:rtl w:val="true"/>
        </w:rPr>
        <w:footnoteReference w:id="1230"/>
      </w:r>
      <w:r>
        <w:rPr>
          <w:rFonts w:ascii="Amiri" w:hAnsi="Amiri" w:eastAsia="Amiri" w:cs="Amiri"/>
          <w:color w:val="111111"/>
          <w:sz w:val="28"/>
          <w:sz w:val="28"/>
          <w:szCs w:val="28"/>
          <w:rtl w:val="true"/>
          <w:lang w:bidi="ar-SA"/>
        </w:rPr>
        <w:t>لوجوب تغاير الموجب والقابل وقياسه على شراء الأب من مال ولده الصغير الجائز بالإجماع ممنوع؛ لمنع القياس، وحصول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أوصى إلى رجل ببيع فرس له فاشتراه الوصي لنفسه، واستفتى عبد اللّه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w:t>
      </w:r>
      <w:r>
        <w:rPr>
          <w:rStyle w:val="FootnoteAnchor"/>
          <w:rtl w:val="true"/>
        </w:rPr>
        <w:footnoteReference w:id="1231"/>
      </w:r>
      <w:r>
        <w:rPr>
          <w:rFonts w:ascii="Amiri" w:hAnsi="Amiri" w:eastAsia="Amiri" w:cs="Amiri"/>
          <w:color w:val="111111"/>
          <w:sz w:val="28"/>
          <w:sz w:val="28"/>
          <w:szCs w:val="28"/>
          <w:rtl w:val="true"/>
          <w:lang w:bidi="ar-SA"/>
        </w:rPr>
        <w:t xml:space="preserve">، قال في الخلاف ولا يعرف لابن مسعود مخالف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وللأخبار المانعة عن شراء الوكيل لنفسه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نظر؛ لمنع لزوم تعدّد الموجب والقابل حسّاً؛ لكفاية الاعتباري فيه، كما ادعى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جوازه في عقد النكاح</w:t>
      </w:r>
      <w:r>
        <w:rPr>
          <w:rStyle w:val="FootnoteAnchor"/>
          <w:rtl w:val="true"/>
        </w:rPr>
        <w:footnoteReference w:id="1234"/>
      </w:r>
      <w:r>
        <w:rPr>
          <w:rFonts w:ascii="Amiri" w:hAnsi="Amiri" w:eastAsia="Amiri" w:cs="Amiri"/>
          <w:color w:val="111111"/>
          <w:sz w:val="28"/>
          <w:sz w:val="28"/>
          <w:szCs w:val="28"/>
          <w:rtl w:val="true"/>
          <w:lang w:bidi="ar-SA"/>
        </w:rPr>
        <w:t>، فيكفي ها هنا بطريق أولى</w:t>
      </w:r>
      <w:r>
        <w:rPr>
          <w:rFonts w:eastAsia="Amiri" w:cs="Amiri" w:ascii="Amiri" w:hAnsi="Amiri"/>
          <w:color w:val="111111"/>
          <w:sz w:val="28"/>
          <w:szCs w:val="28"/>
          <w:rtl w:val="true"/>
          <w:lang w:bidi="ar-SA"/>
        </w:rPr>
        <w:t xml:space="preserve">. </w:t>
      </w:r>
      <w:bookmarkStart w:id="816" w:name="pg19218_274283"/>
    </w:p>
    <w:p>
      <w:pPr>
        <w:pStyle w:val="BookText"/>
        <w:rPr/>
      </w:pPr>
      <w:bookmarkEnd w:id="816"/>
      <w:r>
        <w:rPr>
          <w:rFonts w:ascii="Amiri" w:hAnsi="Amiri" w:eastAsia="Amiri" w:cs="Amiri"/>
          <w:color w:val="111111"/>
          <w:sz w:val="28"/>
          <w:sz w:val="28"/>
          <w:szCs w:val="28"/>
          <w:rtl w:val="true"/>
          <w:lang w:bidi="ar-SA"/>
        </w:rPr>
        <w:t>ولمنع حرمة القياس هنا؛ لأنّه من باب اتحاد طريق المسألتين في الحكم، ونمنع وجود الفارق هنا؛ لوجود الولاية القاضية بصحّة العقد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ولمنع صحّة سند الرواية ومنع حجيتها؛ لأنّ الأصل فيها ابن مسعود، ومنع صحّة إجماع الشيخ؛ لأكثرية المخالف، ولقوة الخبر الأوّل المؤيَّد بفتوى المشهور عليه فيضعف عن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ولمنع العمل على الأخبار المانعة عن شراء الوكيل لنفسه؛ لقلة العامل عليها وإعراض الأكثر عنها؛ ولجواز كون المانع من شراء الوكيل لنفسه هو اشتراط اتباع المصلحة في البيع للموكل، وفي الشراء لنفسه اتهام له في ذلك، لا أنّ المانع هو كونه موجباً قابلاً، بل قد يقال ذلك في الوصي أيضاً، فلا بدّ حينئذٍ من رفع اتهامه بإحضار مقومين للمال غير متهمين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بتقويمهم، أو الأخذ بالأحوط والأوثق بما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يجب على الوكيل والوصيّ بعد دفع ثمن المثل لهما أن يعطّلا المال رجاء لباذل الزيادة، ولا يجب عليهما تتبع مظانّهما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 الباذل للزيادة فالأحوط عدم العدول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لزوم ذلك عليهما بحيث يقع البيع بثمن المثل مع الإعراض عن صاحب الزيادة باطلاً وجهان متكافئان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شراء الوصى لنفسه من مال الطفل بيعه ماله عليه، وإيجاره واستئجاره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وللوصي الشراء لنفسه بصيغةٍ أو بمعاطاةٍ، ولو قطع الوصي بقيمة المال جاز أن يأخذه بقيمته، ولا يجب عرضه على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الوصيّ مراعاة المصلحة في البيع والشراء والإيجار والاستئجار بالنسبة إلى مال اليتيم، بل بالنسبة إلى الثلث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الاقتراض منه لنفسه فيصح مع عدم المفسدة، ولا يجب فيه مراعاة المصلحة أخذاً بإطلاق الأخبار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13425347_1280447820"/>
      <w:bookmarkStart w:id="818" w:name="_Toc292"/>
      <w:bookmarkEnd w:id="817"/>
      <w:r>
        <w:rPr>
          <w:rtl w:val="true"/>
        </w:rPr>
        <w:t>ثالث عشرها</w:t>
      </w:r>
      <w:r>
        <w:rPr>
          <w:rtl w:val="true"/>
        </w:rPr>
        <w:t xml:space="preserve">: </w:t>
      </w:r>
      <w:r>
        <w:rPr>
          <w:rtl w:val="true"/>
        </w:rPr>
        <w:t>وجوب اتباع ما أوصى به الموصي عموماً وخصوصاً وإطلاقاً وتقييد</w:t>
      </w:r>
      <w:bookmarkEnd w:id="81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اتباع ما أوصى به الموصي عموماً وخصوصاً، وإطلاقاً وتقييداً، وزماناً ومكاناً ووصفاً، فتصح الوصاية على الدوام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الإطلاق هنا عن قيد الدوام؛ تنزيلاً للمطلق منزلة العموم في الأزمنة، كما يقضي به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تصحّ مفيدة بزمن خاص،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خلاص 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يقدم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يموت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مقيّدة بمالٍ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عامةً لكلّ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أن تتعلّق بالثلث فقط، وتصحّ بمال الأطفال فقط، وتصحّ بالديون فقط، وتصحّ متعلّقة بالجميع مع النصّ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الإطلاق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صحّته وانصرافه للجميع؛ تنزيلاً للإطلاق منزلة العموم؛ تصحيحاً للوصيّة مهما أمكن؛ لأنّ الحمل على واحدٍ معين ترجيح من غير مرجّح، وعلى غير المعين لا معنى له إن أُريد به الإبهام؛ لأنّ المبهم لا وجود له في الخارج، وكذا إن ريد بها الفرد المنتشر، إلّا أن يراد به العموم فيعود كالأول، أو بطلانه رأساً؛ لمكان الإجمال وعدم انصرافه إلى فرد خاص فيبطل للجهل بإرادة الموصي، وتصحيح الوصيّة لا يصلح أن يكون قرينة على إرادة شيء معين، كما لا يصلح لأن يكون قرينة على صرف اللفظ القاضي بالفساد عن ظاهره وجهان، والأخير أقوى، كما نُسب </w:t>
      </w:r>
      <w:r>
        <w:rPr>
          <w:rStyle w:val="FootnoteAnchor"/>
          <w:rtl w:val="true"/>
        </w:rPr>
        <w:footnoteReference w:id="1236"/>
      </w:r>
      <w:r>
        <w:rPr>
          <w:rFonts w:ascii="Amiri" w:hAnsi="Amiri" w:eastAsia="Amiri" w:cs="Amiri"/>
          <w:color w:val="111111"/>
          <w:sz w:val="28"/>
          <w:sz w:val="28"/>
          <w:szCs w:val="28"/>
          <w:rtl w:val="true"/>
          <w:lang w:bidi="ar-SA"/>
        </w:rPr>
        <w:t xml:space="preserve">للأصحاب، ونُقل عليه عدم الخلاف </w:t>
      </w:r>
      <w:r>
        <w:rPr>
          <w:rStyle w:val="FootnoteAnchor"/>
          <w:rtl w:val="true"/>
        </w:rPr>
        <w:footnoteReference w:id="1237"/>
      </w:r>
      <w:r>
        <w:rPr>
          <w:rFonts w:ascii="Amiri" w:hAnsi="Amiri" w:eastAsia="Amiri" w:cs="Amiri"/>
          <w:color w:val="111111"/>
          <w:sz w:val="28"/>
          <w:sz w:val="28"/>
          <w:szCs w:val="28"/>
          <w:rtl w:val="true"/>
          <w:lang w:bidi="ar-SA"/>
        </w:rPr>
        <w:t>، إلّا أن يقوم عرف على إرادة شيءٍ خاص من تلث أو دين أو أيتام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فحكم الوصاية كحكم الوكالة، فكما أنّ القائل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وكالته، ولا تنصرف إلى معين ما لم تقم قرينة أو يقض بها العرف، ولا تنصرف إلى الكلي؛ لعدم الدليل عليه، ومجرّد تصحيح اللفظ لا يصلح أن يكون قرينة على تعيين الفرد الخاص كما تقدّم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صرّح بالوصاية على الأطفال، فإن صرّح بشيءٍ خاص من التصرّف بأموالهم أو حفظها اتبع، وإن أطلق فهل يبطل أو ينصرف إلى ما فيه غبطة من التصرّف فقط، أو إلى حفظ أموالهم فقط، أو إليهما معاً، أو إلى كلّ ما فيه مصلحة؟ وجوه، والأقوى الأخير؛ قضاءً لما يُفهم عرفاً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صرّح بالوصاية على الثلث فهل يبطل، أو ينصرف إلى كلّ ما فيه مبرة وخير، أو ينصرف إلى إخراج الواجبات البدنية؟ وجهان، ولا يبعد البطلان ما لم ينصرف العرف إلى شيءٍ خاص، والظاهر أن الوصاية على الثلث تنصرف في مثل هذا المقام </w:t>
      </w:r>
      <w:r>
        <w:rPr>
          <w:rStyle w:val="FootnoteAnchor"/>
          <w:rtl w:val="true"/>
        </w:rPr>
        <w:footnoteReference w:id="1239"/>
      </w:r>
      <w:r>
        <w:rPr>
          <w:rFonts w:ascii="Amiri" w:hAnsi="Amiri" w:eastAsia="Amiri" w:cs="Amiri"/>
          <w:color w:val="111111"/>
          <w:sz w:val="28"/>
          <w:sz w:val="28"/>
          <w:szCs w:val="28"/>
          <w:rtl w:val="true"/>
          <w:lang w:bidi="ar-SA"/>
        </w:rPr>
        <w:t>إلى صرفه في جميع المبرات والخيرات</w:t>
      </w:r>
      <w:r>
        <w:rPr>
          <w:rFonts w:eastAsia="Amiri" w:cs="Amiri" w:ascii="Amiri" w:hAnsi="Amiri"/>
          <w:color w:val="111111"/>
          <w:sz w:val="28"/>
          <w:szCs w:val="28"/>
          <w:rtl w:val="true"/>
          <w:lang w:bidi="ar-SA"/>
        </w:rPr>
        <w:t xml:space="preserve">. </w:t>
      </w:r>
      <w:bookmarkStart w:id="819" w:name="pg19218_274285"/>
    </w:p>
    <w:p>
      <w:pPr>
        <w:pStyle w:val="Heading4"/>
        <w:numPr>
          <w:ilvl w:val="3"/>
          <w:numId w:val="1"/>
        </w:numPr>
        <w:rPr/>
      </w:pPr>
      <w:bookmarkStart w:id="820" w:name="__RefHeading___Toc13425349_1280447820"/>
      <w:bookmarkStart w:id="821" w:name="_Toc293"/>
      <w:bookmarkEnd w:id="819"/>
      <w:bookmarkEnd w:id="820"/>
      <w:r>
        <w:rPr>
          <w:rtl w:val="true"/>
        </w:rPr>
        <w:t>رابع عشرها</w:t>
      </w:r>
      <w:r>
        <w:rPr>
          <w:rtl w:val="true"/>
        </w:rPr>
        <w:t xml:space="preserve">: </w:t>
      </w:r>
      <w:r>
        <w:rPr>
          <w:rtl w:val="true"/>
        </w:rPr>
        <w:t>فيما يتعلق بما لو عين الموصي للوصي على الأيتام أو على الثلث أجرة على عمله</w:t>
      </w:r>
      <w:bookmarkEnd w:id="821"/>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الموصي للوصي على الأيتام أو على الثلث أُجرةً على عمله الذي له أُجرة بحسب العادة، جاز، ولزمت الأجرة إن لم تزد على أجرة المثل من مال الأطفال إن كانت الوصيّة عليهم، ومن مال الثلث إن كانت الوصيّة عليه، وإن زادت على أُجرة المثل أُخرج الزائد من الثلث على كلّ حالٍ، فإن قصر الثلث عنها كان نفوذها موقوفاً على إجازة الوارث، فإن أجاز نفذت،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وللوصي أخذ أجرة المثل من مال الأيتام أو الثلث على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فقيراً كان أو غنياً، وإن استحب للغني الاستعفاف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يعين له الموصي أجرةً على عمله ما لم يكن الوصي متبرعاً بالعمل؛ وذلك لأنّه عمل محترم صدر عن أمر الموصي، فيستحق الأجرة عليه، ووجوبه بأمر الخالق تبعاً لأمر الموصي لا ينافي ثبوت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 المشهور بصحّته عمّن تولّى مال اليتيم أله أن يأكل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ماكان غيره يقوم به من الأجر لهم فليأكل بقدر ذلك</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وللمنقول عن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الظاهر من روايات أصحابنا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اختص بالوصاية على الأطفال إلّا أنّه لا فرق بينهما؛ لاتحاد طريق المسألتين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يأخذ قدر الكفاية </w:t>
      </w:r>
      <w:r>
        <w:rPr>
          <w:rStyle w:val="FootnoteAnchor"/>
          <w:rtl w:val="true"/>
        </w:rPr>
        <w:footnoteReference w:id="1242"/>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 وهو ما لا إسراف فيه ولا 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وللمعتبرة المستفيضة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الصحيحان المفسّران للمعروف بالقوت </w:t>
      </w:r>
      <w:r>
        <w:rPr>
          <w:rStyle w:val="FootnoteAnchor"/>
          <w:rtl w:val="true"/>
        </w:rPr>
        <w:footnoteReference w:id="1244"/>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الموثّقان في تفسيره أيضاً،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فلياً كلّ بقدرٍ ولا يسرف</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يصيب من لبنها من غير نهك لضرع، ولا فساد لنسل</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وللخبر المروي عن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فليشرب من ألبانها غير مجهد للحلاب، ولا مضر بالولد</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للوصي أقل الأمرين من أُجرة المثل وقدر الكفاية </w:t>
      </w:r>
      <w:r>
        <w:rPr>
          <w:rStyle w:val="FootnoteAnchor"/>
          <w:rtl w:val="true"/>
        </w:rPr>
        <w:footnoteReference w:id="1248"/>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واشترط بعضهم في جواز الأخذ احتياج الوصي وفقره </w:t>
      </w:r>
      <w:r>
        <w:rPr>
          <w:rStyle w:val="FootnoteAnchor"/>
          <w:rtl w:val="true"/>
        </w:rPr>
        <w:footnoteReference w:id="1249"/>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غَنِيّاً فَلْيَسْتَعْفِفْ</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يلي شيئاً لليتامى وهو محتاج ليس له ما يقيمه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 بقدرٍ ولا يسرف، وإن كانت ضيعتهم لا تشغله عمّا يعالج لنفسه فلا يرزأن من أموالهم شيئاً</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عدم الاشتراط وإن كان الأخذ مكروهاً، ويدلّ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العفّة قرينة ظاهرة على إرادة الندب؛ لاقتضاء مادتها ذلك وإن اقتضت صيغتها الوجوب، وإن كان الأحوط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الآية وجملة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كثرة المال وقلته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جملةً من الأخبار تقضي باشتراط الكثرة، ففي القريب من الصحيح الوارد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الرجل يحبس نفسه عن المعيشة فلا بأس أن يأكل بالمعروف إذا كان يصلح لهم أموالهم، فإن كان قليلاً فلا يأكل منه شيئاً</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ونحوه المروي في تفسير العياشي</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أنّه أحوط، كما أنّ الأحوط اشتراط صرف العمل كلّه في مال اليتيم وفي مصالحه فلا يأخذ من مال اليتيم شيئاً لو عمل لنفسه شيئاً ولو قليلاً ما لم يكن مستهلكاً، كما يظهر من جملة من الأخبار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المراد بالكفاية كفاية نفسه فقط، أو نفسه وعياله الواجبي النفقة، أو ما يعول به عرفاً؟ والاحتياط يقضي بالأوّل فقط، بل الأحوط الاقتصار على مجرد القوت، دون الملبوس ونحوه مما يحتاجه الإنسان</w:t>
      </w:r>
      <w:r>
        <w:rPr>
          <w:rFonts w:eastAsia="Amiri" w:cs="Amiri" w:ascii="Amiri" w:hAnsi="Amiri"/>
          <w:color w:val="111111"/>
          <w:sz w:val="28"/>
          <w:szCs w:val="28"/>
          <w:rtl w:val="true"/>
          <w:lang w:bidi="ar-SA"/>
        </w:rPr>
        <w:t xml:space="preserve">. </w:t>
      </w:r>
      <w:bookmarkStart w:id="822" w:name="pg19218_274287"/>
    </w:p>
    <w:p>
      <w:pPr>
        <w:pStyle w:val="Heading4"/>
        <w:numPr>
          <w:ilvl w:val="3"/>
          <w:numId w:val="1"/>
        </w:numPr>
        <w:rPr/>
      </w:pPr>
      <w:bookmarkStart w:id="823" w:name="__RefHeading___Toc13425351_1280447820"/>
      <w:bookmarkStart w:id="824" w:name="_Toc294"/>
      <w:bookmarkEnd w:id="822"/>
      <w:bookmarkEnd w:id="823"/>
      <w:r>
        <w:rPr>
          <w:rtl w:val="true"/>
        </w:rPr>
        <w:t>خامس عشرها</w:t>
      </w:r>
      <w:r>
        <w:rPr>
          <w:rtl w:val="true"/>
        </w:rPr>
        <w:t xml:space="preserve">: </w:t>
      </w:r>
      <w:r>
        <w:rPr>
          <w:rtl w:val="true"/>
        </w:rPr>
        <w:t>فيما إذا أذن الموصي للوصي بالوصاية على مال الأيتام أو الثلث جاز له الوصاية عليهما</w:t>
      </w:r>
      <w:bookmarkEnd w:id="824"/>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الموصي للوصي بالوصاية على مال الأيتام أو الثلث، جاز له الوصاية عليهما، فإن نص على معيّن لزم الاقتصار عليه، وإن أطلق أو عمّم جاز له نصب مَنْ شاء، وإذا منع عن الوصاية لم يجز له أن يوصي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إجماعي في الثاني، والأصول والقواعد قاضية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الأوّل على الظاهر، كما نقل عليه الإجماع </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وقضت به الرواية الصحيحة </w:t>
      </w:r>
      <w:r>
        <w:rPr>
          <w:rStyle w:val="FootnoteAnchor"/>
          <w:rtl w:val="true"/>
        </w:rPr>
        <w:footnoteReference w:id="1256"/>
      </w:r>
      <w:r>
        <w:rPr>
          <w:rFonts w:ascii="Amiri" w:hAnsi="Amiri" w:eastAsia="Amiri" w:cs="Amiri"/>
          <w:color w:val="111111"/>
          <w:sz w:val="28"/>
          <w:sz w:val="28"/>
          <w:szCs w:val="28"/>
          <w:rtl w:val="true"/>
          <w:lang w:bidi="ar-SA"/>
        </w:rPr>
        <w:t>مفهوماً بل 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يأذن ولم يمنع فقولان أشهر هما المنع للأصل، وللاقتصار في التصرّف بمال الغير من دون إذنه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بالجواز</w:t>
      </w:r>
      <w:r>
        <w:rPr>
          <w:rStyle w:val="FootnoteAnchor"/>
          <w:rtl w:val="true"/>
        </w:rPr>
        <w:footnoteReference w:id="1257"/>
      </w:r>
      <w:r>
        <w:rPr>
          <w:rFonts w:ascii="Amiri" w:hAnsi="Amiri" w:eastAsia="Amiri" w:cs="Amiri"/>
          <w:color w:val="111111"/>
          <w:sz w:val="28"/>
          <w:sz w:val="28"/>
          <w:szCs w:val="28"/>
          <w:rtl w:val="true"/>
          <w:lang w:bidi="ar-SA"/>
        </w:rPr>
        <w:t>؛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وصيّ رجل فمات وأوصى إلى رجل، هل يلزم الوصي وصيّة الرجل الذي كان وصيّه ؟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 بحقه إن كان له قبله حقّ إن شاء اللّه</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بناءً على أنّ المراد بالحق حقّ الإيمان،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إن كان مؤمناً؛ لأنّ للمؤمن على المؤمن حقاً من قضاء حوائجه وإجابة التماسه ومعونته، ومن جملتها تنفيذ وصيته، ولأنّ الموصي الأوّل أقامه مقام نفسه فيثبت له من الولاية ما يثبت له، ولأن الولاية من جملة التصرفات المملوكة بالنص، ولأنّ الوصي له أن يوكل فله أن يوصي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ضعف؛ لضعف الرواية بكونها مكاتبةً، وبالإجمال في الدلالة؛ لاحتمال أن يراد بحقه الوصيّة إليه بأن يوصي، ويكون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الموصي الأوّل، والمعنى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تلزم الوصي الثاني بحق الأوّل إن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الموصي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بأن يكون قد أوصى إليه وأذن له أن يوصي، فقد صار له قبله حقّ الوصيّة، واحتمال أن يراد بالحق هو التصريح بالوصاية له عن الموصي؛ بناءً على أنّ السؤال إنما هو عن دخول الوصاية عن الغير بالوصاية عن النفس بعد كون الوصي مأذوناً في الوصيّة، فيكون السؤال عن أمر لفظي، والفرق بين الأوّل والأخير أن السؤال في الأوّل عن حكم شرعي من </w:t>
      </w:r>
      <w:bookmarkStart w:id="825" w:name="pg19218_274288"/>
    </w:p>
    <w:p>
      <w:pPr>
        <w:pStyle w:val="BookText"/>
        <w:rPr/>
      </w:pPr>
      <w:bookmarkEnd w:id="825"/>
      <w:r>
        <w:rPr>
          <w:rFonts w:ascii="Amiri" w:hAnsi="Amiri" w:eastAsia="Amiri" w:cs="Amiri"/>
          <w:color w:val="111111"/>
          <w:sz w:val="28"/>
          <w:sz w:val="28"/>
          <w:szCs w:val="28"/>
          <w:rtl w:val="true"/>
          <w:lang w:bidi="ar-SA"/>
        </w:rPr>
        <w:t>دون نظر إلى دخول ذلك في اللفظ وعدمه، والسؤال في الثاني عن أمرٍ لفظي متعلق بالوصيّ الثاني، وعلى الثاني فإطلاق الرواية وإن كان شاملاً لمورد النزاع إلّا أنّه غير صالح للاستدلال به؛ لوروده لبيان حكم آخر لا للحكم على أفراد ذلك المطلق، ومع قيام الاحتمال يسقط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فيها من قبيل التعليق على أمر غير واقع،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بحقه إن كان له حقٌّ، ولا حقّ فلا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ولمنع كون الوصي قائماً مقام الموصي مطلقاً حتّى بالنسبة إلى مباشرة مال غيره بعد موته، وإنّما يقوم مقامه فيما يتعلّق بماله أو أطفاله أو فيما نص عليه به، على أن استنابة الغير خلاف الأصل فيلزم الاقتصار فيها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ولمنع كون الاستنابة من التصرفات المملوكة بالنصّ؛ إذ المتيقن من النصّ هو خصوص الاستنابة فيما يتعلق بماله، ولعلّ الموصي إنّما رضي بنظر الوصي مباشرةً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الوكالة على الوصاية قياس مع الفارق؛ لأنّ الوكالة مجبورة بنظر الموكّل وهي على أمورٍ جزئية لا على ولاية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فهنا مقامان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للوصي أن يوصي غيره بما هو وصي وإن لم يأذن له بالوصاية؟</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أذن له فنصب وصيّاً فهل تدخل وصاية الأوّل فيها مع عدم التصريح بذلك، أم لا؟</w:t>
      </w:r>
    </w:p>
    <w:p>
      <w:pPr>
        <w:pStyle w:val="BookText"/>
        <w:rPr/>
      </w:pPr>
      <w:r>
        <w:rPr>
          <w:rFonts w:ascii="Amiri" w:hAnsi="Amiri" w:eastAsia="Amiri" w:cs="Amiri"/>
          <w:color w:val="111111"/>
          <w:sz w:val="28"/>
          <w:sz w:val="28"/>
          <w:szCs w:val="28"/>
          <w:rtl w:val="true"/>
          <w:lang w:bidi="ar-SA"/>
        </w:rPr>
        <w:t>والحقّ في كلا المقامين عدم ذلك، كما هو مقتضى الأصول والقواعد</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3425353_1280447820"/>
      <w:bookmarkStart w:id="827" w:name="_Toc295"/>
      <w:bookmarkEnd w:id="826"/>
      <w:r>
        <w:rPr>
          <w:rtl w:val="true"/>
        </w:rPr>
        <w:t>سادس عشرها</w:t>
      </w:r>
      <w:r>
        <w:rPr>
          <w:rtl w:val="true"/>
        </w:rPr>
        <w:t xml:space="preserve">: </w:t>
      </w:r>
      <w:r>
        <w:rPr>
          <w:rtl w:val="true"/>
        </w:rPr>
        <w:t>حكم ما لو مات ولا وصيّ له وقد أوصى بوصايا</w:t>
      </w:r>
      <w:bookmarkEnd w:id="827"/>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وصيّ له وقد أوصى بوصايا أو كانت عليه ديون أو عنده أيتام، تولى الحاكم وصاياه وجوباً، وتولى أمر الأطفال أيضاً؛ لأنّه منصوب للمصالح العامّة، وولي مَنْ لا ولي له، وينوب مناب الحاكم الأصلي المجتهد الجامع للشرائط</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يوجد الحاكم أو لم يمكن الوصول إليه قام مقامه عدول؛ لعموم ﴿ما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وَالتَّقْوَى</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تولى أمر الأيتام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ومثل عبد الحميد فلا بأس</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828" w:name="pg19218_274289"/>
    </w:p>
    <w:p>
      <w:pPr>
        <w:pStyle w:val="BookText"/>
        <w:rPr/>
      </w:pPr>
      <w:bookmarkEnd w:id="828"/>
      <w:r>
        <w:rPr>
          <w:rFonts w:ascii="Amiri" w:hAnsi="Amiri" w:eastAsia="Amiri" w:cs="Amiri"/>
          <w:color w:val="111111"/>
          <w:sz w:val="28"/>
          <w:sz w:val="28"/>
          <w:szCs w:val="28"/>
          <w:rtl w:val="true"/>
          <w:lang w:bidi="ar-SA"/>
        </w:rPr>
        <w:t>فإن لم يوجد عدل وكان الأمر ممّا يضطر إليه، تولاه المسلمون كافة؛ لوجوبه كفاية، عدلاً كان المتولّي أو فاسقاً، وذلك كنفقة اليتيم والحيوان، وينتظر فيما لا يضطر إليه العدل، كما ينتظر العدل الحاكم فيما لا يضطر إليه وكان غائباً أو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بعض الأخبار جواز تولّي أُمور الأطفال لعدول المسلمين وإن كان الحاكم موجوداً؛ لظاهر بعض الأخبار الدالّة على إمضاء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بعض العدول في أموال الأيتام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خلاف ظاهر الأصحاب، فلتُحمل الأخبار على أنّ ذلك إذن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ابن إدريس من جواز تولّي العدول لأموال الأيتام مع عدم إمكان الرجوع إلى الحاكم؛ لعدم الدليل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لوجود الدليل المعتضد بفتوى المشهور</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3425355_1280447820"/>
      <w:bookmarkStart w:id="830" w:name="_Toc296"/>
      <w:bookmarkEnd w:id="829"/>
      <w:r>
        <w:rPr>
          <w:rtl w:val="true"/>
        </w:rPr>
        <w:t>سابع عشرها</w:t>
      </w:r>
      <w:r>
        <w:rPr>
          <w:rtl w:val="true"/>
        </w:rPr>
        <w:t xml:space="preserve">: </w:t>
      </w:r>
      <w:r>
        <w:rPr>
          <w:rtl w:val="true"/>
        </w:rPr>
        <w:t>في أنّه لا ولاية لوصي الأب على الأطفال مع وجود الجد ولا لوصي الجد مع وجود الأب</w:t>
      </w:r>
      <w:bookmarkEnd w:id="830"/>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لوصي الأب على الأطفال مع وجود الجد، ولا لوصي الجد مع وجود الأب، فلو أوصى أحدهما مع وجود الآخر كانت الوصيّة باطلة؛ لأن ولاية الأب والجد ثابتة بأصل الشرع، فلا يمكن نقضها والعدول إلى غيرها، ولا يمكن الشركة بها؛ ولأصالة عدم الولاية، وغاية ما ثبت من أدلة الوصاية هو ما لم يكن ولياً أصلياً، ومع وجوده فيشك في شمول أدلة الوصاية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وتنفذ بعد موت الولي الأصلي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الوصيّة ابتداء محلّ منع، وعلى تقدير بطلانها فعودها مفتقر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فصحة الوصاية ممّن ليس له قابلية للوصاية حال الوصيّة ممّا لا يدخل في إطلاق أدلّة الوصيّة عموماً وخصوصاً، واحتمال بقائها غير نافذة وأنها تنفذ بعد ذلك مفتقر إلى الدليل، وليس فليس</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بثبوت ولاية وصيّ الأب مع وجود الجد فيما يتعلق بالثلث </w:t>
      </w:r>
      <w:r>
        <w:rPr>
          <w:rStyle w:val="FootnoteAnchor"/>
          <w:rtl w:val="true"/>
        </w:rPr>
        <w:footnoteReference w:id="1266"/>
      </w:r>
      <w:r>
        <w:rPr>
          <w:rFonts w:ascii="Amiri" w:hAnsi="Amiri" w:eastAsia="Amiri" w:cs="Amiri"/>
          <w:color w:val="111111"/>
          <w:sz w:val="28"/>
          <w:sz w:val="28"/>
          <w:szCs w:val="28"/>
          <w:rtl w:val="true"/>
          <w:lang w:bidi="ar-SA"/>
        </w:rPr>
        <w:t>لأن للموصي إخراجه عن الوارث أصلاً، فيكون له إثبات ولاية غيره بطريق أولى</w:t>
      </w:r>
      <w:r>
        <w:rPr>
          <w:rFonts w:eastAsia="Amiri" w:cs="Amiri" w:ascii="Amiri" w:hAnsi="Amiri"/>
          <w:color w:val="111111"/>
          <w:sz w:val="28"/>
          <w:szCs w:val="28"/>
          <w:rtl w:val="true"/>
          <w:lang w:bidi="ar-SA"/>
        </w:rPr>
        <w:t xml:space="preserve">. </w:t>
      </w:r>
      <w:bookmarkStart w:id="831" w:name="pg19218_274290"/>
    </w:p>
    <w:p>
      <w:pPr>
        <w:pStyle w:val="BookText"/>
        <w:rPr/>
      </w:pPr>
      <w:bookmarkEnd w:id="831"/>
      <w:r>
        <w:rPr>
          <w:rFonts w:ascii="Amiri" w:hAnsi="Amiri" w:eastAsia="Amiri" w:cs="Amiri"/>
          <w:color w:val="111111"/>
          <w:sz w:val="28"/>
          <w:sz w:val="28"/>
          <w:szCs w:val="28"/>
          <w:rtl w:val="true"/>
          <w:lang w:bidi="ar-SA"/>
        </w:rPr>
        <w:t>وهو ضعيف؛ لأنّ إخراج الثلث عن الوارث لا يقضي إلّا بالولاية عليه، ولا يقضي بالولاية على الأطفال، وغاية ما في الباب أنّ الولاية على الثلث تقضي بملك الأطفال له، فيتولاه مَنْ يتولّى أموالهم</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3425357_1280447820"/>
      <w:bookmarkStart w:id="833" w:name="_Toc297"/>
      <w:bookmarkEnd w:id="832"/>
      <w:r>
        <w:rPr>
          <w:rtl w:val="true"/>
        </w:rPr>
        <w:t>ثامن عشرها</w:t>
      </w:r>
      <w:r>
        <w:rPr>
          <w:rtl w:val="true"/>
        </w:rPr>
        <w:t xml:space="preserve">: </w:t>
      </w:r>
      <w:r>
        <w:rPr>
          <w:rtl w:val="true"/>
        </w:rPr>
        <w:t>هل يعتبر وجود شرائط الموصي من حين الوصيّة أو عند الموت أو عند الوصيّة أو</w:t>
      </w:r>
      <w:bookmarkEnd w:id="833"/>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الشرائط من الكمال والإسلام والحرية والعدالة هل الاعتبار فيها عند الوصيّة، أو عند الموت أو من حين الوصيّة مستمرّةً إلى عند الموت، أو من حين الوصيّة إلى تنفيذها بعد الموت؟ أقوال وأظهرها وأشهرها الأول؛ قضاء لحق الشرطية المذكورة في عبائرهم، والظاهر أنّها شرط عندهم حال الوصيّة في الوصيّة المطلقة، وأما المقيدة بالكمال والحرّية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وصيّي إذا بلغ أو عقل أو صار حُرّاً، فلا بأس، ويكون وصيّاً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ذلك ما دلّ عليه الدليل من الوصاية إلى الصبي منضماً لا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الوصي منهي عن وصاية من لم يكمل هذه الصفات، والنهي مقتض للفساد، ولأن الوصيّ يجب أن يكون بحيث لو مات الموصي كان نافذ التصرف، وإذا فقد الشرط حال الوصاية لم يكن نافذ التصرّف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نظر، والأقوى اشتراطها حال الوصيّة واستمرارها إلى الموت، بل إلى تنفيذ الوصي ما أُوصي به؛ للشكّ في شمول أدلة الوصاية لذلك، ولانفساخها بطروء ما يمنع من التصرف، فعودها مفتقر إلى الدليل واحتمال أنّ اختلال الشرائط مبطل لأثرها غير مبطل لها لنفسها فإذا زال المانع عمل المقتضي عمله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فالوصاية وإن لم تكن عقداً ولكن لها شبه بالعقد الجائز فينقضها ما ينقضه، سوى موت الموصي فإنّه مثبت لها لا فاسخ</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3425359_1280447820"/>
      <w:bookmarkStart w:id="835" w:name="_Toc298"/>
      <w:bookmarkEnd w:id="834"/>
      <w:r>
        <w:rPr>
          <w:rtl w:val="true"/>
        </w:rPr>
        <w:t>تاسع عشرها</w:t>
      </w:r>
      <w:r>
        <w:rPr>
          <w:rtl w:val="true"/>
        </w:rPr>
        <w:t xml:space="preserve">: </w:t>
      </w:r>
      <w:r>
        <w:rPr>
          <w:rtl w:val="true"/>
        </w:rPr>
        <w:t>في أُمور متفرقة</w:t>
      </w:r>
      <w:r>
        <w:rPr>
          <w:rtl w:val="true"/>
        </w:rPr>
        <w:t>:</w:t>
      </w:r>
      <w:bookmarkEnd w:id="835"/>
    </w:p>
    <w:p>
      <w:pPr>
        <w:pStyle w:val="Heading5"/>
        <w:numPr>
          <w:ilvl w:val="4"/>
          <w:numId w:val="1"/>
        </w:numPr>
        <w:rPr/>
      </w:pPr>
      <w:bookmarkStart w:id="836" w:name="__RefHeading___Toc13425361_1280447820"/>
      <w:bookmarkStart w:id="837" w:name="_Toc299"/>
      <w:bookmarkEnd w:id="836"/>
      <w:r>
        <w:rPr>
          <w:rtl w:val="true"/>
        </w:rPr>
        <w:t>أحدها</w:t>
      </w:r>
      <w:r>
        <w:rPr>
          <w:rtl w:val="true"/>
        </w:rPr>
        <w:t xml:space="preserve">: </w:t>
      </w:r>
      <w:r>
        <w:rPr>
          <w:rtl w:val="true"/>
        </w:rPr>
        <w:t>ثبوت الوصيّة بالمال بشهادة رجلين عدلين وبشهادة رجل ويمين و</w:t>
      </w:r>
      <w:bookmarkEnd w:id="83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الوصيّة بالمال بشهادة رجلين عدلين للإجماع والنصوص بالعموم والخصوص، وبشهادة رجل ويمين وبشهادة رجل وامرأتين، وبشهادة امرأتين ويمين لو قلنا به في مقامه، وبشهادة الأربع من النساء كذلك؛ للنصوص </w:t>
      </w:r>
      <w:r>
        <w:rPr>
          <w:rStyle w:val="FootnoteAnchor"/>
          <w:rtl w:val="true"/>
        </w:rPr>
        <w:footnoteReference w:id="1268"/>
      </w:r>
      <w:r>
        <w:rPr>
          <w:rFonts w:ascii="IRNazanin" w:hAnsi="IRNazanin" w:eastAsia="IRNazanin"/>
          <w:color w:val="111111"/>
          <w:sz w:val="28"/>
          <w:sz w:val="28"/>
          <w:szCs w:val="28"/>
          <w:rtl w:val="true"/>
          <w:lang w:bidi="fa-IR"/>
        </w:rPr>
        <w:t>وللإجماع</w:t>
      </w:r>
      <w:r>
        <w:rPr>
          <w:rFonts w:eastAsia="IRNazanin" w:cs="IRNazanin"/>
          <w:color w:val="111111"/>
          <w:sz w:val="28"/>
          <w:szCs w:val="28"/>
          <w:rtl w:val="true"/>
          <w:lang w:bidi="fa-IR"/>
        </w:rPr>
        <w:t xml:space="preserve">. </w:t>
      </w:r>
      <w:bookmarkStart w:id="838" w:name="pg19218_274291"/>
    </w:p>
    <w:p>
      <w:pPr>
        <w:pStyle w:val="BookText"/>
        <w:rPr/>
      </w:pPr>
      <w:bookmarkEnd w:id="838"/>
      <w:r>
        <w:rPr>
          <w:rFonts w:ascii="Amiri" w:hAnsi="Amiri" w:eastAsia="Amiri" w:cs="Amiri"/>
          <w:color w:val="111111"/>
          <w:sz w:val="28"/>
          <w:sz w:val="28"/>
          <w:szCs w:val="28"/>
          <w:rtl w:val="true"/>
          <w:lang w:bidi="ar-SA"/>
        </w:rPr>
        <w:t xml:space="preserve">وتثبت بشهادة واحدة ربع الوصيّة، للإجماع المنقول </w:t>
      </w:r>
      <w:r>
        <w:rPr>
          <w:rStyle w:val="FootnoteAnchor"/>
          <w:rtl w:val="true"/>
        </w:rPr>
        <w:footnoteReference w:id="1269"/>
      </w:r>
      <w:r>
        <w:rPr>
          <w:rFonts w:ascii="Amiri" w:hAnsi="Amiri" w:eastAsia="Amiri" w:cs="Amiri"/>
          <w:color w:val="111111"/>
          <w:sz w:val="28"/>
          <w:sz w:val="28"/>
          <w:szCs w:val="28"/>
          <w:rtl w:val="true"/>
          <w:lang w:bidi="ar-SA"/>
        </w:rPr>
        <w:t>، والصحاح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شهدها 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تجوز شهادة الامرأة في ربع الوصيّة إذا كانت مسلمة غير مريبة في دينها</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امرأةٍ حضرت رجلاً يوصي ليس معها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يجاز ربع ما أوصى بحساب شهادتها</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إلى غير ذلك من الأخبار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بحساب شهادتها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كلام الأصحاب أنّه كما تقبل شهادة الواحدة بالربع تقبل شهادة الاثنتين بالنصف، والثلاث بالثلاثة أرباع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الفتوى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قبول شهادتهن على يمين المدعي؛ للأصل، ولأنّ مشروعية انضمام اليمين إلى البيئة إنّما هو لإثبات جميع الحق، لا لإثبات البعض بحسابه، فإثبات البعض لا يفتقر إلى شيءٍ، بل مقتضى إطلاق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النصف بالاثنتين والثلاثة أرباع بالثلاث لا يتفاوت الحال فيه بين انضمام اليمين إليهن وبين عدمه، وإثبات جميع المشهود به بانضمام اليمين إلى الشاهد الواحد إنما جاء به الدليل، فلا يقاس عليه غيره، ولو قلنا بجواز انضمام اليمين إلى الامرأتين في غير الوصيّة لا نقول به فيها؛ لإطلاقهم ثبوت النصف بشهادة امرأتين من دون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واحد بالوصيّة فإن انضم إليه يمين المدّعي ثبت الجميع، وإلا ففي بطلان شهادته؛ لعدم الدليل، أو إمضائها في النصف لقيامها مقام شهادة اثنين أو في الربع؛ لعدم قصوره عن الواحدة إن لم يزد عليها وجوه، والأوّل أقرب بمقتضى الأدلّة؛ لأنّ المساواة والأولوية ممنوعتان والأخير أقرب بنظر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تثبت الوصاية إلّا بشاهدين، ولا تثبت بشاهد وامرأتين، أو بشاهد ويمين، أو بامرأتين ويمين، كما سيجيء تحقيقه في باب الشهادات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13425363_1280447820"/>
      <w:bookmarkStart w:id="840" w:name="_Toc300"/>
      <w:bookmarkEnd w:id="839"/>
      <w:r>
        <w:rPr>
          <w:rtl w:val="true"/>
        </w:rPr>
        <w:t>ثانيها</w:t>
      </w:r>
      <w:r>
        <w:rPr>
          <w:rtl w:val="true"/>
        </w:rPr>
        <w:t xml:space="preserve">: </w:t>
      </w:r>
      <w:r>
        <w:rPr>
          <w:rtl w:val="true"/>
        </w:rPr>
        <w:t>عدم قبول شهادة الكافر ولاغير المؤمن من الفِرَق</w:t>
      </w:r>
      <w:bookmarkEnd w:id="84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الكافر ولا غير المؤمن من الفرق، سوى شهادة أهل الذمّة في السفر </w:t>
      </w:r>
    </w:p>
    <w:p>
      <w:pPr>
        <w:pStyle w:val="BookText"/>
        <w:rPr/>
      </w:pPr>
      <w:r>
        <w:rPr>
          <w:rFonts w:ascii="Amiri" w:hAnsi="Amiri" w:eastAsia="Amiri" w:cs="Amiri"/>
          <w:color w:val="111111"/>
          <w:sz w:val="28"/>
          <w:sz w:val="28"/>
          <w:szCs w:val="28"/>
          <w:rtl w:val="true"/>
          <w:lang w:bidi="ar-SA"/>
        </w:rPr>
        <w:t>إذا كانوا عدولاً في دينهم، ويحلفان مع الريبة في شهادتهما بعد الصلاة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نَشتَرِى بِهِ ثَمَناً وَلَو كَانَ ذَا قُرْبَى وَلَا نَكْتُمُ شَهَادَةَ اللّه إِنَّا إِذا لَمِنَ الآثِمِينَ</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وأنّه متى ما عثر على بطلان شهادتهما فليس له نقضها حتّى يأتي بشاهدين يقومان مقام الشاهدين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 لَشَهَادَتْنَا أَحَقُّ مِن شَهَادَتِهِمَا وَمَا اعْتَدَينَا إِنَّا إِذا لَمِنَ الظَّالِمِينَ</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هذه الأحكام بعد الكتاب السنة المستفيضة الدالّة على مشروعية ذلك</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يُفهم من مجموعها أنّه يشترط في قبول شهادتهم السفر، فلو لم يكن كذلك لم تقبل شهادتهم، سواء أمكن في الحضر وجود المسلم أو 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بإطلاقه على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الرجل في بلدٍ ليس فيها مسلم جازت شهادة مَنْ ليس بمسلم على الوصيّة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بمفهوم أخبار عديدة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في أرض غربة ولم يجد مسلمين</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كما في واحد،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سفر ولم يجد مسلمين</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كما في ثاني،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بأرض غربة وطلب رجلين مسلمين ليشهدهما على وصيته فلم يجد مسلمين فليشهد على وصيته ذمّتين</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كما في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ما ذهب إليه الأكثر </w:t>
      </w:r>
      <w:r>
        <w:rPr>
          <w:rStyle w:val="FootnoteAnchor"/>
          <w:rtl w:val="true"/>
        </w:rPr>
        <w:footnoteReference w:id="1279"/>
      </w:r>
      <w:r>
        <w:rPr>
          <w:rFonts w:ascii="Amiri" w:hAnsi="Amiri" w:eastAsia="Amiri" w:cs="Amiri"/>
          <w:color w:val="111111"/>
          <w:sz w:val="28"/>
          <w:sz w:val="28"/>
          <w:szCs w:val="28"/>
          <w:rtl w:val="true"/>
          <w:lang w:bidi="ar-SA"/>
        </w:rPr>
        <w:t>من عدم اشتراط السفر، وتنزيل ما علّق الحكم عليه فيه على الغالب، فلا يصلح المفهوم للتقييد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لكفاية مخالفة الحكم للأصل ولزوم الاقتصار فيه على مورد اليقين، كما في إثبات الاشتراط، وما ورد من الإطلاق مشكوك في شموله للحضور؛ لانصراف مطلقه إلى حال الغيبة؛ لأن الغالب في عدم وجدان المسلم للمسلم إنّما هو في حال الغيبة دون حال الحضور، فترجيح تنزيل التقييد على الغالب ليس بأولى من تنزيل المطلق على الفرد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يستند إليه ممّا ورد في بعض الأخبار من التعليل بأنّ قبول شهادة الكافر لئلا يضيع الحقّ </w:t>
      </w:r>
      <w:r>
        <w:rPr>
          <w:rStyle w:val="FootnoteAnchor"/>
          <w:rtl w:val="true"/>
        </w:rPr>
        <w:footnoteReference w:id="1280"/>
      </w:r>
      <w:r>
        <w:rPr>
          <w:rFonts w:ascii="Amiri" w:hAnsi="Amiri" w:eastAsia="Amiri" w:cs="Amiri"/>
          <w:color w:val="111111"/>
          <w:sz w:val="28"/>
          <w:sz w:val="28"/>
          <w:szCs w:val="28"/>
          <w:rtl w:val="true"/>
          <w:lang w:bidi="ar-SA"/>
        </w:rPr>
        <w:t>ضعيف؛ لإعراض الأصحاب عنها، بل للإجماع على عدم اطرادها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يشترط الحلف تبعاً لما دلّت عليه الآية </w:t>
      </w:r>
      <w:r>
        <w:rPr>
          <w:rStyle w:val="FootnoteAnchor"/>
          <w:rtl w:val="true"/>
        </w:rPr>
        <w:footnoteReference w:id="1281"/>
      </w:r>
      <w:r>
        <w:rPr>
          <w:rFonts w:ascii="Amiri" w:hAnsi="Amiri" w:eastAsia="Amiri" w:cs="Amiri"/>
          <w:color w:val="111111"/>
          <w:sz w:val="28"/>
          <w:sz w:val="28"/>
          <w:szCs w:val="28"/>
          <w:rtl w:val="true"/>
          <w:lang w:bidi="ar-SA"/>
        </w:rPr>
        <w:t xml:space="preserve">والرواية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لكثيرين </w:t>
      </w:r>
      <w:r>
        <w:rPr>
          <w:rStyle w:val="FootnoteAnchor"/>
          <w:rtl w:val="true"/>
        </w:rPr>
        <w:footnoteReference w:id="1283"/>
      </w:r>
      <w:r>
        <w:rPr>
          <w:rFonts w:ascii="Amiri" w:hAnsi="Amiri" w:eastAsia="Amiri" w:cs="Amiri"/>
          <w:color w:val="111111"/>
          <w:sz w:val="28"/>
          <w:sz w:val="28"/>
          <w:szCs w:val="28"/>
          <w:rtl w:val="true"/>
          <w:lang w:bidi="ar-SA"/>
        </w:rPr>
        <w:t>، حيث لم يشترطوا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وتردّهم الأخبار المتكثّرة، كخبر يحيى بن محمد </w:t>
      </w:r>
      <w:r>
        <w:rPr>
          <w:rStyle w:val="FootnoteAnchor"/>
          <w:rtl w:val="true"/>
        </w:rPr>
        <w:footnoteReference w:id="1284"/>
      </w:r>
      <w:r>
        <w:rPr>
          <w:rFonts w:ascii="Amiri" w:hAnsi="Amiri" w:eastAsia="Amiri" w:cs="Amiri"/>
          <w:color w:val="111111"/>
          <w:sz w:val="28"/>
          <w:sz w:val="28"/>
          <w:szCs w:val="28"/>
          <w:rtl w:val="true"/>
          <w:lang w:bidi="ar-SA"/>
        </w:rPr>
        <w:t xml:space="preserve">، ومرفوع عليّ بن إبراهيم </w:t>
      </w:r>
      <w:r>
        <w:rPr>
          <w:rStyle w:val="FootnoteAnchor"/>
          <w:rtl w:val="true"/>
        </w:rPr>
        <w:footnoteReference w:id="1285"/>
      </w:r>
      <w:r>
        <w:rPr>
          <w:rFonts w:ascii="IRNazanin" w:hAnsi="IRNazanin" w:eastAsia="IRNazanin"/>
          <w:color w:val="111111"/>
          <w:sz w:val="28"/>
          <w:sz w:val="28"/>
          <w:szCs w:val="28"/>
          <w:rtl w:val="true"/>
          <w:lang w:bidi="fa-IR"/>
        </w:rPr>
        <w:t xml:space="preserve">، وخبر المفضّل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اشتراط كون الحلف بعد الصلاة، والأحوط أن يكون بالكيفية المذكورة في الآية </w:t>
      </w:r>
      <w:r>
        <w:rPr>
          <w:rStyle w:val="FootnoteAnchor"/>
          <w:rtl w:val="true"/>
        </w:rPr>
        <w:footnoteReference w:id="1287"/>
      </w:r>
      <w:r>
        <w:rPr>
          <w:rFonts w:ascii="Amiri" w:hAnsi="Amiri" w:eastAsia="Amiri" w:cs="Amiri"/>
          <w:color w:val="111111"/>
          <w:sz w:val="28"/>
          <w:sz w:val="28"/>
          <w:szCs w:val="28"/>
          <w:rtl w:val="true"/>
          <w:lang w:bidi="ar-SA"/>
        </w:rPr>
        <w:t xml:space="preserve">كما أنّ الأحوط أن يكون بعد صلاة العصر، كما دلّ عليه مرفوع علي بن إبراهيم، ورواية يحيى بن محمد كما في بعض النسخ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عدالتهما في مذهبهما؛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حمزة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مرضيين عند أصحابهما</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ولأن الأصل في الشهادة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القول بعدم الاشتراط أو باشتراط عدم معروفيتهما بالكذب بين أصحابهم؛ لإطلاق الآية </w:t>
      </w:r>
      <w:r>
        <w:rPr>
          <w:rStyle w:val="FootnoteAnchor"/>
          <w:rtl w:val="true"/>
        </w:rPr>
        <w:footnoteReference w:id="1290"/>
      </w:r>
      <w:r>
        <w:rPr>
          <w:rFonts w:ascii="Amiri" w:hAnsi="Amiri" w:eastAsia="Amiri" w:cs="Amiri"/>
          <w:color w:val="111111"/>
          <w:sz w:val="28"/>
          <w:sz w:val="28"/>
          <w:szCs w:val="28"/>
          <w:rtl w:val="true"/>
          <w:lang w:bidi="ar-SA"/>
        </w:rPr>
        <w:t xml:space="preserve">، ولانجبار شهادتهما باليمين إلّا أنّه قد نُقل على اشتراط العدالة عدم الخلاف </w:t>
      </w:r>
      <w:r>
        <w:rPr>
          <w:rStyle w:val="FootnoteAnchor"/>
          <w:rtl w:val="true"/>
        </w:rPr>
        <w:footnoteReference w:id="1291"/>
      </w:r>
      <w:r>
        <w:rPr>
          <w:rFonts w:ascii="Amiri" w:hAnsi="Amiri" w:eastAsia="Amiri" w:cs="Amiri"/>
          <w:color w:val="111111"/>
          <w:sz w:val="28"/>
          <w:sz w:val="28"/>
          <w:szCs w:val="28"/>
          <w:rtl w:val="true"/>
          <w:lang w:bidi="ar-SA"/>
        </w:rPr>
        <w:t>، فلا يمكن العدول عنه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عدم وجود مسلمين عدلين يمكن شهادتهما، ولو وجدا ولكن لم يمكن شهادتهما ففي كون مجرد الوجود مانعاً أم لا، وجهان</w:t>
      </w:r>
      <w:r>
        <w:rPr>
          <w:rFonts w:eastAsia="Amiri" w:cs="Amiri" w:ascii="Amiri" w:hAnsi="Amiri"/>
          <w:color w:val="111111"/>
          <w:sz w:val="28"/>
          <w:szCs w:val="28"/>
          <w:rtl w:val="true"/>
          <w:lang w:bidi="ar-SA"/>
        </w:rPr>
        <w:t xml:space="preserve">. </w:t>
      </w:r>
      <w:bookmarkStart w:id="841" w:name="pg19218_274294"/>
    </w:p>
    <w:p>
      <w:pPr>
        <w:pStyle w:val="BookText"/>
        <w:rPr/>
      </w:pPr>
      <w:bookmarkEnd w:id="841"/>
      <w:r>
        <w:rPr>
          <w:rFonts w:ascii="Amiri" w:hAnsi="Amiri" w:eastAsia="Amiri" w:cs="Amiri"/>
          <w:color w:val="111111"/>
          <w:sz w:val="28"/>
          <w:sz w:val="28"/>
          <w:szCs w:val="28"/>
          <w:rtl w:val="true"/>
          <w:lang w:bidi="ar-SA"/>
        </w:rPr>
        <w:t xml:space="preserve">وهل يمنع وجود مسلمين فاسقين أو مجهولي الحال وإن لم ينتفع بهما في الشهادة، أو يمنع وجودهما وينتفع بشهادتهما على نحو شهادة أهل الذمّة؛ للأولوية، أو لا يمنع وجودهما؛ لأن المانع هو وجود المسلمين العدلين، كما تشعر به الآية، وإطلاق الأخبار محمول عليه؛ لأنّ غير العدل بحكم العدم؟ واختار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المسلمين الفاسقين إذا لم يكن فسقهما بالكذب والخيانة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يمنع وجود العدل الواحد إذا أمكنت شهادته من قبول شهادتهما ؟ الأقوى ذلك إذا أمكن انضمام اليمين إليه، وإلا فالأقوى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تقبل شهادة الذميين بالولاية كما تقبل بالمال؟ الأقوى العدم؛ لاختصاص مورد الأدلّة بالمال فقط، فالتعدي مفتقر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يلحق المجوس بأهل الكتاب؛ لما يُفهم من بعض النصوص من أن قبول شهادة الكافر إنّما هي لعدم تضييع حقّ المسلم </w:t>
      </w:r>
      <w:r>
        <w:rPr>
          <w:rStyle w:val="FootnoteAnchor"/>
          <w:rtl w:val="true"/>
        </w:rPr>
        <w:footnoteReference w:id="1293"/>
      </w:r>
      <w:r>
        <w:rPr>
          <w:rFonts w:ascii="Amiri" w:hAnsi="Amiri" w:eastAsia="Amiri" w:cs="Amiri"/>
          <w:color w:val="111111"/>
          <w:sz w:val="28"/>
          <w:sz w:val="28"/>
          <w:szCs w:val="28"/>
          <w:rtl w:val="true"/>
          <w:lang w:bidi="ar-SA"/>
        </w:rPr>
        <w:t xml:space="preserve">، وللخبر الدال على إلحاقهم بأهل الذمّة في قبول الشهادة </w:t>
      </w:r>
      <w:r>
        <w:rPr>
          <w:rStyle w:val="FootnoteAnchor"/>
          <w:rtl w:val="true"/>
        </w:rPr>
        <w:footnoteReference w:id="1294"/>
      </w:r>
      <w:r>
        <w:rPr>
          <w:rFonts w:ascii="Amiri" w:hAnsi="Amiri" w:eastAsia="Amiri" w:cs="Amiri"/>
          <w:color w:val="111111"/>
          <w:sz w:val="28"/>
          <w:sz w:val="28"/>
          <w:szCs w:val="28"/>
          <w:rtl w:val="true"/>
          <w:lang w:bidi="ar-SA"/>
        </w:rPr>
        <w:t>، أو لا يلحق؛ للأصل، ولضعف العلّة عن السريان، كما يُفهم من الأصحاب، وضعف الخبر عن المقاومة؟</w:t>
      </w:r>
    </w:p>
    <w:p>
      <w:pPr>
        <w:pStyle w:val="Heading5"/>
        <w:numPr>
          <w:ilvl w:val="4"/>
          <w:numId w:val="1"/>
        </w:numPr>
        <w:rPr/>
      </w:pPr>
      <w:bookmarkStart w:id="842" w:name="__RefHeading___Toc13425365_1280447820"/>
      <w:bookmarkStart w:id="843" w:name="_Toc301"/>
      <w:bookmarkEnd w:id="842"/>
      <w:r>
        <w:rPr>
          <w:rtl w:val="true"/>
        </w:rPr>
        <w:t>ثالثها</w:t>
      </w:r>
      <w:r>
        <w:rPr>
          <w:rtl w:val="true"/>
        </w:rPr>
        <w:t xml:space="preserve">: </w:t>
      </w:r>
      <w:r>
        <w:rPr>
          <w:rtl w:val="true"/>
        </w:rPr>
        <w:t>فيما يتعلّق بما إذا أشهد الموصي عبدين له على أن حمل المملوكة له منه ثمّ ورثهما غير الحمل فأعتقا فشهدا للحمل بالنبوة للموصي</w:t>
      </w:r>
      <w:bookmarkEnd w:id="843"/>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أشهد الموصي عبدين له على أنّ حمل المملوكة له منه، ثمّ ورثهما غير الحمل فأعتقا فشهدا للحمل بالبنوّة للموصي صحت شهادتهما، ويثبت كون الحمل ابنا للموصي، وحكم له برقيتهما، وكذا لو شهد العبدان بذلك من دون إيصاء على الأظهر الأشهر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الوصيّة فهو إجماعي على الظاهر، والإجماع منقول عليه </w:t>
      </w:r>
      <w:r>
        <w:rPr>
          <w:rStyle w:val="FootnoteAnchor"/>
          <w:rtl w:val="true"/>
        </w:rPr>
        <w:footnoteReference w:id="1295"/>
      </w:r>
      <w:r>
        <w:rPr>
          <w:rFonts w:ascii="Amiri" w:hAnsi="Amiri" w:eastAsia="Amiri" w:cs="Amiri"/>
          <w:color w:val="111111"/>
          <w:sz w:val="28"/>
          <w:sz w:val="28"/>
          <w:szCs w:val="28"/>
          <w:rtl w:val="true"/>
          <w:lang w:bidi="ar-SA"/>
        </w:rPr>
        <w:t>، والصحيح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جاريةً ومملوكين فورثهما أخ له فأعتق العبدين وولدت الجارية غلاماً فشهدا بعد العتق أنّ مولاهما كان أشهدهما أنّه كان يقع على الجارية، وأن الحبل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شهادتهما، ويردان عبدين</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bookmarkStart w:id="844" w:name="pg19218_274295"/>
    </w:p>
    <w:p>
      <w:pPr>
        <w:pStyle w:val="BookText"/>
        <w:rPr/>
      </w:pPr>
      <w:bookmarkEnd w:id="844"/>
      <w:r>
        <w:rPr>
          <w:rFonts w:ascii="Amiri" w:hAnsi="Amiri" w:eastAsia="Amiri" w:cs="Amiri"/>
          <w:color w:val="111111"/>
          <w:sz w:val="28"/>
          <w:sz w:val="28"/>
          <w:szCs w:val="28"/>
          <w:rtl w:val="true"/>
          <w:lang w:bidi="ar-SA"/>
        </w:rPr>
        <w:t>وأما من دون الوصيّة فيدلّ عليه إطلاق الخبر، وفتوى المشهور، وأن شهادة العبد مسموعة المولاه، بل يمكن خروج هذه الشهادة عن كونها شهادة للمولى وعلى المولى؛ لحريتهما ظاهراً وإن أثبتت الشهادة رقيتهما، وأنهما بعد العتق خرجا عن عبودية الوارث، فلا تكون الشهادة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في سفرٍ ومعه جارية له وغلامان مملوكان،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حُرّان لوجه اللّه تعالى، واشهدا أن ما في بطن جاريتي لي منّي فولدت غلاماً، فلما قدموا على الورثة أنكروا ذلك واسترقوهم، ثمّ إن الغلامين أعتقا بعد ذلك فشهدا بعدما أعتقا أن مولاهما الأوّل أشهدهما أن ما في بطنها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شهادتهما للغلام، فلا يسترقهما الغلام الذي شهدا له؛ لأنّهما أثبتاه</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والنهي عن استرقاقهما للكراهة، كما هو المشهور بين الأصحاب، وقضت به الرواية الأُولى، وأشعر به التعليل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لمن حرمه وأوجب العتق أخذاً بظاهر النهى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13425367_1280447820"/>
      <w:bookmarkStart w:id="846" w:name="_Toc302"/>
      <w:bookmarkEnd w:id="845"/>
      <w:r>
        <w:rPr>
          <w:rtl w:val="true"/>
        </w:rPr>
        <w:t>رابعها</w:t>
      </w:r>
      <w:r>
        <w:rPr>
          <w:rtl w:val="true"/>
        </w:rPr>
        <w:t xml:space="preserve">: </w:t>
      </w:r>
      <w:r>
        <w:rPr>
          <w:rtl w:val="true"/>
        </w:rPr>
        <w:t>عدم قبول شهادة الوصي فيما هو وصيّ فيه ولا ما يجر نفعاً أو يستفيد به ولاية</w:t>
      </w:r>
      <w:bookmarkEnd w:id="846"/>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الوصي فيما هو وصي فيه، ولا ما يجرّ نفعاً أو يستفيد به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كان لنفسه حظ في الشهادة بطلت شهادته، كما إذا كان وصيّاً على مال معين فينازعه فيه منازع فيشهد به للموصي، أو كان وصيّاً في تفرقة ثلثه فشهد بمال للمورّث ليوفّر الثلث، أو كان وصيّاً على ولده الصغير فيشهد للولد بمال ليكون ولياً عليه، وكما إذا كان وصيّاً في إخراج مالٍ معيّن فشهد للميت بما يخرج به ذلك المال من الثلث، كما لو أوصى بإخراج ألف درهم والتركة ظاهراً ألفان، فشهد الوصي على أن للميت ديناً على فلان ألفاً، ففي جميع هذه ونحوها لا تقبل شهادة الوصي، كما هو فتوى المشهور، ولأنها ممّا تجرّ نفعاً غالباً، لاستحقاقه الأجرة على إعمال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الروايات الدالّة على عدم قبول شهادة المتهم</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بقبول شهادته </w:t>
      </w:r>
      <w:r>
        <w:rPr>
          <w:rStyle w:val="FootnoteAnchor"/>
          <w:rtl w:val="true"/>
        </w:rPr>
        <w:footnoteReference w:id="1300"/>
      </w:r>
      <w:r>
        <w:rPr>
          <w:rFonts w:ascii="Amiri" w:hAnsi="Amiri" w:eastAsia="Amiri" w:cs="Amiri"/>
          <w:color w:val="111111"/>
          <w:sz w:val="28"/>
          <w:sz w:val="28"/>
          <w:szCs w:val="28"/>
          <w:rtl w:val="true"/>
          <w:lang w:bidi="ar-SA"/>
        </w:rPr>
        <w:t>لأنّه لا يستفيد مالاً من الأموال المشهود بها، وقد لا يستحق أجرة لعدم ثبوت الأجرة، أو لإقدامه تبرّعاً</w:t>
      </w:r>
      <w:r>
        <w:rPr>
          <w:rFonts w:eastAsia="Amiri" w:cs="Amiri" w:ascii="Amiri" w:hAnsi="Amiri"/>
          <w:color w:val="111111"/>
          <w:sz w:val="28"/>
          <w:szCs w:val="28"/>
          <w:rtl w:val="true"/>
          <w:lang w:bidi="ar-SA"/>
        </w:rPr>
        <w:t xml:space="preserve">. </w:t>
      </w:r>
      <w:bookmarkStart w:id="847" w:name="pg19218_274296"/>
    </w:p>
    <w:p>
      <w:pPr>
        <w:pStyle w:val="BookText"/>
        <w:rPr/>
      </w:pPr>
      <w:bookmarkEnd w:id="847"/>
      <w:r>
        <w:rPr>
          <w:rFonts w:ascii="Amiri" w:hAnsi="Amiri" w:eastAsia="Amiri" w:cs="Amiri"/>
          <w:color w:val="111111"/>
          <w:sz w:val="28"/>
          <w:sz w:val="28"/>
          <w:szCs w:val="28"/>
          <w:rtl w:val="true"/>
          <w:lang w:bidi="ar-SA"/>
        </w:rPr>
        <w:t>وللمكاتبة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للوصي أن يشهد لوارث الميّت صغيراً أو كبيراً بحق له على الميّت أو على غيره وهو القابض للوارث الصغير وليس للكبير بقابض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العدل لا يُتهم على مال الغير باعتبار ولايته، بل الغالب أن العدل لا يستفيد سوى الضرر من لزوم الحفظ والإنفاق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لأن شهادة الوصي فيما هو وصي فيه من شأنها جرّ النفع والتهمة على مال أو ولايةٍ، فلا تُقبل وإن أمكن ارتفاعها في جملة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ضعيفة عن مقاومة الروايات المعتضدة بفتوى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ظهر أنّه لو شهد الوصي بما لا يجرّ نفعاً له، كما إذا شهد الوصي على دَيْنٍ لا يتعلق به ولاية، ولا يكون من الثلث الموصى عليه قبلت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الوصي للميت بدين له على رجل مع شاهد آخر عدل،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معه آخر عَدل فعلى المدّعي يمين</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بناء على كفاية شهادة الوصي إذا كان عدلاً مع اليمين فلا حاجة إلى عَدْلٍ آخر، فانضمامه إليه كناية عن عدم قبول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إذا جرّت الشهادة نفعاً لا مطلقاً</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13425369_1280447820"/>
      <w:bookmarkStart w:id="849" w:name="_Toc303"/>
      <w:bookmarkEnd w:id="848"/>
      <w:r>
        <w:rPr>
          <w:rtl w:val="true"/>
        </w:rPr>
        <w:t>خامسها</w:t>
      </w:r>
      <w:r>
        <w:rPr>
          <w:rtl w:val="true"/>
        </w:rPr>
        <w:t xml:space="preserve">: </w:t>
      </w:r>
      <w:r>
        <w:rPr>
          <w:rtl w:val="true"/>
        </w:rPr>
        <w:t>فيما إذا أوصى بعتق رقبة مطلقاً أجزأ الصغير والكبير والأنثى والذكر والمؤمن وغيره</w:t>
      </w:r>
      <w:bookmarkEnd w:id="849"/>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بعتق رقبةٍ مطلقاً، أجزأ الصغير والكبير، والأنثى والذكر، والمؤمن وغير المؤمن، إلّا إذا انصرف الإطلاق في عرف خاص إلى المؤمنة، وإن قيدها بالإيمان لزم عتق المؤمنة بنظره واجتهاده، فإن تبيّن الخلاف بعد الاجتهاد فلا ضمان عليه، وإن قصر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يجد مؤمنةً أعتق من لا يعرف بنصب؛ 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 xml:space="preserve">حمزة </w:t>
      </w:r>
      <w:r>
        <w:rPr>
          <w:rStyle w:val="FootnoteAnchor"/>
          <w:rtl w:val="true"/>
        </w:rPr>
        <w:footnoteReference w:id="1304"/>
      </w:r>
      <w:r>
        <w:rPr>
          <w:rFonts w:ascii="Amiri" w:hAnsi="Amiri" w:eastAsia="Amiri" w:cs="Amiri"/>
          <w:color w:val="111111"/>
          <w:sz w:val="28"/>
          <w:sz w:val="28"/>
          <w:szCs w:val="28"/>
          <w:rtl w:val="true"/>
          <w:lang w:bidi="ar-SA"/>
        </w:rPr>
        <w:t xml:space="preserve">المنجبر ضعفها بالشهرة، وبالإجماع المحكي على قبول رواية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ولرواية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بثلاثين ديناراً يعتق بها رجل من أصحابنا فلم يوجد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ذلك من الناس فيعتق</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وإن لم يكن فيها التقييد بعدم النصب إلّا أنّه مستفاد من الخارج؛ لكفر الناصب، وعدم جواز عتق الكافر، مع ظهوره من روايته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هلك فأوصى بعتق نسمةٍ مسلمة بثلاثين ديناراً فلم يوجد بالذي سمّى 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لهم أن يزيدوا على الذي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فيشترون من عرض الناس ما لم يكن ناصباً</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لجماعة، فلم يجوزوا ذلك وقالوا بلزوم توقع المكنة </w:t>
      </w:r>
      <w:r>
        <w:rPr>
          <w:rStyle w:val="FootnoteAnchor"/>
          <w:rtl w:val="true"/>
        </w:rPr>
        <w:footnoteReference w:id="1308"/>
      </w:r>
      <w:r>
        <w:rPr>
          <w:rFonts w:ascii="Amiri" w:hAnsi="Amiri" w:eastAsia="Amiri" w:cs="Amiri"/>
          <w:color w:val="111111"/>
          <w:sz w:val="28"/>
          <w:sz w:val="28"/>
          <w:szCs w:val="28"/>
          <w:rtl w:val="true"/>
          <w:lang w:bidi="ar-SA"/>
        </w:rPr>
        <w:t xml:space="preserve">للأصل والقاعدة، وللزوم تبديل الوصيّة المنهي عنه </w:t>
      </w:r>
      <w:r>
        <w:rPr>
          <w:rStyle w:val="FootnoteAnchor"/>
          <w:rtl w:val="true"/>
        </w:rPr>
        <w:footnoteReference w:id="1309"/>
      </w:r>
      <w:r>
        <w:rPr>
          <w:rFonts w:ascii="Amiri" w:hAnsi="Amiri" w:eastAsia="Amiri" w:cs="Amiri"/>
          <w:color w:val="111111"/>
          <w:sz w:val="28"/>
          <w:sz w:val="28"/>
          <w:szCs w:val="28"/>
          <w:rtl w:val="true"/>
          <w:lang w:bidi="ar-SA"/>
        </w:rPr>
        <w:t>، ومقتضاه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عدم الإمكان ينتقل إلى مَنْ لا يُعرف بنصب؛ لأنّه لا يُترك الميسور بالمعسور، أو أنّه يعود ميراثاً؛ لبطلان مصرف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والناصب هو مَنْ نصب العداوة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نصب لشيعتهم، والخارجي الذي قال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أو من نسب إلى أحد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يثلم العدالة، أو من إذا سمع فضيلة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لأحدٍ من المعصومين أنكرها، أو من اعتقد أفضلية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إذا بلغه نص أو تواتر قطعي أو خبر يعتقد صحّته أنكره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يبعد أنّ ذلك كلّه من النصب؛ لإجمال الناصب في الأخبار، والمفروض أن عدمه شرط، فیلزم اجتناب الكلّ من باب المقدمة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فيختص غير الناصب بمن قدم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أو مصلحة أو نحوها، أو مَنْ لا يعرف الحق ولا يعاند عليه، كما لا يستضعف وشبهه، أو مَنْ أقر بتقديم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أنكر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أصحابنا جعل الناصب كلّ مَنْ قدّم الجبت والطاغوت </w:t>
      </w:r>
      <w:r>
        <w:rPr>
          <w:rStyle w:val="FootnoteAnchor"/>
          <w:rtl w:val="true"/>
        </w:rPr>
        <w:footnoteReference w:id="1310"/>
      </w:r>
      <w:r>
        <w:rPr>
          <w:rFonts w:ascii="Amiri" w:hAnsi="Amiri" w:eastAsia="Amiri" w:cs="Amiri"/>
          <w:color w:val="111111"/>
          <w:sz w:val="28"/>
          <w:sz w:val="28"/>
          <w:szCs w:val="28"/>
          <w:rtl w:val="true"/>
          <w:lang w:bidi="ar-SA"/>
        </w:rPr>
        <w:t xml:space="preserve">لما ورد في الأخبار أنّ الناصب كذلك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مخالف لما عليه الأصحاب، وعلى قوله فغير الناصب هو المستضعف، أو الجاحد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w:t>
      </w:r>
      <w:r>
        <w:rPr>
          <w:rFonts w:eastAsia="Amiri" w:cs="Amiri" w:ascii="Amiri" w:hAnsi="Amiri"/>
          <w:color w:val="111111"/>
          <w:sz w:val="28"/>
          <w:szCs w:val="28"/>
          <w:rtl w:val="true"/>
          <w:lang w:bidi="ar-SA"/>
        </w:rPr>
        <w:t xml:space="preserve">. </w:t>
      </w:r>
      <w:bookmarkStart w:id="850" w:name="pg19218_274298"/>
    </w:p>
    <w:p>
      <w:pPr>
        <w:pStyle w:val="BookText"/>
        <w:rPr/>
      </w:pPr>
      <w:bookmarkEnd w:id="850"/>
      <w:r>
        <w:rPr>
          <w:rFonts w:ascii="Amiri" w:hAnsi="Amiri" w:eastAsia="Amiri" w:cs="Amiri"/>
          <w:color w:val="111111"/>
          <w:sz w:val="28"/>
          <w:sz w:val="28"/>
          <w:szCs w:val="28"/>
          <w:rtl w:val="true"/>
          <w:lang w:bidi="ar-SA"/>
        </w:rPr>
        <w:t>ومَنْ أعتق غير مؤمنة بزعم أنّها مؤمنة، فإن كان عن اجتهاد أجزأ، وإن كان عن تقصير لم يجزئ وتعلّق به الضمان، مع احتمال أن الظنّ كافٍ، والأخذ بالظاهر كافٍ من غير حاجةٍ إلى الاجتهاد، وربما أشعر بذلك كلام الأصحاب، ودلّت عليه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أوصى بعتق نسمةٍ مؤمنة عارفة، فلمّا أعتقناه بان لنا أنّه لغير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أجزأت عنه، إنّما مثل ذلك مثل من اشترى أضحيّةً على أنّها سمينة فوجدها مهزولة فقد أجزأت عنه</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13425371_1280447820"/>
      <w:bookmarkStart w:id="852" w:name="_Toc304"/>
      <w:bookmarkEnd w:id="851"/>
      <w:r>
        <w:rPr>
          <w:rtl w:val="true"/>
        </w:rPr>
        <w:t>سادسها</w:t>
      </w:r>
      <w:r>
        <w:rPr>
          <w:rtl w:val="true"/>
        </w:rPr>
        <w:t xml:space="preserve">: </w:t>
      </w:r>
      <w:r>
        <w:rPr>
          <w:rtl w:val="true"/>
        </w:rPr>
        <w:t>فيما يتعلّق بما إذا أوصى بعتق رقبة بثمن معين</w:t>
      </w:r>
      <w:bookmarkEnd w:id="852"/>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بعتق رقبة بثمن معين وجب شراؤها، فإن لم توجد أو وُجدت ولكن بأزيد توقع المكنة ما لم يؤد إلى اليأس من الإمكان فيشتري البعض؛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ويعتقه، فإن لم يتمكن من البعض صرف في وجوه البر، مع احتمال استواء شراء البعض والصرف في وجوه البرّ، واحتمال البطلان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وجدها بأقلّ ممّا عيّن فإن توقع المكنة انتظرها، وإن يئس اشترى بالأقلّ،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ودفع إليها الباقي؛ لأنّه من مصارف الوصيّة عند تعذرها، ولأنّ الدفع إليها أقرب وجوه البرّ إلى الوصيّة، ولفتوى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 عن رجل أوصى بعتق نسمةٍ بخمسمائة درهم من ثلثه، فاشترى الوصي نسمة بأقل من خمسمائة درهم وفضلت فضلةٌ، فما ترى؟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تُدفع الفضلة إلى النسمة من قبل أن تُعتق، ثمّ تُعتق عن الميت</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وقصوره سنداً بسماعة، ودلالةً ؛ لعدم تقييده بعدم الإمكان مجبوران بفتوى الأصحاب، وبقاعدة عدم جواز العدول عن الوصيّة مع الإمكان، مع أن سماعة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ممكن الحمل على صورة عدم الإمكان؛ حملاً لفعل المسلم على الصحّة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بعض الأصحاب من إطلاق شراء الرقبة مع الإمكان وبدونه </w:t>
      </w:r>
      <w:r>
        <w:rPr>
          <w:rStyle w:val="FootnoteAnchor"/>
          <w:rtl w:val="true"/>
        </w:rPr>
        <w:footnoteReference w:id="1316"/>
      </w:r>
      <w:r>
        <w:rPr>
          <w:rFonts w:ascii="Amiri" w:hAnsi="Amiri" w:eastAsia="Amiri" w:cs="Amiri"/>
          <w:color w:val="111111"/>
          <w:sz w:val="28"/>
          <w:sz w:val="28"/>
          <w:szCs w:val="28"/>
          <w:rtl w:val="true"/>
          <w:lang w:bidi="ar-SA"/>
        </w:rPr>
        <w:t>لا يبعد تنزيله على إرادة التقييد بذلك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الرواية أن دفع الزائد قبل العتق ومقتضى كلام الأصحاب والقواعد عدم لزوم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لزوم تقديم العتق</w:t>
      </w:r>
      <w:r>
        <w:rPr>
          <w:rFonts w:eastAsia="Amiri" w:cs="Amiri" w:ascii="Amiri" w:hAnsi="Amiri"/>
          <w:color w:val="111111"/>
          <w:sz w:val="28"/>
          <w:szCs w:val="28"/>
          <w:rtl w:val="true"/>
          <w:lang w:bidi="ar-SA"/>
        </w:rPr>
        <w:t xml:space="preserve">. </w:t>
      </w:r>
      <w:bookmarkStart w:id="853" w:name="pg19218_274299"/>
    </w:p>
    <w:p>
      <w:pPr>
        <w:pStyle w:val="Heading5"/>
        <w:numPr>
          <w:ilvl w:val="4"/>
          <w:numId w:val="1"/>
        </w:numPr>
        <w:rPr/>
      </w:pPr>
      <w:bookmarkStart w:id="854" w:name="__RefHeading___Toc13425373_1280447820"/>
      <w:bookmarkStart w:id="855" w:name="_Toc305"/>
      <w:bookmarkEnd w:id="853"/>
      <w:bookmarkEnd w:id="854"/>
      <w:r>
        <w:rPr>
          <w:rtl w:val="true"/>
        </w:rPr>
        <w:t>سابعها</w:t>
      </w:r>
      <w:r>
        <w:rPr>
          <w:rtl w:val="true"/>
        </w:rPr>
        <w:t xml:space="preserve">: </w:t>
      </w:r>
      <w:r>
        <w:rPr>
          <w:rtl w:val="true"/>
        </w:rPr>
        <w:t>حكم ما إذا أوصى بعتق عبده أو أعتقه قبل الوفاة وليس سواه</w:t>
      </w:r>
      <w:bookmarkEnd w:id="855"/>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بعتق عبده أو أعتقه قبل الوفاة وليس له سواه، انعتق ثلثه، وسعى في باقي قيمته للورثة، بلا خلاف فيه في الوصيّة؛ لأنّ القاعدة في كلّ مبعض لزوم السعي عليه في فك نفسه، ويبنى في المنجز على خروجه من الأصل أو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 ثلثه أو أوصى بعتقه وله مال غيره، فهل ينعتق الباقي من ثلث غيره من المال، أو يسعى فيه العبد أو ينعتق من الأصل في المنجز ؟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أعتق مماليكه عند الوفاة أو أوصى بعتقهم وليس له مال سواهم، ولم يُجز الورثة، أُعتق ثلثهم بالقرعة بتعديلهم أثلاثاً بالقيمة وعتق ما أخرجته القرعة؛ للإجماع المنقول </w:t>
      </w:r>
      <w:r>
        <w:rPr>
          <w:rStyle w:val="FootnoteAnchor"/>
          <w:rtl w:val="true"/>
        </w:rPr>
        <w:footnoteReference w:id="1317"/>
      </w:r>
      <w:r>
        <w:rPr>
          <w:rFonts w:ascii="Amiri" w:hAnsi="Amiri" w:eastAsia="Amiri" w:cs="Amiri"/>
          <w:color w:val="111111"/>
          <w:sz w:val="28"/>
          <w:sz w:val="28"/>
          <w:szCs w:val="28"/>
          <w:rtl w:val="true"/>
          <w:lang w:bidi="ar-SA"/>
        </w:rPr>
        <w:t>، 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بينهم</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ترك ستين مملوكاً وأعتق ثلثهم، فأقرعت بينهم فأخرجت عشرين فأعتقتهم</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استلزم ذلك عتق جزء من أحدهم سعى في باقيه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يعتق ثلث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كلّ واحد منهم بمنزلة الموصى له، وقد تقرر أن الوصايا إذا وقعت دفعةً قسط عليها الثلث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الإضرار بالورثة، ولما ورد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أعبد أعتق ثلثهم عند الموت، فجزاهم أثلاثاً فأقرع بينهم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رتبهم في الإعتاق أو الوصيّة أُعتق الأوّل فالأوّل حتّى يستوفي الثلث، وبطل الزائد؛ للأصل، والإجماع المنقول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عند موته أعتق فلاناً وفلاناً وفلاناً وفلاناً وفلاناً، فنظرتُ في ثلثه فلم يبلغ أثمان قيمة المماليك الخمسة الذين أمر بعتقهم،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الذين سمّاهم وبدأ بعتقهم فيقومون، وينظر إلى ثلثه فيعتق منه أوّل شيءٍ، ثمّ الثاني ثمّ الثالث ثمّ الرابع ثمّ الخامس، فإن عجز عن الثلث كان في الذي سمّى أخيراً؛ لأنّه أعتق بعد مبلغ الثلث ما لا يملك فلا يجوز له ذلك</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bookmarkStart w:id="856" w:name="pg19218_274300"/>
    </w:p>
    <w:p>
      <w:pPr>
        <w:pStyle w:val="BookText"/>
        <w:rPr/>
      </w:pPr>
      <w:bookmarkEnd w:id="856"/>
      <w:r>
        <w:rPr>
          <w:rFonts w:ascii="Amiri" w:hAnsi="Amiri" w:eastAsia="Amiri" w:cs="Amiri"/>
          <w:color w:val="111111"/>
          <w:sz w:val="28"/>
          <w:sz w:val="28"/>
          <w:szCs w:val="28"/>
          <w:rtl w:val="true"/>
          <w:lang w:bidi="ar-SA"/>
        </w:rPr>
        <w:t>ولو أوصى بعتق عدد خاص من عبيده، احتمل جعل التعيين بيد الوارث؛ لأنّه من المتواطئ الراجع تعيينه إلى الوارث، واحتمل رجوعه إلى القرعة؛ لأنّه حقّ للمعتق ولا ترجيح فيرجع التعيين إلى القرعة</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3425375_1280447820"/>
      <w:bookmarkStart w:id="858" w:name="_Toc306"/>
      <w:bookmarkEnd w:id="857"/>
      <w:r>
        <w:rPr>
          <w:rtl w:val="true"/>
        </w:rPr>
        <w:t>ثامنها</w:t>
      </w:r>
      <w:r>
        <w:rPr>
          <w:rtl w:val="true"/>
        </w:rPr>
        <w:t xml:space="preserve">: </w:t>
      </w:r>
      <w:r>
        <w:rPr>
          <w:rtl w:val="true"/>
        </w:rPr>
        <w:t>حكم ما إذا أوصى بلفظ مطلق صالح للقليل والكثير</w:t>
      </w:r>
      <w:bookmarkEnd w:id="858"/>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بلفظ مطلق صالح للقليل والكثير، كان الخيار في تعيينه إلى الوارث، ولو كان الوارث صغيراً أو مجنوناً أعطي الأقل؛ لأنّه المتيقن، والاحتياط ينفي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بالمطلق معنى خاصاً، عاد مجملاً، وعاد تفسيره إلى الوارث، فإن ادّعى الوارث العلم به، اتبع مع يمينه أو مع عدم اليمين، فإن ادّعى الموصى له الزيادة، كان له على الوارث اليمين على نفي العلم بإرادة الزائد من الموصي، لا على نفي إرادة الزائد؛ لأنّه لا يحلف لإنسان على نفي فعل غيره على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الوارث تفسيره، فإن دار الأمر بين الزيادة والنقيصة كان للموصى له القدر الناقص دون ما زاد؛ لأنّه المتيقن وإن دار بين نوعين فالطريق إلى تعيينه القرعة، أو الصلح بين الوارث والموصى له مع احتمال أنّ النوعين لو كان بينهما زيادة ونقصان دفع الوارث الناقص دون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المطلق المراد به فرد معين غير مبيّن المجمل اللفظي الدائر بين معانيه، إلّا أنّ ظاهر الأصحاب أنّ الخيار هنا بيد الوارث دون القرعة، وهو مشكل مع إرادة فرد معين، ويمكن حمله على عدم العلم بذلك، فيرجع إلى الحمل على إرادة المسمّى صوناً لكلام الحكيم عن الإجمال وهو أيضاً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قوساً من قسيّي وله قوس نشاب، وقوس نبل، وقوس حسبان، وقوس جلاهق، وقوس ندف،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القوس مشترك بين الجميع كان مردداً بين الجميع،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مشترك بين البعض دون البعض تردّد بين تلك الأبعاض</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كلّ حال فإن دلّت القرينة على معيّن اتبع، وكذا إن كان لتلك المعاني فرد ظاهر، أو لم يكن له سوى قوس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أعطوه قوسي، وإلا فالقاعدة تقضي بالقرعة، إلّا أن الأصحاب ظاهرهم أن المشترك كالمتواطئ يرجع التخيير فيه في إعطاء أي فرد كان إلى الوارث، وکأنّه بناء منهم على عدم العلم بإرادة معيّن فيدور بين إرادة المجمل أو الجميع أو المسمّى، فيُحمل </w:t>
      </w:r>
      <w:bookmarkStart w:id="859" w:name="pg19218_274301"/>
    </w:p>
    <w:p>
      <w:pPr>
        <w:pStyle w:val="BookText"/>
        <w:rPr/>
      </w:pPr>
      <w:bookmarkEnd w:id="859"/>
      <w:r>
        <w:rPr>
          <w:rFonts w:ascii="Amiri" w:hAnsi="Amiri" w:eastAsia="Amiri" w:cs="Amiri"/>
          <w:color w:val="111111"/>
          <w:sz w:val="28"/>
          <w:sz w:val="28"/>
          <w:szCs w:val="28"/>
          <w:rtl w:val="true"/>
          <w:lang w:bidi="ar-SA"/>
        </w:rPr>
        <w:t>على إرادة المسمى فيعود كالمطلق، كلّ ذلك صوناً لكلام الحكيم عن الإجمال، واقتصاراً على محلّ اليقين من عدم إرادة الجميع، ومع ذلك فلا يخلو المقام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يدخل في القوس الوتر ؟ الظاهر ذلك؛ قضاء للعرف، لصيرورته بمنزلة الفص للخاتم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بعتق مماليكه ولم يوجد له مملوك بطلت الوصيّة، وإن وُجدت أعتق الصغير والكبير، والأُنثى والذكر، والواحد والمتعدّد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دخول الأنثى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والمرجع فيه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ماتت مماليكه بعد الوصيّة أو بعد الموت بطلت الوصيّة، ولو قتلوا لم تبطل؛ لقيام القيمة مقام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المدار في الوصيّة بالمماليك والعبيد ونحوها على حالة الوصيّة، أم على حالة الموت؟ فلو لم يوجد له مملوك حالة الوصيّة ووُجد حالة الموت فهل تنفذ الوصيّة فيهم، أم لا؟ وجهان، والأظهر النفوذ؛ لأنّ الاعتبار بحالة الموت، كغيرها من الوصايا المتعلقة بالأموال؛ ووجه الاحتمال الأوّل هو ظهور الإضافة في الموجود حالة الوصيّة، كما هو الشأن في المشتقات والإضافات</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13425377_1280447820"/>
      <w:bookmarkStart w:id="861" w:name="_Toc307"/>
      <w:bookmarkEnd w:id="860"/>
      <w:r>
        <w:rPr>
          <w:rtl w:val="true"/>
        </w:rPr>
        <w:t>تاسعها</w:t>
      </w:r>
      <w:r>
        <w:rPr>
          <w:rtl w:val="true"/>
        </w:rPr>
        <w:t xml:space="preserve">: </w:t>
      </w:r>
      <w:r>
        <w:rPr>
          <w:rtl w:val="true"/>
        </w:rPr>
        <w:t>صحّة الوصيّة بالمنافع دون الأعيان وبالأعيان دون المنافع وبالنماءات</w:t>
      </w:r>
      <w:bookmarkEnd w:id="861"/>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بالمنافع دون الأعيان بعضاً أو كلاً، عامة أو خاصّة، وبالأعيان دون المنافع كذلك، وبالنماءات ونحوها، كلّ ذلك مدّة معينةً وعلى الدوام؛ للأصل، ولفتوى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أوقف غلة له على قرابة من أبيه وقرابة من أُمه، وأوصى لرجل ولعقبه من تلك الغلة بثلاثمائة درهم في كلّ سنةٍ، ويقسّم الباقي على قرابته من أبيه وقرابته من 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للذي أوصى له بذلك</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أوصى لرجل بسكنى دارٍ فلازم للورثة أن تمضي وصيته، وإذا مات الموصى له رجعت الدار ميراثاً</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أوصى لرجل أن يعطي قرابته من ضيعته كذا وكذا جريباً من طعام</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وطريق تقويم المنفعة الموقتة بوقت لا يؤدي إلى خروج العين عن القيمة المعتبرة عادةً، أو إلى خروجها عن التموّل بأن تقوم المنفعة على الموصى له، وتقوم العين التي هي الأصل وما يبقى فيها من المنافع في باقي المدّة على الوارث، فإذا أوصى بمنفعة العبد خمس سنين قوم العبد بمنافعه كملاً بكذا درهماً، ثمّ قوم مسلوب المنفعة تلك المدّة بكذا درهماً، فيجمع بین القيمتين وينظر إلى التفاوت بينهما، ويؤخذ التفاوت من الثلث ويسلّم للوارث ضعفي التفاوت، ومنه العين الموصى بمنفعتها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أن تقوم المنفعة بنفسها مجرّدةً، وتقوم العين مسلوبة المنفعة تلك المدّة، ولا أن تقوم المنفعة مفردةً، والعين مع باقي المنافع مفردةً وينظر إلى التفاوت؛ للزوم التفاوت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المنفعة المؤيَّدة ففي خروجها من الثلث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العين بمنافعها ويخرج مجموع القيمة من الثلث فإن خرجت من الثلث لزمت الوصيّة في منفعتها، وإن لم يخرج من الثلث وضاق الثلث عنها لزمت الوصيّة في القدر الذي يخرج منه، فيكون للموصى له من العبد بقدر ما يخرج من الثلث والباقي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المنفعة على الدوام بمنزلة إتلاف الرقبة؛ لأن الغرض من الأعيان إنما هو المنافع، فيجب أن تقوم الرقبة؛ ولأنّ تقويم المنفعة متعذر؛ لأنّها غير معلومة ولا محدودة، ولأن مدّة العمر غير معلومة، فتقويمها بتقويم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الوصيّة بجميع المنافع يخرج العين عن التقويم أو التموّل، فكأن الوصيّة بالعين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المنفعة من الثلث على الموصى له، والرقبة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مسلوبة المنافع فالمعتبر تفاوت ما بين قيمتها بمنافعها وقيمتها مسلوبة المنافع، فيحتسب على الوارث قيمة العين مسلوبة المنافع ومرجعه إلى الانتفاع بالعين وبقائها متقومةً ومتمولة؛ لصلاحيتها للعتق والانتفاع بآلات الدار وجذوع البستان ونحو ذلك، وعلى ذلك فلو لم تكن لها قيمة أصلاً، أو خرجت عن التموّل فالوجه الأوّل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تقوم على الموصى له بقيمتها، والعين لا تقوم على أحد، إمّا الموصى له فلعدم الوصيّة بها إليه، وأمّا الوارث فلكونها بمنزلة التالفة منه؛ لسلب منافعها منه وخروجها عن التموّل، وحيلولة الوصيّة بينه وبين العين</w:t>
      </w:r>
      <w:r>
        <w:rPr>
          <w:rFonts w:eastAsia="Amiri" w:cs="Amiri" w:ascii="Amiri" w:hAnsi="Amiri"/>
          <w:color w:val="111111"/>
          <w:sz w:val="28"/>
          <w:szCs w:val="28"/>
          <w:rtl w:val="true"/>
          <w:lang w:bidi="ar-SA"/>
        </w:rPr>
        <w:t xml:space="preserve">. </w:t>
      </w:r>
      <w:bookmarkStart w:id="862" w:name="pg19218_274303"/>
    </w:p>
    <w:p>
      <w:pPr>
        <w:pStyle w:val="BookText"/>
        <w:rPr/>
      </w:pPr>
      <w:bookmarkEnd w:id="862"/>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بخدمة عبده مدّة معيّنةً فنفقته على الورثة؛ لأنّها تابعة للملك، ولو أوصى بها مؤبداً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الوارث بناءً على ملك العين له والنفقة تابعة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الموصى له؛ لانتقال جميع المنافع إليه فكانت كنفقة الزوجة، ولأنّ جميع النفع له فيكون الضرر عليه؛ ولأنّ إيجابها على الورثة ضرر من دون مقابلته بنفع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بيت المال، بناءً على عدم انتقال العين لأحدٍ من الموصى له؛ لأنّه له المنافع، ومن الوارث؛ لخروجها عن التموّل، فيكون سائبة نفقتها على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نفقة الحيوان كنفقة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عمارة الدار وسقي البستان فإن تطوّع بهما أحدهما لم يمنعه الآخر، وإن امتنع أحدهما لم يجبره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بوجوب جبر المالك على حفظ المال؛ بناءً على وجوب حفظ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لكلِّ من الوارث والموصى له التصرّف بماله، فللوارث التصرّف بالعين بما لا ينافي انتفاع الموصى له من بيع وهبة وعتق وهكذا، وللموصى له الانتفاع بما لا ينافي بقاء العين من خدمة أو سكنى أو نماء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بيع الوارث والمعاوضة على العين مبنيّة على جواز المعاوضة على العين الموصى بمنفعتها وعدمه، وهما مبنيان على بقاء المالية في العين المسلوبة المنافع وعدمه، وهو ممّا يختلف باختلاف الأعيان الموصى بمنافعها، فمنها ما يبقى لها مالية تصلح للمعاوضة، ومنها ما لا يبقى لها ذلك</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3425379_1280447820"/>
      <w:bookmarkStart w:id="864" w:name="_Toc308"/>
      <w:bookmarkEnd w:id="863"/>
      <w:r>
        <w:rPr>
          <w:rtl w:val="true"/>
        </w:rPr>
        <w:t>العشرون</w:t>
      </w:r>
      <w:r>
        <w:rPr>
          <w:rtl w:val="true"/>
        </w:rPr>
        <w:t xml:space="preserve">: </w:t>
      </w:r>
      <w:r>
        <w:rPr>
          <w:rtl w:val="true"/>
        </w:rPr>
        <w:t>في منجزات المريض</w:t>
      </w:r>
      <w:bookmarkEnd w:id="864"/>
    </w:p>
    <w:p>
      <w:pPr>
        <w:pStyle w:val="BookText"/>
        <w:rPr/>
      </w:pPr>
      <w:r>
        <w:rPr>
          <w:rFonts w:ascii="Amiri" w:hAnsi="Amiri" w:eastAsia="Amiri" w:cs="Amiri"/>
          <w:color w:val="111111"/>
          <w:sz w:val="28"/>
          <w:sz w:val="28"/>
          <w:szCs w:val="28"/>
          <w:rtl w:val="true"/>
          <w:lang w:bidi="ar-SA"/>
        </w:rPr>
        <w:t>وهي ما تقع منه في المرض الذي يموت فيه، ولا يبرأ منه قبل الموت، وهو كلّ تصرف يشتمل على المحاباة في المعاوضات من النقل عنه بأدنى ثمن المثل أو الانتقال إليه بأزيد منه، أو يشتمل على النقل المجاني، كالهدية والهبة والإبراء والصدقة والعتق والوقف ونحوها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كلّ ما يستلزم تفويتاً على الوارث من المال الموروث ولم يكن مضطراً إليه المريض في أكله وشربه ولباسه ودوائه وصلاته وصومه وغسله وأُجرة طبيبه والداعي له </w:t>
      </w:r>
    </w:p>
    <w:p>
      <w:pPr>
        <w:pStyle w:val="BookText"/>
        <w:rPr/>
      </w:pPr>
      <w:r>
        <w:rPr>
          <w:rFonts w:ascii="Amiri" w:hAnsi="Amiri" w:eastAsia="Amiri" w:cs="Amiri"/>
          <w:color w:val="111111"/>
          <w:sz w:val="28"/>
          <w:sz w:val="28"/>
          <w:szCs w:val="28"/>
          <w:rtl w:val="true"/>
          <w:lang w:bidi="ar-SA"/>
        </w:rPr>
        <w:t>و خادمه إذا كان بثمن المثل فهو من المنجزات، فيخرج عنه ما لو آجر نفسه بدون ثمن المثل، أو أنكحت نفسها كذلك، أو أنفق على نفسه ممّا يحتاج إليه لتدبير بدنه أو حفظ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يلحق به صدقاته الجزئية المتعارفة؛ لجريان السيرة بخروجها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 ما يتعلق بمصالحه من قراطيس كتاباته وما يعرض عنه من أمواله؛ لعدم قابليته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يتلفه مباشرةً أو تسبيباً عمداً أو قهراً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فالمشهور بين المتأخرين خروج المنجزات من ثلث مال الميت؛ للأخبار المتكثرة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عليّ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أعتق مملوكاً عند الموت،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يعتق منه إلّا ثلثه</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تبرئ زوجها في مرضها،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تبرئه ولكن تهبه من ثلثها</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عند موته؟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الثلث، والثلث كثير</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ما له من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ماله</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للرجل عند موته ثلث ماله</w:t>
      </w:r>
      <w:r>
        <w:rPr>
          <w:rFonts w:eastAsia="IRNazanin" w:cs="IRNazanin"/>
          <w:color w:val="111111"/>
          <w:sz w:val="28"/>
          <w:szCs w:val="28"/>
          <w:rtl w:val="true"/>
          <w:lang w:bidi="fa-IR"/>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المتكثرة في الموارد المتكثّرة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تلك الأخبار السيرة القطعية القاضية بعدم نفوذ عطايا المريض في مرض موته ومعاملتها معاملة الوصيّة، والاعتبار أيضاً قاض بذلك؛ لأنا لو نفذنا المنجزات من الأصل لزم الضرر على الوارث المأمور بعدم الإضرار به، والموصى بالرفق به، بل لزم انسداد أبواب المواريث والانتفاع بها، ويعضد تلك الأخبار أيضاً أخبار إقرار المريض وخروجه من الثلث </w:t>
      </w:r>
      <w:r>
        <w:rPr>
          <w:rStyle w:val="FootnoteAnchor"/>
          <w:rtl w:val="true"/>
        </w:rPr>
        <w:footnoteReference w:id="1332"/>
      </w:r>
      <w:r>
        <w:rPr>
          <w:rFonts w:ascii="IRNazanin" w:hAnsi="IRNazanin" w:eastAsia="IRNazanin"/>
          <w:color w:val="111111"/>
          <w:sz w:val="28"/>
          <w:sz w:val="28"/>
          <w:szCs w:val="28"/>
          <w:rtl w:val="true"/>
          <w:lang w:bidi="fa-IR"/>
        </w:rPr>
        <w:t>مطلقاً أو على بعض الوجوه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وقيل بخروجها من الأصل </w:t>
      </w:r>
      <w:r>
        <w:rPr>
          <w:rStyle w:val="FootnoteAnchor"/>
          <w:rtl w:val="true"/>
        </w:rPr>
        <w:footnoteReference w:id="1333"/>
      </w:r>
      <w:r>
        <w:rPr>
          <w:rFonts w:ascii="Amiri" w:hAnsi="Amiri" w:eastAsia="Amiri" w:cs="Amiri"/>
          <w:color w:val="111111"/>
          <w:sz w:val="28"/>
          <w:sz w:val="28"/>
          <w:szCs w:val="28"/>
          <w:rtl w:val="true"/>
          <w:lang w:bidi="ar-SA"/>
        </w:rPr>
        <w:t xml:space="preserve">، ونُسب </w:t>
      </w:r>
      <w:r>
        <w:rPr>
          <w:rStyle w:val="FootnoteAnchor"/>
          <w:rtl w:val="true"/>
        </w:rPr>
        <w:footnoteReference w:id="1334"/>
      </w:r>
      <w:r>
        <w:rPr>
          <w:rFonts w:ascii="Amiri" w:hAnsi="Amiri" w:eastAsia="Amiri" w:cs="Amiri"/>
          <w:color w:val="111111"/>
          <w:sz w:val="28"/>
          <w:sz w:val="28"/>
          <w:szCs w:val="28"/>
          <w:rtl w:val="true"/>
          <w:lang w:bidi="ar-SA"/>
        </w:rPr>
        <w:t>للمشهور بين المتقدّمين؛ للأخبار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كالخبر عن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المال أحق بماله ما دام فيه شيء من الروح يضعه حيث يشاء</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في الرجل يكون له الولد أيسعه أن يجعل ماله لقرابته؟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ماله يصنع به ما يشاء إلى أن يأتيه الموت</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أحق بماله ما دامت الروح في بدنه</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أولى بماله ما دام فيه الروح</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يعطي الشيء من ماله في مرضه،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أبان فيه فهو جائز، وإن أوصى به فهو من الثلث</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أحق بماله ما دام فيه الروح يبين به فإن تعدى فليس له إلّا الثلث</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 دام فيه الروح، إن أوصى به كلّه فهو جائز له</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حملاً للوصيّة على المنجز</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المعتضدة بشهرة المتقدّمين المنقولة، وبالإجماع المنقول </w:t>
      </w:r>
      <w:r>
        <w:rPr>
          <w:rStyle w:val="FootnoteAnchor"/>
          <w:rtl w:val="true"/>
        </w:rPr>
        <w:footnoteReference w:id="1342"/>
      </w:r>
      <w:r>
        <w:rPr>
          <w:rFonts w:ascii="Amiri" w:hAnsi="Amiri" w:eastAsia="Amiri" w:cs="Amiri"/>
          <w:color w:val="111111"/>
          <w:sz w:val="28"/>
          <w:sz w:val="28"/>
          <w:szCs w:val="28"/>
          <w:rtl w:val="true"/>
          <w:lang w:bidi="ar-SA"/>
        </w:rPr>
        <w:t xml:space="preserve">، وبعمومات الكتاب </w:t>
      </w:r>
      <w:r>
        <w:rPr>
          <w:rStyle w:val="FootnoteAnchor"/>
          <w:rtl w:val="true"/>
        </w:rPr>
        <w:footnoteReference w:id="1343"/>
      </w:r>
      <w:r>
        <w:rPr>
          <w:rFonts w:ascii="Amiri" w:hAnsi="Amiri" w:eastAsia="Amiri" w:cs="Amiri"/>
          <w:color w:val="111111"/>
          <w:sz w:val="28"/>
          <w:sz w:val="28"/>
          <w:szCs w:val="28"/>
          <w:rtl w:val="true"/>
          <w:lang w:bidi="ar-SA"/>
        </w:rPr>
        <w:t>والسنّة الدالّة على أنّ 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وبمخالفة العامّة؛ لأنّ الخروج من الثلث منسوب لهم </w:t>
      </w:r>
      <w:r>
        <w:rPr>
          <w:rStyle w:val="FootnoteAnchor"/>
          <w:rtl w:val="true"/>
        </w:rPr>
        <w:footnoteReference w:id="1345"/>
      </w:r>
      <w:r>
        <w:rPr>
          <w:rFonts w:ascii="Amiri" w:hAnsi="Amiri" w:eastAsia="Amiri" w:cs="Amiri"/>
          <w:color w:val="111111"/>
          <w:sz w:val="28"/>
          <w:sz w:val="28"/>
          <w:szCs w:val="28"/>
          <w:rtl w:val="true"/>
          <w:lang w:bidi="ar-SA"/>
        </w:rPr>
        <w:t>، والخروج من الأصل ممّا يختصّ به الإماميّة</w:t>
      </w:r>
      <w:r>
        <w:rPr>
          <w:rFonts w:eastAsia="Amiri" w:cs="Amiri" w:ascii="Amiri" w:hAnsi="Amiri"/>
          <w:color w:val="111111"/>
          <w:sz w:val="28"/>
          <w:szCs w:val="28"/>
          <w:rtl w:val="true"/>
          <w:lang w:bidi="ar-SA"/>
        </w:rPr>
        <w:t xml:space="preserve">. </w:t>
      </w:r>
      <w:bookmarkStart w:id="865" w:name="pg19218_274306"/>
    </w:p>
    <w:p>
      <w:pPr>
        <w:pStyle w:val="BookText"/>
        <w:rPr/>
      </w:pPr>
      <w:bookmarkEnd w:id="865"/>
      <w:r>
        <w:rPr>
          <w:rFonts w:ascii="Amiri" w:hAnsi="Amiri" w:eastAsia="Amiri" w:cs="Amiri"/>
          <w:color w:val="111111"/>
          <w:sz w:val="28"/>
          <w:sz w:val="28"/>
          <w:szCs w:val="28"/>
          <w:rtl w:val="true"/>
          <w:lang w:bidi="ar-SA"/>
        </w:rPr>
        <w:t>وبموافقة القواعد الدالّة على صحّة العقود ولزومها ونفوذها، وعلى مضيّ الإبراء والهبة ونحوها، وبصراحة الأخبار القاضية بذلك في بعض وظهورها في بعض آخر، وقلة الإجمال في ثالث، بخلاف الأخبار الأوّلة، فإنّ منها ما هو مجمل أو كالمجمل، ومنها ما يمكن حمله على الاستحباب في عدم الوصيّة بما زاد على الثلث، ومنها ما يمكن حمله على الوصيّة بأن 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الموت، ويراد بنفي جواز عطية الوالد للولد وصيّته له، على أن فيها نفي الصلاحية مطلقاً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يُطعن في الأخبار الدالّة على خروج المنجز من الأصل بحمل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الذي له من الثلث، أو بحمل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الأحقية في التصرّف لا في النفوذ، والأحقية في التصرّف لا نزاع فيها؛ لأنّ الإنسان له أن يتصرّف بماله كيف شاء، ولا يمنع منه كما يفعله جهلة العوام من منع المريض عن التصرف،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تصرفه نافذ أيضاً، وإجازة الوارث كاشفة عن النفوذ، لا أنّه غير نافذ والإجازة مثبتة له، وربما أشار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أوصى به كلّه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 دام فيه الروح</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فالأدلّة متعارضة من الجانبين، والأخبار غير نقية من الطرفين، ولكلّ منهما مرجحات شرعيّة واعتبارات مرعيّة، إلّا أنّ عموم ما دلّ على الخروج من الأصل أو إطلاقه، وخصوص ما دلّ على الخروج من الثلث وتقييده، واقترانه بالشهرة المحكية </w:t>
      </w:r>
      <w:r>
        <w:rPr>
          <w:rStyle w:val="FootnoteAnchor"/>
          <w:rtl w:val="true"/>
        </w:rPr>
        <w:footnoteReference w:id="1347"/>
      </w:r>
      <w:r>
        <w:rPr>
          <w:rFonts w:ascii="Amiri" w:hAnsi="Amiri" w:eastAsia="Amiri" w:cs="Amiri"/>
          <w:color w:val="111111"/>
          <w:sz w:val="28"/>
          <w:sz w:val="28"/>
          <w:szCs w:val="28"/>
          <w:rtl w:val="true"/>
          <w:lang w:bidi="ar-SA"/>
        </w:rPr>
        <w:t>والمحصلة، واعتضاده بما جاء في كثيرٍ من الموارد ممّا يدلّ على ذلك، وتأييده بالاعتبار المفيد لترجيح الحكم ممّا يقوى فيه الظنّ بترجيح القول بالخروج من الثلث دون الأصل</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3425381_1280447820"/>
      <w:bookmarkStart w:id="867" w:name="_Toc309"/>
      <w:bookmarkEnd w:id="866"/>
      <w:r>
        <w:rPr>
          <w:rtl w:val="true"/>
        </w:rPr>
        <w:t>الواحد والعشرون</w:t>
      </w:r>
      <w:r>
        <w:rPr>
          <w:rtl w:val="true"/>
        </w:rPr>
        <w:t xml:space="preserve">: </w:t>
      </w:r>
      <w:r>
        <w:rPr>
          <w:rtl w:val="true"/>
        </w:rPr>
        <w:t>في حكم إقرار المريض</w:t>
      </w:r>
      <w:bookmarkEnd w:id="867"/>
    </w:p>
    <w:p>
      <w:pPr>
        <w:pStyle w:val="BookText"/>
        <w:rPr/>
      </w:pPr>
      <w:r>
        <w:rPr>
          <w:rFonts w:ascii="Amiri" w:hAnsi="Amiri" w:eastAsia="Amiri" w:cs="Amiri"/>
          <w:color w:val="111111"/>
          <w:sz w:val="28"/>
          <w:sz w:val="28"/>
          <w:szCs w:val="28"/>
          <w:rtl w:val="true"/>
          <w:lang w:bidi="ar-SA"/>
        </w:rPr>
        <w:t>وهو يدور مدار المرض سواء مات فيه أو برأ منه كما يظهر من الأصحاب وإطلاقات الأخبار، بخلاف المنجز فإنّه يدور مدار المرض الذي يموت فيه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جمع إلى مضيّ الإقرار في المرض الذي يبرأ صاحبه؛ تمسكاً بالقواعد في غير ما خرج بالدليل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حسن، إلّا أن إطلاق كلام الأصحاب والروايات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للأصحاب في إقرار المريض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بنفوذه من الأصل مطلقاً، سواء مات فيه أم لا، وسواء كان الإقرار بعين أو بدين، وسواء كان المقرّ له الوارث أو الأجنبي، وسواء كان المُقرّ متهماً أم لا </w:t>
      </w:r>
      <w:r>
        <w:rPr>
          <w:rStyle w:val="FootnoteAnchor"/>
          <w:rtl w:val="true"/>
        </w:rPr>
        <w:footnoteReference w:id="1348"/>
      </w:r>
      <w:r>
        <w:rPr>
          <w:rFonts w:ascii="Amiri" w:hAnsi="Amiri" w:eastAsia="Amiri" w:cs="Amiri"/>
          <w:color w:val="111111"/>
          <w:sz w:val="28"/>
          <w:sz w:val="28"/>
          <w:szCs w:val="28"/>
          <w:rtl w:val="true"/>
          <w:lang w:bidi="ar-SA"/>
        </w:rPr>
        <w:t xml:space="preserve">تمسكاً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وبأنه لو لم يسمع الإقرار لما أمكن التوصل من المريض إلى فراغ ذمته، وهو مفسدة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بنفوذه من الأصل إن كان المُقرّ عدلاً وغير متهم، وإن لم يكن عدلاً أو كان متهماً فمن الثلث سواء كان المُقرّ له وارثاً أم أجنبياً </w:t>
      </w:r>
      <w:r>
        <w:rPr>
          <w:rStyle w:val="FootnoteAnchor"/>
          <w:rtl w:val="true"/>
        </w:rPr>
        <w:footnoteReference w:id="1350"/>
      </w:r>
      <w:r>
        <w:rPr>
          <w:rFonts w:ascii="Amiri" w:hAnsi="Amiri" w:eastAsia="Amiri" w:cs="Amiri"/>
          <w:color w:val="111111"/>
          <w:sz w:val="28"/>
          <w:sz w:val="28"/>
          <w:szCs w:val="28"/>
          <w:rtl w:val="true"/>
          <w:lang w:bidi="ar-SA"/>
        </w:rPr>
        <w:t xml:space="preserve">، ونُسب </w:t>
      </w:r>
      <w:r>
        <w:rPr>
          <w:rStyle w:val="FootnoteAnchor"/>
          <w:rtl w:val="true"/>
        </w:rPr>
        <w:footnoteReference w:id="1351"/>
      </w:r>
      <w:r>
        <w:rPr>
          <w:rFonts w:ascii="Amiri" w:hAnsi="Amiri" w:eastAsia="Amiri" w:cs="Amiri"/>
          <w:color w:val="111111"/>
          <w:sz w:val="28"/>
          <w:sz w:val="28"/>
          <w:szCs w:val="28"/>
          <w:rtl w:val="true"/>
          <w:lang w:bidi="ar-SA"/>
        </w:rPr>
        <w:t>،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لبعض ورثته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الميّت مرضيّاً فأعطه الذي أوصى له</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والآخر مثله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 في غير الوارث عن امرأة استودعت رجلاً مالاً، فلما حضرها الموت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الذي أودعته إليك لفلانة وماتت، وأتى أولياؤها الرجل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لصاحبتنا مال ولا نراه إلّا عندك فاحلف لنا مالنا قبلك شيء، أيحلف 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مأمونةً فيحلف لهم، وإن كانت متهمةً فلا يحلف، ويضع الأمر على ما كان؛ فإنّ لها من مالها ثلثه</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الروايتان وإن لم تكونا صريحتين في الخروج من الثلث مع التهمة إلّا أنّه بقرينة كلام الأصحاب، وذيل الرواية الأخيرة، وأن الإقرار لا يقع باطلاً من أصله يُحكم بخروج المُقرّ به من الثلث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بنفوذه من الأصل إن كان المُقرّ له أجنبياً غير متهم، وإن كان متهماً أو كان وارثاً فمن الثلث </w:t>
      </w:r>
      <w:r>
        <w:rPr>
          <w:rStyle w:val="FootnoteAnchor"/>
          <w:rtl w:val="true"/>
        </w:rPr>
        <w:footnoteReference w:id="1355"/>
      </w:r>
      <w:r>
        <w:rPr>
          <w:rFonts w:ascii="Amiri" w:hAnsi="Amiri" w:eastAsia="Amiri" w:cs="Amiri"/>
          <w:color w:val="111111"/>
          <w:sz w:val="28"/>
          <w:sz w:val="28"/>
          <w:szCs w:val="28"/>
          <w:rtl w:val="true"/>
          <w:lang w:bidi="ar-SA"/>
        </w:rPr>
        <w:t>استناداً في الأوّل إلى ما تقدّم وإلى كونه بالنسبة إلى الوارث من الثلث مطلقاً إلى صحيحة إسماعيل بن جابر عن رجلٍ أقرّ لوارث له وهو مريض بدين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 إذا أقرّ به دون الثلث</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 الثلث فما دون، لا خصوص ما دون الثلث؛ جرياً على الغالب من عدم مساواة الوصيّة للثلث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وخير الأقوال أوسطها؛ للحكم بتقييد الرواية الأخيرة بالرواية المتقدّمة الدالّة على الخروج من الأصل للوارث إذا كان مرضيّاً، وإلا فمن الثلث، كما يقيد الخبر الدال على خروج المُقرّ به من الأصل مطلقاً بالنسبة إلى الوارث بما دلّت عليه الرواية المتقدّمة المفصلة بین التهمة وعدمها، كقوله في صحيحة أبي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مريض أقرّ عند الموت لوارث بدَيْنٍ 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ذلك</w:t>
      </w:r>
      <w:r>
        <w:rPr>
          <w:rFonts w:eastAsia="IRNazanin" w:cs="IRNazanin"/>
          <w:color w:val="111111"/>
          <w:sz w:val="28"/>
          <w:szCs w:val="28"/>
          <w:rtl w:val="true"/>
          <w:lang w:bidi="fa-IR"/>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يبقى الكلام في أنّ اشتراط العدالة ليس له أثر في الأخبار سوى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مأمونةً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أعمّ من اشتراط العدالة، إلّا أن يقولوا بتلازمهما، وهو محلّ نظرٍ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الاتهام مانع من النفوذ من الأصل، لا أن العدالة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مجهول الحال وشبهه، فإنّه على القول باشتراط العدالة في الخروج من الأصل يكون خروجه من الثلث، وعلى القول بأنّ الاتهام مانع يكون خروجه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منافاة بين اشتراط العدالة واشتراط عدم الاتهام؛ لأن العدالة قد لا تنافي الاتهام؛ إذ ليس كلّ عدلٍ غير متهم، فكم قد يسرع الظن بتهمة العدل؛ لصدور بعض الأفعال منه كحرص على المال أو إصرار عليه أو حب زائد له، إلى غير 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ما قدمنا يظهر لك أنّ دوران الأمر مدار الاتهام وعدمه قوي، وأقوى منه دورانه مدار الاتهام منعاً من الأصل، والاطمئنان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فمجهول الحال حكمه حكم المتهم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والأحوط دورانه مدار العدالة وعدمها وجوداً وعدماً، وأحوط من ذلك دورانه مدار العدالة والاطمئنان معاً، وجوداً وعدماً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في الرجل يقرّ لوارث بدَيْنٍ،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إذا كان مليّاً</w:t>
      </w:r>
      <w:r>
        <w:rPr>
          <w:rFonts w:eastAsia="Amiri" w:cs="Amiri" w:ascii="Amiri" w:hAnsi="Amiri"/>
          <w:color w:val="111111"/>
          <w:sz w:val="28"/>
          <w:szCs w:val="28"/>
          <w:rtl w:val="true"/>
          <w:lang w:bidi="ar-SA"/>
        </w:rPr>
        <w:t xml:space="preserve">» </w:t>
      </w:r>
      <w:r>
        <w:rPr>
          <w:rStyle w:val="FootnoteAnchor"/>
          <w:rtl w:val="true"/>
        </w:rPr>
        <w:footnoteReference w:id="1358"/>
      </w:r>
      <w:r>
        <w:rPr>
          <w:rFonts w:ascii="IRNazanin" w:hAnsi="IRNazanin" w:eastAsia="IRNazanin"/>
          <w:color w:val="111111"/>
          <w:sz w:val="28"/>
          <w:sz w:val="28"/>
          <w:szCs w:val="28"/>
          <w:rtl w:val="true"/>
          <w:lang w:bidi="fa-IR"/>
        </w:rPr>
        <w:t xml:space="preserve">ومثله آخر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محمولان على نفوذه من الثلث، وتكون الملاءة كنايةً عن توفية الثلث بالدين، أو محمولان على النفوذ من الأصل، وتكون ملاءة المُقرّ له قرينة على عدم التهمة إن رجع الضمير إلى المُقرّ له، وتكون ملاء ته كناية عن صدقه وأمانته إن رجع الضمير إلى المُقر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أقرّ للورثة بدَيْنٍ عليه وهو مريض،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 ما أقرّ به إذا كان قليلاً</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محمولة على كون القلة كناية عن الخروج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دفع مالاً إلى رجلٍ من التجار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لفلان بن فلان ليس لي فيه قليل ولا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يضعه حيث شاء</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الوصيّة إليه بصرف ذلك من غير تقييد عليه، كما يظهر ذلك من سياقها، أو على الخروج من الأصل؛ لعدم التهمة، أو على الخروج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معه مال مضاربة ومات وعليه دين وأوصى أن هذا الذي ترك لأهل المضاربة، أيجوز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مصدقاً</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إرادة كونه عدلاً مرضيّاً؛ لإشعار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يرد النحلة في الوصيّة، وما 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بلا ثبت ولا بيّنة ردّه</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bookmarkStart w:id="868" w:name="pg19218_274310"/>
    </w:p>
    <w:p>
      <w:pPr>
        <w:pStyle w:val="BookText"/>
        <w:rPr/>
      </w:pPr>
      <w:bookmarkEnd w:id="868"/>
      <w:r>
        <w:rPr>
          <w:rFonts w:ascii="Amiri" w:hAnsi="Amiri" w:eastAsia="Amiri" w:cs="Amiri"/>
          <w:color w:val="111111"/>
          <w:sz w:val="28"/>
          <w:sz w:val="28"/>
          <w:szCs w:val="28"/>
          <w:rtl w:val="true"/>
          <w:lang w:bidi="ar-SA"/>
        </w:rPr>
        <w:t>وهو محمول على إرادة عدم ثبوت الإقرار بنفسه من دون حجةٍ شرعيّة، أو محمول على عدم النفوذ من الأصل مع الاتهام من دون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 ولا إقرار له بدين</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محمول على خروجه من الأصل من دون 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طويلة في امرأةٍ أوصت لرجل وأقرت له بدين ثمانية آلاف درهم، وكذلك ما كان لها من متاع البيت من صوف وشعرٍ وشبهه وصفرٍ ونحاس،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الدين صحيحاً معروفاً مفهوماً فيخرج الدين من رأس المال إن شاء اللّه، وإن لم يكن الدَّيْن حقاً أُنفذ لها ما أوصت به من ثلثها، كفى أو لم يكف</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كونها متهمة في الإقرار، ولم يثبت الدَّين بغير إقرارها</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3425383_1280447820"/>
      <w:bookmarkStart w:id="870" w:name="_Toc310"/>
      <w:bookmarkEnd w:id="869"/>
      <w:r>
        <w:rPr>
          <w:rtl w:val="true"/>
        </w:rPr>
        <w:t>الثاني والعشرون</w:t>
      </w:r>
      <w:r>
        <w:rPr>
          <w:rtl w:val="true"/>
        </w:rPr>
        <w:t xml:space="preserve">: </w:t>
      </w:r>
      <w:r>
        <w:rPr>
          <w:rtl w:val="true"/>
        </w:rPr>
        <w:t>في أنّ مَنْ لا وارث له هل له أن يوصي بجميع ماله إلى مَنْ شاء أو ليس له ذلك ؟</w:t>
      </w:r>
      <w:bookmarkEnd w:id="870"/>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ولا وارث له فهل له أن يوصي بجميع ماله إلى مَنْ شاء، أو ليس له بل يكون ما زاد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قولان أظهرهما وأشهرهما والموافق للأخبار الدالّة على منع الوصيّة بما زاد على الثلث </w:t>
      </w:r>
      <w:r>
        <w:rPr>
          <w:rStyle w:val="FootnoteAnchor"/>
          <w:rtl w:val="true"/>
        </w:rPr>
        <w:footnoteReference w:id="1366"/>
      </w:r>
      <w:r>
        <w:rPr>
          <w:rFonts w:ascii="Amiri" w:hAnsi="Amiri" w:eastAsia="Amiri" w:cs="Amiri"/>
          <w:color w:val="111111"/>
          <w:sz w:val="28"/>
          <w:sz w:val="28"/>
          <w:szCs w:val="28"/>
          <w:rtl w:val="true"/>
          <w:lang w:bidi="ar-SA"/>
        </w:rPr>
        <w:t>، المستفيضة حدّ الاستفاضة المعتضدة بفتوى الأصحاب والاعتبار المنصوص في الباب هو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بعض القدماء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بعض متأخري المتأخرين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استناداً إلى ما ورد مستفيضاً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بماله ما دام فيه الروح إن أوصى به كلّه فهو جائز له</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وإلى ما روى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يموت ولا وارث له ولا عصبة،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 بماله حيث شاء في المسلمين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لموافقة الرواية لمذهب أبي حنيفة وشريك </w:t>
      </w:r>
      <w:r>
        <w:rPr>
          <w:rStyle w:val="FootnoteAnchor"/>
          <w:rtl w:val="true"/>
        </w:rPr>
        <w:footnoteReference w:id="1371"/>
      </w:r>
      <w:r>
        <w:rPr>
          <w:rFonts w:ascii="IRNazanin" w:hAnsi="IRNazanin" w:eastAsia="IRNazanin"/>
          <w:color w:val="111111"/>
          <w:sz w:val="28"/>
          <w:sz w:val="28"/>
          <w:szCs w:val="28"/>
          <w:rtl w:val="true"/>
          <w:lang w:bidi="fa-IR"/>
        </w:rPr>
        <w:t xml:space="preserve">، ولضعف سندها ومخالفتها </w:t>
      </w:r>
      <w:bookmarkStart w:id="871" w:name="pg19218_274311"/>
    </w:p>
    <w:p>
      <w:pPr>
        <w:pStyle w:val="BookText"/>
        <w:rPr/>
      </w:pPr>
      <w:bookmarkEnd w:id="871"/>
      <w:r>
        <w:rPr>
          <w:rFonts w:ascii="Amiri" w:hAnsi="Amiri" w:eastAsia="Amiri" w:cs="Amiri"/>
          <w:color w:val="111111"/>
          <w:sz w:val="28"/>
          <w:sz w:val="28"/>
          <w:szCs w:val="28"/>
          <w:rtl w:val="true"/>
          <w:lang w:bidi="ar-SA"/>
        </w:rPr>
        <w:t xml:space="preserve">لفتوى المشهور، ولما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مَنْ لا وارث له</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فلا يصلح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بجميع المال قد روي في أحاديثنا </w:t>
      </w:r>
      <w:r>
        <w:rPr>
          <w:rStyle w:val="FootnoteAnchor"/>
          <w:rtl w:val="true"/>
        </w:rPr>
        <w:footnoteReference w:id="1373"/>
      </w:r>
      <w:r>
        <w:rPr>
          <w:rFonts w:ascii="Amiri" w:hAnsi="Amiri" w:eastAsia="Amiri" w:cs="Amiri"/>
          <w:color w:val="111111"/>
          <w:sz w:val="28"/>
          <w:sz w:val="28"/>
          <w:szCs w:val="28"/>
          <w:rtl w:val="true"/>
          <w:lang w:bidi="ar-SA"/>
        </w:rPr>
        <w:t>، ولكنه مرسل ولم نعثر على مَنْ رواه</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3425385_1280447820"/>
      <w:bookmarkStart w:id="873" w:name="_Toc311"/>
      <w:bookmarkEnd w:id="872"/>
      <w:r>
        <w:rPr>
          <w:rtl w:val="true"/>
        </w:rPr>
        <w:t>الثالث والعشرون</w:t>
      </w:r>
      <w:r>
        <w:rPr>
          <w:rtl w:val="true"/>
        </w:rPr>
        <w:t xml:space="preserve">: </w:t>
      </w:r>
      <w:r>
        <w:rPr>
          <w:rtl w:val="true"/>
        </w:rPr>
        <w:t>حكم ما إذا كان على الموصي دَيْنٌ فعزله الوصي وأعطى الورثة الباقي فتلف المال المقابل للدين قبل دفعه</w:t>
      </w:r>
      <w:bookmarkEnd w:id="873"/>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الموصي دَيْنُ فعزله الوصي وأعطى الورثة الباقي فتلف المال المقابل للدين قبل دفعه، فإن كان بتفريط من الوصي ولو بالتأخير ضمن الدين، ولزم عليه دفعه للديان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للديان الرجوع إلى الوارث؛ لعدم تعيّن الدين في المال الذي عينه الوصي قبل قبض الديان له أو ليس له؛ لتعيين الوصي له والمفروض بقاء عوضه في ذمة الوصي فيرجع الديّان إليه ؟ وجهان، ومقتضى القواعد الأوّل، فالديان بالخيار بين رجوعه إلى الوصي؛ لبقاء عوض التركة في ذمته، وبين رجوعه إلى الوارث؛ لأن عين التركة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ورد في بعض الأخبار ما يدلّ بظاهره على تعين رجوع الديان إلى الوصي دون الوارث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أوصى إلى رجل وعلى الرجل المتوفى دين، فعمد الذي أوصى إليه فعزل الدين فرفعه في بيته، وقسّم الذي بقي بين الورثة فسُرق الذي للغرماء من الليل، ممّن يؤخذ؟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حين عزله في بيته يؤدي من ماله</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كذلك،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يؤخذ الدين، أمن الورثة، أم من الوصي؟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يؤخذ من الورثة والوصي ضامن</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بهما لولا مخالفة القواعد لا بأس به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التلف بتفريط من الوصي، رجع الديان إلى الوارث فأخذ منه؛ لبقاء </w:t>
      </w:r>
      <w:bookmarkStart w:id="874" w:name="pg19218_274312"/>
    </w:p>
    <w:p>
      <w:pPr>
        <w:pStyle w:val="BookText"/>
        <w:rPr/>
      </w:pPr>
      <w:bookmarkEnd w:id="874"/>
      <w:r>
        <w:rPr>
          <w:rFonts w:ascii="Amiri" w:hAnsi="Amiri" w:eastAsia="Amiri" w:cs="Amiri"/>
          <w:color w:val="111111"/>
          <w:sz w:val="28"/>
          <w:sz w:val="28"/>
          <w:szCs w:val="28"/>
          <w:rtl w:val="true"/>
          <w:lang w:bidi="ar-SA"/>
        </w:rPr>
        <w:t>التركة أو مقابلها في يده مع عدم تعيّن ما قبضه الوصي وفاءً له، ولا يضمن الوصي مع عدم التفريط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الضمان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إطلاقه على صورة التفريط؛ جمعاً بينه وبين الأخبار الدالّة على عدم الضمان إلّا مع التفريط، والقواعد القاضية أيضاً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أو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الذي يوصى إليه يكون ضامناً فيما دفع إليه، إذا وجد ربّه الذي أمر بدفعه إليه، فإن لم يجد فليس عليه ضمان</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5" w:name="__RefHeading___Toc13425387_1280447820"/>
      <w:bookmarkStart w:id="876" w:name="_Toc312"/>
      <w:bookmarkEnd w:id="875"/>
      <w:r>
        <w:rPr>
          <w:rtl w:val="true"/>
        </w:rPr>
        <w:t>الرابع والعشرون</w:t>
      </w:r>
      <w:r>
        <w:rPr>
          <w:rtl w:val="true"/>
        </w:rPr>
        <w:t xml:space="preserve">: </w:t>
      </w:r>
      <w:r>
        <w:rPr>
          <w:rtl w:val="true"/>
        </w:rPr>
        <w:t>حكم ما إذا انتقل إلى المريض من ينعتق عليه</w:t>
      </w:r>
      <w:bookmarkEnd w:id="876"/>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انتقل إلى المريض مَنْ ينعتق عليه، فإما أن يكون بعقد مجاني كالوصيّة والهبة ونحوهما، فالأقوى خروجه من الأصل للإجماع المنقول على لسان بعض الفحول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ومناقشة بعض المتأخرين فيه حيث إنّ الإجماع المنقول لا يكون حجةٌ إلّا مع العلم بدخول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أقوال المجمعين، وفي مثل هذه المسألة لا يُعلم ذلك </w:t>
      </w:r>
      <w:r>
        <w:rPr>
          <w:rStyle w:val="FootnoteAnchor"/>
          <w:rtl w:val="true"/>
        </w:rPr>
        <w:footnoteReference w:id="1378"/>
      </w:r>
      <w:r>
        <w:rPr>
          <w:rFonts w:ascii="Amiri" w:hAnsi="Amiri" w:eastAsia="Amiri" w:cs="Amiri"/>
          <w:color w:val="111111"/>
          <w:sz w:val="28"/>
          <w:sz w:val="28"/>
          <w:szCs w:val="28"/>
          <w:rtl w:val="true"/>
          <w:lang w:bidi="ar-SA"/>
        </w:rPr>
        <w:t xml:space="preserve">، ضعيفة جداً؛ للزوم القدح على ذلك في جميع الإجماعات المنقولة التي لا يعلم دخول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وهو لا يلتفت إليه ؛ ولأنّ الإجماع المنقول حجيته بنقله، لا بالعلم بدخول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يفتقر إلى العلم بدخول قول المعصوم الناقل لا المنقول إليه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ويضاف إلى الإجماع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من الثلث على القول به في المنجزات هو ما يخرجه المريض عن ملكه بنفسه اختياراً بعد أن يدخل في ملكه، وها هنا لم يخرجه اختياراً، وإنما خرج قهراً، ولم يتقدّم الملك على خروجه عنه تقدماً زمانياً أيضاً، ولم يمكن انفكاك الملك عن خروجه عنه، فكان بمنزلة الإقدام على ملك زائل بنفسه متزلزل في حدّ ذاته، وذلك لا يخرج من الثلث، وإنّما يخرج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على مقتضى الأصول والقواعد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فجَعَله من الثلث </w:t>
      </w:r>
      <w:r>
        <w:rPr>
          <w:rStyle w:val="FootnoteAnchor"/>
          <w:rtl w:val="true"/>
        </w:rPr>
        <w:footnoteReference w:id="1379"/>
      </w:r>
      <w:r>
        <w:rPr>
          <w:rFonts w:ascii="Amiri" w:hAnsi="Amiri" w:eastAsia="Amiri" w:cs="Amiri"/>
          <w:color w:val="111111"/>
          <w:sz w:val="28"/>
          <w:sz w:val="28"/>
          <w:szCs w:val="28"/>
          <w:rtl w:val="true"/>
          <w:lang w:bidi="ar-SA"/>
        </w:rPr>
        <w:t xml:space="preserve">، لأنّ اختيار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قبول الوصيّة والهبة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للمسبب وهو العتق، فيكون العتق اختيارياً لا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يظهر ضعفه ممّا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بغير عقد اختياري، كنذرٍ أو إرثٍ ونحوهما، فبالأولى هنا خروجه من الأصل، جرياً على مقتضى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بخروجه من الثلث؛ لتفويت المالية على الوارث فيه في الجملة فيكون من الثلث </w:t>
      </w:r>
      <w:r>
        <w:rPr>
          <w:rStyle w:val="FootnoteAnchor"/>
          <w:rtl w:val="true"/>
        </w:rPr>
        <w:footnoteReference w:id="1380"/>
      </w:r>
      <w:r>
        <w:rPr>
          <w:rFonts w:ascii="IRNazanin" w:hAnsi="IRNazanin" w:eastAsia="IRNazanin"/>
          <w:color w:val="111111"/>
          <w:sz w:val="28"/>
          <w:sz w:val="28"/>
          <w:szCs w:val="28"/>
          <w:rtl w:val="true"/>
          <w:lang w:bidi="fa-IR"/>
        </w:rPr>
        <w:t>، 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يكون انتقاله بعقد معاوضةٍ بعوض موروث للمريض، كشراء بثمن المثل أو هبة معوّضة كذلك، والأقوى فيه هنا خروجه من الثلث؛ لأنّ تملكه باختياره سبب في عتقه، واختيار السبب اختيار للمسبّب، فيكون بمنزلة عتقه اختياراً وهو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بخروجه من الأصل </w:t>
      </w:r>
      <w:r>
        <w:rPr>
          <w:rStyle w:val="FootnoteAnchor"/>
          <w:rtl w:val="true"/>
        </w:rPr>
        <w:footnoteReference w:id="1381"/>
      </w:r>
      <w:r>
        <w:rPr>
          <w:rFonts w:ascii="Amiri" w:hAnsi="Amiri" w:eastAsia="Amiri" w:cs="Amiri"/>
          <w:color w:val="111111"/>
          <w:sz w:val="28"/>
          <w:sz w:val="28"/>
          <w:szCs w:val="28"/>
          <w:rtl w:val="true"/>
          <w:lang w:bidi="ar-SA"/>
        </w:rPr>
        <w:t>لأن الشراء بثمن المثل ليس من التبرعات المحضة، والعتق المترتّب عليه ليس من العتق الاختياري فيخرج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يظهر ضعفه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يملكه بعقد اختياري ولكن بعوض غير موروث، كما إذا آجر نفسه بعبد ينعتق عليه، أو كان مهراً للامرأة، فهذا يخرج من الأصل؛ لعدم تفويت شيء على الوارث، ومثله ما لو نذر أن يملكه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يملكه بإيجاب الشارع عليه بنذرٍ، كما إذا نذر أن يشتري مَنْ ينعتق عليه في حال الصحّة، فهذا يخرج من الأصل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نذر أن يشتري مَنْ ينعتق عليه في حال المرض زجراً أو شكراً، ففي خروجه من الثلث؛ لأنّه من التبرعات في السبب فيكون منها في المسبب، أو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النذر يخرج من الأصل وأن المسبب فهري، أو الفرق بين النذر في المرض وبين النذر في </w:t>
      </w:r>
      <w:bookmarkStart w:id="877" w:name="pg19218_274314"/>
    </w:p>
    <w:p>
      <w:pPr>
        <w:pStyle w:val="BookText"/>
        <w:rPr/>
      </w:pPr>
      <w:bookmarkEnd w:id="877"/>
      <w:r>
        <w:rPr>
          <w:rFonts w:ascii="Amiri" w:hAnsi="Amiri" w:eastAsia="Amiri" w:cs="Amiri"/>
          <w:color w:val="111111"/>
          <w:sz w:val="28"/>
          <w:sz w:val="28"/>
          <w:szCs w:val="28"/>
          <w:rtl w:val="true"/>
          <w:lang w:bidi="ar-SA"/>
        </w:rPr>
        <w:t>حال الصحّة بأن يفعل ذلك في المرض، فيخرج الأوّل من الثلث والثاني من الأصل، وجوه، أقواها أنّ النذر في حال الصحّة أو مطلقاً أو لما يفعله في حال الصحّة يخرج من الأصل ولو فعله في المرض، وأنّ النذر في حال المرض لما يفعله تبرّعاً حال المرض يخرج من الثلث، وأنّ في ما نذره حال الصحّة لما يفعله في حال المرض وجهان، أقواهما الخروج من الثلث</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3425389_1280447820"/>
      <w:bookmarkStart w:id="879" w:name="_Toc313"/>
      <w:bookmarkEnd w:id="878"/>
      <w:r>
        <w:rPr>
          <w:rtl w:val="true"/>
        </w:rPr>
        <w:t>الخامس والعشرون</w:t>
      </w:r>
      <w:r>
        <w:rPr>
          <w:rtl w:val="true"/>
        </w:rPr>
        <w:t xml:space="preserve">: </w:t>
      </w:r>
      <w:r>
        <w:rPr>
          <w:rtl w:val="true"/>
        </w:rPr>
        <w:t>في أن خروج المنجز من الثلث خلاف القواعد ويقتصر فيه على مورد اليقين</w:t>
      </w:r>
      <w:bookmarkEnd w:id="879"/>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المنجز من الثلث خلاف القواعد، فيقتصر فيه على مورد اليقين ممّا يُسمّى مرضاً، فلا يجري الحكم لما لا يُسمّى كذلك، كالوقوف للحرب، أو الركوب بسفينة حال تلاطم الأمواج، أو حالة الحرق أو الغرق، أو حالة الخنق والصلب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ما لو قطع منه شيء يسري به إلى الموت إشكال، سيّما لو كان شيء لا تستقر بعده الحياة كقطع الحلقوم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كون المرض مخوفاً، كالحميات الصعبة والاستسقاء والدق وذات الجنب والسل الغير المستمر، أو غير مخوف، كالزكام وحتى يوم والسلّ المستمر والفالج المزمن، ويشترط في الأخير قيام القرائن العادية باستناد الموت إليه، ويكفي في الأوّل وقوع الموت فيه مع عدم ظهور خلافه واستناده إلى مرض آخر، ولا يشترط العلم باستناد الموت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 بعضهم المرض في المرض المخوف </w:t>
      </w:r>
      <w:r>
        <w:rPr>
          <w:rStyle w:val="FootnoteAnchor"/>
          <w:rtl w:val="true"/>
        </w:rPr>
        <w:footnoteReference w:id="1382"/>
      </w:r>
      <w:r>
        <w:rPr>
          <w:rFonts w:ascii="Amiri" w:hAnsi="Amiri" w:eastAsia="Amiri" w:cs="Amiri"/>
          <w:color w:val="111111"/>
          <w:sz w:val="28"/>
          <w:sz w:val="28"/>
          <w:szCs w:val="28"/>
          <w:rtl w:val="true"/>
          <w:lang w:bidi="ar-SA"/>
        </w:rPr>
        <w:t>اقتصاراً على مورد اليقين، ولكن الإطلاق في الفتوى والرواية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استناد الموت إلى السبب وعدمه بنى على الظاهر في المرض المخوف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تنجز أو أقرّ وشكّ في كون ذلك حال المرض أو الصحّة، ولم يعلم كونه مريضاً، فالأصل عدم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المرض وشكّ في تأخر المنجز عنه أو المقارنة، فإن علم تأريخ أحدهما تأخر عنه المجهول، وإلا فيُحكم بالمقارنة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الحكم في جميع الصُّور المشكوك فيها بالخروج من الأصل؛ لقضاء القواعد </w:t>
      </w:r>
    </w:p>
    <w:p>
      <w:pPr>
        <w:pStyle w:val="BookText"/>
        <w:rPr/>
      </w:pPr>
      <w:r>
        <w:rPr>
          <w:rFonts w:ascii="Amiri" w:hAnsi="Amiri" w:eastAsia="Amiri" w:cs="Amiri"/>
          <w:color w:val="111111"/>
          <w:sz w:val="28"/>
          <w:sz w:val="28"/>
          <w:szCs w:val="28"/>
          <w:rtl w:val="true"/>
          <w:lang w:bidi="ar-SA"/>
        </w:rPr>
        <w:t xml:space="preserve">بنفوذ المنجز من الأصل إلّا ما عُلم كونه في مرض الموت فيُخرج من الأصل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تداعيا في كون المنجز في مرض الموت أو في حال الصحّة مع العلم بوقوع المرض، كان القول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حال الصحّة، مع احتمال كون القول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حال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تأريخ المرض وتداعيا في زمن المنجّز، فالأقوى أن القول قول المدّعي أنّه في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الجراحات من الأمراض والفتق ليس منها، مع احتمال أنّه منها، والعمى ليس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والفصد يسيل حتّى يُميت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انتقل المرض من مرض إلى مرض فالمدار على مرض الموت، إلّا إذا كانت عادة ذلك المرض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أشرف خلقه محمّد وآله الطاهرين عليهم ألف ألف صلاة وألف ألف تحية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كتاب الوصيّة، ويتلوه كتاب النكاح إن شاء اللّه، ونسأله التسهيل والتوفيق للإتمام إنّه خير موفّق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السابع من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ويليه في الجزء الثامن كتاب النكاح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الوديعة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المقصد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الوديعة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الوديعة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مخطوط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المضاربة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وعنهما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 على ما حكاه عنه 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 ولم نجده فيه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الشهيد واستحسنه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على ما حكاه عنه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الزاهر في غريب ألفاظ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الأزهري في الزاهر في غريب ألفاظ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وراجع العزيز شرح الوجيز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العزيز شرح الوجيز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و 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الوديعة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الحلّى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في المقنع ولم نجده فيه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وحكاه العلّامة الحلّي في مختلف الشيعة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 والديلمي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العارية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الجواب في النسخ الخطية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كونهما مملوكين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 مملوكاً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الإجارة، 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الشهيد الأوّل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البراج وابن إدريس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الطباطبائي في رياض المسائل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وراجع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الطباطبائي في المصدر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الوديعة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الوديعة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ومنهم 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صريح العلّامة الحلّي في تذكرة الفقهاء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 سنن أبي داؤد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المستدرك،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دلائل النبوة،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الوكالة،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الوكالة،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الوكالة،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الوكالة،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الطباطبائي في رياض المسائل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كالأردبيلي في 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کالشيخ الطوسى فى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 سنن أبي داؤد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الجنيد على ما 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مرّ في بحث الوكالة إلى هنا متفرّقةً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وبما يأتي أيضاً في بحث الوكالة في مسائل متفرّقة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30/2788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في المقنع ولم نجده فيه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الوديعة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وحكاه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الوديعة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الوكالة،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الوكالة،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والصدقات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والصدقات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الحلّى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وفي الجامع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ولم نعثر عليه في الخلاف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خبر التوقيع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للأكثر الطباطبائي في المصدر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لمذهب أصحابنا الشيخ الطوسي في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ولم نعثر في مختلف الشيعة على غير ما يأتي في الهامش التالي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بها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آنفاً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وراجع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الحلّي في 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السيوري في التنقيح الرائع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رياض المسائل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والصدقات،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الفاضل 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وراجع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العارية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سيجيء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في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والصدقات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آنفاً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والصدقات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الكتاب المزبور،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ظاهر أبي الصلاح وراجع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والصدقات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الكتاب المزبور،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للمشهور ابن فهد الحلّي في 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وراجع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فرج المرأة إذا غصبت على نفسها ثمّ كثر ذلك حتّى استعمل في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ق 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وابن الجنيد على ما حكاه عنه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وراجع مسالك الأفهام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الحلّى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وفيه أنّ الإسلام قبل الإيمان،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وفيه أنّ الإسلام قبل الإيمان،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إليها 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لزهير بن أبي سلمى، وصدره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للحارث بن وعلة كما في 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الفقهاء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في الأركان والدروس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القول في شرائط المعقود عليه من العوضين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الطاعون، وجراح ودمل يظهر في الجوف ويقتل صاحبه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 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والصدقات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الأشهر السبزواري في 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الهبات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الهبات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الهبات،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الوصيّة، 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الشهيد الثاني في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كما حكاه أيضاً عن الإسكافي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المحقق الحلّي؛ راجع 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للمعظم الشهيد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للأكثر 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وراجع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ذيل الحديث،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ثمان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المسألة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ابن فهد الحلّي في 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الحلّي في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والعلامة الحلّى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 الإسكافي أيضاً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يقتضيه السياق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القيل المحقق الكركي في 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 وشرائطه،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وعن ابن الجنيد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الصحيح</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لفعل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للمسلم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ووالد الصدوق على ما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المصدر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آنفاً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السبزواري في 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والبحراني في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من أوصى إلى اثنين فينفرد كلّ واحد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وما بين المعقوفين أضفناه من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وكما يقتضيه السياق</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الأكثر الصيمري 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والسبزواري في 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للمشهور البحراني في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ونفى عنه البأس</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85/4461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السبزواري في 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 أن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الإسكافي</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وقال الصيمري 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وهو منقول عن بعض الأصحاب</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المسالك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الإسكافي على ما حكاه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وابن الجنيد على ما حكاه عنه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كالبحراني في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والإمامة،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الشهيد الثاني في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45.xml"/><Relationship Id="rId453" Type="http://schemas.openxmlformats.org/officeDocument/2006/relationships/footnotes" Target="footnotes.xml"/><Relationship Id="rId454" Type="http://schemas.openxmlformats.org/officeDocument/2006/relationships/numbering" Target="numbering.xml"/><Relationship Id="rId455" Type="http://schemas.openxmlformats.org/officeDocument/2006/relationships/fontTable" Target="fontTable.xml"/><Relationship Id="rId456" Type="http://schemas.openxmlformats.org/officeDocument/2006/relationships/settings" Target="settings.xml"/><Relationship Id="rId4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37640</Words>
  <Characters>163896</Characters>
  <CharactersWithSpaces>200476</CharactersWithSpaces>
  <Paragraphs>1202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2026-08-25T17:36:19Z</dcterms:created>
  <dc:creator>ghaemiyeh.com</dc:creator>
  <dc:description/>
  <dc:language>en-US</dc:language>
  <cp:lastModifiedBy/>
  <dcterms:modified xsi:type="dcterms:W3CDTF">2026-08-25T21:06:39Z</dcterms:modified>
  <cp:revision>1</cp:revision>
  <dc:subject/>
  <dc:title>أنوار الفقاهة کاشف الغطاء جلد 7</dc:title>
</cp:coreProperties>
</file>

<file path=docProps/custom.xml><?xml version="1.0" encoding="utf-8"?>
<Properties xmlns="http://schemas.openxmlformats.org/officeDocument/2006/custom-properties" xmlns:vt="http://schemas.openxmlformats.org/officeDocument/2006/docPropsVTypes"/>
</file>